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64CF" w:rsidRDefault="00E32F70">
      <w:pPr>
        <w:spacing w:after="0" w:line="259" w:lineRule="auto"/>
        <w:ind w:left="108" w:firstLine="0"/>
        <w:jc w:val="left"/>
      </w:pPr>
      <w:bookmarkStart w:id="0" w:name="_GoBack"/>
      <w:bookmarkEnd w:id="0"/>
      <w:r>
        <w:rPr>
          <w:b/>
        </w:rPr>
        <w:t xml:space="preserve"> </w:t>
      </w:r>
      <w:r>
        <w:rPr>
          <w:b/>
        </w:rPr>
        <w:tab/>
      </w:r>
      <w:r>
        <w:t xml:space="preserve"> </w:t>
      </w:r>
      <w:r>
        <w:tab/>
        <w:t xml:space="preserve"> </w:t>
      </w:r>
      <w:r>
        <w:tab/>
        <w:t xml:space="preserve"> </w:t>
      </w:r>
    </w:p>
    <w:p w:rsidR="00B064CF" w:rsidRDefault="00E32F70">
      <w:pPr>
        <w:spacing w:after="1" w:line="259" w:lineRule="auto"/>
        <w:ind w:left="108" w:firstLine="0"/>
        <w:jc w:val="left"/>
      </w:pPr>
      <w:r>
        <w:t xml:space="preserve"> </w:t>
      </w:r>
      <w:r>
        <w:tab/>
        <w:t xml:space="preserve"> </w:t>
      </w:r>
      <w:r>
        <w:tab/>
        <w:t xml:space="preserve"> </w:t>
      </w:r>
      <w:r>
        <w:tab/>
        <w:t xml:space="preserve"> </w:t>
      </w:r>
    </w:p>
    <w:p w:rsidR="00B064CF" w:rsidRDefault="00E32F70">
      <w:pPr>
        <w:tabs>
          <w:tab w:val="center" w:pos="1123"/>
          <w:tab w:val="center" w:pos="3960"/>
          <w:tab w:val="center" w:pos="5778"/>
          <w:tab w:val="center" w:pos="7055"/>
        </w:tabs>
        <w:spacing w:after="28"/>
        <w:ind w:left="0" w:firstLine="0"/>
        <w:jc w:val="left"/>
      </w:pPr>
      <w:r>
        <w:rPr>
          <w:rFonts w:ascii="Calibri" w:eastAsia="Calibri" w:hAnsi="Calibri" w:cs="Calibri"/>
        </w:rPr>
        <w:tab/>
      </w:r>
      <w:r>
        <w:t xml:space="preserve"> </w:t>
      </w:r>
      <w:r>
        <w:tab/>
      </w:r>
      <w:r>
        <w:rPr>
          <w:b/>
        </w:rPr>
        <w:t xml:space="preserve">                   ACTA </w:t>
      </w:r>
      <w:r>
        <w:rPr>
          <w:b/>
        </w:rPr>
        <w:tab/>
      </w:r>
      <w:r>
        <w:t xml:space="preserve"> </w:t>
      </w:r>
      <w:r>
        <w:tab/>
        <w:t xml:space="preserve"> </w:t>
      </w:r>
    </w:p>
    <w:p w:rsidR="00B064CF" w:rsidRDefault="00E32F70">
      <w:pPr>
        <w:spacing w:after="0" w:line="259" w:lineRule="auto"/>
        <w:ind w:left="0" w:firstLine="0"/>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7900" cy="25908"/>
                <wp:effectExtent l="0" t="0" r="0" b="0"/>
                <wp:docPr id="363537" name="Group 363537"/>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14" name="Shape 114"/>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3537" style="width:477pt;height:2.04pt;mso-position-horizontal-relative:char;mso-position-vertical-relative:line" coordsize="60579,259">
                <v:shape id="Shape 114" style="position:absolute;width:60579;height:0;left:0;top:0;" coordsize="6057900,0" path="m0,0l6057900,0">
                  <v:stroke weight="2.04pt" endcap="square" joinstyle="miter" miterlimit="10" on="true" color="#993366"/>
                  <v:fill on="false" color="#000000" opacity="0"/>
                </v:shape>
              </v:group>
            </w:pict>
          </mc:Fallback>
        </mc:AlternateContent>
      </w:r>
    </w:p>
    <w:p w:rsidR="00B064CF" w:rsidRDefault="00E32F70">
      <w:pPr>
        <w:spacing w:after="0" w:line="259" w:lineRule="auto"/>
        <w:ind w:left="0" w:right="166" w:firstLine="0"/>
        <w:jc w:val="center"/>
      </w:pPr>
      <w:r>
        <w:rPr>
          <w:b/>
        </w:rPr>
        <w:t xml:space="preserve"> </w:t>
      </w:r>
    </w:p>
    <w:p w:rsidR="00B064CF" w:rsidRDefault="00E32F70">
      <w:pPr>
        <w:spacing w:after="0" w:line="259" w:lineRule="auto"/>
        <w:ind w:left="0" w:right="166" w:firstLine="0"/>
        <w:jc w:val="center"/>
      </w:pPr>
      <w:r>
        <w:rPr>
          <w:b/>
        </w:rPr>
        <w:t xml:space="preserve"> </w:t>
      </w:r>
    </w:p>
    <w:p w:rsidR="00B064CF" w:rsidRDefault="00E32F70">
      <w:pPr>
        <w:pStyle w:val="Ttulo1"/>
        <w:spacing w:after="9" w:line="249" w:lineRule="auto"/>
        <w:ind w:left="290" w:right="514"/>
        <w:jc w:val="center"/>
      </w:pPr>
      <w:r>
        <w:rPr>
          <w:u w:val="none"/>
        </w:rPr>
        <w:t xml:space="preserve">DE LA SESIÓN ORDINARIA CELEBRADA POR EL AYUNTAMIENTO PLENO EL DÍA 27 DE MAYO DE  2021. SESIÓN Nº6/2021 </w:t>
      </w:r>
    </w:p>
    <w:p w:rsidR="00B064CF" w:rsidRDefault="00E32F70">
      <w:pPr>
        <w:spacing w:after="0" w:line="259" w:lineRule="auto"/>
        <w:ind w:left="0" w:right="166" w:firstLine="0"/>
        <w:jc w:val="center"/>
      </w:pPr>
      <w:r>
        <w:t xml:space="preserve"> </w:t>
      </w:r>
    </w:p>
    <w:p w:rsidR="00B064CF" w:rsidRDefault="00E32F70">
      <w:pPr>
        <w:spacing w:after="0" w:line="259" w:lineRule="auto"/>
        <w:ind w:left="0" w:firstLine="0"/>
        <w:jc w:val="left"/>
      </w:pPr>
      <w:r>
        <w:t xml:space="preserve"> </w:t>
      </w:r>
    </w:p>
    <w:p w:rsidR="00B064CF" w:rsidRDefault="00E32F70">
      <w:pPr>
        <w:spacing w:after="0" w:line="259" w:lineRule="auto"/>
        <w:ind w:left="0" w:firstLine="0"/>
        <w:jc w:val="left"/>
      </w:pPr>
      <w:r>
        <w:t xml:space="preserve"> </w:t>
      </w:r>
    </w:p>
    <w:p w:rsidR="00B064CF" w:rsidRDefault="00E32F70">
      <w:pPr>
        <w:spacing w:after="0" w:line="259" w:lineRule="auto"/>
        <w:ind w:left="0" w:right="166" w:firstLine="0"/>
        <w:jc w:val="center"/>
      </w:pPr>
      <w:r>
        <w:t xml:space="preserve"> </w:t>
      </w:r>
    </w:p>
    <w:p w:rsidR="00B064CF" w:rsidRDefault="00E32F70">
      <w:pPr>
        <w:spacing w:after="9" w:line="249" w:lineRule="auto"/>
        <w:ind w:left="290" w:right="507"/>
        <w:jc w:val="center"/>
      </w:pPr>
      <w:r>
        <w:rPr>
          <w:b/>
        </w:rPr>
        <w:t xml:space="preserve">SEÑORES ASISTENTES: </w:t>
      </w:r>
    </w:p>
    <w:p w:rsidR="00B064CF" w:rsidRDefault="00E32F70">
      <w:pPr>
        <w:spacing w:after="0" w:line="259" w:lineRule="auto"/>
        <w:ind w:left="2816" w:firstLine="0"/>
        <w:jc w:val="left"/>
      </w:pPr>
      <w:r>
        <w:rPr>
          <w:b/>
        </w:rPr>
        <w:t xml:space="preserve"> </w:t>
      </w:r>
    </w:p>
    <w:p w:rsidR="00B064CF" w:rsidRDefault="00E32F70">
      <w:pPr>
        <w:spacing w:after="0" w:line="259" w:lineRule="auto"/>
        <w:ind w:left="2816" w:firstLine="0"/>
        <w:jc w:val="left"/>
      </w:pPr>
      <w:r>
        <w:rPr>
          <w:b/>
        </w:rPr>
        <w:t xml:space="preserve"> </w:t>
      </w:r>
    </w:p>
    <w:p w:rsidR="00B064CF" w:rsidRDefault="00E32F70">
      <w:pPr>
        <w:spacing w:after="11"/>
        <w:ind w:right="72"/>
      </w:pPr>
      <w:r>
        <w:rPr>
          <w:b/>
        </w:rPr>
        <w:t xml:space="preserve">                                        Alcaldesa-Presidenta: </w:t>
      </w:r>
      <w:r>
        <w:t>Dª María Concepción Brito Núñez</w:t>
      </w:r>
      <w:r>
        <w:rPr>
          <w:rFonts w:ascii="Times New Roman" w:eastAsia="Times New Roman" w:hAnsi="Times New Roman" w:cs="Times New Roman"/>
          <w:sz w:val="24"/>
        </w:rPr>
        <w:t xml:space="preserve"> </w:t>
      </w:r>
    </w:p>
    <w:p w:rsidR="00B064CF" w:rsidRDefault="00E32F70">
      <w:pPr>
        <w:spacing w:after="0" w:line="259" w:lineRule="auto"/>
        <w:ind w:left="0" w:firstLine="0"/>
        <w:jc w:val="left"/>
      </w:pPr>
      <w:r>
        <w:rPr>
          <w:b/>
        </w:rPr>
        <w:t xml:space="preserve"> </w:t>
      </w:r>
    </w:p>
    <w:p w:rsidR="00B064CF" w:rsidRDefault="00E32F70">
      <w:pPr>
        <w:spacing w:after="0" w:line="259" w:lineRule="auto"/>
        <w:ind w:left="0" w:right="166" w:firstLine="0"/>
        <w:jc w:val="center"/>
      </w:pPr>
      <w:r>
        <w:rPr>
          <w:b/>
        </w:rPr>
        <w:t xml:space="preserve"> </w:t>
      </w:r>
    </w:p>
    <w:p w:rsidR="00B064CF" w:rsidRDefault="00E32F70">
      <w:pPr>
        <w:spacing w:after="0" w:line="246" w:lineRule="auto"/>
        <w:ind w:left="0" w:right="58" w:firstLine="0"/>
        <w:jc w:val="left"/>
      </w:pPr>
      <w:r>
        <w:rPr>
          <w:b/>
        </w:rPr>
        <w:t xml:space="preserve">               Grupo Socialista</w:t>
      </w:r>
      <w:r>
        <w:t>: D. Jorge Baute Delgado, Dª Olivia Concepción Pérez Díaz, D. José Francisco Pinto Ramos, Dª Hilaria Cecilia Otazo González, D. Airam Pérez Chinea, Dª Margarita Eva Tendero Barroso, D. Man</w:t>
      </w:r>
      <w:r>
        <w:t xml:space="preserve">uel Alberto González Pestano, Dª Mª del Carmen Clemente Díaz, D. Olegario Francisco Alonso Bello, D. Reinaldo José Triviño Blanco. </w:t>
      </w:r>
      <w:r>
        <w:rPr>
          <w:rFonts w:ascii="Times New Roman" w:eastAsia="Times New Roman" w:hAnsi="Times New Roman" w:cs="Times New Roman"/>
          <w:sz w:val="24"/>
        </w:rPr>
        <w:t xml:space="preserve"> </w:t>
      </w:r>
    </w:p>
    <w:p w:rsidR="00B064CF" w:rsidRDefault="00E32F70">
      <w:pPr>
        <w:spacing w:after="0" w:line="259" w:lineRule="auto"/>
        <w:ind w:left="0" w:firstLine="0"/>
        <w:jc w:val="left"/>
      </w:pPr>
      <w:r>
        <w:t xml:space="preserve"> </w:t>
      </w:r>
    </w:p>
    <w:p w:rsidR="00B064CF" w:rsidRDefault="00E32F70">
      <w:pPr>
        <w:spacing w:after="0" w:line="259" w:lineRule="auto"/>
        <w:ind w:left="0" w:firstLine="0"/>
        <w:jc w:val="left"/>
      </w:pPr>
      <w:r>
        <w:t xml:space="preserve"> </w:t>
      </w:r>
    </w:p>
    <w:p w:rsidR="00B064CF" w:rsidRDefault="00E32F70">
      <w:pPr>
        <w:spacing w:after="0"/>
        <w:ind w:right="72"/>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904494" cy="915315"/>
                <wp:effectExtent l="0" t="0" r="0" b="0"/>
                <wp:wrapTopAndBottom/>
                <wp:docPr id="363535" name="Group 363535"/>
                <wp:cNvGraphicFramePr/>
                <a:graphic xmlns:a="http://schemas.openxmlformats.org/drawingml/2006/main">
                  <a:graphicData uri="http://schemas.microsoft.com/office/word/2010/wordprocessingGroup">
                    <wpg:wgp>
                      <wpg:cNvGrpSpPr/>
                      <wpg:grpSpPr>
                        <a:xfrm>
                          <a:off x="0" y="0"/>
                          <a:ext cx="904494" cy="915315"/>
                          <a:chOff x="0" y="0"/>
                          <a:chExt cx="904494"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63535" style="width:71.22pt;height:72.072pt;position:absolute;mso-position-horizontal-relative:page;mso-position-horizontal:absolute;margin-left:125.81pt;mso-position-vertical-relative:page;margin-top:34.668pt;" coordsize="9044,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31"/>
                </v:shape>
                <v:rect id="Rectangle 10" style="position:absolute;width:506;height:2243;left:23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 style="position:absolute;width:506;height:2243;left:231;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63538" name="Group 363538"/>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117" name="Rectangle 117"/>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118" name="Rectangle 118"/>
                        <wps:cNvSpPr/>
                        <wps:spPr>
                          <a:xfrm rot="-5399999">
                            <a:off x="-2042224" y="1310508"/>
                            <a:ext cx="4350075"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 de 298 </w:t>
                              </w:r>
                            </w:p>
                          </w:txbxContent>
                        </wps:txbx>
                        <wps:bodyPr horzOverflow="overflow" vert="horz" lIns="0" tIns="0" rIns="0" bIns="0" rtlCol="0">
                          <a:noAutofit/>
                        </wps:bodyPr>
                      </wps:wsp>
                    </wpg:wgp>
                  </a:graphicData>
                </a:graphic>
              </wp:anchor>
            </w:drawing>
          </mc:Choice>
          <mc:Fallback xmlns:a="http://schemas.openxmlformats.org/drawingml/2006/main">
            <w:pict>
              <v:group id="Group 363538" style="width:12.7031pt;height:278.91pt;position:absolute;mso-position-horizontal-relative:page;mso-position-horizontal:absolute;margin-left:682.278pt;mso-position-vertical-relative:page;margin-top:533.01pt;" coordsize="1613,35421">
                <v:rect id="Rectangle 117"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118" style="position:absolute;width:43500;height:1132;left:-20422;top:1310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 de 298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254000</wp:posOffset>
                </wp:positionH>
                <wp:positionV relativeFrom="page">
                  <wp:posOffset>1397000</wp:posOffset>
                </wp:positionV>
                <wp:extent cx="368300" cy="5921756"/>
                <wp:effectExtent l="0" t="0" r="0" b="0"/>
                <wp:wrapSquare wrapText="bothSides"/>
                <wp:docPr id="363539" name="Group 363539"/>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19" name="Shape 119"/>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20" name="Shape 120"/>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3539" style="width:29pt;height:466.28pt;position:absolute;mso-position-horizontal-relative:page;mso-position-horizontal:absolute;margin-left:20pt;mso-position-vertical-relative:page;margin-top:110pt;" coordsize="3683,59217">
                <v:shape id="Shape 119" style="position:absolute;width:3683;height:29291;left:0;top:0;" coordsize="368300,2929128" path="m0,2929128l368300,2929128l368300,0l0,0x">
                  <v:stroke weight="0.5pt" endcap="flat" joinstyle="miter" miterlimit="10" on="true" color="#808080"/>
                  <v:fill on="false" color="#000000" opacity="0"/>
                </v:shape>
                <v:shape id="Shape 120"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rPr>
          <w:b/>
        </w:rPr>
        <w:t xml:space="preserve">               Grupo Popular: </w:t>
      </w:r>
      <w:r>
        <w:t>D.</w:t>
      </w:r>
      <w:r>
        <w:rPr>
          <w:b/>
        </w:rPr>
        <w:t xml:space="preserve"> </w:t>
      </w:r>
      <w:r>
        <w:t>Juan Miguel Olivera González, D. Jacobo López Fariña, Dª Raquel Martín Castro.</w:t>
      </w:r>
      <w:r>
        <w:rPr>
          <w:rFonts w:ascii="Times New Roman" w:eastAsia="Times New Roman" w:hAnsi="Times New Roman" w:cs="Times New Roman"/>
          <w:sz w:val="24"/>
        </w:rPr>
        <w:t xml:space="preserve"> </w:t>
      </w:r>
    </w:p>
    <w:p w:rsidR="00B064CF" w:rsidRDefault="00E32F70">
      <w:pPr>
        <w:spacing w:after="0" w:line="259" w:lineRule="auto"/>
        <w:ind w:left="0" w:firstLine="0"/>
        <w:jc w:val="left"/>
      </w:pPr>
      <w:r>
        <w:t xml:space="preserve"> </w:t>
      </w:r>
    </w:p>
    <w:p w:rsidR="00B064CF" w:rsidRDefault="00E32F70">
      <w:pPr>
        <w:spacing w:after="0"/>
        <w:ind w:right="72"/>
      </w:pPr>
      <w:r>
        <w:rPr>
          <w:b/>
        </w:rPr>
        <w:t xml:space="preserve">               Grupo Mixto:</w:t>
      </w:r>
      <w:r>
        <w:t xml:space="preserve"> Dª Lourdes del Carm</w:t>
      </w:r>
      <w:r>
        <w:t>en Mondéjar Rondón y D. Antonio Delgado García (Si Se Puede) Dª Ángela Cruz Perera (Coalición Canaria Partido Nacionalista Canario).</w:t>
      </w:r>
      <w:r>
        <w:rPr>
          <w:rFonts w:ascii="Times New Roman" w:eastAsia="Times New Roman" w:hAnsi="Times New Roman" w:cs="Times New Roman"/>
          <w:sz w:val="24"/>
        </w:rPr>
        <w:t xml:space="preserve"> </w:t>
      </w:r>
    </w:p>
    <w:p w:rsidR="00B064CF" w:rsidRDefault="00E32F70">
      <w:pPr>
        <w:spacing w:after="0" w:line="259" w:lineRule="auto"/>
        <w:ind w:left="0" w:firstLine="0"/>
        <w:jc w:val="left"/>
      </w:pPr>
      <w:r>
        <w:rPr>
          <w:b/>
        </w:rPr>
        <w:t xml:space="preserve"> </w:t>
      </w:r>
    </w:p>
    <w:p w:rsidR="00B064CF" w:rsidRDefault="00E32F70">
      <w:pPr>
        <w:spacing w:after="0" w:line="259" w:lineRule="auto"/>
        <w:ind w:left="0" w:firstLine="0"/>
        <w:jc w:val="left"/>
      </w:pPr>
      <w:r>
        <w:t xml:space="preserve"> </w:t>
      </w:r>
    </w:p>
    <w:p w:rsidR="00B064CF" w:rsidRDefault="00E32F70">
      <w:pPr>
        <w:spacing w:after="11"/>
        <w:ind w:right="72"/>
      </w:pPr>
      <w:r>
        <w:rPr>
          <w:b/>
        </w:rPr>
        <w:t xml:space="preserve">                Secretario General: </w:t>
      </w:r>
      <w:r>
        <w:t>D. Octavio Manuel Fernández Hernández</w:t>
      </w:r>
      <w:r>
        <w:rPr>
          <w:rFonts w:ascii="Times New Roman" w:eastAsia="Times New Roman" w:hAnsi="Times New Roman" w:cs="Times New Roman"/>
          <w:sz w:val="24"/>
        </w:rPr>
        <w:t xml:space="preserve"> </w:t>
      </w:r>
    </w:p>
    <w:p w:rsidR="00B064CF" w:rsidRDefault="00E32F70">
      <w:pPr>
        <w:spacing w:after="0" w:line="259" w:lineRule="auto"/>
        <w:ind w:left="0" w:firstLine="0"/>
        <w:jc w:val="left"/>
      </w:pPr>
      <w:r>
        <w:t xml:space="preserve"> </w:t>
      </w:r>
    </w:p>
    <w:p w:rsidR="00B064CF" w:rsidRDefault="00E32F70">
      <w:pPr>
        <w:spacing w:after="11"/>
        <w:ind w:right="72"/>
      </w:pPr>
      <w:r>
        <w:rPr>
          <w:b/>
        </w:rPr>
        <w:t xml:space="preserve">                Interventor:  </w:t>
      </w:r>
      <w:r>
        <w:t>D. Nicolás Rojo Garnica</w:t>
      </w:r>
      <w:r>
        <w:rPr>
          <w:rFonts w:ascii="Times New Roman" w:eastAsia="Times New Roman" w:hAnsi="Times New Roman" w:cs="Times New Roman"/>
          <w:sz w:val="24"/>
        </w:rPr>
        <w:t xml:space="preserve"> </w:t>
      </w:r>
    </w:p>
    <w:p w:rsidR="00B064CF" w:rsidRDefault="00E32F70">
      <w:pPr>
        <w:spacing w:after="0" w:line="259" w:lineRule="auto"/>
        <w:ind w:left="0" w:firstLine="0"/>
        <w:jc w:val="left"/>
      </w:pPr>
      <w:r>
        <w:t xml:space="preserve"> </w:t>
      </w:r>
    </w:p>
    <w:p w:rsidR="00B064CF" w:rsidRDefault="00E32F70">
      <w:pPr>
        <w:spacing w:after="0" w:line="259" w:lineRule="auto"/>
        <w:ind w:left="3963" w:firstLine="0"/>
        <w:jc w:val="left"/>
      </w:pPr>
      <w:r>
        <w:t xml:space="preserve"> </w:t>
      </w:r>
    </w:p>
    <w:p w:rsidR="00B064CF" w:rsidRDefault="00E32F70">
      <w:pPr>
        <w:spacing w:after="0" w:line="259" w:lineRule="auto"/>
        <w:ind w:left="0" w:firstLine="0"/>
        <w:jc w:val="left"/>
      </w:pPr>
      <w:r>
        <w:t xml:space="preserve"> </w:t>
      </w:r>
    </w:p>
    <w:p w:rsidR="00B064CF" w:rsidRDefault="00E32F70">
      <w:pPr>
        <w:spacing w:after="0"/>
        <w:ind w:right="223"/>
      </w:pPr>
      <w:r>
        <w:t>En Candelaria, a 27 de mayo de 2021, siendo las 9:10 horas, se constituyó el Ayuntamiento Pleno en el Salón de Sesiones de la Casa Consistorial con asistencia de los Sres. Concejales expresados al margen, y al objeto de celeb</w:t>
      </w:r>
      <w:r>
        <w:t xml:space="preserve">rar sesión ordinaria para tratar los asuntos comprendidos en el orden del día de la convocatoria. </w:t>
      </w:r>
    </w:p>
    <w:p w:rsidR="00B064CF" w:rsidRDefault="00E32F70">
      <w:pPr>
        <w:spacing w:after="0" w:line="259" w:lineRule="auto"/>
        <w:ind w:left="0" w:firstLine="0"/>
        <w:jc w:val="left"/>
      </w:pPr>
      <w:r>
        <w:rPr>
          <w:b/>
        </w:rPr>
        <w:t xml:space="preserve"> </w:t>
      </w:r>
    </w:p>
    <w:p w:rsidR="00B064CF" w:rsidRDefault="00E32F70">
      <w:pPr>
        <w:spacing w:after="1394" w:line="259" w:lineRule="auto"/>
        <w:ind w:left="3963" w:firstLine="0"/>
        <w:jc w:val="left"/>
      </w:pPr>
      <w:r>
        <w:t xml:space="preserve"> </w:t>
      </w:r>
    </w:p>
    <w:p w:rsidR="00B064CF" w:rsidRDefault="00E32F70">
      <w:pPr>
        <w:spacing w:after="0" w:line="259" w:lineRule="auto"/>
        <w:ind w:left="0" w:right="501" w:firstLine="0"/>
        <w:jc w:val="center"/>
      </w:pPr>
      <w:r>
        <w:rPr>
          <w:rFonts w:ascii="Calibri" w:eastAsia="Calibri" w:hAnsi="Calibri" w:cs="Calibri"/>
          <w:noProof/>
        </w:rPr>
        <w:lastRenderedPageBreak/>
        <mc:AlternateContent>
          <mc:Choice Requires="wpg">
            <w:drawing>
              <wp:inline distT="0" distB="0" distL="0" distR="0">
                <wp:extent cx="5830570" cy="17145"/>
                <wp:effectExtent l="0" t="0" r="0" b="0"/>
                <wp:docPr id="363536" name="Group 363536"/>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3536"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sz w:val="14"/>
        </w:rPr>
        <w:t xml:space="preserve"> </w:t>
      </w:r>
    </w:p>
    <w:p w:rsidR="00B064CF" w:rsidRDefault="00E32F70">
      <w:pPr>
        <w:spacing w:after="89" w:line="241" w:lineRule="auto"/>
        <w:ind w:left="1974" w:right="2153"/>
        <w:jc w:val="center"/>
      </w:pPr>
      <w:r>
        <w:rPr>
          <w:sz w:val="14"/>
        </w:rPr>
        <w:t xml:space="preserve">Avenida Constitución Nº 7. Código postal: 38530, Candelaria. Teléfono: 922.500.800. </w:t>
      </w:r>
      <w:r>
        <w:rPr>
          <w:b/>
          <w:sz w:val="14"/>
        </w:rPr>
        <w:t xml:space="preserve">www. candelaria. es </w:t>
      </w:r>
    </w:p>
    <w:p w:rsidR="00B064CF" w:rsidRDefault="00E32F70">
      <w:pPr>
        <w:spacing w:after="0" w:line="259" w:lineRule="auto"/>
        <w:ind w:left="0" w:firstLine="0"/>
        <w:jc w:val="left"/>
      </w:pPr>
      <w:r>
        <w:rPr>
          <w:rFonts w:ascii="Times New Roman" w:eastAsia="Times New Roman" w:hAnsi="Times New Roman" w:cs="Times New Roman"/>
          <w:sz w:val="24"/>
        </w:rPr>
        <w:t xml:space="preserve"> </w:t>
      </w:r>
    </w:p>
    <w:p w:rsidR="00B064CF" w:rsidRDefault="00E32F70">
      <w:pPr>
        <w:pStyle w:val="Ttulo1"/>
        <w:spacing w:after="9" w:line="249" w:lineRule="auto"/>
        <w:ind w:left="290" w:right="505"/>
        <w:jc w:val="center"/>
      </w:pPr>
      <w:r>
        <w:rPr>
          <w:u w:val="none"/>
        </w:rPr>
        <w:t>ORDEN DEL DÍA</w:t>
      </w:r>
      <w:r>
        <w:rPr>
          <w:rFonts w:ascii="Times New Roman" w:eastAsia="Times New Roman" w:hAnsi="Times New Roman" w:cs="Times New Roman"/>
          <w:b w:val="0"/>
          <w:sz w:val="24"/>
          <w:u w:val="none"/>
        </w:rPr>
        <w:t xml:space="preserve"> </w:t>
      </w:r>
    </w:p>
    <w:p w:rsidR="00B064CF" w:rsidRDefault="00E32F70">
      <w:pPr>
        <w:spacing w:after="0" w:line="259" w:lineRule="auto"/>
        <w:ind w:left="0" w:right="166" w:firstLine="0"/>
        <w:jc w:val="center"/>
      </w:pPr>
      <w:r>
        <w:rPr>
          <w:b/>
        </w:rPr>
        <w:t xml:space="preserve"> </w:t>
      </w:r>
    </w:p>
    <w:p w:rsidR="00B064CF" w:rsidRDefault="00E32F70">
      <w:pPr>
        <w:spacing w:after="0" w:line="259" w:lineRule="auto"/>
        <w:ind w:left="355"/>
        <w:jc w:val="left"/>
      </w:pPr>
      <w:r>
        <w:rPr>
          <w:b/>
        </w:rPr>
        <w:t xml:space="preserve">A) </w:t>
      </w:r>
      <w:r>
        <w:rPr>
          <w:b/>
          <w:u w:val="single" w:color="000000"/>
        </w:rPr>
        <w:t>Parte Resolutiva de la Sesión.</w:t>
      </w:r>
      <w:r>
        <w:rPr>
          <w:b/>
        </w:rPr>
        <w:t xml:space="preserve"> </w:t>
      </w:r>
    </w:p>
    <w:p w:rsidR="00B064CF" w:rsidRDefault="00E32F70">
      <w:pPr>
        <w:spacing w:after="0" w:line="259" w:lineRule="auto"/>
        <w:ind w:left="0" w:firstLine="0"/>
        <w:jc w:val="left"/>
      </w:pPr>
      <w:r>
        <w:rPr>
          <w:b/>
        </w:rPr>
        <w:t xml:space="preserve"> </w:t>
      </w:r>
    </w:p>
    <w:p w:rsidR="00B064CF" w:rsidRDefault="00E32F70">
      <w:pPr>
        <w:spacing w:after="11"/>
        <w:ind w:right="72"/>
      </w:pPr>
      <w:r>
        <w:t xml:space="preserve">El debate íntegro de la sesión del pleno está disponible en: </w:t>
      </w:r>
    </w:p>
    <w:p w:rsidR="00B064CF" w:rsidRDefault="00E32F70">
      <w:pPr>
        <w:spacing w:after="0" w:line="259" w:lineRule="auto"/>
        <w:ind w:left="0" w:firstLine="0"/>
        <w:jc w:val="left"/>
      </w:pPr>
      <w:r>
        <w:t xml:space="preserve"> </w:t>
      </w:r>
    </w:p>
    <w:p w:rsidR="00B064CF" w:rsidRDefault="00E32F70">
      <w:pPr>
        <w:spacing w:after="0" w:line="259" w:lineRule="auto"/>
        <w:ind w:left="0" w:firstLine="0"/>
        <w:jc w:val="left"/>
      </w:pPr>
      <w:r>
        <w:rPr>
          <w:color w:val="0000FF"/>
          <w:u w:val="single" w:color="0000FF"/>
        </w:rPr>
        <w:t>https://www.youtube.com/watch?v=9ZOGlz7h1UU</w:t>
      </w:r>
      <w:r>
        <w:rPr>
          <w:rFonts w:ascii="Times New Roman" w:eastAsia="Times New Roman" w:hAnsi="Times New Roman" w:cs="Times New Roman"/>
          <w:sz w:val="24"/>
        </w:rPr>
        <w:t xml:space="preserve"> </w:t>
      </w:r>
    </w:p>
    <w:p w:rsidR="00B064CF" w:rsidRDefault="00E32F70">
      <w:pPr>
        <w:spacing w:after="0" w:line="259" w:lineRule="auto"/>
        <w:ind w:left="0" w:firstLine="0"/>
        <w:jc w:val="left"/>
      </w:pPr>
      <w:r>
        <w:t xml:space="preserve"> </w:t>
      </w:r>
    </w:p>
    <w:p w:rsidR="00B064CF" w:rsidRDefault="00E32F70">
      <w:pPr>
        <w:spacing w:after="0" w:line="259" w:lineRule="auto"/>
        <w:ind w:left="0" w:firstLine="0"/>
        <w:jc w:val="left"/>
      </w:pPr>
      <w:r>
        <w:rPr>
          <w:b/>
        </w:rPr>
        <w:t xml:space="preserve"> </w:t>
      </w:r>
    </w:p>
    <w:p w:rsidR="00B064CF" w:rsidRDefault="00E32F70">
      <w:pPr>
        <w:spacing w:after="4"/>
        <w:ind w:right="68"/>
      </w:pPr>
      <w:r>
        <w:rPr>
          <w:b/>
        </w:rPr>
        <w:t xml:space="preserve">1.- Expediente 7615/2020. Aprobación definitiva del Presupuesto General del ejercicio 2021. </w:t>
      </w:r>
    </w:p>
    <w:p w:rsidR="00B064CF" w:rsidRDefault="00E32F70">
      <w:pPr>
        <w:spacing w:after="0" w:line="259" w:lineRule="auto"/>
        <w:ind w:left="0" w:firstLine="0"/>
        <w:jc w:val="left"/>
      </w:pPr>
      <w:r>
        <w:rPr>
          <w:b/>
        </w:rPr>
        <w:t xml:space="preserve"> </w:t>
      </w:r>
    </w:p>
    <w:p w:rsidR="00B064CF" w:rsidRDefault="00E32F70">
      <w:pPr>
        <w:spacing w:after="4"/>
        <w:ind w:right="68"/>
      </w:pPr>
      <w:r>
        <w:rPr>
          <w:b/>
        </w:rPr>
        <w:t xml:space="preserve">2.- </w:t>
      </w:r>
      <w:r>
        <w:rPr>
          <w:b/>
        </w:rPr>
        <w:t>Expediente 319/2021. Propuesta de la Alcaldesa-Presidenta de fecha 14 de mayo de 2021 al Pleno para la modificación del Plan Anual Normativo 2021.</w:t>
      </w:r>
      <w:r>
        <w:rPr>
          <w:rFonts w:ascii="Times New Roman" w:eastAsia="Times New Roman" w:hAnsi="Times New Roman" w:cs="Times New Roman"/>
          <w:sz w:val="24"/>
        </w:rPr>
        <w:t xml:space="preserve"> </w:t>
      </w:r>
    </w:p>
    <w:p w:rsidR="00B064CF" w:rsidRDefault="00E32F70">
      <w:pPr>
        <w:spacing w:after="0" w:line="259" w:lineRule="auto"/>
        <w:ind w:left="0" w:firstLine="0"/>
        <w:jc w:val="left"/>
      </w:pPr>
      <w:r>
        <w:rPr>
          <w:b/>
        </w:rPr>
        <w:t xml:space="preserve"> </w:t>
      </w:r>
    </w:p>
    <w:p w:rsidR="00B064CF" w:rsidRDefault="00E32F70">
      <w:pPr>
        <w:spacing w:after="4"/>
        <w:ind w:right="223"/>
      </w:pPr>
      <w:r>
        <w:rPr>
          <w:b/>
        </w:rPr>
        <w:t>3.- Expediente 4687/2021. Propuesta del Concejal delegado de Hacienda de fecha 18 de mayo de 2021 para dar</w:t>
      </w:r>
      <w:r>
        <w:rPr>
          <w:b/>
        </w:rPr>
        <w:t xml:space="preserve"> cuenta al Pleno del Informe de Intervención de 18 de mayo de 2021 de Ejecución del Presupuesto, Cumplimiento de los Principios de Estabilidad Presupuestaria, Regla del Gasto y Deuda Pública correspondiente al Primer trimestre del ejercicio 2021.</w:t>
      </w:r>
      <w:r>
        <w:rPr>
          <w:rFonts w:ascii="Times New Roman" w:eastAsia="Times New Roman" w:hAnsi="Times New Roman" w:cs="Times New Roman"/>
          <w:sz w:val="24"/>
        </w:rPr>
        <w:t xml:space="preserve"> </w:t>
      </w:r>
    </w:p>
    <w:p w:rsidR="00B064CF" w:rsidRDefault="00E32F70">
      <w:pPr>
        <w:spacing w:after="0" w:line="259" w:lineRule="auto"/>
        <w:ind w:left="0" w:firstLine="0"/>
        <w:jc w:val="left"/>
      </w:pPr>
      <w:r>
        <w:rPr>
          <w:b/>
        </w:rPr>
        <w:t xml:space="preserve"> </w:t>
      </w:r>
    </w:p>
    <w:p w:rsidR="00B064CF" w:rsidRDefault="00E32F70">
      <w:pPr>
        <w:spacing w:after="4"/>
        <w:ind w:right="224"/>
      </w:pPr>
      <w:r>
        <w:rPr>
          <w:b/>
        </w:rPr>
        <w:t>4.- Ex</w:t>
      </w:r>
      <w:r>
        <w:rPr>
          <w:b/>
        </w:rPr>
        <w:t>pediente 3707/2021. Propuesta del Concejal delegado de Seguridad, Emergencias y Parque Móvil de 11 de mayo de 2021 para reconocer premiar y felicitar a los Agentes de la Policía Local de Candelaria según los informes emitidos por el Subinspector Jefe de la</w:t>
      </w:r>
      <w:r>
        <w:rPr>
          <w:b/>
        </w:rPr>
        <w:t xml:space="preserve"> Policía Local de Candelaria. </w:t>
      </w:r>
    </w:p>
    <w:p w:rsidR="00B064CF" w:rsidRDefault="00E32F7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63974" name="Group 363974"/>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91" name="Rectangle 291"/>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92" name="Rectangle 292"/>
                        <wps:cNvSpPr/>
                        <wps:spPr>
                          <a:xfrm rot="-5399999">
                            <a:off x="-2042224" y="1310508"/>
                            <a:ext cx="4350075"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 de 298 </w:t>
                              </w:r>
                            </w:p>
                          </w:txbxContent>
                        </wps:txbx>
                        <wps:bodyPr horzOverflow="overflow" vert="horz" lIns="0" tIns="0" rIns="0" bIns="0" rtlCol="0">
                          <a:noAutofit/>
                        </wps:bodyPr>
                      </wps:wsp>
                    </wpg:wgp>
                  </a:graphicData>
                </a:graphic>
              </wp:anchor>
            </w:drawing>
          </mc:Choice>
          <mc:Fallback xmlns:a="http://schemas.openxmlformats.org/drawingml/2006/main">
            <w:pict>
              <v:group id="Group 363974" style="width:12.7031pt;height:278.91pt;position:absolute;mso-position-horizontal-relative:page;mso-position-horizontal:absolute;margin-left:682.278pt;mso-position-vertical-relative:page;margin-top:533.01pt;" coordsize="1613,35421">
                <v:rect id="Rectangle 291"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92" style="position:absolute;width:43500;height:1132;left:-20422;top:1310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 de 298 </w:t>
                        </w:r>
                      </w:p>
                    </w:txbxContent>
                  </v:textbox>
                </v:rect>
                <w10:wrap type="square"/>
              </v:group>
            </w:pict>
          </mc:Fallback>
        </mc:AlternateContent>
      </w:r>
      <w:r>
        <w:rPr>
          <w:b/>
        </w:rPr>
        <w:t xml:space="preserve"> </w:t>
      </w:r>
    </w:p>
    <w:p w:rsidR="00B064CF" w:rsidRDefault="00E32F70">
      <w:pPr>
        <w:spacing w:after="4"/>
        <w:ind w:right="226"/>
      </w:pPr>
      <w:r>
        <w:rPr>
          <w:b/>
        </w:rPr>
        <w:t>5.- Expediente 5170/2019. P</w:t>
      </w:r>
      <w:r>
        <w:rPr>
          <w:b/>
        </w:rPr>
        <w:t>ropuesta del Concejal delegado de Seguridad, Emergencias y Parque Móvil de 11 de mayo de 2021 para reconocer premiar y felicitar a los Agentes de la Policía Local de Candelaria según los informes emitidos por el Subinspector Jefe de la Policía Local de Can</w:t>
      </w:r>
      <w:r>
        <w:rPr>
          <w:b/>
        </w:rPr>
        <w:t xml:space="preserve">delaria. </w:t>
      </w:r>
    </w:p>
    <w:p w:rsidR="00B064CF" w:rsidRDefault="00E32F70">
      <w:pPr>
        <w:spacing w:after="0" w:line="259" w:lineRule="auto"/>
        <w:ind w:left="0" w:firstLine="0"/>
        <w:jc w:val="left"/>
      </w:pPr>
      <w:r>
        <w:rPr>
          <w:b/>
        </w:rPr>
        <w:t xml:space="preserve"> </w:t>
      </w:r>
    </w:p>
    <w:p w:rsidR="00B064CF" w:rsidRDefault="00E32F70">
      <w:pPr>
        <w:spacing w:after="4"/>
        <w:ind w:right="226"/>
      </w:pPr>
      <w:r>
        <w:rPr>
          <w:b/>
        </w:rPr>
        <w:t xml:space="preserve">6.- Expediente 3633/2020. Propuesta de la Concejal delegada de Planificación y Gestión Urbanística y Ambiental de 19 de mayo de 2021 al Pleno sobre la aprobación inicial de la Ordenanza de ocupación del dominio público de Candelaria. </w:t>
      </w:r>
    </w:p>
    <w:p w:rsidR="00B064CF" w:rsidRDefault="00E32F70">
      <w:pPr>
        <w:spacing w:after="0" w:line="259" w:lineRule="auto"/>
        <w:ind w:left="0" w:firstLine="0"/>
        <w:jc w:val="left"/>
      </w:pPr>
      <w:r>
        <w:rPr>
          <w:b/>
        </w:rPr>
        <w:t xml:space="preserve"> </w:t>
      </w:r>
    </w:p>
    <w:p w:rsidR="00B064CF" w:rsidRDefault="00E32F70">
      <w:pPr>
        <w:spacing w:after="4"/>
        <w:ind w:right="223"/>
      </w:pPr>
      <w:r>
        <w:rPr>
          <w:b/>
        </w:rPr>
        <w:t>7.- Exp</w:t>
      </w:r>
      <w:r>
        <w:rPr>
          <w:b/>
        </w:rPr>
        <w:t xml:space="preserve">ediente 4405/2021. Propuesta de la Alcaldesa-Presidenta de 13 de mayo de 2021 al Pleno de solicitud por parte del Ayuntamiento de Candelaria de la condición de miembro asociado de la Asociación de Grupo de Acción Rural de Tenerife- GAR TF. </w:t>
      </w:r>
    </w:p>
    <w:p w:rsidR="00B064CF" w:rsidRDefault="00E32F70">
      <w:pPr>
        <w:spacing w:after="0" w:line="259" w:lineRule="auto"/>
        <w:ind w:left="0" w:firstLine="0"/>
        <w:jc w:val="left"/>
      </w:pPr>
      <w:r>
        <w:rPr>
          <w:b/>
        </w:rPr>
        <w:t xml:space="preserve"> </w:t>
      </w:r>
    </w:p>
    <w:p w:rsidR="00B064CF" w:rsidRDefault="00E32F70">
      <w:pPr>
        <w:spacing w:after="4"/>
        <w:ind w:right="228"/>
      </w:pPr>
      <w:r>
        <w:rPr>
          <w:b/>
        </w:rPr>
        <w:t>8.- Expedient</w:t>
      </w:r>
      <w:r>
        <w:rPr>
          <w:b/>
        </w:rPr>
        <w:t xml:space="preserve">e 4744/2021. Moción del Grupo Mixto por RE de 18 de mayo de 2021 para exigir actuaciones de carácter prioritario en la zona BIC "El Camino de Candelaria" en el pueblo de Igueste. </w:t>
      </w:r>
    </w:p>
    <w:p w:rsidR="00B064CF" w:rsidRDefault="00E32F70">
      <w:pPr>
        <w:spacing w:after="0" w:line="259" w:lineRule="auto"/>
        <w:ind w:left="0" w:firstLine="0"/>
        <w:jc w:val="left"/>
      </w:pPr>
      <w:r>
        <w:rPr>
          <w:b/>
        </w:rPr>
        <w:t xml:space="preserve"> </w:t>
      </w:r>
    </w:p>
    <w:p w:rsidR="00B064CF" w:rsidRDefault="00E32F70">
      <w:pPr>
        <w:spacing w:after="4"/>
        <w:ind w:right="68"/>
      </w:pPr>
      <w:r>
        <w:rPr>
          <w:b/>
        </w:rPr>
        <w:t>9.- Expediente 4617/2021. Moción de Grupo Mixto con nº de registro (2021-E</w:t>
      </w:r>
      <w:r>
        <w:rPr>
          <w:b/>
        </w:rPr>
        <w:t xml:space="preserve">-RE-1641) de 14 de mayo de 2021 en defensa del servicio público de correos. </w:t>
      </w:r>
    </w:p>
    <w:p w:rsidR="00B064CF" w:rsidRDefault="00E32F70">
      <w:pPr>
        <w:spacing w:after="0" w:line="259" w:lineRule="auto"/>
        <w:ind w:left="0" w:firstLine="0"/>
        <w:jc w:val="left"/>
      </w:pPr>
      <w:r>
        <w:rPr>
          <w:b/>
        </w:rPr>
        <w:lastRenderedPageBreak/>
        <w:t xml:space="preserve"> </w:t>
      </w:r>
    </w:p>
    <w:p w:rsidR="00B064CF" w:rsidRDefault="00E32F70">
      <w:pPr>
        <w:spacing w:after="4"/>
        <w:ind w:right="68"/>
      </w:pPr>
      <w:r>
        <w:rPr>
          <w:b/>
        </w:rPr>
        <w:t>10.- Urgencias.</w:t>
      </w:r>
      <w:r>
        <w:rPr>
          <w:rFonts w:ascii="Times New Roman" w:eastAsia="Times New Roman" w:hAnsi="Times New Roman" w:cs="Times New Roman"/>
          <w:sz w:val="24"/>
        </w:rPr>
        <w:t xml:space="preserve"> </w:t>
      </w:r>
    </w:p>
    <w:p w:rsidR="00B064CF" w:rsidRDefault="00E32F70">
      <w:pPr>
        <w:spacing w:after="0" w:line="259" w:lineRule="auto"/>
        <w:ind w:left="0" w:firstLine="0"/>
        <w:jc w:val="left"/>
      </w:pPr>
      <w:r>
        <w:rPr>
          <w:b/>
        </w:rPr>
        <w:t xml:space="preserve"> </w:t>
      </w:r>
    </w:p>
    <w:p w:rsidR="00B064CF" w:rsidRDefault="00E32F70">
      <w:pPr>
        <w:spacing w:after="0" w:line="259" w:lineRule="auto"/>
        <w:ind w:left="0" w:firstLine="0"/>
        <w:jc w:val="left"/>
      </w:pPr>
      <w:r>
        <w:rPr>
          <w:b/>
        </w:rPr>
        <w:t xml:space="preserve"> </w:t>
      </w:r>
    </w:p>
    <w:p w:rsidR="00B064CF" w:rsidRDefault="00E32F70">
      <w:pPr>
        <w:spacing w:after="0" w:line="259" w:lineRule="auto"/>
        <w:ind w:left="0" w:firstLine="0"/>
        <w:jc w:val="left"/>
      </w:pPr>
      <w:r>
        <w:rPr>
          <w:b/>
        </w:rPr>
        <w:t xml:space="preserve"> </w:t>
      </w:r>
    </w:p>
    <w:p w:rsidR="00B064CF" w:rsidRDefault="00E32F70">
      <w:pPr>
        <w:spacing w:after="0" w:line="259" w:lineRule="auto"/>
        <w:ind w:left="0" w:firstLine="0"/>
        <w:jc w:val="left"/>
      </w:pPr>
      <w:r>
        <w:t xml:space="preserve"> </w:t>
      </w:r>
    </w:p>
    <w:p w:rsidR="00B064CF" w:rsidRDefault="00E32F70">
      <w:pPr>
        <w:numPr>
          <w:ilvl w:val="0"/>
          <w:numId w:val="1"/>
        </w:numPr>
        <w:spacing w:after="0" w:line="259" w:lineRule="auto"/>
        <w:ind w:hanging="360"/>
        <w:jc w:val="left"/>
      </w:pPr>
      <w:r>
        <w:rPr>
          <w:b/>
          <w:u w:val="single" w:color="000000"/>
        </w:rPr>
        <w:t>Control y Fiscalización de los Órganos de Gobierno</w:t>
      </w:r>
      <w:r>
        <w:t>.</w:t>
      </w:r>
      <w:r>
        <w:rPr>
          <w:rFonts w:ascii="Times New Roman" w:eastAsia="Times New Roman" w:hAnsi="Times New Roman" w:cs="Times New Roman"/>
          <w:sz w:val="24"/>
        </w:rPr>
        <w:t xml:space="preserve"> </w:t>
      </w:r>
    </w:p>
    <w:p w:rsidR="00B064CF" w:rsidRDefault="00E32F70">
      <w:pPr>
        <w:spacing w:after="0" w:line="259" w:lineRule="auto"/>
        <w:ind w:left="0" w:firstLine="0"/>
        <w:jc w:val="left"/>
      </w:pPr>
      <w:r>
        <w:t xml:space="preserve"> </w:t>
      </w:r>
    </w:p>
    <w:p w:rsidR="00B064CF" w:rsidRDefault="00E32F70">
      <w:pPr>
        <w:spacing w:after="0" w:line="259" w:lineRule="auto"/>
        <w:ind w:left="0" w:firstLine="0"/>
        <w:jc w:val="left"/>
      </w:pPr>
      <w:r>
        <w:t xml:space="preserve"> </w:t>
      </w:r>
    </w:p>
    <w:p w:rsidR="00B064CF" w:rsidRDefault="00E32F70">
      <w:pPr>
        <w:spacing w:after="4"/>
        <w:ind w:right="68"/>
      </w:pPr>
      <w:r>
        <w:rPr>
          <w:b/>
        </w:rPr>
        <w:t>11.- Dación de Cuenta de los Decretos de la Alcaldía-Presidencia y de los Concejales delegados.</w:t>
      </w:r>
      <w:r>
        <w:rPr>
          <w:b/>
        </w:rPr>
        <w:t xml:space="preserve"> </w:t>
      </w:r>
    </w:p>
    <w:p w:rsidR="00B064CF" w:rsidRDefault="00E32F70">
      <w:pPr>
        <w:spacing w:after="0" w:line="259" w:lineRule="auto"/>
        <w:ind w:left="0" w:firstLine="0"/>
        <w:jc w:val="left"/>
      </w:pPr>
      <w:r>
        <w:rPr>
          <w:b/>
        </w:rPr>
        <w:t xml:space="preserve"> </w:t>
      </w:r>
    </w:p>
    <w:p w:rsidR="00B064CF" w:rsidRDefault="00E32F70">
      <w:pPr>
        <w:spacing w:after="4"/>
        <w:ind w:right="294"/>
      </w:pPr>
      <w:r>
        <w:rPr>
          <w:b/>
        </w:rPr>
        <w:t>12.- Informe del Interventor en su caso de las resoluciones adoptadas por la Presidenta de la Corporación Local contrarias a los reparos efectuados en cumplimiento de la Ley 27/2013, de 27 de diciembre de racionalización y sostenibilidad de la Administ</w:t>
      </w:r>
      <w:r>
        <w:rPr>
          <w:b/>
        </w:rPr>
        <w:t>ración Local</w:t>
      </w:r>
      <w:r>
        <w:rPr>
          <w:rFonts w:ascii="Times New Roman" w:eastAsia="Times New Roman" w:hAnsi="Times New Roman" w:cs="Times New Roman"/>
          <w:sz w:val="24"/>
        </w:rPr>
        <w:t xml:space="preserve"> </w:t>
      </w:r>
    </w:p>
    <w:p w:rsidR="00B064CF" w:rsidRDefault="00E32F70">
      <w:pPr>
        <w:spacing w:after="0" w:line="259" w:lineRule="auto"/>
        <w:ind w:left="0" w:firstLine="0"/>
        <w:jc w:val="left"/>
      </w:pPr>
      <w:r>
        <w:rPr>
          <w:b/>
        </w:rPr>
        <w:t xml:space="preserve"> </w:t>
      </w:r>
    </w:p>
    <w:p w:rsidR="00B064CF" w:rsidRDefault="00E32F70">
      <w:pPr>
        <w:spacing w:after="0" w:line="259" w:lineRule="auto"/>
        <w:ind w:left="0" w:firstLine="0"/>
        <w:jc w:val="left"/>
      </w:pPr>
      <w:r>
        <w:t xml:space="preserve"> </w:t>
      </w:r>
    </w:p>
    <w:p w:rsidR="00B064CF" w:rsidRDefault="00E32F70">
      <w:pPr>
        <w:numPr>
          <w:ilvl w:val="0"/>
          <w:numId w:val="1"/>
        </w:numPr>
        <w:spacing w:after="0" w:line="259" w:lineRule="auto"/>
        <w:ind w:hanging="360"/>
        <w:jc w:val="left"/>
      </w:pPr>
      <w:r>
        <w:rPr>
          <w:b/>
          <w:u w:val="single" w:color="000000"/>
        </w:rPr>
        <w:t>Ruegos y preguntas</w:t>
      </w:r>
      <w:r>
        <w:rPr>
          <w:b/>
        </w:rPr>
        <w:t>.</w:t>
      </w:r>
      <w:r>
        <w:rPr>
          <w:rFonts w:ascii="Times New Roman" w:eastAsia="Times New Roman" w:hAnsi="Times New Roman" w:cs="Times New Roman"/>
          <w:sz w:val="24"/>
        </w:rPr>
        <w:t xml:space="preserve"> </w:t>
      </w:r>
    </w:p>
    <w:p w:rsidR="00B064CF" w:rsidRDefault="00E32F70">
      <w:pPr>
        <w:spacing w:after="0" w:line="259" w:lineRule="auto"/>
        <w:ind w:left="0" w:firstLine="0"/>
        <w:jc w:val="left"/>
      </w:pPr>
      <w:r>
        <w:t xml:space="preserve"> </w:t>
      </w:r>
    </w:p>
    <w:p w:rsidR="00B064CF" w:rsidRDefault="00E32F70">
      <w:pPr>
        <w:spacing w:after="0" w:line="259" w:lineRule="auto"/>
        <w:ind w:left="0" w:firstLine="0"/>
        <w:jc w:val="left"/>
      </w:pPr>
      <w:r>
        <w:t xml:space="preserve"> </w:t>
      </w:r>
    </w:p>
    <w:p w:rsidR="00B064CF" w:rsidRDefault="00E32F70">
      <w:pPr>
        <w:spacing w:after="4"/>
        <w:ind w:right="68"/>
      </w:pPr>
      <w:r>
        <w:rPr>
          <w:b/>
        </w:rPr>
        <w:t xml:space="preserve">13.- Ruegos y preguntas. </w:t>
      </w:r>
    </w:p>
    <w:p w:rsidR="00B064CF" w:rsidRDefault="00E32F70">
      <w:pPr>
        <w:spacing w:after="0" w:line="259" w:lineRule="auto"/>
        <w:ind w:left="0" w:firstLine="0"/>
        <w:jc w:val="left"/>
      </w:pPr>
      <w:r>
        <w:t xml:space="preserve">     </w:t>
      </w:r>
    </w:p>
    <w:p w:rsidR="00B064CF" w:rsidRDefault="00E32F70">
      <w:pPr>
        <w:spacing w:after="0" w:line="259" w:lineRule="auto"/>
        <w:ind w:left="0" w:firstLine="0"/>
        <w:jc w:val="left"/>
      </w:pPr>
      <w:r>
        <w:t xml:space="preserve"> </w:t>
      </w:r>
    </w:p>
    <w:p w:rsidR="00B064CF" w:rsidRDefault="00E32F70">
      <w:pPr>
        <w:spacing w:after="0" w:line="259" w:lineRule="auto"/>
        <w:ind w:left="0" w:firstLine="0"/>
        <w:jc w:val="left"/>
      </w:pPr>
      <w:r>
        <w:t xml:space="preserve"> </w:t>
      </w:r>
    </w:p>
    <w:p w:rsidR="00B064CF" w:rsidRDefault="00E32F70">
      <w:pPr>
        <w:spacing w:after="0" w:line="259" w:lineRule="auto"/>
        <w:ind w:left="0" w:firstLine="0"/>
        <w:jc w:val="left"/>
      </w:pPr>
      <w:r>
        <w:t xml:space="preserve"> </w:t>
      </w:r>
    </w:p>
    <w:p w:rsidR="00B064CF" w:rsidRDefault="00E32F70">
      <w:pPr>
        <w:spacing w:after="0" w:line="259" w:lineRule="auto"/>
        <w:ind w:left="0" w:firstLine="0"/>
        <w:jc w:val="left"/>
      </w:pPr>
      <w:r>
        <w:t xml:space="preserve"> </w:t>
      </w:r>
    </w:p>
    <w:p w:rsidR="00B064CF" w:rsidRDefault="00E32F70">
      <w:pPr>
        <w:spacing w:after="0" w:line="259" w:lineRule="auto"/>
        <w:ind w:left="0" w:firstLine="0"/>
        <w:jc w:val="left"/>
      </w:pPr>
      <w:r>
        <w:t xml:space="preserve"> </w:t>
      </w:r>
    </w:p>
    <w:p w:rsidR="00B064CF" w:rsidRDefault="00E32F70">
      <w:pPr>
        <w:spacing w:after="0" w:line="259" w:lineRule="auto"/>
        <w:ind w:left="0" w:firstLine="0"/>
        <w:jc w:val="left"/>
      </w:pPr>
      <w:r>
        <w:t xml:space="preserve"> </w:t>
      </w:r>
    </w:p>
    <w:p w:rsidR="00B064CF" w:rsidRDefault="00E32F7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8664935</wp:posOffset>
                </wp:positionH>
                <wp:positionV relativeFrom="page">
                  <wp:posOffset>6769227</wp:posOffset>
                </wp:positionV>
                <wp:extent cx="161330" cy="3542157"/>
                <wp:effectExtent l="0" t="0" r="0" b="0"/>
                <wp:wrapTopAndBottom/>
                <wp:docPr id="363540" name="Group 363540"/>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93" name="Rectangle 393"/>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94" name="Rectangle 394"/>
                        <wps:cNvSpPr/>
                        <wps:spPr>
                          <a:xfrm rot="-5399999">
                            <a:off x="-2042224" y="1310508"/>
                            <a:ext cx="4350075"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3 de 298 </w:t>
                              </w:r>
                            </w:p>
                          </w:txbxContent>
                        </wps:txbx>
                        <wps:bodyPr horzOverflow="overflow" vert="horz" lIns="0" tIns="0" rIns="0" bIns="0" rtlCol="0">
                          <a:noAutofit/>
                        </wps:bodyPr>
                      </wps:wsp>
                    </wpg:wgp>
                  </a:graphicData>
                </a:graphic>
              </wp:anchor>
            </w:drawing>
          </mc:Choice>
          <mc:Fallback xmlns:a="http://schemas.openxmlformats.org/drawingml/2006/main">
            <w:pict>
              <v:group id="Group 363540" style="width:12.7031pt;height:278.91pt;position:absolute;mso-position-horizontal-relative:page;mso-position-horizontal:absolute;margin-left:682.278pt;mso-position-vertical-relative:page;margin-top:533.01pt;" coordsize="1613,35421">
                <v:rect id="Rectangle 393"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94" style="position:absolute;width:43500;height:1132;left:-20422;top:1310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 de 298 </w:t>
                        </w:r>
                      </w:p>
                    </w:txbxContent>
                  </v:textbox>
                </v:rect>
                <w10:wrap type="topAndBottom"/>
              </v:group>
            </w:pict>
          </mc:Fallback>
        </mc:AlternateContent>
      </w:r>
      <w:r>
        <w:t xml:space="preserve"> </w:t>
      </w:r>
    </w:p>
    <w:p w:rsidR="00B064CF" w:rsidRDefault="00E32F70">
      <w:pPr>
        <w:spacing w:after="0" w:line="259" w:lineRule="auto"/>
        <w:ind w:left="0" w:firstLine="0"/>
        <w:jc w:val="left"/>
      </w:pPr>
      <w:r>
        <w:t xml:space="preserve"> </w:t>
      </w:r>
    </w:p>
    <w:p w:rsidR="00B064CF" w:rsidRDefault="00E32F70">
      <w:pPr>
        <w:spacing w:after="0" w:line="259" w:lineRule="auto"/>
        <w:ind w:left="0" w:firstLine="0"/>
        <w:jc w:val="left"/>
      </w:pPr>
      <w:r>
        <w:t xml:space="preserve"> </w:t>
      </w:r>
    </w:p>
    <w:p w:rsidR="00B064CF" w:rsidRDefault="00E32F70">
      <w:pPr>
        <w:spacing w:after="0" w:line="259" w:lineRule="auto"/>
        <w:ind w:left="0" w:firstLine="0"/>
        <w:jc w:val="left"/>
      </w:pPr>
      <w:r>
        <w:t xml:space="preserve"> </w:t>
      </w:r>
    </w:p>
    <w:p w:rsidR="00B064CF" w:rsidRDefault="00E32F70">
      <w:pPr>
        <w:spacing w:after="0" w:line="259" w:lineRule="auto"/>
        <w:ind w:left="0" w:firstLine="0"/>
        <w:jc w:val="left"/>
      </w:pPr>
      <w:r>
        <w:t xml:space="preserve"> </w:t>
      </w:r>
    </w:p>
    <w:p w:rsidR="00B064CF" w:rsidRDefault="00E32F70">
      <w:pPr>
        <w:spacing w:after="0" w:line="259" w:lineRule="auto"/>
        <w:ind w:left="0" w:firstLine="0"/>
        <w:jc w:val="left"/>
      </w:pPr>
      <w:r>
        <w:t xml:space="preserve"> </w:t>
      </w:r>
    </w:p>
    <w:p w:rsidR="00B064CF" w:rsidRDefault="00E32F70">
      <w:pPr>
        <w:spacing w:after="0" w:line="259" w:lineRule="auto"/>
        <w:ind w:left="0" w:firstLine="0"/>
        <w:jc w:val="left"/>
      </w:pPr>
      <w:r>
        <w:t xml:space="preserve"> </w:t>
      </w:r>
    </w:p>
    <w:p w:rsidR="00B064CF" w:rsidRDefault="00E32F70">
      <w:pPr>
        <w:spacing w:after="0" w:line="259" w:lineRule="auto"/>
        <w:ind w:left="0" w:firstLine="0"/>
        <w:jc w:val="left"/>
      </w:pPr>
      <w:r>
        <w:t xml:space="preserve"> </w:t>
      </w:r>
    </w:p>
    <w:p w:rsidR="00B064CF" w:rsidRDefault="00E32F70">
      <w:pPr>
        <w:spacing w:after="0" w:line="259" w:lineRule="auto"/>
        <w:ind w:left="0" w:firstLine="0"/>
        <w:jc w:val="left"/>
      </w:pPr>
      <w:r>
        <w:t xml:space="preserve"> </w:t>
      </w:r>
    </w:p>
    <w:p w:rsidR="00B064CF" w:rsidRDefault="00E32F70">
      <w:pPr>
        <w:spacing w:after="0" w:line="259" w:lineRule="auto"/>
        <w:ind w:left="0" w:firstLine="0"/>
        <w:jc w:val="left"/>
      </w:pPr>
      <w:r>
        <w:t xml:space="preserve"> </w:t>
      </w:r>
    </w:p>
    <w:p w:rsidR="00B064CF" w:rsidRDefault="00E32F70">
      <w:pPr>
        <w:spacing w:after="0" w:line="259" w:lineRule="auto"/>
        <w:ind w:left="0" w:firstLine="0"/>
        <w:jc w:val="left"/>
      </w:pPr>
      <w:r>
        <w:t xml:space="preserve"> </w:t>
      </w:r>
    </w:p>
    <w:p w:rsidR="00B064CF" w:rsidRDefault="00E32F70">
      <w:pPr>
        <w:spacing w:after="0" w:line="259" w:lineRule="auto"/>
        <w:ind w:left="0" w:firstLine="0"/>
        <w:jc w:val="left"/>
      </w:pPr>
      <w:r>
        <w:t xml:space="preserve"> </w:t>
      </w:r>
    </w:p>
    <w:p w:rsidR="00B064CF" w:rsidRDefault="00E32F70">
      <w:pPr>
        <w:spacing w:after="0" w:line="259" w:lineRule="auto"/>
        <w:ind w:left="0" w:firstLine="0"/>
        <w:jc w:val="left"/>
      </w:pPr>
      <w:r>
        <w:t xml:space="preserve"> </w:t>
      </w:r>
    </w:p>
    <w:p w:rsidR="00B064CF" w:rsidRDefault="00E32F70">
      <w:pPr>
        <w:spacing w:after="0" w:line="259" w:lineRule="auto"/>
        <w:ind w:left="0" w:firstLine="0"/>
        <w:jc w:val="left"/>
      </w:pPr>
      <w:r>
        <w:t xml:space="preserve"> </w:t>
      </w:r>
    </w:p>
    <w:p w:rsidR="00B064CF" w:rsidRDefault="00E32F70">
      <w:pPr>
        <w:spacing w:after="0" w:line="259" w:lineRule="auto"/>
        <w:ind w:left="0" w:firstLine="0"/>
        <w:jc w:val="left"/>
      </w:pPr>
      <w:r>
        <w:t xml:space="preserve"> </w:t>
      </w:r>
    </w:p>
    <w:p w:rsidR="00B064CF" w:rsidRDefault="00E32F70">
      <w:pPr>
        <w:spacing w:after="0" w:line="259" w:lineRule="auto"/>
        <w:ind w:left="0" w:firstLine="0"/>
        <w:jc w:val="left"/>
      </w:pPr>
      <w:r>
        <w:t xml:space="preserve"> </w:t>
      </w:r>
    </w:p>
    <w:p w:rsidR="00B064CF" w:rsidRDefault="00E32F70">
      <w:pPr>
        <w:spacing w:after="0" w:line="259" w:lineRule="auto"/>
        <w:ind w:left="0" w:firstLine="0"/>
        <w:jc w:val="left"/>
      </w:pPr>
      <w:r>
        <w:t xml:space="preserve"> </w:t>
      </w:r>
    </w:p>
    <w:p w:rsidR="00B064CF" w:rsidRDefault="00E32F70">
      <w:pPr>
        <w:spacing w:after="0" w:line="259" w:lineRule="auto"/>
        <w:ind w:left="0" w:firstLine="0"/>
        <w:jc w:val="left"/>
      </w:pPr>
      <w:r>
        <w:t xml:space="preserve"> </w:t>
      </w:r>
    </w:p>
    <w:p w:rsidR="00B064CF" w:rsidRDefault="00E32F70">
      <w:pPr>
        <w:spacing w:after="0" w:line="259" w:lineRule="auto"/>
        <w:ind w:left="0" w:firstLine="0"/>
        <w:jc w:val="left"/>
      </w:pPr>
      <w:r>
        <w:t xml:space="preserve"> </w:t>
      </w:r>
    </w:p>
    <w:p w:rsidR="00B064CF" w:rsidRDefault="00E32F70">
      <w:pPr>
        <w:spacing w:after="0" w:line="259" w:lineRule="auto"/>
        <w:ind w:left="0" w:firstLine="0"/>
        <w:jc w:val="left"/>
      </w:pPr>
      <w:r>
        <w:t xml:space="preserve"> </w:t>
      </w:r>
    </w:p>
    <w:p w:rsidR="00B064CF" w:rsidRDefault="00E32F70">
      <w:pPr>
        <w:spacing w:after="0" w:line="259" w:lineRule="auto"/>
        <w:ind w:left="0" w:firstLine="0"/>
        <w:jc w:val="left"/>
      </w:pPr>
      <w:r>
        <w:t xml:space="preserve"> </w:t>
      </w:r>
    </w:p>
    <w:p w:rsidR="00B064CF" w:rsidRDefault="00E32F70">
      <w:pPr>
        <w:spacing w:after="0" w:line="259" w:lineRule="auto"/>
        <w:ind w:left="0" w:firstLine="0"/>
        <w:jc w:val="left"/>
      </w:pPr>
      <w:r>
        <w:t xml:space="preserve"> </w:t>
      </w:r>
    </w:p>
    <w:p w:rsidR="00B064CF" w:rsidRDefault="00E32F70">
      <w:pPr>
        <w:spacing w:after="0" w:line="259" w:lineRule="auto"/>
        <w:ind w:left="0" w:firstLine="0"/>
        <w:jc w:val="left"/>
      </w:pPr>
      <w:r>
        <w:t xml:space="preserve"> </w:t>
      </w:r>
    </w:p>
    <w:p w:rsidR="00B064CF" w:rsidRDefault="00E32F70">
      <w:pPr>
        <w:spacing w:after="0" w:line="259" w:lineRule="auto"/>
        <w:ind w:left="0" w:firstLine="0"/>
        <w:jc w:val="left"/>
      </w:pPr>
      <w:r>
        <w:t xml:space="preserve"> </w:t>
      </w:r>
    </w:p>
    <w:p w:rsidR="00B064CF" w:rsidRDefault="00E32F70">
      <w:pPr>
        <w:spacing w:after="0" w:line="259" w:lineRule="auto"/>
        <w:ind w:left="0" w:firstLine="0"/>
        <w:jc w:val="left"/>
      </w:pPr>
      <w:r>
        <w:t xml:space="preserve"> </w:t>
      </w:r>
    </w:p>
    <w:p w:rsidR="00B064CF" w:rsidRDefault="00E32F70">
      <w:pPr>
        <w:spacing w:after="0" w:line="259" w:lineRule="auto"/>
        <w:ind w:left="355"/>
        <w:jc w:val="left"/>
      </w:pPr>
      <w:r>
        <w:rPr>
          <w:b/>
        </w:rPr>
        <w:t xml:space="preserve">A) </w:t>
      </w:r>
      <w:r>
        <w:rPr>
          <w:b/>
          <w:u w:val="single" w:color="000000"/>
        </w:rPr>
        <w:t>Parte Resolutiva de la Sesión.</w:t>
      </w:r>
      <w:r>
        <w:rPr>
          <w:b/>
        </w:rPr>
        <w:t xml:space="preserve"> </w:t>
      </w:r>
    </w:p>
    <w:p w:rsidR="00B064CF" w:rsidRDefault="00E32F70">
      <w:pPr>
        <w:spacing w:after="0" w:line="259" w:lineRule="auto"/>
        <w:ind w:left="0" w:firstLine="0"/>
        <w:jc w:val="left"/>
      </w:pPr>
      <w:r>
        <w:rPr>
          <w:b/>
        </w:rPr>
        <w:t xml:space="preserve"> </w:t>
      </w:r>
    </w:p>
    <w:p w:rsidR="00B064CF" w:rsidRDefault="00E32F70">
      <w:pPr>
        <w:spacing w:after="0" w:line="259" w:lineRule="auto"/>
        <w:ind w:left="0" w:firstLine="0"/>
        <w:jc w:val="left"/>
      </w:pPr>
      <w:r>
        <w:rPr>
          <w:b/>
        </w:rPr>
        <w:t xml:space="preserve"> </w:t>
      </w:r>
    </w:p>
    <w:p w:rsidR="00B064CF" w:rsidRDefault="00E32F70">
      <w:pPr>
        <w:spacing w:after="0" w:line="259" w:lineRule="auto"/>
        <w:ind w:left="0" w:firstLine="0"/>
        <w:jc w:val="left"/>
      </w:pPr>
      <w:r>
        <w:rPr>
          <w:b/>
        </w:rPr>
        <w:t xml:space="preserve"> </w:t>
      </w:r>
    </w:p>
    <w:p w:rsidR="00B064CF" w:rsidRDefault="00E32F70">
      <w:pPr>
        <w:spacing w:after="4"/>
        <w:ind w:right="68"/>
      </w:pPr>
      <w:r>
        <w:rPr>
          <w:b/>
        </w:rPr>
        <w:t xml:space="preserve">1.- </w:t>
      </w:r>
      <w:r>
        <w:rPr>
          <w:b/>
        </w:rPr>
        <w:t>Expediente 7615/2020. Aprobación definitiva del Presupuesto General del ejercicio 2021.</w:t>
      </w:r>
      <w:r>
        <w:rPr>
          <w:rFonts w:ascii="Times New Roman" w:eastAsia="Times New Roman" w:hAnsi="Times New Roman" w:cs="Times New Roman"/>
          <w:sz w:val="24"/>
        </w:rPr>
        <w:t xml:space="preserve"> </w:t>
      </w:r>
    </w:p>
    <w:p w:rsidR="00B064CF" w:rsidRDefault="00E32F70">
      <w:pPr>
        <w:spacing w:after="0" w:line="259" w:lineRule="auto"/>
        <w:ind w:left="0" w:firstLine="0"/>
        <w:jc w:val="left"/>
      </w:pPr>
      <w:r>
        <w:rPr>
          <w:b/>
        </w:rPr>
        <w:t xml:space="preserve"> </w:t>
      </w:r>
    </w:p>
    <w:p w:rsidR="00B064CF" w:rsidRDefault="00E32F70">
      <w:pPr>
        <w:spacing w:after="0" w:line="259" w:lineRule="auto"/>
        <w:ind w:left="0" w:firstLine="0"/>
        <w:jc w:val="left"/>
      </w:pPr>
      <w:r>
        <w:rPr>
          <w:b/>
        </w:rPr>
        <w:t xml:space="preserve"> </w:t>
      </w:r>
    </w:p>
    <w:p w:rsidR="00B064CF" w:rsidRDefault="00E32F70">
      <w:pPr>
        <w:spacing w:after="4"/>
        <w:ind w:right="223"/>
      </w:pPr>
      <w:r>
        <w:rPr>
          <w:b/>
        </w:rPr>
        <w:t>Consta en el expediente Informe de Intervención emitido por Don Nicolás Rojo Garnica, que desempeña el puesto de trabajo de Interventor Municipal, de 17 de mayo de</w:t>
      </w:r>
      <w:r>
        <w:rPr>
          <w:b/>
        </w:rPr>
        <w:t xml:space="preserve"> 2021, del siguiente tenor literal: </w:t>
      </w:r>
    </w:p>
    <w:p w:rsidR="00B064CF" w:rsidRDefault="00E32F70">
      <w:pPr>
        <w:spacing w:after="141" w:line="259" w:lineRule="auto"/>
        <w:ind w:left="0" w:firstLine="0"/>
        <w:jc w:val="left"/>
      </w:pPr>
      <w:r>
        <w:rPr>
          <w:b/>
        </w:rPr>
        <w:t xml:space="preserve"> </w:t>
      </w:r>
    </w:p>
    <w:p w:rsidR="00B064CF" w:rsidRDefault="00E32F70">
      <w:pPr>
        <w:spacing w:after="0"/>
        <w:ind w:right="786"/>
      </w:pPr>
      <w:r>
        <w:t xml:space="preserve"> “Vistas las reclamaciones, contra el Presupuesto General del ejercicio 2021, aprobada inicialmente en sesión plenaria ordinaria de fecha 15 de abril de 2021, este Interventor INFORMA: </w:t>
      </w:r>
    </w:p>
    <w:p w:rsidR="00B064CF" w:rsidRDefault="00E32F70">
      <w:pPr>
        <w:spacing w:after="0" w:line="259" w:lineRule="auto"/>
        <w:ind w:left="0" w:firstLine="0"/>
        <w:jc w:val="left"/>
      </w:pPr>
      <w:r>
        <w:t xml:space="preserve"> </w:t>
      </w:r>
    </w:p>
    <w:p w:rsidR="00B064CF" w:rsidRDefault="00E32F70">
      <w:pPr>
        <w:spacing w:after="75"/>
        <w:ind w:right="72"/>
      </w:pPr>
      <w:r>
        <w:rPr>
          <w:b/>
        </w:rPr>
        <w:t>Primero</w:t>
      </w:r>
      <w:r>
        <w:t>: Que tienen la consideración de interesados, para reclamar contra el Presupuesto General:</w:t>
      </w:r>
      <w:r>
        <w:rPr>
          <w:rFonts w:ascii="Times New Roman" w:eastAsia="Times New Roman" w:hAnsi="Times New Roman" w:cs="Times New Roman"/>
          <w:sz w:val="24"/>
        </w:rPr>
        <w:t xml:space="preserve"> </w:t>
      </w:r>
    </w:p>
    <w:p w:rsidR="00B064CF" w:rsidRDefault="00E32F70">
      <w:pPr>
        <w:numPr>
          <w:ilvl w:val="0"/>
          <w:numId w:val="2"/>
        </w:numPr>
        <w:spacing w:after="11"/>
        <w:ind w:right="223" w:hanging="137"/>
      </w:pPr>
      <w:r>
        <w:t xml:space="preserve">Los habitantes en el territorio de la respectiva entidad local. </w:t>
      </w:r>
    </w:p>
    <w:p w:rsidR="00B064CF" w:rsidRDefault="00E32F70">
      <w:pPr>
        <w:numPr>
          <w:ilvl w:val="0"/>
          <w:numId w:val="2"/>
        </w:numPr>
        <w:spacing w:after="0"/>
        <w:ind w:right="223" w:hanging="137"/>
      </w:pPr>
      <w:r>
        <w:t xml:space="preserve">Los que resulten directamente afectados, aunque no habiten en el territorio de la entidad local. </w:t>
      </w:r>
    </w:p>
    <w:p w:rsidR="00B064CF" w:rsidRDefault="00E32F70">
      <w:pPr>
        <w:numPr>
          <w:ilvl w:val="0"/>
          <w:numId w:val="2"/>
        </w:numPr>
        <w:spacing w:after="94"/>
        <w:ind w:right="223" w:hanging="137"/>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66769" name="Group 366769"/>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531" name="Rectangle 531"/>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532" name="Rectangle 532"/>
                        <wps:cNvSpPr/>
                        <wps:spPr>
                          <a:xfrm rot="-5399999">
                            <a:off x="-2042224" y="1310508"/>
                            <a:ext cx="4350075"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4 de 298 </w:t>
                              </w:r>
                            </w:p>
                          </w:txbxContent>
                        </wps:txbx>
                        <wps:bodyPr horzOverflow="overflow" vert="horz" lIns="0" tIns="0" rIns="0" bIns="0" rtlCol="0">
                          <a:noAutofit/>
                        </wps:bodyPr>
                      </wps:wsp>
                    </wpg:wgp>
                  </a:graphicData>
                </a:graphic>
              </wp:anchor>
            </w:drawing>
          </mc:Choice>
          <mc:Fallback xmlns:a="http://schemas.openxmlformats.org/drawingml/2006/main">
            <w:pict>
              <v:group id="Group 366769" style="width:12.7031pt;height:278.91pt;position:absolute;mso-position-horizontal-relative:page;mso-position-horizontal:absolute;margin-left:682.278pt;mso-position-vertical-relative:page;margin-top:533.01pt;" coordsize="1613,35421">
                <v:rect id="Rectangle 531"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532" style="position:absolute;width:43500;height:1132;left:-20422;top:1310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 de 298 </w:t>
                        </w:r>
                      </w:p>
                    </w:txbxContent>
                  </v:textbox>
                </v:rect>
                <w10:wrap type="square"/>
              </v:group>
            </w:pict>
          </mc:Fallback>
        </mc:AlternateContent>
      </w:r>
      <w:r>
        <w:t>Los colegios oficiales, cámaras oficiales, sindicatos, asocia</w:t>
      </w:r>
      <w:r>
        <w:t>ciones y demás entidades legalmente constituidas para velar por intereses profesionales o económicos y vecinales, cuando actúen en defensa de los que les son propios.</w:t>
      </w:r>
      <w:r>
        <w:rPr>
          <w:rFonts w:ascii="Times New Roman" w:eastAsia="Times New Roman" w:hAnsi="Times New Roman" w:cs="Times New Roman"/>
          <w:sz w:val="24"/>
        </w:rPr>
        <w:t xml:space="preserve"> </w:t>
      </w:r>
    </w:p>
    <w:p w:rsidR="00B064CF" w:rsidRDefault="00E32F70">
      <w:pPr>
        <w:spacing w:after="74"/>
        <w:ind w:right="788"/>
      </w:pPr>
      <w:r>
        <w:rPr>
          <w:b/>
        </w:rPr>
        <w:t>Segundo</w:t>
      </w:r>
      <w:r>
        <w:t>: Que únicamente podrán entablarse reclamaciones contra el presupuesto, de confor</w:t>
      </w:r>
      <w:r>
        <w:t>midad con el artículo 170.2 del Real Decreto Legislativo 2/2004, de 5 de marzo, por el que se aprueba el Texto Refundido de la Ley reguladora de las Haciendas Locales:</w:t>
      </w:r>
      <w:r>
        <w:rPr>
          <w:rFonts w:ascii="Times New Roman" w:eastAsia="Times New Roman" w:hAnsi="Times New Roman" w:cs="Times New Roman"/>
          <w:sz w:val="24"/>
        </w:rPr>
        <w:t xml:space="preserve"> </w:t>
      </w:r>
    </w:p>
    <w:p w:rsidR="00B064CF" w:rsidRDefault="00E32F70">
      <w:pPr>
        <w:spacing w:after="0"/>
        <w:ind w:right="322"/>
      </w:pPr>
      <w:r>
        <w:t xml:space="preserve">1.- Por no haberse ajustado su elaboración y aprobación a los trámites establecidos en </w:t>
      </w:r>
      <w:r>
        <w:t xml:space="preserve">esta Ley. </w:t>
      </w:r>
    </w:p>
    <w:p w:rsidR="00B064CF" w:rsidRDefault="00E32F70">
      <w:pPr>
        <w:spacing w:after="0"/>
        <w:ind w:right="218"/>
      </w:pPr>
      <w:r>
        <w:t xml:space="preserve">2.- Por omitir el crédito necesario para el cumplimiento de obligaciones exigibles a la entidad local, en virtud de precepto legal o de cualquier otro título legítimo. </w:t>
      </w:r>
    </w:p>
    <w:p w:rsidR="00B064CF" w:rsidRDefault="00E32F70">
      <w:pPr>
        <w:spacing w:after="114"/>
        <w:ind w:right="612"/>
      </w:pPr>
      <w:r>
        <w:t>3.- Por ser de manifiesta insuficiencia los ingresos con relación a los gast</w:t>
      </w:r>
      <w:r>
        <w:t xml:space="preserve">os presupuestados o bien de estos respecto a las necesidades para las que esté previsto. </w:t>
      </w:r>
    </w:p>
    <w:p w:rsidR="00B064CF" w:rsidRDefault="00E32F70">
      <w:pPr>
        <w:spacing w:after="90"/>
        <w:ind w:right="789"/>
      </w:pPr>
      <w:r>
        <w:t>Debe hacerse hincapié en que los motivos de reclamación están tasados. Es decir, la reclamación puede presentarse exclusivamente por alguno de ellos (lo deja claro el</w:t>
      </w:r>
      <w:r>
        <w:t xml:space="preserve"> artículo considerado al señalar que “</w:t>
      </w:r>
      <w:r>
        <w:rPr>
          <w:i/>
        </w:rPr>
        <w:t>Únicamente podrán entablarse reclamaciones contra el presupuesto (…)</w:t>
      </w:r>
      <w:r>
        <w:t>”).</w:t>
      </w:r>
      <w:r>
        <w:rPr>
          <w:rFonts w:ascii="Times New Roman" w:eastAsia="Times New Roman" w:hAnsi="Times New Roman" w:cs="Times New Roman"/>
          <w:sz w:val="24"/>
        </w:rPr>
        <w:t xml:space="preserve"> </w:t>
      </w:r>
    </w:p>
    <w:p w:rsidR="00B064CF" w:rsidRDefault="00E32F70">
      <w:pPr>
        <w:spacing w:after="109"/>
        <w:ind w:right="72"/>
      </w:pPr>
      <w:r>
        <w:t xml:space="preserve">Desarrollando cada una de las citadas reclamaciones: </w:t>
      </w:r>
    </w:p>
    <w:p w:rsidR="00B064CF" w:rsidRDefault="00E32F70">
      <w:pPr>
        <w:spacing w:after="4"/>
      </w:pPr>
      <w:r>
        <w:rPr>
          <w:b/>
        </w:rPr>
        <w:t xml:space="preserve">a.- </w:t>
      </w:r>
      <w:r>
        <w:rPr>
          <w:b/>
        </w:rPr>
        <w:t>Por no haberse ajustado su elaboración y aprobación a los trámites establecidos  en esta Ley.</w:t>
      </w:r>
      <w:r>
        <w:t xml:space="preserve"> </w:t>
      </w:r>
    </w:p>
    <w:p w:rsidR="00B064CF" w:rsidRDefault="00E32F70">
      <w:pPr>
        <w:spacing w:after="0" w:line="259" w:lineRule="auto"/>
        <w:ind w:left="0" w:firstLine="0"/>
        <w:jc w:val="left"/>
      </w:pPr>
      <w:r>
        <w:rPr>
          <w:rFonts w:ascii="Times New Roman" w:eastAsia="Times New Roman" w:hAnsi="Times New Roman" w:cs="Times New Roman"/>
          <w:sz w:val="24"/>
        </w:rPr>
        <w:t xml:space="preserve"> </w:t>
      </w:r>
    </w:p>
    <w:p w:rsidR="00B064CF" w:rsidRDefault="00E32F70">
      <w:pPr>
        <w:spacing w:after="0"/>
        <w:ind w:right="789"/>
      </w:pPr>
      <w:r>
        <w:t>Deberá entenderse en este punto la omisión de alguno de los documentos (que pueden ser los propios Presupuestos o de los estados de previsión de ingresos y gas</w:t>
      </w:r>
      <w:r>
        <w:t>tos de las Entidades Públicas Empresariales y Sociedades Mercantiles –artículo 164 TRLRHL-, los Anexos que deben acompañar al Presupuesto de la Entidad Local –artículo 168 TRLRHL- y los Anexos que deberán incorporarse al Presupuesto General –artículo 167 T</w:t>
      </w:r>
      <w:r>
        <w:t xml:space="preserve">RLRHL-.). </w:t>
      </w:r>
    </w:p>
    <w:p w:rsidR="00B064CF" w:rsidRDefault="00E32F70">
      <w:pPr>
        <w:spacing w:after="0" w:line="259" w:lineRule="auto"/>
        <w:ind w:left="0" w:firstLine="0"/>
        <w:jc w:val="left"/>
      </w:pPr>
      <w:r>
        <w:t xml:space="preserve"> </w:t>
      </w:r>
    </w:p>
    <w:p w:rsidR="00B064CF" w:rsidRDefault="00E32F70">
      <w:pPr>
        <w:spacing w:after="11"/>
        <w:ind w:right="72"/>
      </w:pPr>
      <w:r>
        <w:t xml:space="preserve">La jurisprudencia del Tribunal Supremo ofrece dos consideraciones relevantes: </w:t>
      </w:r>
    </w:p>
    <w:p w:rsidR="00B064CF" w:rsidRDefault="00E32F70">
      <w:pPr>
        <w:spacing w:after="0" w:line="259" w:lineRule="auto"/>
        <w:ind w:left="0" w:firstLine="0"/>
        <w:jc w:val="left"/>
      </w:pPr>
      <w:r>
        <w:t xml:space="preserve"> </w:t>
      </w:r>
    </w:p>
    <w:p w:rsidR="00B064CF" w:rsidRDefault="00E32F70">
      <w:pPr>
        <w:numPr>
          <w:ilvl w:val="0"/>
          <w:numId w:val="3"/>
        </w:numPr>
        <w:spacing w:after="0"/>
        <w:ind w:right="788"/>
      </w:pPr>
      <w:r>
        <w:t>La omisión de documentación e informes debe ponerse en relación con la fase de tramitación del Presupuesto. En su fase de aprobación inicial tendrá la consideraci</w:t>
      </w:r>
      <w:r>
        <w:t>ón de irregularidad no invalidante, siempre que las omisiones observadas sean subsanadas entre el momento de la aprobación inicial y la definitiva, y de este modo los Concejales vean cumplido su derecho a obtener la información exigida por la Ley (STS de 4</w:t>
      </w:r>
      <w:r>
        <w:t xml:space="preserve"> de marzo de 1992 –RJ 1992/2132-) y tendrá la naturaleza de vicio de legalidad que determinará la anulación del Presupuesto cuando la omisión se produzca en la aprobación definitiva (STS de 13 de mayo de 1998 –RJ 1998/3674-). </w:t>
      </w:r>
    </w:p>
    <w:p w:rsidR="00B064CF" w:rsidRDefault="00E32F70">
      <w:pPr>
        <w:spacing w:after="0" w:line="259" w:lineRule="auto"/>
        <w:ind w:left="0" w:firstLine="0"/>
        <w:jc w:val="left"/>
      </w:pPr>
      <w:r>
        <w:t xml:space="preserve"> </w:t>
      </w:r>
    </w:p>
    <w:p w:rsidR="00B064CF" w:rsidRDefault="00E32F70">
      <w:pPr>
        <w:numPr>
          <w:ilvl w:val="0"/>
          <w:numId w:val="3"/>
        </w:numPr>
        <w:spacing w:after="0"/>
        <w:ind w:right="788"/>
      </w:pPr>
      <w:r>
        <w:t>Debe tenerse en cuenta, adi</w:t>
      </w:r>
      <w:r>
        <w:t xml:space="preserve">cionalmente, la relevancia de la documentación omitida. En este sentido, el Tribunal Supremo, aplicando la doctrina “favor acti”, entiende que no cualquier omisión debe ser sancionada con la anulación del Presupuesto. Es motivo de anulación la omisión del </w:t>
      </w:r>
      <w:r>
        <w:t xml:space="preserve">informe del Interventor (STS de 13 de mayo de 1998 –RJ 1998/3874-), pero no la existencia de irregularidades en el Anexo de Inversiones o de Personal (STS de 22 de mayo de 2000 –RJ 2000/4314-). </w:t>
      </w:r>
    </w:p>
    <w:p w:rsidR="00B064CF" w:rsidRDefault="00E32F70">
      <w:pPr>
        <w:spacing w:after="0" w:line="259" w:lineRule="auto"/>
        <w:ind w:left="0" w:firstLine="0"/>
        <w:jc w:val="left"/>
      </w:pPr>
      <w:r>
        <w:t xml:space="preserve"> </w:t>
      </w:r>
    </w:p>
    <w:p w:rsidR="00B064CF" w:rsidRDefault="00E32F70">
      <w:pPr>
        <w:spacing w:after="0" w:line="259" w:lineRule="auto"/>
        <w:ind w:left="0" w:firstLine="0"/>
        <w:jc w:val="left"/>
      </w:pPr>
      <w:r>
        <w:t xml:space="preserve"> </w:t>
      </w:r>
    </w:p>
    <w:p w:rsidR="00B064CF" w:rsidRDefault="00E32F70">
      <w:pPr>
        <w:spacing w:after="4"/>
        <w:ind w:right="68"/>
      </w:pPr>
      <w:r>
        <w:rPr>
          <w:b/>
        </w:rPr>
        <w:t xml:space="preserve">b.- Por omitir el crédito necesario para el cumplimiento </w:t>
      </w:r>
      <w:r>
        <w:rPr>
          <w:b/>
        </w:rPr>
        <w:t xml:space="preserve">de obligaciones atribuibles a la Entidad. </w:t>
      </w:r>
    </w:p>
    <w:p w:rsidR="00B064CF" w:rsidRDefault="00E32F70">
      <w:pPr>
        <w:spacing w:after="0" w:line="259" w:lineRule="auto"/>
        <w:ind w:left="0" w:firstLine="0"/>
        <w:jc w:val="left"/>
      </w:pPr>
      <w:r>
        <w:t xml:space="preserve"> </w:t>
      </w:r>
    </w:p>
    <w:p w:rsidR="00B064CF" w:rsidRDefault="00E32F70">
      <w:pPr>
        <w:spacing w:after="0"/>
        <w:ind w:left="0" w:right="790" w:firstLine="708"/>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67002" name="Group 367002"/>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658" name="Rectangle 658"/>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659" name="Rectangle 659"/>
                        <wps:cNvSpPr/>
                        <wps:spPr>
                          <a:xfrm rot="-5399999">
                            <a:off x="-2042224" y="1310508"/>
                            <a:ext cx="4350075"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5 de 298 </w:t>
                              </w:r>
                            </w:p>
                          </w:txbxContent>
                        </wps:txbx>
                        <wps:bodyPr horzOverflow="overflow" vert="horz" lIns="0" tIns="0" rIns="0" bIns="0" rtlCol="0">
                          <a:noAutofit/>
                        </wps:bodyPr>
                      </wps:wsp>
                    </wpg:wgp>
                  </a:graphicData>
                </a:graphic>
              </wp:anchor>
            </w:drawing>
          </mc:Choice>
          <mc:Fallback xmlns:a="http://schemas.openxmlformats.org/drawingml/2006/main">
            <w:pict>
              <v:group id="Group 367002" style="width:12.7031pt;height:278.91pt;position:absolute;mso-position-horizontal-relative:page;mso-position-horizontal:absolute;margin-left:682.278pt;mso-position-vertical-relative:page;margin-top:533.01pt;" coordsize="1613,35421">
                <v:rect id="Rectangle 658"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659" style="position:absolute;width:43500;height:1132;left:-20422;top:1310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 de 298 </w:t>
                        </w:r>
                      </w:p>
                    </w:txbxContent>
                  </v:textbox>
                </v:rect>
                <w10:wrap type="square"/>
              </v:group>
            </w:pict>
          </mc:Fallback>
        </mc:AlternateContent>
      </w:r>
      <w:r>
        <w:t xml:space="preserve">En caso de ser cierta, obligaría a practicar la correspondiente rectificación, bien a costa de reducir las consignaciones de gastos voluntarios, bien mediante la búsqueda de nuevas fuentes de ingresos. </w:t>
      </w:r>
    </w:p>
    <w:p w:rsidR="00B064CF" w:rsidRDefault="00E32F70">
      <w:pPr>
        <w:spacing w:after="0" w:line="259" w:lineRule="auto"/>
        <w:ind w:left="0" w:firstLine="0"/>
        <w:jc w:val="left"/>
      </w:pPr>
      <w:r>
        <w:t xml:space="preserve"> </w:t>
      </w:r>
    </w:p>
    <w:p w:rsidR="00B064CF" w:rsidRDefault="00E32F70">
      <w:pPr>
        <w:spacing w:after="0"/>
        <w:ind w:right="791"/>
      </w:pPr>
      <w:r>
        <w:t xml:space="preserve"> Conforme el artículo 173 del TRLRHL, señala que la</w:t>
      </w:r>
      <w:r>
        <w:t xml:space="preserve">s obligaciones serán exigibles cuando resulten de la ejecución del presupuesto y las derivadas de la ejecución de sentencia judicial firme. La exigibilidad de las obligaciones es diferente del nacimiento de las mismas. Las obligaciones nacen de la Ley, de </w:t>
      </w:r>
      <w:r>
        <w:t xml:space="preserve">los negocios jurídicos, de los actos o hechos que, según la Ley las generan </w:t>
      </w:r>
    </w:p>
    <w:p w:rsidR="00B064CF" w:rsidRDefault="00E32F70">
      <w:pPr>
        <w:spacing w:after="0" w:line="259" w:lineRule="auto"/>
        <w:ind w:left="0" w:firstLine="0"/>
        <w:jc w:val="left"/>
      </w:pPr>
      <w:r>
        <w:t xml:space="preserve"> </w:t>
      </w:r>
    </w:p>
    <w:p w:rsidR="00B064CF" w:rsidRDefault="00E32F70">
      <w:pPr>
        <w:spacing w:after="0"/>
        <w:ind w:left="0" w:right="789" w:firstLine="708"/>
      </w:pPr>
      <w:r>
        <w:t>En este supuesto resulta relevante considerar los supuestos en los que la falta de inclusión del crédito necesario se produce como consecuencia de la existencia de una deuda abu</w:t>
      </w:r>
      <w:r>
        <w:t>ltada o de una situación financiera precaria (Remanente de Tesorería negativo). La jurisprudencia considera en este punto la necesidad de que el Ayuntamiento siga prestando los servicios. En este sentido, y aunque el Tribunal Supremo no desciende al detall</w:t>
      </w:r>
      <w:r>
        <w:t xml:space="preserve">e sobre esta cuestión, se entiende que los servicios que el Ayuntamiento debe prestar son los obligatorios establecidos en el artículo 26 de la Ley 7/1985 de 2 de abril, reguladora de las bases del Régimen Local (LBRL).  </w:t>
      </w:r>
    </w:p>
    <w:p w:rsidR="00B064CF" w:rsidRDefault="00E32F70">
      <w:pPr>
        <w:spacing w:after="0" w:line="259" w:lineRule="auto"/>
        <w:ind w:left="0" w:firstLine="0"/>
        <w:jc w:val="left"/>
      </w:pPr>
      <w:r>
        <w:t xml:space="preserve"> </w:t>
      </w:r>
    </w:p>
    <w:p w:rsidR="00B064CF" w:rsidRDefault="00E32F70">
      <w:pPr>
        <w:spacing w:after="0" w:line="259" w:lineRule="auto"/>
        <w:ind w:left="0" w:firstLine="0"/>
        <w:jc w:val="left"/>
      </w:pPr>
      <w:r>
        <w:t xml:space="preserve"> </w:t>
      </w:r>
    </w:p>
    <w:p w:rsidR="00B064CF" w:rsidRDefault="00E32F70">
      <w:pPr>
        <w:spacing w:after="4"/>
        <w:ind w:right="68"/>
      </w:pPr>
      <w:r>
        <w:rPr>
          <w:b/>
        </w:rPr>
        <w:t>c.- Por ser de manifiesta insu</w:t>
      </w:r>
      <w:r>
        <w:rPr>
          <w:b/>
        </w:rPr>
        <w:t xml:space="preserve">ficiencia los ingresos con relación a los gastos presupuestados o bien de estos respecto a las necesidades para las que esté previsto. </w:t>
      </w:r>
    </w:p>
    <w:p w:rsidR="00B064CF" w:rsidRDefault="00E32F70">
      <w:pPr>
        <w:spacing w:after="0" w:line="259" w:lineRule="auto"/>
        <w:ind w:left="0" w:firstLine="0"/>
        <w:jc w:val="left"/>
      </w:pPr>
      <w:r>
        <w:t xml:space="preserve"> </w:t>
      </w:r>
    </w:p>
    <w:p w:rsidR="00B064CF" w:rsidRDefault="00E32F70">
      <w:pPr>
        <w:spacing w:after="0"/>
        <w:ind w:right="72"/>
      </w:pPr>
      <w:r>
        <w:t xml:space="preserve">          Dos son los supuestos que aquí se tratan: el de la nivelación presupuestaria y el de la insuficiencia de los</w:t>
      </w:r>
      <w:r>
        <w:t xml:space="preserve"> créditos para atender las necesidades públicas del territorio de la entidad.</w:t>
      </w:r>
      <w:r>
        <w:rPr>
          <w:rFonts w:ascii="Times New Roman" w:eastAsia="Times New Roman" w:hAnsi="Times New Roman" w:cs="Times New Roman"/>
          <w:sz w:val="24"/>
        </w:rPr>
        <w:t xml:space="preserve"> </w:t>
      </w:r>
    </w:p>
    <w:p w:rsidR="00B064CF" w:rsidRDefault="00E32F70">
      <w:pPr>
        <w:spacing w:after="0" w:line="259" w:lineRule="auto"/>
        <w:ind w:left="0" w:firstLine="0"/>
        <w:jc w:val="left"/>
      </w:pPr>
      <w:r>
        <w:t xml:space="preserve"> </w:t>
      </w:r>
    </w:p>
    <w:p w:rsidR="00B064CF" w:rsidRDefault="00E32F70">
      <w:pPr>
        <w:spacing w:after="0"/>
        <w:ind w:right="787"/>
      </w:pPr>
      <w:r>
        <w:t xml:space="preserve"> La suficiencia de los ingresos se justifica en el informe económico financiero que se une al presupuesto, en la que se exponen las bases utilizadas para la evaluación de los </w:t>
      </w:r>
      <w:r>
        <w:t xml:space="preserve">ingresos y la efectiva nivelación presupuestaria. </w:t>
      </w:r>
    </w:p>
    <w:p w:rsidR="00B064CF" w:rsidRDefault="00E32F70">
      <w:pPr>
        <w:spacing w:after="0" w:line="259" w:lineRule="auto"/>
        <w:ind w:left="0" w:firstLine="0"/>
        <w:jc w:val="left"/>
      </w:pPr>
      <w:r>
        <w:t xml:space="preserve"> </w:t>
      </w:r>
    </w:p>
    <w:p w:rsidR="00B064CF" w:rsidRDefault="00E32F70">
      <w:pPr>
        <w:spacing w:after="0" w:line="246" w:lineRule="auto"/>
        <w:ind w:left="0" w:right="488" w:firstLine="698"/>
        <w:jc w:val="left"/>
      </w:pPr>
      <w:r>
        <w:t>Dentro de este apartado deben considerarse los supuestos en los que, pese a que la nivelación presupuestaria nominalmente existe (el Presupuesto se aprueba sin déficit inicial, de acuerdo con lo que dete</w:t>
      </w:r>
      <w:r>
        <w:t xml:space="preserve">rmina el TRLRHL) existe un inadecuado cálculo de los ingresos o una insuficiencia dotación de los créditos para gastos necesarios.  </w:t>
      </w:r>
    </w:p>
    <w:p w:rsidR="00B064CF" w:rsidRDefault="00E32F70">
      <w:pPr>
        <w:spacing w:after="0" w:line="259" w:lineRule="auto"/>
        <w:ind w:left="0" w:firstLine="0"/>
        <w:jc w:val="left"/>
      </w:pPr>
      <w:r>
        <w:t xml:space="preserve"> </w:t>
      </w:r>
    </w:p>
    <w:p w:rsidR="00B064CF" w:rsidRDefault="00E32F70">
      <w:pPr>
        <w:spacing w:after="0"/>
        <w:ind w:left="0" w:right="786" w:firstLine="708"/>
      </w:pPr>
      <w:r>
        <w:t>En general, los Tribunales Superiores de Justicia se han manifestado reacios a entrar en estas cuestiones. Es paradigmática, en este sentido, la Sentencia del Tribunal Superior de Justicia de la Comunidad Valenciana de 30 de junio de 2010 (JUR 2010/397851)</w:t>
      </w:r>
      <w:r>
        <w:t xml:space="preserve"> que elude considerar en profundidad la alegación formulada de que los ingresos por la actividad urbanística del Municipio habían sido sobrevalorados, señalando que “</w:t>
      </w:r>
      <w:r>
        <w:rPr>
          <w:i/>
        </w:rPr>
        <w:t xml:space="preserve">por ser de manifiesta insuficiencia los ingresos con relación a los gastos presupuestados </w:t>
      </w:r>
      <w:r>
        <w:rPr>
          <w:i/>
        </w:rPr>
        <w:t>o bien de estos respecto a las necesidades para las que esté previsto) los desastrosos resultados de los ingresos previstos no constituyeron en ningún momento "déficit inicial" en la ya referida atmosfera social de imparable progreso y de confianza en un e</w:t>
      </w:r>
      <w:r>
        <w:rPr>
          <w:i/>
        </w:rPr>
        <w:t>fecto multiplicador que se venía produciendo en los últimos años</w:t>
      </w:r>
      <w:r>
        <w:t>”.</w:t>
      </w:r>
      <w:r>
        <w:rPr>
          <w:rFonts w:ascii="Times New Roman" w:eastAsia="Times New Roman" w:hAnsi="Times New Roman" w:cs="Times New Roman"/>
          <w:sz w:val="24"/>
        </w:rPr>
        <w:t xml:space="preserve"> </w:t>
      </w:r>
    </w:p>
    <w:p w:rsidR="00B064CF" w:rsidRDefault="00E32F70">
      <w:pPr>
        <w:spacing w:after="0" w:line="259" w:lineRule="auto"/>
        <w:ind w:left="708" w:firstLine="0"/>
        <w:jc w:val="left"/>
      </w:pPr>
      <w:r>
        <w:t xml:space="preserve"> </w:t>
      </w:r>
    </w:p>
    <w:p w:rsidR="00B064CF" w:rsidRDefault="00E32F70">
      <w:pPr>
        <w:spacing w:after="0" w:line="259" w:lineRule="auto"/>
        <w:ind w:left="0" w:firstLine="0"/>
        <w:jc w:val="left"/>
      </w:pPr>
      <w:r>
        <w:t xml:space="preserve"> </w:t>
      </w:r>
    </w:p>
    <w:p w:rsidR="00B064CF" w:rsidRDefault="00E32F70">
      <w:pPr>
        <w:spacing w:after="0"/>
        <w:ind w:right="793"/>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67793" name="Group 367793"/>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764" name="Rectangle 764"/>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765" name="Rectangle 765"/>
                        <wps:cNvSpPr/>
                        <wps:spPr>
                          <a:xfrm rot="-5399999">
                            <a:off x="-2042224" y="1310508"/>
                            <a:ext cx="4350075"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6 de 298 </w:t>
                              </w:r>
                            </w:p>
                          </w:txbxContent>
                        </wps:txbx>
                        <wps:bodyPr horzOverflow="overflow" vert="horz" lIns="0" tIns="0" rIns="0" bIns="0" rtlCol="0">
                          <a:noAutofit/>
                        </wps:bodyPr>
                      </wps:wsp>
                    </wpg:wgp>
                  </a:graphicData>
                </a:graphic>
              </wp:anchor>
            </w:drawing>
          </mc:Choice>
          <mc:Fallback xmlns:a="http://schemas.openxmlformats.org/drawingml/2006/main">
            <w:pict>
              <v:group id="Group 367793" style="width:12.7031pt;height:278.91pt;position:absolute;mso-position-horizontal-relative:page;mso-position-horizontal:absolute;margin-left:682.278pt;mso-position-vertical-relative:page;margin-top:533.01pt;" coordsize="1613,35421">
                <v:rect id="Rectangle 764"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765" style="position:absolute;width:43500;height:1132;left:-20422;top:1310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 de 298 </w:t>
                        </w:r>
                      </w:p>
                    </w:txbxContent>
                  </v:textbox>
                </v:rect>
                <w10:wrap type="square"/>
              </v:group>
            </w:pict>
          </mc:Fallback>
        </mc:AlternateContent>
      </w:r>
      <w:r>
        <w:t xml:space="preserve"> En cuanto a la suficiencia de los gastos para atender las necesidades previstas, también se acredita en el informe económico financiero mencionado, que ha de just</w:t>
      </w:r>
      <w:r>
        <w:t xml:space="preserve">ificar la suficiencia de los créditos para el cumplimiento de las obligaciones exigibles y los gastos de funcionamiento de los servicios. </w:t>
      </w:r>
    </w:p>
    <w:p w:rsidR="00B064CF" w:rsidRDefault="00E32F70">
      <w:pPr>
        <w:spacing w:after="0" w:line="259" w:lineRule="auto"/>
        <w:ind w:left="0" w:firstLine="0"/>
        <w:jc w:val="left"/>
      </w:pPr>
      <w:r>
        <w:t xml:space="preserve"> </w:t>
      </w:r>
    </w:p>
    <w:p w:rsidR="00B064CF" w:rsidRDefault="00E32F70">
      <w:pPr>
        <w:spacing w:after="0"/>
        <w:ind w:left="0" w:right="788" w:firstLine="708"/>
      </w:pPr>
      <w:r>
        <w:t>En este aspecto, se debe prestar especial atención a los compromisos de gastos plurianuales, de la plantilla de per</w:t>
      </w:r>
      <w:r>
        <w:t>sonal, de la prestación de los servicios mínimos previstos en el artículo 26 de la LRBRL y de otros gastos fijos y corrientes necesarios para el funcionamiento normal de la entidad local, de forma que el crédito presupuestado sea suficiente para atender ta</w:t>
      </w:r>
      <w:r>
        <w:t xml:space="preserve">les compromisos. </w:t>
      </w:r>
    </w:p>
    <w:p w:rsidR="00B064CF" w:rsidRDefault="00E32F70">
      <w:pPr>
        <w:spacing w:after="0" w:line="259" w:lineRule="auto"/>
        <w:ind w:left="0" w:firstLine="0"/>
        <w:jc w:val="left"/>
      </w:pPr>
      <w:r>
        <w:t xml:space="preserve"> </w:t>
      </w:r>
    </w:p>
    <w:p w:rsidR="00B064CF" w:rsidRDefault="00E32F70">
      <w:pPr>
        <w:spacing w:after="0"/>
        <w:ind w:right="789"/>
      </w:pPr>
      <w:r>
        <w:t xml:space="preserve"> Conforme la STSJ de Baleares, de 1 de diciembre de 2000, para que prospere la reclamación, tanto la insuficiencia de los ingresos como la de los créditos, ha de ser “manifiesta”, debe acreditarse mediante informe pericial u otro medio </w:t>
      </w:r>
      <w:r>
        <w:t xml:space="preserve">de pruebas suficiente, no bastando que sea posible. </w:t>
      </w:r>
    </w:p>
    <w:p w:rsidR="00B064CF" w:rsidRDefault="00E32F70">
      <w:pPr>
        <w:spacing w:after="0" w:line="259" w:lineRule="auto"/>
        <w:ind w:left="0" w:firstLine="0"/>
        <w:jc w:val="left"/>
      </w:pPr>
      <w:r>
        <w:t xml:space="preserve"> </w:t>
      </w:r>
    </w:p>
    <w:p w:rsidR="00B064CF" w:rsidRDefault="00E32F70">
      <w:pPr>
        <w:spacing w:after="0"/>
        <w:ind w:right="788"/>
      </w:pPr>
      <w:r>
        <w:rPr>
          <w:b/>
        </w:rPr>
        <w:t>Tercero</w:t>
      </w:r>
      <w:r>
        <w:t>: Que contra la aprobación definitiva del presupuesto podrá interponerse directamente recurso contencioso-</w:t>
      </w:r>
      <w:r>
        <w:t>administrativo, en la forma y plazos que establecen las normas de dicha jurisdicción. La interposición de recursos no suspenderá por sí sola la aplicación del presupuesto definitivamente aprobado por la corporación.</w:t>
      </w:r>
      <w:r>
        <w:rPr>
          <w:rFonts w:ascii="Times New Roman" w:eastAsia="Times New Roman" w:hAnsi="Times New Roman" w:cs="Times New Roman"/>
          <w:sz w:val="24"/>
        </w:rPr>
        <w:t xml:space="preserve"> </w:t>
      </w:r>
    </w:p>
    <w:p w:rsidR="00B064CF" w:rsidRDefault="00E32F70">
      <w:pPr>
        <w:spacing w:after="0" w:line="259" w:lineRule="auto"/>
        <w:ind w:left="0" w:firstLine="0"/>
        <w:jc w:val="left"/>
      </w:pPr>
      <w:r>
        <w:t xml:space="preserve"> </w:t>
      </w:r>
    </w:p>
    <w:p w:rsidR="00B064CF" w:rsidRDefault="00E32F70">
      <w:pPr>
        <w:spacing w:after="0" w:line="259" w:lineRule="auto"/>
        <w:ind w:left="0" w:firstLine="0"/>
        <w:jc w:val="left"/>
      </w:pPr>
      <w:r>
        <w:t xml:space="preserve"> </w:t>
      </w:r>
    </w:p>
    <w:p w:rsidR="00B064CF" w:rsidRDefault="00E32F70">
      <w:pPr>
        <w:spacing w:after="0"/>
        <w:ind w:right="793"/>
      </w:pPr>
      <w:r>
        <w:rPr>
          <w:b/>
        </w:rPr>
        <w:t>Cuarto:</w:t>
      </w:r>
      <w:r>
        <w:t xml:space="preserve"> Que las reclamaciones y ale</w:t>
      </w:r>
      <w:r>
        <w:t>gaciones presentadas por parte del grupo político Popular, el día 27 de enero de 2020, que tiene la consideración de interesado, han sido presentadas en plazo y las fundamentaciones se basan en los siguientes supuestos:</w:t>
      </w:r>
      <w:r>
        <w:rPr>
          <w:rFonts w:ascii="Times New Roman" w:eastAsia="Times New Roman" w:hAnsi="Times New Roman" w:cs="Times New Roman"/>
          <w:sz w:val="24"/>
        </w:rPr>
        <w:t xml:space="preserve"> </w:t>
      </w:r>
    </w:p>
    <w:p w:rsidR="00B064CF" w:rsidRDefault="00E32F70">
      <w:pPr>
        <w:spacing w:after="0" w:line="259" w:lineRule="auto"/>
        <w:ind w:left="0" w:firstLine="0"/>
        <w:jc w:val="left"/>
      </w:pPr>
      <w:r>
        <w:rPr>
          <w:b/>
          <w:i/>
        </w:rPr>
        <w:t xml:space="preserve"> </w:t>
      </w:r>
    </w:p>
    <w:p w:rsidR="00B064CF" w:rsidRDefault="00E32F70">
      <w:pPr>
        <w:spacing w:after="0" w:line="248" w:lineRule="auto"/>
        <w:ind w:left="0" w:right="792" w:firstLine="708"/>
      </w:pPr>
      <w:r>
        <w:rPr>
          <w:b/>
          <w:i/>
        </w:rPr>
        <w:t>1.-</w:t>
      </w:r>
      <w:r>
        <w:t xml:space="preserve"> </w:t>
      </w:r>
      <w:r>
        <w:rPr>
          <w:b/>
          <w:i/>
        </w:rPr>
        <w:t>El grupo municipal popular so</w:t>
      </w:r>
      <w:r>
        <w:rPr>
          <w:b/>
          <w:i/>
        </w:rPr>
        <w:t>licita la inversión de 60.000€ en REPOSICIÓN ACERADOS MUNICIPALES dado que este tipo de inversiones se tienen que tener previstas e ir realizando para mejorar aquellas zonas del municipio que se encuentran más deterioradas, como puede ser el caso de la zon</w:t>
      </w:r>
      <w:r>
        <w:rPr>
          <w:b/>
          <w:i/>
        </w:rPr>
        <w:t>a de la avenida marítima que se encuentra entre el edificio Caracas y el Club Náutico La Galera.</w:t>
      </w:r>
      <w:r>
        <w:rPr>
          <w:rFonts w:ascii="Times New Roman" w:eastAsia="Times New Roman" w:hAnsi="Times New Roman" w:cs="Times New Roman"/>
          <w:sz w:val="24"/>
        </w:rPr>
        <w:t xml:space="preserve"> </w:t>
      </w:r>
    </w:p>
    <w:p w:rsidR="00B064CF" w:rsidRDefault="00E32F70">
      <w:pPr>
        <w:spacing w:after="0" w:line="259" w:lineRule="auto"/>
        <w:ind w:left="708" w:firstLine="0"/>
        <w:jc w:val="left"/>
      </w:pPr>
      <w:r>
        <w:rPr>
          <w:b/>
          <w:i/>
        </w:rPr>
        <w:t xml:space="preserve"> </w:t>
      </w:r>
    </w:p>
    <w:p w:rsidR="00B064CF" w:rsidRDefault="00E32F70">
      <w:pPr>
        <w:spacing w:after="0" w:line="259" w:lineRule="auto"/>
        <w:ind w:left="708" w:firstLine="0"/>
        <w:jc w:val="left"/>
      </w:pPr>
      <w:r>
        <w:rPr>
          <w:b/>
          <w:i/>
        </w:rPr>
        <w:t xml:space="preserve"> </w:t>
      </w:r>
    </w:p>
    <w:p w:rsidR="00B064CF" w:rsidRDefault="00E32F70">
      <w:pPr>
        <w:spacing w:after="0" w:line="259" w:lineRule="auto"/>
        <w:ind w:left="0" w:firstLine="0"/>
        <w:jc w:val="left"/>
      </w:pPr>
      <w:r>
        <w:t xml:space="preserve"> </w:t>
      </w:r>
    </w:p>
    <w:p w:rsidR="00B064CF" w:rsidRDefault="00E32F70">
      <w:pPr>
        <w:spacing w:after="112"/>
        <w:ind w:left="0" w:right="792" w:firstLine="708"/>
      </w:pPr>
      <w:r>
        <w:t>La solicitud de una dotación de crédito con destino a inversiones, no se encuadra dentro de los tres supuestos de reclamación, tal como dispone el artíc</w:t>
      </w:r>
      <w:r>
        <w:t xml:space="preserve">ulo 170.2 del Real Decreto Legislativo 2/2004, de 5 de marzo, por el que se aprueba el Texto Refundido de la Ley reguladora de las Haciendas Locales. No existe, por tanto, obligación legal. </w:t>
      </w:r>
    </w:p>
    <w:p w:rsidR="00B064CF" w:rsidRDefault="00E32F70">
      <w:pPr>
        <w:spacing w:after="100" w:line="259" w:lineRule="auto"/>
        <w:ind w:left="708" w:firstLine="0"/>
        <w:jc w:val="left"/>
      </w:pPr>
      <w:r>
        <w:t xml:space="preserve"> </w:t>
      </w:r>
    </w:p>
    <w:p w:rsidR="00B064CF" w:rsidRDefault="00E32F70">
      <w:pPr>
        <w:spacing w:after="109"/>
        <w:ind w:left="718" w:right="72"/>
      </w:pPr>
      <w:r>
        <w:t xml:space="preserve">Se informa negativamente la presente reclamación. </w:t>
      </w:r>
    </w:p>
    <w:p w:rsidR="00B064CF" w:rsidRDefault="00E32F70">
      <w:pPr>
        <w:spacing w:after="0" w:line="259" w:lineRule="auto"/>
        <w:ind w:left="708" w:firstLine="0"/>
        <w:jc w:val="left"/>
      </w:pPr>
      <w:r>
        <w:t xml:space="preserve"> </w:t>
      </w:r>
    </w:p>
    <w:p w:rsidR="00B064CF" w:rsidRDefault="00E32F70">
      <w:pPr>
        <w:spacing w:after="25" w:line="259" w:lineRule="auto"/>
        <w:ind w:left="0" w:firstLine="0"/>
        <w:jc w:val="left"/>
      </w:pPr>
      <w:r>
        <w:t xml:space="preserve"> </w:t>
      </w:r>
      <w:r>
        <w:tab/>
        <w:t xml:space="preserve"> </w:t>
      </w:r>
    </w:p>
    <w:p w:rsidR="00B064CF" w:rsidRDefault="00E32F70">
      <w:pPr>
        <w:spacing w:after="0" w:line="248" w:lineRule="auto"/>
        <w:ind w:right="788"/>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67909" name="Group 367909"/>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871" name="Rectangle 871"/>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872" name="Rectangle 872"/>
                        <wps:cNvSpPr/>
                        <wps:spPr>
                          <a:xfrm rot="-5399999">
                            <a:off x="-2042224" y="1310508"/>
                            <a:ext cx="4350075"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7 de 298 </w:t>
                              </w:r>
                            </w:p>
                          </w:txbxContent>
                        </wps:txbx>
                        <wps:bodyPr horzOverflow="overflow" vert="horz" lIns="0" tIns="0" rIns="0" bIns="0" rtlCol="0">
                          <a:noAutofit/>
                        </wps:bodyPr>
                      </wps:wsp>
                    </wpg:wgp>
                  </a:graphicData>
                </a:graphic>
              </wp:anchor>
            </w:drawing>
          </mc:Choice>
          <mc:Fallback xmlns:a="http://schemas.openxmlformats.org/drawingml/2006/main">
            <w:pict>
              <v:group id="Group 367909" style="width:12.7031pt;height:278.91pt;position:absolute;mso-position-horizontal-relative:page;mso-position-horizontal:absolute;margin-left:682.278pt;mso-position-vertical-relative:page;margin-top:533.01pt;" coordsize="1613,35421">
                <v:rect id="Rectangle 871"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872" style="position:absolute;width:43500;height:1132;left:-20422;top:1310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 de 298 </w:t>
                        </w:r>
                      </w:p>
                    </w:txbxContent>
                  </v:textbox>
                </v:rect>
                <w10:wrap type="square"/>
              </v:group>
            </w:pict>
          </mc:Fallback>
        </mc:AlternateContent>
      </w:r>
      <w:r>
        <w:rPr>
          <w:b/>
          <w:i/>
        </w:rPr>
        <w:t>2.- En el presupuesto municipal de 2021 se establece una partid</w:t>
      </w:r>
      <w:r>
        <w:rPr>
          <w:b/>
          <w:i/>
        </w:rPr>
        <w:t xml:space="preserve">a de 64.647,97€ para la rehabilitación de la Cripta de Santa Ana, que se trata de un proyecto de rehabilitación de criptas con este importe que se viene estableciendo con la misma partida presupuestaria desde 2015. El grupo municipal popular, solicita que </w:t>
      </w:r>
      <w:r>
        <w:rPr>
          <w:b/>
          <w:i/>
        </w:rPr>
        <w:t>se atienda también a las necesidades que existen en el Cementerio Municipal y destine una partida a la ampliación del número de nichos, dado que en la actualidad solo existen alrededor de 30 unidades libres y el número de fallecidos en el último año ha aum</w:t>
      </w:r>
      <w:r>
        <w:rPr>
          <w:b/>
          <w:i/>
        </w:rPr>
        <w:t>entado entre otros por los efectos de la COVID-19.</w:t>
      </w:r>
      <w:r>
        <w:rPr>
          <w:rFonts w:ascii="Times New Roman" w:eastAsia="Times New Roman" w:hAnsi="Times New Roman" w:cs="Times New Roman"/>
          <w:sz w:val="24"/>
        </w:rPr>
        <w:t xml:space="preserve"> </w:t>
      </w:r>
    </w:p>
    <w:p w:rsidR="00B064CF" w:rsidRDefault="00E32F70">
      <w:pPr>
        <w:spacing w:after="0" w:line="259" w:lineRule="auto"/>
        <w:ind w:left="0" w:firstLine="0"/>
        <w:jc w:val="left"/>
      </w:pPr>
      <w:r>
        <w:t xml:space="preserve"> </w:t>
      </w:r>
    </w:p>
    <w:p w:rsidR="00B064CF" w:rsidRDefault="00E32F70">
      <w:pPr>
        <w:spacing w:after="111"/>
        <w:ind w:left="0" w:right="792" w:firstLine="708"/>
      </w:pPr>
      <w:r>
        <w:t xml:space="preserve">La solicitud de una dotación de crédito con destino a inversiones, no se encuadra dentro de los tres supuestos de reclamación, tal como dispone el artículo 170.2 del Real Decreto Legislativo 2/2004, de </w:t>
      </w:r>
      <w:r>
        <w:t xml:space="preserve">5 de marzo, por el que se aprueba el Texto Refundido de la Ley reguladora de las Haciendas Locales. No existe, por tanto, obligación legal. </w:t>
      </w:r>
    </w:p>
    <w:p w:rsidR="00B064CF" w:rsidRDefault="00E32F70">
      <w:pPr>
        <w:spacing w:after="98" w:line="259" w:lineRule="auto"/>
        <w:ind w:left="708" w:firstLine="0"/>
        <w:jc w:val="left"/>
      </w:pPr>
      <w:r>
        <w:t xml:space="preserve"> </w:t>
      </w:r>
    </w:p>
    <w:p w:rsidR="00B064CF" w:rsidRDefault="00E32F70">
      <w:pPr>
        <w:spacing w:after="112"/>
        <w:ind w:left="718" w:right="72"/>
      </w:pPr>
      <w:r>
        <w:t xml:space="preserve">Se informa negativamente la presente reclamación. </w:t>
      </w:r>
    </w:p>
    <w:p w:rsidR="00B064CF" w:rsidRDefault="00E32F70">
      <w:pPr>
        <w:spacing w:after="0" w:line="259" w:lineRule="auto"/>
        <w:ind w:left="708" w:firstLine="0"/>
        <w:jc w:val="left"/>
      </w:pPr>
      <w:r>
        <w:rPr>
          <w:b/>
          <w:i/>
        </w:rPr>
        <w:t xml:space="preserve"> </w:t>
      </w:r>
    </w:p>
    <w:p w:rsidR="00B064CF" w:rsidRDefault="00E32F70">
      <w:pPr>
        <w:spacing w:after="0" w:line="259" w:lineRule="auto"/>
        <w:ind w:left="708" w:firstLine="0"/>
        <w:jc w:val="left"/>
      </w:pPr>
      <w:r>
        <w:rPr>
          <w:b/>
          <w:i/>
        </w:rPr>
        <w:t xml:space="preserve"> </w:t>
      </w:r>
    </w:p>
    <w:p w:rsidR="00B064CF" w:rsidRDefault="00E32F70">
      <w:pPr>
        <w:spacing w:after="95"/>
        <w:ind w:left="0" w:right="789" w:firstLine="708"/>
      </w:pPr>
      <w:r>
        <w:rPr>
          <w:b/>
          <w:i/>
        </w:rPr>
        <w:t>3</w:t>
      </w:r>
      <w:r>
        <w:t xml:space="preserve">.- </w:t>
      </w:r>
      <w:r>
        <w:rPr>
          <w:b/>
        </w:rPr>
        <w:t>El CENTRO ALFARERO CASA LAS MIQUELAS supone una inversión para las arcas municipales de 53.746,02 €, que carece de rentabilidad económica y capacidad de autofinanciación, tal y como dejan reflejadas las cuentas en el presupuesto de EPELCAN y en los informe</w:t>
      </w:r>
      <w:r>
        <w:rPr>
          <w:b/>
        </w:rPr>
        <w:t xml:space="preserve">s económicos financieros del Interventor. Por lo que se deber realizar una reflexión concienzuda para buscar una mejor ubicación, redirigir el proyecto o mejorar su promoción. Mientras esto se desarrolla, el grupo municipal popular solicita que se destine </w:t>
      </w:r>
      <w:r>
        <w:rPr>
          <w:b/>
        </w:rPr>
        <w:t>esta partida presupuestaria a establecer ayudas a las personas que se han visto afectadas por los efectos de la crisis socio-sanitarias de la Covid-19 o como ya hemos dicho en otras ocasiones, reparar todos los desperfectos que llevan arrastrando los vecin</w:t>
      </w:r>
      <w:r>
        <w:rPr>
          <w:b/>
        </w:rPr>
        <w:t>os de Antón Guanche por la mala ejecución de las obras.</w:t>
      </w:r>
      <w:r>
        <w:rPr>
          <w:rFonts w:ascii="Times New Roman" w:eastAsia="Times New Roman" w:hAnsi="Times New Roman" w:cs="Times New Roman"/>
          <w:sz w:val="24"/>
        </w:rPr>
        <w:t xml:space="preserve"> </w:t>
      </w:r>
    </w:p>
    <w:p w:rsidR="00B064CF" w:rsidRDefault="00E32F70">
      <w:pPr>
        <w:spacing w:after="0" w:line="259" w:lineRule="auto"/>
        <w:ind w:left="0" w:firstLine="0"/>
        <w:jc w:val="left"/>
      </w:pPr>
      <w:r>
        <w:rPr>
          <w:b/>
          <w:i/>
        </w:rPr>
        <w:t xml:space="preserve"> </w:t>
      </w:r>
    </w:p>
    <w:p w:rsidR="00B064CF" w:rsidRDefault="00E32F70">
      <w:pPr>
        <w:spacing w:after="112"/>
        <w:ind w:left="0" w:right="789" w:firstLine="708"/>
      </w:pPr>
      <w:r>
        <w:t>La solicitud de una dotación de crédito con destino a ayudas a las personas afectadas por la crisis sociosanitarias de la Covid-19, no se encuadra dentro de los tres supuestos de reclamación, tal c</w:t>
      </w:r>
      <w:r>
        <w:t xml:space="preserve">omo dispone el artículo 170.2 del Real Decreto Legislativo 2/2004, de 5 de marzo, por el que se aprueba el Texto Refundido de la Ley reguladora de las Haciendas Locales. No existe, por tanto, obligación legal. </w:t>
      </w:r>
    </w:p>
    <w:p w:rsidR="00B064CF" w:rsidRDefault="00E32F70">
      <w:pPr>
        <w:spacing w:after="100" w:line="259" w:lineRule="auto"/>
        <w:ind w:left="708" w:firstLine="0"/>
        <w:jc w:val="left"/>
      </w:pPr>
      <w:r>
        <w:t xml:space="preserve"> </w:t>
      </w:r>
    </w:p>
    <w:p w:rsidR="00B064CF" w:rsidRDefault="00E32F70">
      <w:pPr>
        <w:spacing w:after="109"/>
        <w:ind w:left="718" w:right="72"/>
      </w:pPr>
      <w:r>
        <w:t>Se informa negativamente la presente reclam</w:t>
      </w:r>
      <w:r>
        <w:t xml:space="preserve">ación. </w:t>
      </w:r>
    </w:p>
    <w:p w:rsidR="00B064CF" w:rsidRDefault="00E32F70">
      <w:pPr>
        <w:spacing w:after="98" w:line="259" w:lineRule="auto"/>
        <w:ind w:left="0" w:firstLine="0"/>
        <w:jc w:val="left"/>
      </w:pPr>
      <w:r>
        <w:t xml:space="preserve"> </w:t>
      </w:r>
    </w:p>
    <w:p w:rsidR="00B064CF" w:rsidRDefault="00E32F70">
      <w:pPr>
        <w:spacing w:after="93" w:line="248" w:lineRule="auto"/>
        <w:ind w:right="786"/>
      </w:pPr>
      <w:r>
        <w:rPr>
          <w:b/>
        </w:rPr>
        <w:t xml:space="preserve">4.- </w:t>
      </w:r>
      <w:r>
        <w:rPr>
          <w:b/>
          <w:i/>
        </w:rPr>
        <w:t>Acuerdo aprobado por unanimidad en el pleno de febrero de 2017 por el que se instaurará el servicio de grúas y depósito municipal. En otros ayuntamientos con número de habitantes similar a Candelaria se ha licitado este servicio sin que supon</w:t>
      </w:r>
      <w:r>
        <w:rPr>
          <w:b/>
          <w:i/>
        </w:rPr>
        <w:t xml:space="preserve">ga un coste significativo para el Ayuntamiento. Un presupuesto debe incluir partidas económicas para llevar a cabo las mociones aprobadas en pleno, que son la voluntad del pueblo y de sus representantes en mayoría, de lo contrario un presupuesto municipal </w:t>
      </w:r>
      <w:r>
        <w:rPr>
          <w:b/>
          <w:i/>
        </w:rPr>
        <w:t>no estaría cumpliendo con la voluntad del pueblo aprobada democráticamente sino con la imposición de sus gobernantes, en este caso, de los socialistas</w:t>
      </w:r>
      <w:r>
        <w:rPr>
          <w:b/>
        </w:rPr>
        <w:t>.</w:t>
      </w:r>
      <w:r>
        <w:rPr>
          <w:rFonts w:ascii="Times New Roman" w:eastAsia="Times New Roman" w:hAnsi="Times New Roman" w:cs="Times New Roman"/>
          <w:sz w:val="24"/>
        </w:rPr>
        <w:t xml:space="preserve"> </w:t>
      </w:r>
    </w:p>
    <w:p w:rsidR="00B064CF" w:rsidRDefault="00E32F70">
      <w:pPr>
        <w:spacing w:after="103" w:line="259" w:lineRule="auto"/>
        <w:ind w:left="0" w:firstLine="0"/>
        <w:jc w:val="left"/>
      </w:pPr>
      <w:r>
        <w:rPr>
          <w:b/>
        </w:rPr>
        <w:t xml:space="preserve"> </w:t>
      </w:r>
    </w:p>
    <w:p w:rsidR="00B064CF" w:rsidRDefault="00E32F70">
      <w:pPr>
        <w:spacing w:after="114"/>
        <w:ind w:left="0" w:right="786" w:firstLine="708"/>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67905" name="Group 367905"/>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966" name="Rectangle 966"/>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967" name="Rectangle 967"/>
                        <wps:cNvSpPr/>
                        <wps:spPr>
                          <a:xfrm rot="-5399999">
                            <a:off x="-2042224" y="1310508"/>
                            <a:ext cx="4350075"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8 de 298 </w:t>
                              </w:r>
                            </w:p>
                          </w:txbxContent>
                        </wps:txbx>
                        <wps:bodyPr horzOverflow="overflow" vert="horz" lIns="0" tIns="0" rIns="0" bIns="0" rtlCol="0">
                          <a:noAutofit/>
                        </wps:bodyPr>
                      </wps:wsp>
                    </wpg:wgp>
                  </a:graphicData>
                </a:graphic>
              </wp:anchor>
            </w:drawing>
          </mc:Choice>
          <mc:Fallback xmlns:a="http://schemas.openxmlformats.org/drawingml/2006/main">
            <w:pict>
              <v:group id="Group 367905" style="width:12.7031pt;height:278.91pt;position:absolute;mso-position-horizontal-relative:page;mso-position-horizontal:absolute;margin-left:682.278pt;mso-position-vertical-relative:page;margin-top:533.01pt;" coordsize="1613,35421">
                <v:rect id="Rectangle 966"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967" style="position:absolute;width:43500;height:1132;left:-20422;top:1310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 de 298 </w:t>
                        </w:r>
                      </w:p>
                    </w:txbxContent>
                  </v:textbox>
                </v:rect>
                <w10:wrap type="square"/>
              </v:group>
            </w:pict>
          </mc:Fallback>
        </mc:AlternateContent>
      </w:r>
      <w:r>
        <w:t>La presente solicitud se refiere a licitar el servicio de grúas y depósito municipal, si coste significativo para el Ayuntamiento, no se encuadra dentro de los t</w:t>
      </w:r>
      <w:r>
        <w:t xml:space="preserve">res supuestos de reclamación, tal como dispone el artículo 170.2 del Real Decreto Legislativo 2/2004, de 5 de marzo, por el que se aprueba el Texto Refundido de la Ley reguladora de las Haciendas Locales. </w:t>
      </w:r>
    </w:p>
    <w:p w:rsidR="00B064CF" w:rsidRDefault="00E32F70">
      <w:pPr>
        <w:spacing w:after="98" w:line="259" w:lineRule="auto"/>
        <w:ind w:left="708" w:firstLine="0"/>
        <w:jc w:val="left"/>
      </w:pPr>
      <w:r>
        <w:t xml:space="preserve"> </w:t>
      </w:r>
    </w:p>
    <w:p w:rsidR="00B064CF" w:rsidRDefault="00E32F70">
      <w:pPr>
        <w:spacing w:after="106"/>
        <w:ind w:left="718" w:right="72"/>
      </w:pPr>
      <w:r>
        <w:t>Se informa negativamente la presente reclamación</w:t>
      </w:r>
      <w:r>
        <w:t xml:space="preserve">. </w:t>
      </w:r>
    </w:p>
    <w:p w:rsidR="00B064CF" w:rsidRDefault="00E32F70">
      <w:pPr>
        <w:spacing w:after="100" w:line="259" w:lineRule="auto"/>
        <w:ind w:left="0" w:firstLine="0"/>
        <w:jc w:val="left"/>
      </w:pPr>
      <w:r>
        <w:rPr>
          <w:b/>
        </w:rPr>
        <w:t xml:space="preserve"> </w:t>
      </w:r>
    </w:p>
    <w:p w:rsidR="00B064CF" w:rsidRDefault="00E32F70">
      <w:pPr>
        <w:spacing w:after="98" w:line="259" w:lineRule="auto"/>
        <w:ind w:left="0" w:firstLine="0"/>
        <w:jc w:val="left"/>
      </w:pPr>
      <w:r>
        <w:rPr>
          <w:b/>
        </w:rPr>
        <w:t xml:space="preserve"> </w:t>
      </w:r>
    </w:p>
    <w:p w:rsidR="00B064CF" w:rsidRDefault="00E32F70">
      <w:pPr>
        <w:spacing w:after="92" w:line="248" w:lineRule="auto"/>
        <w:ind w:right="790"/>
      </w:pPr>
      <w:r>
        <w:rPr>
          <w:b/>
        </w:rPr>
        <w:t xml:space="preserve">5.- </w:t>
      </w:r>
      <w:r>
        <w:rPr>
          <w:b/>
          <w:i/>
        </w:rPr>
        <w:t>Candelaria es un municipio que ha sufrido una expansión demográfica importante a lo largo de las últimas décadas, lo que ha supuesto un aumento del número de vehículos en el municipio, a lo que hay que añadir la gran cantidad de personas que dia</w:t>
      </w:r>
      <w:r>
        <w:rPr>
          <w:b/>
          <w:i/>
        </w:rPr>
        <w:t>riamente visitan las zonas más destacadas del municipio. Es por ello por lo que es importante que se aumente el número de puntos de recarga en el municipio y se ofrezcan las alternativas suficientes para poder dar respuesta a los vehículos de recarga eléct</w:t>
      </w:r>
      <w:r>
        <w:rPr>
          <w:b/>
          <w:i/>
        </w:rPr>
        <w:t>rica que son más respetuosos con el medio ambiente que los convencionales y su demanda ha aumentado entre los nuevos compradores de vehículo.</w:t>
      </w:r>
      <w:r>
        <w:rPr>
          <w:rFonts w:ascii="Times New Roman" w:eastAsia="Times New Roman" w:hAnsi="Times New Roman" w:cs="Times New Roman"/>
          <w:sz w:val="24"/>
        </w:rPr>
        <w:t xml:space="preserve"> </w:t>
      </w:r>
    </w:p>
    <w:p w:rsidR="00B064CF" w:rsidRDefault="00E32F70">
      <w:pPr>
        <w:spacing w:after="98" w:line="259" w:lineRule="auto"/>
        <w:ind w:left="708" w:firstLine="0"/>
        <w:jc w:val="left"/>
      </w:pPr>
      <w:r>
        <w:t xml:space="preserve"> </w:t>
      </w:r>
    </w:p>
    <w:p w:rsidR="00B064CF" w:rsidRDefault="00E32F70">
      <w:pPr>
        <w:spacing w:after="0"/>
        <w:ind w:left="0" w:right="789" w:firstLine="708"/>
      </w:pPr>
      <w:r>
        <w:t>La solicitud de una dotación de crédito con destino a aumentar el número de puntos de recarga eléctrica de vehí</w:t>
      </w:r>
      <w:r>
        <w:t>culos, no se encuadra dentro de los tres supuestos de reclamación, tal como dispone el artículo 170.2 del Real Decreto Legislativo 2/2004, de 5 de marzo, por el que se aprueba el Texto Refundido de la Ley reguladora de las Haciendas Locales. No existe, por</w:t>
      </w:r>
      <w:r>
        <w:t xml:space="preserve"> tanto, obligación legal. </w:t>
      </w:r>
    </w:p>
    <w:p w:rsidR="00B064CF" w:rsidRDefault="00B064CF">
      <w:pPr>
        <w:sectPr w:rsidR="00B064CF">
          <w:headerReference w:type="even" r:id="rId32"/>
          <w:headerReference w:type="default" r:id="rId33"/>
          <w:footerReference w:type="even" r:id="rId34"/>
          <w:footerReference w:type="default" r:id="rId35"/>
          <w:headerReference w:type="first" r:id="rId36"/>
          <w:footerReference w:type="first" r:id="rId37"/>
          <w:pgSz w:w="14174" w:h="16838"/>
          <w:pgMar w:top="2836" w:right="1832" w:bottom="572" w:left="2553" w:header="720" w:footer="720" w:gutter="0"/>
          <w:cols w:space="720"/>
          <w:titlePg/>
        </w:sectPr>
      </w:pPr>
    </w:p>
    <w:p w:rsidR="00B064CF" w:rsidRDefault="00E32F70">
      <w:pPr>
        <w:spacing w:after="100" w:line="259" w:lineRule="auto"/>
        <w:ind w:left="708" w:firstLine="0"/>
        <w:jc w:val="left"/>
      </w:pPr>
      <w:r>
        <w:t xml:space="preserve"> </w:t>
      </w:r>
    </w:p>
    <w:p w:rsidR="00B064CF" w:rsidRDefault="00E32F70">
      <w:pPr>
        <w:spacing w:after="106"/>
        <w:ind w:left="718" w:right="72"/>
      </w:pPr>
      <w:r>
        <w:t xml:space="preserve">Se informa negativamente la presente reclamación. </w:t>
      </w:r>
    </w:p>
    <w:p w:rsidR="00B064CF" w:rsidRDefault="00E32F70">
      <w:pPr>
        <w:spacing w:after="98" w:line="259" w:lineRule="auto"/>
        <w:ind w:left="0" w:firstLine="0"/>
        <w:jc w:val="left"/>
      </w:pPr>
      <w:r>
        <w:rPr>
          <w:b/>
        </w:rPr>
        <w:t xml:space="preserve"> </w:t>
      </w:r>
    </w:p>
    <w:p w:rsidR="00B064CF" w:rsidRDefault="00E32F70">
      <w:pPr>
        <w:spacing w:after="94"/>
        <w:ind w:right="3"/>
      </w:pPr>
      <w:r>
        <w:rPr>
          <w:b/>
        </w:rPr>
        <w:t xml:space="preserve">6.- </w:t>
      </w:r>
      <w:r>
        <w:rPr>
          <w:b/>
        </w:rPr>
        <w:t>La zona de Punta Larga, es una de las que más población concentra del municipio. A pesar de que su edificabilidad está prácticamente conclusa. Las zonas verdes y los parques urbanos no se han desarrollado al mismo ritmo que la edificación, por ello, es nec</w:t>
      </w:r>
      <w:r>
        <w:rPr>
          <w:b/>
        </w:rPr>
        <w:t>esario que las zonas verdes se acondicionen tal y como establece el planeamiento municipal vigente. El grupo municipal popular propone la REDACCIÓN DE PROYECTO PARA CONSTRUIR UN PARQUE URBANO, DE ACUERDO CON LO QUE ESTABLECE EL PGOU DE CANDELARIA Y AMPLIAR</w:t>
      </w:r>
      <w:r>
        <w:rPr>
          <w:b/>
        </w:rPr>
        <w:t xml:space="preserve"> EL NÚMERO DE PLAZAS DE APARCAMIENTO DE LA ZONA. (BARRANCO LOS ÓRGANOS, MÁS CONOCIDO POR EL BARRANCO CHIPAZ) de 15.000,00 € con cargo a la aportación municipal. El grupo municipal popular en el Ayuntamiento de Candelaria propone la creación de la partida p</w:t>
      </w:r>
      <w:r>
        <w:rPr>
          <w:b/>
        </w:rPr>
        <w:t>resupuestaria EJECUCIÓN DE LAS OBRAS DEL PARQUE URBANO, DE ACUERDO CON LO QUE ESTABLECE EL PGOU DE CANDELARIA Y AMPLIAR EL NÚMERO DE PLAZAS DE APARCAMIENTO DE LA ZONA. (BARRANCO LOS ÓRGANOS, MÁS CONOCIDO POR EL BARRANCO CHIPAZ) de 300.000,00 €.</w:t>
      </w:r>
      <w:r>
        <w:rPr>
          <w:rFonts w:ascii="Times New Roman" w:eastAsia="Times New Roman" w:hAnsi="Times New Roman" w:cs="Times New Roman"/>
          <w:sz w:val="24"/>
        </w:rPr>
        <w:t xml:space="preserve"> </w:t>
      </w:r>
    </w:p>
    <w:p w:rsidR="00B064CF" w:rsidRDefault="00E32F70">
      <w:pPr>
        <w:spacing w:after="101" w:line="259" w:lineRule="auto"/>
        <w:ind w:left="708" w:firstLine="0"/>
        <w:jc w:val="left"/>
      </w:pPr>
      <w:r>
        <w:t xml:space="preserve"> </w:t>
      </w:r>
    </w:p>
    <w:p w:rsidR="00B064CF" w:rsidRDefault="00E32F70">
      <w:pPr>
        <w:spacing w:after="112"/>
        <w:ind w:left="0" w:right="6" w:firstLine="708"/>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1597787</wp:posOffset>
                </wp:positionH>
                <wp:positionV relativeFrom="page">
                  <wp:posOffset>440283</wp:posOffset>
                </wp:positionV>
                <wp:extent cx="904494" cy="915315"/>
                <wp:effectExtent l="0" t="0" r="0" b="0"/>
                <wp:wrapTopAndBottom/>
                <wp:docPr id="368111" name="Group 368111"/>
                <wp:cNvGraphicFramePr/>
                <a:graphic xmlns:a="http://schemas.openxmlformats.org/drawingml/2006/main">
                  <a:graphicData uri="http://schemas.microsoft.com/office/word/2010/wordprocessingGroup">
                    <wpg:wgp>
                      <wpg:cNvGrpSpPr/>
                      <wpg:grpSpPr>
                        <a:xfrm>
                          <a:off x="0" y="0"/>
                          <a:ext cx="904494" cy="915315"/>
                          <a:chOff x="0" y="0"/>
                          <a:chExt cx="904494" cy="915315"/>
                        </a:xfrm>
                      </wpg:grpSpPr>
                      <wps:wsp>
                        <wps:cNvPr id="972" name="Shape 972"/>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974" name="Picture 974"/>
                          <pic:cNvPicPr/>
                        </pic:nvPicPr>
                        <pic:blipFill>
                          <a:blip r:embed="rId7"/>
                          <a:stretch>
                            <a:fillRect/>
                          </a:stretch>
                        </pic:blipFill>
                        <pic:spPr>
                          <a:xfrm>
                            <a:off x="0" y="153"/>
                            <a:ext cx="754380" cy="912876"/>
                          </a:xfrm>
                          <a:prstGeom prst="rect">
                            <a:avLst/>
                          </a:prstGeom>
                        </pic:spPr>
                      </pic:pic>
                      <wps:wsp>
                        <wps:cNvPr id="976" name="Rectangle 976"/>
                        <wps:cNvSpPr/>
                        <wps:spPr>
                          <a:xfrm>
                            <a:off x="23165" y="0"/>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77" name="Rectangle 977"/>
                        <wps:cNvSpPr/>
                        <wps:spPr>
                          <a:xfrm>
                            <a:off x="23165" y="175260"/>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68111" style="width:71.22pt;height:72.072pt;position:absolute;mso-position-horizontal-relative:page;mso-position-horizontal:absolute;margin-left:125.81pt;mso-position-vertical-relative:page;margin-top:34.668pt;" coordsize="9044,9153">
                <v:shape id="Shape 972" style="position:absolute;width:0;height:8001;left:9044;top:1152;" coordsize="0,800100" path="m0,0l0,800100">
                  <v:stroke weight="2.28pt" endcap="square" joinstyle="miter" miterlimit="10" on="true" color="#993366"/>
                  <v:fill on="false" color="#000000" opacity="0"/>
                </v:shape>
                <v:shape id="Picture 974" style="position:absolute;width:7543;height:9128;left:0;top:1;" filled="f">
                  <v:imagedata r:id="rId31"/>
                </v:shape>
                <v:rect id="Rectangle 976" style="position:absolute;width:506;height:2243;left:23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977" style="position:absolute;width:506;height:2243;left:231;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68116" name="Group 368116"/>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1056" name="Rectangle 1056"/>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1057" name="Rectangle 1057"/>
                        <wps:cNvSpPr/>
                        <wps:spPr>
                          <a:xfrm rot="-5399999">
                            <a:off x="-2042224" y="1310508"/>
                            <a:ext cx="4350075"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9 de 298 </w:t>
                              </w:r>
                            </w:p>
                          </w:txbxContent>
                        </wps:txbx>
                        <wps:bodyPr horzOverflow="overflow" vert="horz" lIns="0" tIns="0" rIns="0" bIns="0" rtlCol="0">
                          <a:noAutofit/>
                        </wps:bodyPr>
                      </wps:wsp>
                    </wpg:wgp>
                  </a:graphicData>
                </a:graphic>
              </wp:anchor>
            </w:drawing>
          </mc:Choice>
          <mc:Fallback xmlns:a="http://schemas.openxmlformats.org/drawingml/2006/main">
            <w:pict>
              <v:group id="Group 368116" style="width:12.7031pt;height:278.91pt;position:absolute;mso-position-horizontal-relative:page;mso-position-horizontal:absolute;margin-left:682.278pt;mso-position-vertical-relative:page;margin-top:533.01pt;" coordsize="1613,35421">
                <v:rect id="Rectangle 1056"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1057" style="position:absolute;width:43500;height:1132;left:-20422;top:1310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 de 298 </w:t>
                        </w:r>
                      </w:p>
                    </w:txbxContent>
                  </v:textbox>
                </v:rect>
                <w10:wrap type="square"/>
              </v:group>
            </w:pict>
          </mc:Fallback>
        </mc:AlternateContent>
      </w:r>
      <w:r>
        <w:t>La solicitud de una dotación de crédito con destino a redac</w:t>
      </w:r>
      <w:r>
        <w:t>ción de proyecto y ejecución de obras para construir parque urbano y aumentar el número de plazas de aparcamiento en la zona, no se encuadra dentro de los tres supuestos de reclamación, tal como dispone el artículo 170.2 del Real Decreto Legislativo 2/2004</w:t>
      </w:r>
      <w:r>
        <w:t xml:space="preserve">, de 5 de marzo, por el que se aprueba el Texto Refundido de la Ley reguladora de las Haciendas Locales. No existe, por tanto, obligación legal. </w:t>
      </w:r>
    </w:p>
    <w:p w:rsidR="00B064CF" w:rsidRDefault="00E32F70">
      <w:pPr>
        <w:spacing w:after="98" w:line="259" w:lineRule="auto"/>
        <w:ind w:left="708" w:firstLine="0"/>
        <w:jc w:val="left"/>
      </w:pPr>
      <w:r>
        <w:t xml:space="preserve"> </w:t>
      </w:r>
    </w:p>
    <w:p w:rsidR="00B064CF" w:rsidRDefault="00E32F70">
      <w:pPr>
        <w:spacing w:after="111"/>
        <w:ind w:left="718" w:right="72"/>
      </w:pPr>
      <w:r>
        <w:t xml:space="preserve">Se informa negativamente la presente reclamación. </w:t>
      </w:r>
    </w:p>
    <w:p w:rsidR="00B064CF" w:rsidRDefault="00E32F70">
      <w:pPr>
        <w:spacing w:after="95" w:line="259" w:lineRule="auto"/>
        <w:ind w:left="708" w:firstLine="0"/>
        <w:jc w:val="left"/>
      </w:pPr>
      <w:r>
        <w:t xml:space="preserve"> </w:t>
      </w:r>
    </w:p>
    <w:p w:rsidR="00B064CF" w:rsidRDefault="00E32F70">
      <w:pPr>
        <w:spacing w:after="0" w:line="248" w:lineRule="auto"/>
        <w:ind w:right="5"/>
      </w:pPr>
      <w:r>
        <w:rPr>
          <w:b/>
        </w:rPr>
        <w:t xml:space="preserve">7.- </w:t>
      </w:r>
      <w:r>
        <w:rPr>
          <w:b/>
          <w:i/>
        </w:rPr>
        <w:t>El núcleo de población de Cuevecitas es uno de los menos poblados del municipio de Candelaria, sin embargo, su equipo de fútbol sala se ha convertido en un referente a nivel local, insular y regional. Son muchos los partidos de fútbol sala que en condicion</w:t>
      </w:r>
      <w:r>
        <w:rPr>
          <w:b/>
          <w:i/>
        </w:rPr>
        <w:t>es normales, los fines de semana se disputan en el pabellón de deportes de Cuevecitas y a pesar de que en los últimos años se ha aumentado las zonas de aparcamiento, las personas que acuden a ver los partidos habitualmente tienen dificultades para encontra</w:t>
      </w:r>
      <w:r>
        <w:rPr>
          <w:b/>
          <w:i/>
        </w:rPr>
        <w:t xml:space="preserve">r zonas de estacionamiento. El grupo popular propone la creación de la partida presupuestaria para la REDACCIÓN DE UN PROYECTO DE APARCAMIENTOS </w:t>
      </w:r>
    </w:p>
    <w:p w:rsidR="00B064CF" w:rsidRDefault="00E32F70">
      <w:pPr>
        <w:spacing w:after="11" w:line="248" w:lineRule="auto"/>
      </w:pPr>
      <w:r>
        <w:rPr>
          <w:b/>
          <w:i/>
        </w:rPr>
        <w:t xml:space="preserve">EN EL TERRENO JUNTO AL PABELLÓN DE FÚTBOL SALA DE CUEVECITAS por </w:t>
      </w:r>
    </w:p>
    <w:p w:rsidR="00B064CF" w:rsidRDefault="00E32F70">
      <w:pPr>
        <w:spacing w:after="0" w:line="248" w:lineRule="auto"/>
      </w:pPr>
      <w:r>
        <w:rPr>
          <w:b/>
          <w:i/>
        </w:rPr>
        <w:t>5.000,00 € a cargo de la aportación municipal</w:t>
      </w:r>
      <w:r>
        <w:rPr>
          <w:b/>
          <w:i/>
        </w:rPr>
        <w:t>. Para que en el caso de que sea viable, se cree la partida presupuestaria para la COMPRA DE TERRENO JUNTO AL PABELLÓN DE FÚTBOL SALA DE CUEVECITAS. APROXIMADAMENTE 900 M2 por 25.000,00 € y la partida presupuestaria para la EJECUCIÓN DE LAS OBRAS DE APARCA</w:t>
      </w:r>
      <w:r>
        <w:rPr>
          <w:b/>
          <w:i/>
        </w:rPr>
        <w:t xml:space="preserve">MIENTOS EN </w:t>
      </w:r>
    </w:p>
    <w:p w:rsidR="00B064CF" w:rsidRDefault="00E32F70">
      <w:pPr>
        <w:spacing w:after="90" w:line="248" w:lineRule="auto"/>
      </w:pPr>
      <w:r>
        <w:rPr>
          <w:b/>
          <w:i/>
        </w:rPr>
        <w:t>EL TERRENO JUNTO AL PABELLÓN DE FÚTBOL SALA DE CUEVECITAS por 60.000,00 € a cargo de la aportación municipal en ambos casos.</w:t>
      </w:r>
      <w:r>
        <w:rPr>
          <w:rFonts w:ascii="Times New Roman" w:eastAsia="Times New Roman" w:hAnsi="Times New Roman" w:cs="Times New Roman"/>
          <w:sz w:val="24"/>
        </w:rPr>
        <w:t xml:space="preserve"> </w:t>
      </w:r>
    </w:p>
    <w:p w:rsidR="00B064CF" w:rsidRDefault="00E32F70">
      <w:pPr>
        <w:spacing w:after="503" w:line="259" w:lineRule="auto"/>
        <w:ind w:left="708" w:firstLine="0"/>
        <w:jc w:val="left"/>
      </w:pPr>
      <w:r>
        <w:t xml:space="preserve"> </w:t>
      </w:r>
    </w:p>
    <w:p w:rsidR="00B064CF" w:rsidRDefault="00E32F70">
      <w:pPr>
        <w:spacing w:after="0" w:line="259" w:lineRule="auto"/>
        <w:ind w:left="54" w:right="-231" w:firstLine="0"/>
        <w:jc w:val="center"/>
      </w:pPr>
      <w:r>
        <w:rPr>
          <w:rFonts w:ascii="Calibri" w:eastAsia="Calibri" w:hAnsi="Calibri" w:cs="Calibri"/>
          <w:noProof/>
        </w:rPr>
        <mc:AlternateContent>
          <mc:Choice Requires="wpg">
            <w:drawing>
              <wp:inline distT="0" distB="0" distL="0" distR="0">
                <wp:extent cx="5830570" cy="17145"/>
                <wp:effectExtent l="0" t="0" r="0" b="0"/>
                <wp:docPr id="368115" name="Group 368115"/>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75" name="Shape 975"/>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8115" style="width:459.1pt;height:1.35004pt;mso-position-horizontal-relative:char;mso-position-vertical-relative:line" coordsize="58305,171">
                <v:shape id="Shape 975"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sz w:val="14"/>
        </w:rPr>
        <w:t xml:space="preserve"> </w:t>
      </w:r>
    </w:p>
    <w:p w:rsidR="00B064CF" w:rsidRDefault="00E32F70">
      <w:pPr>
        <w:spacing w:after="89" w:line="241" w:lineRule="auto"/>
        <w:ind w:left="4119" w:right="1189" w:hanging="1976"/>
        <w:jc w:val="left"/>
      </w:pPr>
      <w:r>
        <w:rPr>
          <w:sz w:val="14"/>
        </w:rPr>
        <w:t xml:space="preserve">Avenida Constitución Nº 7. Código postal: 38530, Candelaria. Teléfono: 922.500.800. </w:t>
      </w:r>
      <w:r>
        <w:rPr>
          <w:b/>
          <w:sz w:val="14"/>
        </w:rPr>
        <w:t xml:space="preserve">www. candelaria. es </w:t>
      </w:r>
    </w:p>
    <w:p w:rsidR="00B064CF" w:rsidRDefault="00E32F70">
      <w:pPr>
        <w:spacing w:after="0" w:line="259" w:lineRule="auto"/>
        <w:ind w:left="0" w:firstLine="0"/>
        <w:jc w:val="left"/>
      </w:pPr>
      <w:r>
        <w:rPr>
          <w:rFonts w:ascii="Times New Roman" w:eastAsia="Times New Roman" w:hAnsi="Times New Roman" w:cs="Times New Roman"/>
          <w:sz w:val="24"/>
        </w:rPr>
        <w:t xml:space="preserve"> </w:t>
      </w:r>
    </w:p>
    <w:p w:rsidR="00B064CF" w:rsidRDefault="00E32F70">
      <w:pPr>
        <w:spacing w:after="114"/>
        <w:ind w:left="0" w:right="2" w:firstLine="708"/>
      </w:pPr>
      <w:r>
        <w:t xml:space="preserve">La solicitud de una dotación de crédito con destino a redacción de proyecto y ejecución de obras para adquirir un terreno para los partidos de fútbol sala en el núcleo de Cuevecitas y aumentar el número de plazas de aparcamiento en la zona, no se encuadra </w:t>
      </w:r>
      <w:r>
        <w:t>dentro de los tres supuestos de reclamación, tal como dispone el artículo 170.2 del Real Decreto Legislativo 2/2004, de 5 de marzo, por el que se aprueba el Texto Refundido de la Ley reguladora de las Haciendas Locales. No existe, por tanto, obligación leg</w:t>
      </w:r>
      <w:r>
        <w:t xml:space="preserve">al. </w:t>
      </w:r>
    </w:p>
    <w:p w:rsidR="00B064CF" w:rsidRDefault="00E32F70">
      <w:pPr>
        <w:spacing w:after="98" w:line="259" w:lineRule="auto"/>
        <w:ind w:left="708" w:firstLine="0"/>
        <w:jc w:val="left"/>
      </w:pPr>
      <w:r>
        <w:t xml:space="preserve"> </w:t>
      </w:r>
    </w:p>
    <w:p w:rsidR="00B064CF" w:rsidRDefault="00E32F70">
      <w:pPr>
        <w:spacing w:after="111"/>
        <w:ind w:left="718" w:right="72"/>
      </w:pPr>
      <w:r>
        <w:t xml:space="preserve">Se informa negativamente la presente reclamación. </w:t>
      </w:r>
    </w:p>
    <w:p w:rsidR="00B064CF" w:rsidRDefault="00E32F70">
      <w:pPr>
        <w:spacing w:after="95" w:line="259" w:lineRule="auto"/>
        <w:ind w:left="708" w:firstLine="0"/>
        <w:jc w:val="left"/>
      </w:pPr>
      <w:r>
        <w:t xml:space="preserve"> </w:t>
      </w:r>
    </w:p>
    <w:p w:rsidR="00B064CF" w:rsidRDefault="00E32F70">
      <w:pPr>
        <w:spacing w:after="0" w:line="248" w:lineRule="auto"/>
        <w:ind w:right="5"/>
      </w:pPr>
      <w:r>
        <w:rPr>
          <w:b/>
        </w:rPr>
        <w:t xml:space="preserve">8.- </w:t>
      </w:r>
      <w:r>
        <w:rPr>
          <w:b/>
          <w:i/>
        </w:rPr>
        <w:t>Caletillas es uno de los núcleos de población con mayor número de habitantes y con menos infraestructuras para la práctica deportiva. El PGOU prevé una zona para este fin al finalizar la calle</w:t>
      </w:r>
      <w:r>
        <w:rPr>
          <w:b/>
          <w:i/>
        </w:rPr>
        <w:t xml:space="preserve"> Buganvilla, que permitirá dar respuesta a la solicitud de los vecinos del lugar. El Grupo Popular propone crear una partida para la REDACCIÓN DE PROYECTO PARA LA CONSTRUCCIÓN DE CANCHA POLIDEPORTIVA EN CALETILLAS. PARCELA D-2 1.20 SEGÚN ESTABLECE EL PGOU </w:t>
      </w:r>
      <w:r>
        <w:rPr>
          <w:b/>
          <w:i/>
        </w:rPr>
        <w:t xml:space="preserve">DE CANDELARIA de </w:t>
      </w:r>
    </w:p>
    <w:p w:rsidR="00B064CF" w:rsidRDefault="00E32F70">
      <w:pPr>
        <w:spacing w:after="90" w:line="248" w:lineRule="auto"/>
        <w:ind w:right="6"/>
      </w:pPr>
      <w:r>
        <w:rPr>
          <w:b/>
          <w:i/>
        </w:rPr>
        <w:t xml:space="preserve">15.000,00 € con cargo a la aportación municipal. En el caso de que sea viable la citada construcción, se tenga prevista una partida para la EJECUCIÓN DE LAS OBRAS DE CANCHA POLIDEPORTIVA EN CALETILLAS. PARCELA D-2 1.20 SEGÚN ESTABLECE EL </w:t>
      </w:r>
      <w:r>
        <w:rPr>
          <w:b/>
          <w:i/>
        </w:rPr>
        <w:t>PGOU DE CANDELARIA de 150.000,00 €.</w:t>
      </w:r>
      <w:r>
        <w:rPr>
          <w:rFonts w:ascii="Times New Roman" w:eastAsia="Times New Roman" w:hAnsi="Times New Roman" w:cs="Times New Roman"/>
          <w:sz w:val="24"/>
        </w:rPr>
        <w:t xml:space="preserve"> </w:t>
      </w:r>
    </w:p>
    <w:p w:rsidR="00B064CF" w:rsidRDefault="00E32F70">
      <w:pPr>
        <w:spacing w:after="98" w:line="259" w:lineRule="auto"/>
        <w:ind w:left="708" w:firstLine="0"/>
        <w:jc w:val="left"/>
      </w:pPr>
      <w:r>
        <w:t xml:space="preserve"> </w:t>
      </w:r>
    </w:p>
    <w:p w:rsidR="00B064CF" w:rsidRDefault="00E32F70">
      <w:pPr>
        <w:spacing w:after="112"/>
        <w:ind w:left="0" w:right="3" w:firstLine="708"/>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68225" name="Group 368225"/>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1156" name="Rectangle 1156"/>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1157" name="Rectangle 1157"/>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10 de 298 </w:t>
                              </w:r>
                            </w:p>
                          </w:txbxContent>
                        </wps:txbx>
                        <wps:bodyPr horzOverflow="overflow" vert="horz" lIns="0" tIns="0" rIns="0" bIns="0" rtlCol="0">
                          <a:noAutofit/>
                        </wps:bodyPr>
                      </wps:wsp>
                    </wpg:wgp>
                  </a:graphicData>
                </a:graphic>
              </wp:anchor>
            </w:drawing>
          </mc:Choice>
          <mc:Fallback xmlns:a="http://schemas.openxmlformats.org/drawingml/2006/main">
            <w:pict>
              <v:group id="Group 368225" style="width:12.7031pt;height:278.91pt;position:absolute;mso-position-horizontal-relative:page;mso-position-horizontal:absolute;margin-left:682.278pt;mso-position-vertical-relative:page;margin-top:533.01pt;" coordsize="1613,35421">
                <v:rect id="Rectangle 1156"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1157"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 de 298 </w:t>
                        </w:r>
                      </w:p>
                    </w:txbxContent>
                  </v:textbox>
                </v:rect>
                <w10:wrap type="square"/>
              </v:group>
            </w:pict>
          </mc:Fallback>
        </mc:AlternateContent>
      </w:r>
      <w:r>
        <w:t>La solicitud de una dotación de crédito con destino a redacción de proyecto y ejecución de obras para construir cancha polideportiva en Caletillas, no se encuadra dentro de los tres supuestos de reclamación, tal como dispone el artículo 170.2 del Real Decr</w:t>
      </w:r>
      <w:r>
        <w:t xml:space="preserve">eto Legislativo 2/2004, de 5 de marzo, por el que se aprueba el Texto Refundido de la Ley reguladora de las Haciendas Locales. No existe, por tanto, obligación legal. </w:t>
      </w:r>
    </w:p>
    <w:p w:rsidR="00B064CF" w:rsidRDefault="00E32F70">
      <w:pPr>
        <w:spacing w:after="100" w:line="259" w:lineRule="auto"/>
        <w:ind w:left="708" w:firstLine="0"/>
        <w:jc w:val="left"/>
      </w:pPr>
      <w:r>
        <w:t xml:space="preserve"> </w:t>
      </w:r>
    </w:p>
    <w:p w:rsidR="00B064CF" w:rsidRDefault="00E32F70">
      <w:pPr>
        <w:spacing w:after="106"/>
        <w:ind w:left="718" w:right="72"/>
      </w:pPr>
      <w:r>
        <w:t xml:space="preserve">Se informa negativamente la presente reclamación. </w:t>
      </w:r>
    </w:p>
    <w:p w:rsidR="00B064CF" w:rsidRDefault="00E32F70">
      <w:pPr>
        <w:spacing w:after="21" w:line="248" w:lineRule="auto"/>
        <w:ind w:right="2"/>
      </w:pPr>
      <w:r>
        <w:rPr>
          <w:b/>
        </w:rPr>
        <w:t xml:space="preserve">9.- </w:t>
      </w:r>
      <w:r>
        <w:rPr>
          <w:b/>
          <w:i/>
        </w:rPr>
        <w:t xml:space="preserve">En octubre de 2016 los vecinos </w:t>
      </w:r>
      <w:r>
        <w:rPr>
          <w:b/>
          <w:i/>
        </w:rPr>
        <w:t>de Bajo la Cuesta fueron desalojados de sus viviendas ante el riesgo de desprendimientos en el talud. Desde entonces han luchado para poder regresar a sus viviendas. Ya se han realizado y finalizado las obras para la zona de UNELCO del talud, por lo que lo</w:t>
      </w:r>
      <w:r>
        <w:rPr>
          <w:b/>
          <w:i/>
        </w:rPr>
        <w:t>s vecinos desde ese momento han podido regresar a este espacio que ya ha sido habilitado, faltando aún por dar respuesta a los vecinos cuyas viviendas se encuentran en la zona de Dani Ran y que aún no han podido regresar a sus viviendas dado que el proyect</w:t>
      </w:r>
      <w:r>
        <w:rPr>
          <w:b/>
          <w:i/>
        </w:rPr>
        <w:t>o encargado por el Ayuntamiento para la ejecución de las obras de la zona privada y de dominio público ha variado con el paso del tiempo, teniendo un valor estimado final de 1,5 millones de euros. El equipo técnico que asesora al Grupo Municipal Popular de</w:t>
      </w:r>
      <w:r>
        <w:rPr>
          <w:b/>
          <w:i/>
        </w:rPr>
        <w:t xml:space="preserve"> Candelaria entiende que según la proporción del terreno y el estudio geotécnico realizado en la zona por la empresa ICINCO, el coste de las obras no tiene que ser tan elevadas como establece el proyecto encargado por el grupo de gobierno (PSOE). Por tanto</w:t>
      </w:r>
      <w:r>
        <w:rPr>
          <w:b/>
          <w:i/>
        </w:rPr>
        <w:t xml:space="preserve">, el Grupo Municipal Popular entiende que se debe establecer una partida para la REDACCIÓN DE UN NUEVO PROYECTO PARA CONTINUAR LA REHABILITACIÓN DEL TALUD DEL RISCO DE BAJO LA CUESTA EN </w:t>
      </w:r>
    </w:p>
    <w:p w:rsidR="00B064CF" w:rsidRDefault="00E32F70">
      <w:pPr>
        <w:spacing w:after="11" w:line="248" w:lineRule="auto"/>
      </w:pPr>
      <w:r>
        <w:rPr>
          <w:b/>
          <w:i/>
        </w:rPr>
        <w:t>LA ZONA DE DANI RAN de 20.000,00 € y otra partida presupuestaria para</w:t>
      </w:r>
      <w:r>
        <w:rPr>
          <w:b/>
          <w:i/>
        </w:rPr>
        <w:t xml:space="preserve"> CONTINUAR </w:t>
      </w:r>
    </w:p>
    <w:p w:rsidR="00B064CF" w:rsidRDefault="00E32F70">
      <w:pPr>
        <w:spacing w:after="93" w:line="248" w:lineRule="auto"/>
      </w:pPr>
      <w:r>
        <w:rPr>
          <w:b/>
          <w:i/>
        </w:rPr>
        <w:t xml:space="preserve">LA REHABILITACIÓN DEL TALUD DEL RISCO DE BAJO LA CUESTA EN LA ZONA DE DANI RAN CON CARÁCTER PLURIANUAL de 200.000,00 € para 2021 y 2022, para luego solicitar de forma subsidiaria a los propietarios del talud, finalizando de esta forma el cargo </w:t>
      </w:r>
      <w:r>
        <w:rPr>
          <w:b/>
          <w:i/>
        </w:rPr>
        <w:t>presupuestario que supone el pago de alquiler continuado para la reubicación de algunos de estos vecinos afectados, además de garantizar el regreso de todos a sus viviendas.</w:t>
      </w:r>
      <w:r>
        <w:rPr>
          <w:rFonts w:ascii="Times New Roman" w:eastAsia="Times New Roman" w:hAnsi="Times New Roman" w:cs="Times New Roman"/>
          <w:sz w:val="24"/>
        </w:rPr>
        <w:t xml:space="preserve"> </w:t>
      </w:r>
    </w:p>
    <w:p w:rsidR="00B064CF" w:rsidRDefault="00E32F70">
      <w:pPr>
        <w:spacing w:after="100" w:line="259" w:lineRule="auto"/>
        <w:ind w:left="708" w:firstLine="0"/>
        <w:jc w:val="left"/>
      </w:pPr>
      <w:r>
        <w:t xml:space="preserve"> </w:t>
      </w:r>
    </w:p>
    <w:p w:rsidR="00B064CF" w:rsidRDefault="00E32F70">
      <w:pPr>
        <w:spacing w:after="114"/>
        <w:ind w:left="0" w:right="5" w:firstLine="708"/>
      </w:pPr>
      <w:r>
        <w:t>La solicitud de una dotación de crédito con destino a redacción de proyecto par</w:t>
      </w:r>
      <w:r>
        <w:t>a rehabilitar el talud en Bajo la cuesta, no se encuadra dentro de los tres supuestos de reclamación, tal como dispone el artículo 170.2 del Real Decreto Legislativo 2/2004, de 5 de marzo, por el que se aprueba el Texto Refundido de la Ley reguladora de la</w:t>
      </w:r>
      <w:r>
        <w:t xml:space="preserve">s Haciendas Locales. No existe, por tanto, obligación legal. </w:t>
      </w:r>
    </w:p>
    <w:p w:rsidR="00B064CF" w:rsidRDefault="00E32F70">
      <w:pPr>
        <w:spacing w:after="98" w:line="259" w:lineRule="auto"/>
        <w:ind w:left="708" w:firstLine="0"/>
        <w:jc w:val="left"/>
      </w:pPr>
      <w:r>
        <w:t xml:space="preserve"> </w:t>
      </w:r>
    </w:p>
    <w:p w:rsidR="00B064CF" w:rsidRDefault="00E32F70">
      <w:pPr>
        <w:spacing w:after="111"/>
        <w:ind w:left="718" w:right="72"/>
      </w:pPr>
      <w:r>
        <w:t xml:space="preserve">Se informa negativamente la presente reclamación. </w:t>
      </w:r>
    </w:p>
    <w:p w:rsidR="00B064CF" w:rsidRDefault="00E32F70">
      <w:pPr>
        <w:spacing w:after="95" w:line="259" w:lineRule="auto"/>
        <w:ind w:left="708" w:firstLine="0"/>
        <w:jc w:val="left"/>
      </w:pPr>
      <w:r>
        <w:t xml:space="preserve"> </w:t>
      </w:r>
    </w:p>
    <w:p w:rsidR="00B064CF" w:rsidRDefault="00E32F70">
      <w:pPr>
        <w:spacing w:after="93"/>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68155" name="Group 368155"/>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1253" name="Rectangle 1253"/>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1254" name="Rectangle 1254"/>
                        <wps:cNvSpPr/>
                        <wps:spPr>
                          <a:xfrm rot="-5399999">
                            <a:off x="-2066649" y="1286083"/>
                            <a:ext cx="4398923"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11 de 298 </w:t>
                              </w:r>
                            </w:p>
                          </w:txbxContent>
                        </wps:txbx>
                        <wps:bodyPr horzOverflow="overflow" vert="horz" lIns="0" tIns="0" rIns="0" bIns="0" rtlCol="0">
                          <a:noAutofit/>
                        </wps:bodyPr>
                      </wps:wsp>
                    </wpg:wgp>
                  </a:graphicData>
                </a:graphic>
              </wp:anchor>
            </w:drawing>
          </mc:Choice>
          <mc:Fallback xmlns:a="http://schemas.openxmlformats.org/drawingml/2006/main">
            <w:pict>
              <v:group id="Group 368155" style="width:12.7031pt;height:278.91pt;position:absolute;mso-position-horizontal-relative:page;mso-position-horizontal:absolute;margin-left:682.278pt;mso-position-vertical-relative:page;margin-top:533.01pt;" coordsize="1613,35421">
                <v:rect id="Rectangle 1253"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1254" style="position:absolute;width:43989;height:1132;left:-20666;top:128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 de 298 </w:t>
                        </w:r>
                      </w:p>
                    </w:txbxContent>
                  </v:textbox>
                </v:rect>
                <w10:wrap type="square"/>
              </v:group>
            </w:pict>
          </mc:Fallback>
        </mc:AlternateContent>
      </w:r>
      <w:r>
        <w:rPr>
          <w:b/>
        </w:rPr>
        <w:t>10.- Candelaria además de ser un referente turístico por ser el municipio en el que se encuentra la Virgen de Candelaria, Patrona de Canarias, su buen clima y var</w:t>
      </w:r>
      <w:r>
        <w:rPr>
          <w:b/>
        </w:rPr>
        <w:t>iada oferta en el sector de la restauración, es un municipio que ha tenido una expansión demográfica muy importante en las últimas décadas. Una localidad con las características de Candelaria requiere de una adecuada modernización, lo que hace necesario pr</w:t>
      </w:r>
      <w:r>
        <w:rPr>
          <w:b/>
        </w:rPr>
        <w:t>estar servicios que atiendan la demanda actual. Candelaria no dispone de casi baños en la vía pública, la mayoría son instalados de forma provisional con motivo de las fiestas o algún evento especial. Por lo que la ausencia de estos ha ocasionado que deter</w:t>
      </w:r>
      <w:r>
        <w:rPr>
          <w:b/>
        </w:rPr>
        <w:t>minados rincones de nuestro municipio se conviertan en improvisados urinarios públicos. Además de que en muchas ocasiones nuestros vecinos y visitantes tienen que recurrir a los negocios de hostelería o incluso a los aseos del propio Ayuntamiento para cubr</w:t>
      </w:r>
      <w:r>
        <w:rPr>
          <w:b/>
        </w:rPr>
        <w:t>ir sus necesidades básicas. En la actualidad existe una amplia gama de tipos de baños públicos, automáticos, autolimpiables, con cambia pañales, accesibles a personas de movilidad reducida... que se deben tener en cuenta a la hora de implantar en nuestro m</w:t>
      </w:r>
      <w:r>
        <w:rPr>
          <w:b/>
        </w:rPr>
        <w:t xml:space="preserve">unicipio unos aseos que ofrezcan la máxima confianza a los ciudadanos en </w:t>
      </w:r>
      <w:r>
        <w:rPr>
          <w:b/>
          <w:i/>
        </w:rPr>
        <w:t>relación con la seguridad y la higiene; asegurar que estén siempre en funcionamiento; facilitar un mínimo de mantenimiento; ser respetuosos con el medio ambiente, y consumir un mínimo</w:t>
      </w:r>
      <w:r>
        <w:rPr>
          <w:b/>
          <w:i/>
        </w:rPr>
        <w:t xml:space="preserve"> de agua y luz. El Grupo Municipal Popular propone la creación de la partida presupuestaria PARA LA IMPLANTACIÓN PROGRESIVA DE LA RED DE BAÑOS PÚBLICOS de 30.000,00 € con cargo a la aportación del Presupuesto Municipal de 2021. Con el objetivo de que cada </w:t>
      </w:r>
      <w:r>
        <w:rPr>
          <w:b/>
          <w:i/>
        </w:rPr>
        <w:t>año se repita esta aportación hasta que ya se tengan instalados en el municipio los baños suficientes para dar respuesta a esta demanda.</w:t>
      </w:r>
      <w:r>
        <w:rPr>
          <w:rFonts w:ascii="Times New Roman" w:eastAsia="Times New Roman" w:hAnsi="Times New Roman" w:cs="Times New Roman"/>
          <w:sz w:val="24"/>
        </w:rPr>
        <w:t xml:space="preserve"> </w:t>
      </w:r>
    </w:p>
    <w:p w:rsidR="00B064CF" w:rsidRDefault="00E32F70">
      <w:pPr>
        <w:spacing w:after="98" w:line="259" w:lineRule="auto"/>
        <w:ind w:left="708" w:firstLine="0"/>
        <w:jc w:val="left"/>
      </w:pPr>
      <w:r>
        <w:t xml:space="preserve"> </w:t>
      </w:r>
    </w:p>
    <w:p w:rsidR="00B064CF" w:rsidRDefault="00E32F70">
      <w:pPr>
        <w:spacing w:after="112"/>
        <w:ind w:left="0" w:right="3" w:firstLine="708"/>
      </w:pPr>
      <w:r>
        <w:t>La solicitud de una dotación de crédito con destino a implantar de forma progresiva una red de baños públicos, no se</w:t>
      </w:r>
      <w:r>
        <w:t xml:space="preserve"> encuadra dentro de los tres supuestos de reclamación, tal como dispone el artículo 170.2 del Real Decreto Legislativo 2/2004, de 5 de marzo, por el que se aprueba el Texto Refundido de la Ley reguladora de las Haciendas Locales. No existe, por tanto, obli</w:t>
      </w:r>
      <w:r>
        <w:t xml:space="preserve">gación legal. </w:t>
      </w:r>
    </w:p>
    <w:p w:rsidR="00B064CF" w:rsidRDefault="00E32F70">
      <w:pPr>
        <w:spacing w:after="100" w:line="259" w:lineRule="auto"/>
        <w:ind w:left="708" w:firstLine="0"/>
        <w:jc w:val="left"/>
      </w:pPr>
      <w:r>
        <w:t xml:space="preserve"> </w:t>
      </w:r>
    </w:p>
    <w:p w:rsidR="00B064CF" w:rsidRDefault="00E32F70">
      <w:pPr>
        <w:spacing w:after="4"/>
        <w:ind w:left="718" w:right="144"/>
      </w:pPr>
      <w:r>
        <w:rPr>
          <w:i/>
        </w:rPr>
        <w:t xml:space="preserve">Se informa negativamente la presente reclamación. </w:t>
      </w:r>
    </w:p>
    <w:p w:rsidR="00B064CF" w:rsidRDefault="00E32F70">
      <w:pPr>
        <w:spacing w:after="100" w:line="259" w:lineRule="auto"/>
        <w:ind w:left="708" w:firstLine="0"/>
        <w:jc w:val="left"/>
      </w:pPr>
      <w:r>
        <w:rPr>
          <w:i/>
        </w:rPr>
        <w:t xml:space="preserve"> </w:t>
      </w:r>
    </w:p>
    <w:p w:rsidR="00B064CF" w:rsidRDefault="00E32F70">
      <w:pPr>
        <w:spacing w:after="113" w:line="248" w:lineRule="auto"/>
        <w:ind w:right="1"/>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63876" name="Group 363876"/>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1344" name="Rectangle 1344"/>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1345" name="Rectangle 1345"/>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12 de 298 </w:t>
                              </w:r>
                            </w:p>
                          </w:txbxContent>
                        </wps:txbx>
                        <wps:bodyPr horzOverflow="overflow" vert="horz" lIns="0" tIns="0" rIns="0" bIns="0" rtlCol="0">
                          <a:noAutofit/>
                        </wps:bodyPr>
                      </wps:wsp>
                    </wpg:wgp>
                  </a:graphicData>
                </a:graphic>
              </wp:anchor>
            </w:drawing>
          </mc:Choice>
          <mc:Fallback xmlns:a="http://schemas.openxmlformats.org/drawingml/2006/main">
            <w:pict>
              <v:group id="Group 363876" style="width:12.7031pt;height:278.91pt;position:absolute;mso-position-horizontal-relative:page;mso-position-horizontal:absolute;margin-left:682.278pt;mso-position-vertical-relative:page;margin-top:533.01pt;" coordsize="1613,35421">
                <v:rect id="Rectangle 1344"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1345"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 de 298 </w:t>
                        </w:r>
                      </w:p>
                    </w:txbxContent>
                  </v:textbox>
                </v:rect>
                <w10:wrap type="square"/>
              </v:group>
            </w:pict>
          </mc:Fallback>
        </mc:AlternateContent>
      </w:r>
      <w:r>
        <w:rPr>
          <w:b/>
          <w:i/>
        </w:rPr>
        <w:t>11.- El grupo popular en el Ayuntamiento de Candelaria propone la creación de la partida presupuestaria PARA LA IMPLANTACIÓN DEL PUNTO LIMPIO MÓVIL Y ROTATORIO PO</w:t>
      </w:r>
      <w:r>
        <w:rPr>
          <w:b/>
          <w:i/>
        </w:rPr>
        <w:t>R TODO EL MUNICIPIO DE CANDELARIA de 10.000,00 € El Punto Limpio móvil es un vehículo adaptado para reciclar, donde se pueden depositar residuos que no se admiten en los contendores que habitualmente encontramos en la vía pública. El Ayuntamiento de Candel</w:t>
      </w:r>
      <w:r>
        <w:rPr>
          <w:b/>
          <w:i/>
        </w:rPr>
        <w:t>aria debe impulsar programas de educación ambiental que mejoren la calidad del municipio y de los vecinos. Una adecuada gestión de los residuos comienza reconociendo que todo es potencialmente aprovechable. Entendemos como basura lo que no sabemos reutiliz</w:t>
      </w:r>
      <w:r>
        <w:rPr>
          <w:b/>
          <w:i/>
        </w:rPr>
        <w:t>ar ni reciclar. Los residuos que se generan en los hogares españoles suponen una tercera parte del total de los residuos generados en España. Estos residuos son de diversos tipos, el problema es que, en muchos de los casos, los vecinos no saben dónde depos</w:t>
      </w:r>
      <w:r>
        <w:rPr>
          <w:b/>
          <w:i/>
        </w:rPr>
        <w:t>itarlos para su correcta reutilización o reciclado. Si cada persona no separa los desechos adecuadamente en su casa, de nada sirve una buena gestión de los residuos por parte de las administraciones. La aparición de los puntos limpios son una apuesta decid</w:t>
      </w:r>
      <w:r>
        <w:rPr>
          <w:b/>
          <w:i/>
        </w:rPr>
        <w:t>ida por la reducción, reutilización y el reciclado de la recogida selectiva de basura. Este tipo de equipamiento se caracteriza por su versatilidad a la hora de realizar una recogida selectiva de residuos en los diferentes núcleos urbanos de Candelaria, ya</w:t>
      </w:r>
      <w:r>
        <w:rPr>
          <w:b/>
          <w:i/>
        </w:rPr>
        <w:t xml:space="preserve"> que el contenedor transportable que constituye el Punto Limpio móvil se traslada fácilmente de una zona a otra en un camión dotado con equipo de gancho, depositándose en un espacio libre o vía pública donde los ciudadanos pueden depositar los residuos que</w:t>
      </w:r>
      <w:r>
        <w:rPr>
          <w:b/>
          <w:i/>
        </w:rPr>
        <w:t xml:space="preserve"> normalmente no saben qué hacer con ellos ni a dónde llevarlos, tales como: aparatos eléctricos de pequeño tamaño, fluorescentes, lámparas de bajo consumo, LED, aceites usados, aerosoles, radiografías, escombros en poca cantidad, pilas, baterías, pinturas,</w:t>
      </w:r>
      <w:r>
        <w:rPr>
          <w:b/>
          <w:i/>
        </w:rPr>
        <w:t xml:space="preserve"> barnices, etc. En definitiva, un Punto Limpio Móvil que permita el acercamiento al vecino de forma itinerante y rotativa, por todo el municipio, para alcanzar el objetivo del desarrollo sostenible, mediante la separación selectiva en origen, es decir, en </w:t>
      </w:r>
      <w:r>
        <w:rPr>
          <w:b/>
          <w:i/>
        </w:rPr>
        <w:t xml:space="preserve">el ámbito doméstico. </w:t>
      </w:r>
    </w:p>
    <w:p w:rsidR="00B064CF" w:rsidRDefault="00E32F70">
      <w:pPr>
        <w:spacing w:after="98" w:line="259" w:lineRule="auto"/>
        <w:ind w:left="708" w:firstLine="0"/>
        <w:jc w:val="left"/>
      </w:pPr>
      <w:r>
        <w:t xml:space="preserve"> </w:t>
      </w:r>
    </w:p>
    <w:p w:rsidR="00B064CF" w:rsidRDefault="00E32F70">
      <w:pPr>
        <w:spacing w:after="112"/>
        <w:ind w:left="0" w:right="3" w:firstLine="708"/>
      </w:pPr>
      <w:r>
        <w:t>La solicitud de una dotación de crédito con destino a implantar un punto móvil limpio y rotatorio por el municipio, no se encuadra dentro de los tres supuestos de reclamación, tal como dispone el artículo 170.2 del Real Decreto Legi</w:t>
      </w:r>
      <w:r>
        <w:t xml:space="preserve">slativo 2/2004, de 5 de marzo, por el que se aprueba el Texto Refundido de la Ley reguladora de las Haciendas Locales. No existe, por tanto, obligación legal. </w:t>
      </w:r>
    </w:p>
    <w:p w:rsidR="00B064CF" w:rsidRDefault="00E32F70">
      <w:pPr>
        <w:spacing w:after="100" w:line="259" w:lineRule="auto"/>
        <w:ind w:left="708" w:firstLine="0"/>
        <w:jc w:val="left"/>
      </w:pPr>
      <w:r>
        <w:t xml:space="preserve"> </w:t>
      </w:r>
    </w:p>
    <w:p w:rsidR="00B064CF" w:rsidRDefault="00E32F70">
      <w:pPr>
        <w:spacing w:after="109"/>
        <w:ind w:left="718" w:right="72"/>
      </w:pPr>
      <w:r>
        <w:t xml:space="preserve">Se informa negativamente la presente reclamación. </w:t>
      </w:r>
    </w:p>
    <w:p w:rsidR="00B064CF" w:rsidRDefault="00E32F70">
      <w:pPr>
        <w:spacing w:after="98" w:line="259" w:lineRule="auto"/>
        <w:ind w:left="708" w:firstLine="0"/>
        <w:jc w:val="left"/>
      </w:pPr>
      <w:r>
        <w:t xml:space="preserve"> </w:t>
      </w:r>
    </w:p>
    <w:p w:rsidR="00B064CF" w:rsidRDefault="00E32F70">
      <w:pPr>
        <w:spacing w:after="113" w:line="248" w:lineRule="auto"/>
        <w:ind w:right="1"/>
      </w:pPr>
      <w:r>
        <w:rPr>
          <w:b/>
          <w:i/>
        </w:rPr>
        <w:t>12.- La población joven de Candelaria sup</w:t>
      </w:r>
      <w:r>
        <w:rPr>
          <w:b/>
          <w:i/>
        </w:rPr>
        <w:t>one el 15% del total del municipio. Es necesario aumentar la partida destinada a actividades juveniles para garantizar la atención que demanda este grupo de población y equilibrar las partidas, así se evitan que caigan en actividades o vicios poco adecuado</w:t>
      </w:r>
      <w:r>
        <w:rPr>
          <w:b/>
          <w:i/>
        </w:rPr>
        <w:t xml:space="preserve">s para su desarrollo e inclusión social. El grupo municipal popular propone aumentar la cuenta para ACTIVIDADES JUVENILES en 25.000,00 € más, llegando de esta manera a los 50.000,00 € con cargo a la aportación municipal. </w:t>
      </w:r>
    </w:p>
    <w:p w:rsidR="00B064CF" w:rsidRDefault="00E32F70">
      <w:pPr>
        <w:spacing w:after="0" w:line="259" w:lineRule="auto"/>
        <w:ind w:left="708" w:firstLine="0"/>
        <w:jc w:val="left"/>
      </w:pPr>
      <w:r>
        <w:t xml:space="preserve"> </w:t>
      </w:r>
    </w:p>
    <w:p w:rsidR="00B064CF" w:rsidRDefault="00E32F70">
      <w:pPr>
        <w:spacing w:after="112"/>
        <w:ind w:left="0" w:right="5" w:firstLine="708"/>
      </w:pPr>
      <w:r>
        <w:t>La solicitud de un aumento de do</w:t>
      </w:r>
      <w:r>
        <w:t>tación de crédito con destino a actividades juveniles, no se encuadra dentro de los tres supuestos de reclamación, tal como dispone el artículo 170.2 del Real Decreto Legislativo 2/2004, de 5 de marzo, por el que se aprueba el Texto Refundido de la Ley reg</w:t>
      </w:r>
      <w:r>
        <w:t xml:space="preserve">uladora de las Haciendas Locales. No existe, por tanto, obligación legal. </w:t>
      </w:r>
    </w:p>
    <w:p w:rsidR="00B064CF" w:rsidRDefault="00E32F70">
      <w:pPr>
        <w:spacing w:after="100" w:line="259" w:lineRule="auto"/>
        <w:ind w:left="708" w:firstLine="0"/>
        <w:jc w:val="left"/>
      </w:pPr>
      <w:r>
        <w:t xml:space="preserve"> </w:t>
      </w:r>
    </w:p>
    <w:p w:rsidR="00B064CF" w:rsidRDefault="00E32F70">
      <w:pPr>
        <w:spacing w:after="109"/>
        <w:ind w:left="718" w:right="72"/>
      </w:pPr>
      <w:r>
        <w:t xml:space="preserve">Se informa negativamente la presente reclamación. </w:t>
      </w:r>
    </w:p>
    <w:p w:rsidR="00B064CF" w:rsidRDefault="00E32F70">
      <w:pPr>
        <w:spacing w:after="98" w:line="259" w:lineRule="auto"/>
        <w:ind w:left="708" w:firstLine="0"/>
        <w:jc w:val="left"/>
      </w:pPr>
      <w:r>
        <w:t xml:space="preserve"> </w:t>
      </w:r>
    </w:p>
    <w:p w:rsidR="00B064CF" w:rsidRDefault="00E32F70">
      <w:pPr>
        <w:spacing w:after="93" w:line="248" w:lineRule="auto"/>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64126" name="Group 364126"/>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1434" name="Rectangle 1434"/>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1435" name="Rectangle 1435"/>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13 de 298 </w:t>
                              </w:r>
                            </w:p>
                          </w:txbxContent>
                        </wps:txbx>
                        <wps:bodyPr horzOverflow="overflow" vert="horz" lIns="0" tIns="0" rIns="0" bIns="0" rtlCol="0">
                          <a:noAutofit/>
                        </wps:bodyPr>
                      </wps:wsp>
                    </wpg:wgp>
                  </a:graphicData>
                </a:graphic>
              </wp:anchor>
            </w:drawing>
          </mc:Choice>
          <mc:Fallback xmlns:a="http://schemas.openxmlformats.org/drawingml/2006/main">
            <w:pict>
              <v:group id="Group 364126" style="width:12.7031pt;height:278.91pt;position:absolute;mso-position-horizontal-relative:page;mso-position-horizontal:absolute;margin-left:682.278pt;mso-position-vertical-relative:page;margin-top:533.01pt;" coordsize="1613,35421">
                <v:rect id="Rectangle 1434"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1435"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 de 298 </w:t>
                        </w:r>
                      </w:p>
                    </w:txbxContent>
                  </v:textbox>
                </v:rect>
                <w10:wrap type="square"/>
              </v:group>
            </w:pict>
          </mc:Fallback>
        </mc:AlternateContent>
      </w:r>
      <w:r>
        <w:rPr>
          <w:b/>
        </w:rPr>
        <w:t xml:space="preserve">13.- </w:t>
      </w:r>
      <w:r>
        <w:rPr>
          <w:b/>
          <w:i/>
        </w:rPr>
        <w:t>En todas las etapas de la vida (niñez, juventud y época adulta), es importante llenar el tiempo libre de actividades que nos aporten un crecimiento intelectu</w:t>
      </w:r>
      <w:r>
        <w:rPr>
          <w:b/>
          <w:i/>
        </w:rPr>
        <w:t xml:space="preserve">al, creativo y personal, y no sólo desconectarnos del trabajo y las obligaciones, sino que tenemos que aprender a descansar y relajarnos. La tercera edad parece el mejor momento de la vida para desarrollar todas esas actividades en las que no hemos tenido </w:t>
      </w:r>
      <w:r>
        <w:rPr>
          <w:b/>
          <w:i/>
        </w:rPr>
        <w:t xml:space="preserve">tiempo de volcarnos los años anteriores, cuando el trabajo o las obligaciones familiares nos tenían atareados. Y sobre todo ahora que las personas mayores cuentan con mejores condiciones físicas e intelectuales que hace varias décadas: las opciones que se </w:t>
      </w:r>
      <w:r>
        <w:rPr>
          <w:b/>
          <w:i/>
        </w:rPr>
        <w:t>abren ante nosotros para disfrutar al máximo de la vida y fortalecer nuestra autonomía han aumentado mucho. Es en este sentido, y para que los adultos mayores sigan siendo parte activa de la sociedad y participen de actividades, proyectos y un sinnúmero de</w:t>
      </w:r>
      <w:r>
        <w:rPr>
          <w:b/>
          <w:i/>
        </w:rPr>
        <w:t xml:space="preserve"> beneficios que les permitan mantenerse activos tanto física, mental, como socialmente, es que cada vez más personas, crean o participan de los clubes de adultos mayores. En estos grupos, la dinámica e interacción gira en torno a objetivos, metas y esfuerz</w:t>
      </w:r>
      <w:r>
        <w:rPr>
          <w:b/>
          <w:i/>
        </w:rPr>
        <w:t>os propuestos y realizados por quienes lo integran, sin embargo, una gran mayoría de los que sobrepasan los 65 años se ven afectados por el problema de soledad e inactividad física, mental y social. Lo que trae como consecuencia el deterioro de la persona.</w:t>
      </w:r>
      <w:r>
        <w:rPr>
          <w:b/>
          <w:i/>
        </w:rPr>
        <w:t xml:space="preserve"> Para el grupo municipal popular dado que el municipio de Candelaria tiene una población de la “tercera edad” que aproximadamente supone el 20% del total de las personas censadas, es necesario aumentar la partida destinada a los mayores para que se aumente</w:t>
      </w:r>
      <w:r>
        <w:rPr>
          <w:b/>
          <w:i/>
        </w:rPr>
        <w:t>n las actividades y atención que reciben. En los últimos años Candelaria ha sufrido un aumento considerable de población en la zona de Punta Larga y Caletillas, donde viven bastantes personas mayores a las que les cuesta desplazarse hasta el Centro de Antó</w:t>
      </w:r>
      <w:r>
        <w:rPr>
          <w:b/>
          <w:i/>
        </w:rPr>
        <w:t xml:space="preserve">n Guanche, por lo que demandan tener un lugar de reunión más próximo a su lugar de residencia. El grupo popular propone aumentar las partidas destinadas a personas mayores dado que Candelaria pertenece a la Red de Municipios Amigos de las Personas Mayores </w:t>
      </w:r>
      <w:r>
        <w:rPr>
          <w:b/>
          <w:i/>
        </w:rPr>
        <w:t>y esto además de las actividades habituales que se realizan año tras año, requiere de un plan adecuado que permita desarrollar políticas activas para lograr alinear las acciones que se desarrollan desde todas las áreas, con el fin de dar respuesta a las de</w:t>
      </w:r>
      <w:r>
        <w:rPr>
          <w:b/>
          <w:i/>
        </w:rPr>
        <w:t>mandas de este sector social y en especial a la gran dificultad que supone la soledad para este grupo de edad.</w:t>
      </w:r>
      <w:r>
        <w:rPr>
          <w:rFonts w:ascii="Times New Roman" w:eastAsia="Times New Roman" w:hAnsi="Times New Roman" w:cs="Times New Roman"/>
          <w:sz w:val="24"/>
        </w:rPr>
        <w:t xml:space="preserve"> </w:t>
      </w:r>
    </w:p>
    <w:p w:rsidR="00B064CF" w:rsidRDefault="00E32F70">
      <w:pPr>
        <w:spacing w:after="100" w:line="259" w:lineRule="auto"/>
        <w:ind w:left="708" w:firstLine="0"/>
        <w:jc w:val="left"/>
      </w:pPr>
      <w:r>
        <w:t xml:space="preserve"> </w:t>
      </w:r>
    </w:p>
    <w:p w:rsidR="00B064CF" w:rsidRDefault="00E32F70">
      <w:pPr>
        <w:spacing w:after="0"/>
        <w:ind w:left="0" w:firstLine="708"/>
      </w:pPr>
      <w:r>
        <w:t xml:space="preserve">La solicitud de un aumento de dotación de crédito con destino a personas mayores, no se encuadra dentro de los tres supuestos de reclamación, </w:t>
      </w:r>
      <w:r>
        <w:t xml:space="preserve">tal como dispone el artículo </w:t>
      </w:r>
    </w:p>
    <w:p w:rsidR="00B064CF" w:rsidRDefault="00E32F70">
      <w:pPr>
        <w:spacing w:after="0"/>
        <w:ind w:right="8"/>
      </w:pPr>
      <w:r>
        <w:t xml:space="preserve">170.2 del Real Decreto Legislativo 2/2004, de 5 de marzo, por el que se aprueba el Texto Refundido de la Ley reguladora de las Haciendas Locales. No existe, por tanto, obligación legal. </w:t>
      </w:r>
    </w:p>
    <w:p w:rsidR="00B064CF" w:rsidRDefault="00B064CF">
      <w:pPr>
        <w:sectPr w:rsidR="00B064CF">
          <w:headerReference w:type="even" r:id="rId38"/>
          <w:headerReference w:type="default" r:id="rId39"/>
          <w:footerReference w:type="even" r:id="rId40"/>
          <w:footerReference w:type="default" r:id="rId41"/>
          <w:headerReference w:type="first" r:id="rId42"/>
          <w:footerReference w:type="first" r:id="rId43"/>
          <w:pgSz w:w="14174" w:h="16838"/>
          <w:pgMar w:top="2839" w:right="2617" w:bottom="572" w:left="2553" w:header="720" w:footer="720" w:gutter="0"/>
          <w:cols w:space="720"/>
          <w:titlePg/>
        </w:sectPr>
      </w:pPr>
    </w:p>
    <w:p w:rsidR="00B064CF" w:rsidRDefault="00E32F70">
      <w:pPr>
        <w:spacing w:after="100" w:line="259" w:lineRule="auto"/>
        <w:ind w:left="1068" w:firstLine="0"/>
        <w:jc w:val="left"/>
      </w:pPr>
      <w:r>
        <w:t xml:space="preserve"> </w:t>
      </w:r>
    </w:p>
    <w:p w:rsidR="00B064CF" w:rsidRDefault="00E32F70">
      <w:pPr>
        <w:spacing w:after="109"/>
        <w:ind w:left="1078" w:right="72"/>
      </w:pPr>
      <w:r>
        <w:t xml:space="preserve">Se informa negativamente la presente reclamación. </w:t>
      </w:r>
    </w:p>
    <w:p w:rsidR="00B064CF" w:rsidRDefault="00E32F70">
      <w:pPr>
        <w:spacing w:after="95" w:line="259" w:lineRule="auto"/>
        <w:ind w:left="1068" w:firstLine="0"/>
        <w:jc w:val="left"/>
      </w:pPr>
      <w:r>
        <w:t xml:space="preserve"> </w:t>
      </w:r>
    </w:p>
    <w:p w:rsidR="00B064CF" w:rsidRDefault="00E32F70">
      <w:pPr>
        <w:spacing w:after="92" w:line="248" w:lineRule="auto"/>
        <w:ind w:left="355" w:right="699"/>
      </w:pPr>
      <w:r>
        <w:rPr>
          <w:b/>
        </w:rPr>
        <w:t xml:space="preserve">14.- </w:t>
      </w:r>
      <w:r>
        <w:rPr>
          <w:b/>
          <w:i/>
        </w:rPr>
        <w:t>El sector servicio es uno de los principales motores económicos del municipio de Candelaria, por lo que se hace fundamental aumentar las partidas destin</w:t>
      </w:r>
      <w:r>
        <w:rPr>
          <w:b/>
          <w:i/>
        </w:rPr>
        <w:t xml:space="preserve">adas a la publicidad, propaganda y promoción del comercio local. La administración local debe propiciar acciones que permitan el desarrollo de las pequeñas y medianas empresas del municipio para que aumenten el número de empleos y de esta manera disminuir </w:t>
      </w:r>
      <w:r>
        <w:rPr>
          <w:b/>
          <w:i/>
        </w:rPr>
        <w:t>las cifras de desempleados en Candelaria. El Grupo Municipal Popular propone aumentar la cuenta para PUBLICIDAD Y PROPAGANDA hasta llegar a los 30.000,00 € y la cuenta para PROMOCIÓN DEL COMERCIO hasta llegar a los 40.000,00 € con aportación municipal en a</w:t>
      </w:r>
      <w:r>
        <w:rPr>
          <w:b/>
          <w:i/>
        </w:rPr>
        <w:t>mbos casos.</w:t>
      </w:r>
      <w:r>
        <w:rPr>
          <w:rFonts w:ascii="Times New Roman" w:eastAsia="Times New Roman" w:hAnsi="Times New Roman" w:cs="Times New Roman"/>
          <w:sz w:val="24"/>
        </w:rPr>
        <w:t xml:space="preserve"> </w:t>
      </w:r>
    </w:p>
    <w:p w:rsidR="00B064CF" w:rsidRDefault="00E32F70">
      <w:pPr>
        <w:spacing w:after="100" w:line="259" w:lineRule="auto"/>
        <w:ind w:left="1068" w:firstLine="0"/>
        <w:jc w:val="left"/>
      </w:pPr>
      <w:r>
        <w:t xml:space="preserve"> </w:t>
      </w:r>
    </w:p>
    <w:p w:rsidR="00B064CF" w:rsidRDefault="00E32F70">
      <w:pPr>
        <w:spacing w:after="114"/>
        <w:ind w:left="345" w:right="709" w:firstLine="708"/>
      </w:pPr>
      <w:r>
        <w:t xml:space="preserve">La solicitud de un aumento de dotación de crédito con destino a publicidad, propaganda y promoción del comercio local, no se encuadra dentro de los tres supuestos de reclamación, tal como dispone el artículo 170.2 del Real Decreto Legislativo 2/2004, de 5 </w:t>
      </w:r>
      <w:r>
        <w:t xml:space="preserve">de marzo, por el que se aprueba el Texto Refundido de la Ley reguladora de las Haciendas Locales. No existe, por tanto, obligación legal. </w:t>
      </w:r>
    </w:p>
    <w:p w:rsidR="00B064CF" w:rsidRDefault="00E32F70">
      <w:pPr>
        <w:spacing w:after="98" w:line="259" w:lineRule="auto"/>
        <w:ind w:left="1068" w:firstLine="0"/>
        <w:jc w:val="left"/>
      </w:pPr>
      <w:r>
        <w:t xml:space="preserve"> </w:t>
      </w:r>
    </w:p>
    <w:p w:rsidR="00B064CF" w:rsidRDefault="00E32F70">
      <w:pPr>
        <w:spacing w:after="109"/>
        <w:ind w:left="1078" w:right="72"/>
      </w:pPr>
      <w:r>
        <w:t xml:space="preserve">Se informa negativamente la presente reclamación. </w:t>
      </w:r>
    </w:p>
    <w:p w:rsidR="00B064CF" w:rsidRDefault="00E32F70">
      <w:pPr>
        <w:spacing w:after="98" w:line="259" w:lineRule="auto"/>
        <w:ind w:left="1068" w:firstLine="0"/>
        <w:jc w:val="left"/>
      </w:pPr>
      <w:r>
        <w:t xml:space="preserve"> </w:t>
      </w:r>
    </w:p>
    <w:p w:rsidR="00B064CF" w:rsidRDefault="00E32F70">
      <w:pPr>
        <w:spacing w:after="113" w:line="248" w:lineRule="auto"/>
        <w:ind w:left="355" w:right="699"/>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1597787</wp:posOffset>
                </wp:positionH>
                <wp:positionV relativeFrom="page">
                  <wp:posOffset>440283</wp:posOffset>
                </wp:positionV>
                <wp:extent cx="904494" cy="915315"/>
                <wp:effectExtent l="0" t="0" r="0" b="0"/>
                <wp:wrapTopAndBottom/>
                <wp:docPr id="364374" name="Group 364374"/>
                <wp:cNvGraphicFramePr/>
                <a:graphic xmlns:a="http://schemas.openxmlformats.org/drawingml/2006/main">
                  <a:graphicData uri="http://schemas.microsoft.com/office/word/2010/wordprocessingGroup">
                    <wpg:wgp>
                      <wpg:cNvGrpSpPr/>
                      <wpg:grpSpPr>
                        <a:xfrm>
                          <a:off x="0" y="0"/>
                          <a:ext cx="904494" cy="915315"/>
                          <a:chOff x="0" y="0"/>
                          <a:chExt cx="904494" cy="915315"/>
                        </a:xfrm>
                      </wpg:grpSpPr>
                      <wps:wsp>
                        <wps:cNvPr id="1442" name="Shape 1442"/>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1444" name="Picture 1444"/>
                          <pic:cNvPicPr/>
                        </pic:nvPicPr>
                        <pic:blipFill>
                          <a:blip r:embed="rId7"/>
                          <a:stretch>
                            <a:fillRect/>
                          </a:stretch>
                        </pic:blipFill>
                        <pic:spPr>
                          <a:xfrm>
                            <a:off x="0" y="153"/>
                            <a:ext cx="754380" cy="912876"/>
                          </a:xfrm>
                          <a:prstGeom prst="rect">
                            <a:avLst/>
                          </a:prstGeom>
                        </pic:spPr>
                      </pic:pic>
                      <wps:wsp>
                        <wps:cNvPr id="1446" name="Rectangle 1446"/>
                        <wps:cNvSpPr/>
                        <wps:spPr>
                          <a:xfrm>
                            <a:off x="23165" y="0"/>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47" name="Rectangle 1447"/>
                        <wps:cNvSpPr/>
                        <wps:spPr>
                          <a:xfrm>
                            <a:off x="23165" y="175260"/>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64374" style="width:71.22pt;height:72.072pt;position:absolute;mso-position-horizontal-relative:page;mso-position-horizontal:absolute;margin-left:125.81pt;mso-position-vertical-relative:page;margin-top:34.668pt;" coordsize="9044,9153">
                <v:shape id="Shape 1442" style="position:absolute;width:0;height:8001;left:9044;top:1152;" coordsize="0,800100" path="m0,0l0,800100">
                  <v:stroke weight="2.28pt" endcap="square" joinstyle="miter" miterlimit="10" on="true" color="#993366"/>
                  <v:fill on="false" color="#000000" opacity="0"/>
                </v:shape>
                <v:shape id="Picture 1444" style="position:absolute;width:7543;height:9128;left:0;top:1;" filled="f">
                  <v:imagedata r:id="rId31"/>
                </v:shape>
                <v:rect id="Rectangle 1446" style="position:absolute;width:506;height:2243;left:23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447" style="position:absolute;width:506;height:2243;left:231;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64376" name="Group 364376"/>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1525" name="Rectangle 1525"/>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1526" name="Rectangle 1526"/>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14 de 298 </w:t>
                              </w:r>
                            </w:p>
                          </w:txbxContent>
                        </wps:txbx>
                        <wps:bodyPr horzOverflow="overflow" vert="horz" lIns="0" tIns="0" rIns="0" bIns="0" rtlCol="0">
                          <a:noAutofit/>
                        </wps:bodyPr>
                      </wps:wsp>
                    </wpg:wgp>
                  </a:graphicData>
                </a:graphic>
              </wp:anchor>
            </w:drawing>
          </mc:Choice>
          <mc:Fallback xmlns:a="http://schemas.openxmlformats.org/drawingml/2006/main">
            <w:pict>
              <v:group id="Group 364376" style="width:12.7031pt;height:278.91pt;position:absolute;mso-position-horizontal-relative:page;mso-position-horizontal:absolute;margin-left:682.278pt;mso-position-vertical-relative:page;margin-top:533.01pt;" coordsize="1613,35421">
                <v:rect id="Rectangle 1525"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1526"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 de 298 </w:t>
                        </w:r>
                      </w:p>
                    </w:txbxContent>
                  </v:textbox>
                </v:rect>
                <w10:wrap type="square"/>
              </v:group>
            </w:pict>
          </mc:Fallback>
        </mc:AlternateContent>
      </w:r>
      <w:r>
        <w:rPr>
          <w:b/>
        </w:rPr>
        <w:t xml:space="preserve">15.- </w:t>
      </w:r>
      <w:r>
        <w:rPr>
          <w:b/>
          <w:i/>
        </w:rPr>
        <w:t>Tras muchas iniciativas fallidas por crear una asociación</w:t>
      </w:r>
      <w:r>
        <w:rPr>
          <w:b/>
          <w:i/>
        </w:rPr>
        <w:t xml:space="preserve"> de empresarios en Candelaria, desde hace unos años se ha creado la Asociación de Empresarios de Candelaria (AECAN), que ha venido desarrollando diferentes actividades para fomentar, mantener y reactivar la actividad comercial y empresarial del municipio. </w:t>
      </w:r>
      <w:r>
        <w:rPr>
          <w:b/>
          <w:i/>
        </w:rPr>
        <w:t xml:space="preserve">Así como la actualización de los empresarios locales a las nuevas necesidades del mercado. De la misma manera que se destinan partidas para otras asociaciones del municipio, el grupo municipal popular, propone la creación de la partida presupuestaria para </w:t>
      </w:r>
      <w:r>
        <w:rPr>
          <w:b/>
          <w:i/>
        </w:rPr>
        <w:t>AECAN. ASOCIACIÓN EMPRESARIOS DE CANDELARIA dotada de 3.000,00 € con cargo a la aportación municipal. Con el objetivo de que esta asociación que colabora activamente con el Ayuntamiento no dependa únicamente de las contribuciones de sus socios para continu</w:t>
      </w:r>
      <w:r>
        <w:rPr>
          <w:b/>
          <w:i/>
        </w:rPr>
        <w:t>ar desarrollando e impulsando la actividad empresarial en Candelaria que en estos momentos de incidencia de la COVID-19 se hace tan necesaria.</w:t>
      </w:r>
      <w:r>
        <w:rPr>
          <w:rFonts w:ascii="Times New Roman" w:eastAsia="Times New Roman" w:hAnsi="Times New Roman" w:cs="Times New Roman"/>
          <w:sz w:val="24"/>
        </w:rPr>
        <w:t xml:space="preserve"> </w:t>
      </w:r>
    </w:p>
    <w:p w:rsidR="00B064CF" w:rsidRDefault="00E32F70">
      <w:pPr>
        <w:spacing w:after="98" w:line="259" w:lineRule="auto"/>
        <w:ind w:left="360" w:firstLine="0"/>
        <w:jc w:val="left"/>
      </w:pPr>
      <w:r>
        <w:rPr>
          <w:b/>
          <w:i/>
        </w:rPr>
        <w:t xml:space="preserve"> </w:t>
      </w:r>
    </w:p>
    <w:p w:rsidR="00B064CF" w:rsidRDefault="00E32F70">
      <w:pPr>
        <w:spacing w:after="214" w:line="246" w:lineRule="auto"/>
        <w:ind w:left="345" w:right="58" w:firstLine="698"/>
        <w:jc w:val="left"/>
      </w:pPr>
      <w:r>
        <w:t>La solicitud de una dotación de crédito con destino a AECAN, no se encuadra dentro de los tres supuestos de reclamación, tal como dispone el artículo 170.2 del Real Decreto Legislativo 2/2004, de 5 de marzo, por el que se aprueba el Texto Refundido de la L</w:t>
      </w:r>
      <w:r>
        <w:t xml:space="preserve">ey reguladora de las Haciendas Locales. No existe, por tanto, obligación legal. </w:t>
      </w:r>
    </w:p>
    <w:p w:rsidR="00B064CF" w:rsidRDefault="00E32F70">
      <w:pPr>
        <w:spacing w:after="109"/>
        <w:ind w:left="355" w:right="72"/>
      </w:pPr>
      <w:r>
        <w:t xml:space="preserve">Se informa negativamente la presente reclamación. </w:t>
      </w:r>
    </w:p>
    <w:p w:rsidR="00B064CF" w:rsidRDefault="00E32F70">
      <w:pPr>
        <w:spacing w:after="806" w:line="259" w:lineRule="auto"/>
        <w:ind w:left="360" w:firstLine="0"/>
        <w:jc w:val="left"/>
      </w:pPr>
      <w:r>
        <w:t xml:space="preserve"> </w:t>
      </w:r>
    </w:p>
    <w:p w:rsidR="00B064CF" w:rsidRDefault="00E32F70">
      <w:pPr>
        <w:spacing w:after="0" w:line="259" w:lineRule="auto"/>
        <w:ind w:left="0" w:right="62" w:firstLine="0"/>
        <w:jc w:val="center"/>
      </w:pPr>
      <w:r>
        <w:rPr>
          <w:rFonts w:ascii="Calibri" w:eastAsia="Calibri" w:hAnsi="Calibri" w:cs="Calibri"/>
          <w:noProof/>
        </w:rPr>
        <mc:AlternateContent>
          <mc:Choice Requires="wpg">
            <w:drawing>
              <wp:inline distT="0" distB="0" distL="0" distR="0">
                <wp:extent cx="5830570" cy="17145"/>
                <wp:effectExtent l="0" t="0" r="0" b="0"/>
                <wp:docPr id="364375" name="Group 364375"/>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445" name="Shape 1445"/>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4375" style="width:459.1pt;height:1.35004pt;mso-position-horizontal-relative:char;mso-position-vertical-relative:line" coordsize="58305,171">
                <v:shape id="Shape 1445"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sz w:val="14"/>
        </w:rPr>
        <w:t xml:space="preserve"> </w:t>
      </w:r>
    </w:p>
    <w:p w:rsidR="00B064CF" w:rsidRDefault="00E32F70">
      <w:pPr>
        <w:spacing w:after="89" w:line="241" w:lineRule="auto"/>
        <w:ind w:left="2335" w:right="2075"/>
        <w:jc w:val="center"/>
      </w:pPr>
      <w:r>
        <w:rPr>
          <w:sz w:val="14"/>
        </w:rPr>
        <w:t xml:space="preserve">Avenida Constitución Nº 7. Código postal: 38530, Candelaria. Teléfono: 922.500.800. </w:t>
      </w:r>
      <w:r>
        <w:rPr>
          <w:b/>
          <w:sz w:val="14"/>
        </w:rPr>
        <w:t xml:space="preserve">www. candelaria. es </w:t>
      </w:r>
    </w:p>
    <w:p w:rsidR="00B064CF" w:rsidRDefault="00E32F70">
      <w:pPr>
        <w:spacing w:after="0" w:line="259" w:lineRule="auto"/>
        <w:ind w:left="360" w:firstLine="0"/>
        <w:jc w:val="left"/>
      </w:pPr>
      <w:r>
        <w:rPr>
          <w:rFonts w:ascii="Times New Roman" w:eastAsia="Times New Roman" w:hAnsi="Times New Roman" w:cs="Times New Roman"/>
          <w:sz w:val="24"/>
        </w:rPr>
        <w:t xml:space="preserve"> </w:t>
      </w:r>
    </w:p>
    <w:p w:rsidR="00B064CF" w:rsidRDefault="00E32F70">
      <w:pPr>
        <w:spacing w:after="90" w:line="248" w:lineRule="auto"/>
        <w:ind w:left="355" w:right="699"/>
      </w:pPr>
      <w:r>
        <w:rPr>
          <w:b/>
        </w:rPr>
        <w:t xml:space="preserve">16.- </w:t>
      </w:r>
      <w:r>
        <w:rPr>
          <w:b/>
          <w:i/>
        </w:rPr>
        <w:t>El Grup</w:t>
      </w:r>
      <w:r>
        <w:rPr>
          <w:b/>
          <w:i/>
        </w:rPr>
        <w:t>o Municipal Popular propone el desarrollo de un plan estratégico para el impulso turístico de Candelaria en los próximos 10 años en coordinación con todos los agentes económicos, políticos y sociales, que permita establecer las acciones necesarias para fav</w:t>
      </w:r>
      <w:r>
        <w:rPr>
          <w:b/>
          <w:i/>
        </w:rPr>
        <w:t>orecer el desarrollo turístico de nuestro municipio independientemente del partido que gobierne el Ayuntamiento. De esta forma se conseguirán sacar adelante los proyectos turísticos del municipio sin abandonarlos porque se cambie de gobierno, lo que supond</w:t>
      </w:r>
      <w:r>
        <w:rPr>
          <w:b/>
          <w:i/>
        </w:rPr>
        <w:t>rá un gran beneficio para Candelaria. Con el objetivo de que se puedan desarrollar los trabajos, se cuente con material suficiente y exista la posibilidad de contar con algún experto como asesor, el grupo municipal popular propone la creación de la partida</w:t>
      </w:r>
      <w:r>
        <w:rPr>
          <w:b/>
          <w:i/>
        </w:rPr>
        <w:t xml:space="preserve"> presupuestaria para el desarrollo del PLAN DE PROMOCIÓN TURÍSTICA DE CANDELARIA PRÓXIMOS 10 AÑOS dotado de 3.000,00 € con cargo a la aportación municipal.</w:t>
      </w:r>
      <w:r>
        <w:rPr>
          <w:b/>
        </w:rPr>
        <w:t xml:space="preserve"> </w:t>
      </w:r>
      <w:r>
        <w:rPr>
          <w:rFonts w:ascii="Times New Roman" w:eastAsia="Times New Roman" w:hAnsi="Times New Roman" w:cs="Times New Roman"/>
          <w:sz w:val="24"/>
        </w:rPr>
        <w:t xml:space="preserve"> </w:t>
      </w:r>
    </w:p>
    <w:p w:rsidR="00B064CF" w:rsidRDefault="00E32F70">
      <w:pPr>
        <w:spacing w:after="103" w:line="259" w:lineRule="auto"/>
        <w:ind w:left="360" w:firstLine="0"/>
        <w:jc w:val="left"/>
      </w:pPr>
      <w:r>
        <w:rPr>
          <w:b/>
        </w:rPr>
        <w:t xml:space="preserve"> </w:t>
      </w:r>
    </w:p>
    <w:p w:rsidR="00B064CF" w:rsidRDefault="00E32F70">
      <w:pPr>
        <w:spacing w:after="115" w:line="246" w:lineRule="auto"/>
        <w:ind w:left="345" w:right="294" w:firstLine="698"/>
        <w:jc w:val="left"/>
      </w:pPr>
      <w:r>
        <w:t>La solicitud de una dotación de crédito con destino al desarrollo de una Plan de Promoción Turís</w:t>
      </w:r>
      <w:r>
        <w:t xml:space="preserve">tica, no se encuadra dentro de los tres supuestos de reclamación, tal como dispone el artículo 170.2 del Real Decreto Legislativo 2/2004, de 5 de marzo, por el que se aprueba el Texto Refundido de la Ley reguladora de las Haciendas Locales. No existe, por </w:t>
      </w:r>
      <w:r>
        <w:t xml:space="preserve">tanto, obligación legal. </w:t>
      </w:r>
    </w:p>
    <w:p w:rsidR="00B064CF" w:rsidRDefault="00E32F70">
      <w:pPr>
        <w:spacing w:after="199" w:line="259" w:lineRule="auto"/>
        <w:ind w:left="1068" w:firstLine="0"/>
        <w:jc w:val="left"/>
      </w:pPr>
      <w:r>
        <w:t xml:space="preserve"> </w:t>
      </w:r>
    </w:p>
    <w:p w:rsidR="00B064CF" w:rsidRDefault="00E32F70">
      <w:pPr>
        <w:spacing w:after="109"/>
        <w:ind w:left="355" w:right="72"/>
      </w:pPr>
      <w:r>
        <w:t xml:space="preserve">Se informa negativamente la presente reclamación. </w:t>
      </w:r>
    </w:p>
    <w:p w:rsidR="00B064CF" w:rsidRDefault="00E32F70">
      <w:pPr>
        <w:spacing w:after="95" w:line="259" w:lineRule="auto"/>
        <w:ind w:left="360" w:firstLine="0"/>
        <w:jc w:val="left"/>
      </w:pPr>
      <w:r>
        <w:rPr>
          <w:rFonts w:ascii="Calibri" w:eastAsia="Calibri" w:hAnsi="Calibri" w:cs="Calibri"/>
          <w:noProof/>
        </w:rPr>
        <mc:AlternateContent>
          <mc:Choice Requires="wpg">
            <w:drawing>
              <wp:anchor distT="0" distB="0" distL="114300" distR="114300" simplePos="0" relativeHeight="25167667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65873" name="Group 365873"/>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1623" name="Rectangle 1623"/>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1624" name="Rectangle 1624"/>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15 de 298 </w:t>
                              </w:r>
                            </w:p>
                          </w:txbxContent>
                        </wps:txbx>
                        <wps:bodyPr horzOverflow="overflow" vert="horz" lIns="0" tIns="0" rIns="0" bIns="0" rtlCol="0">
                          <a:noAutofit/>
                        </wps:bodyPr>
                      </wps:wsp>
                    </wpg:wgp>
                  </a:graphicData>
                </a:graphic>
              </wp:anchor>
            </w:drawing>
          </mc:Choice>
          <mc:Fallback xmlns:a="http://schemas.openxmlformats.org/drawingml/2006/main">
            <w:pict>
              <v:group id="Group 365873" style="width:12.7031pt;height:278.91pt;position:absolute;mso-position-horizontal-relative:page;mso-position-horizontal:absolute;margin-left:682.278pt;mso-position-vertical-relative:page;margin-top:533.01pt;" coordsize="1613,35421">
                <v:rect id="Rectangle 1623"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1624"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 de 298 </w:t>
                        </w:r>
                      </w:p>
                    </w:txbxContent>
                  </v:textbox>
                </v:rect>
                <w10:wrap type="square"/>
              </v:group>
            </w:pict>
          </mc:Fallback>
        </mc:AlternateContent>
      </w:r>
      <w:r>
        <w:t xml:space="preserve"> </w:t>
      </w:r>
    </w:p>
    <w:p w:rsidR="00B064CF" w:rsidRDefault="00E32F70">
      <w:pPr>
        <w:spacing w:after="93" w:line="248" w:lineRule="auto"/>
        <w:ind w:left="355" w:right="699"/>
      </w:pPr>
      <w:r>
        <w:rPr>
          <w:b/>
        </w:rPr>
        <w:t xml:space="preserve">17.- </w:t>
      </w:r>
      <w:r>
        <w:rPr>
          <w:b/>
          <w:i/>
        </w:rPr>
        <w:t>El grupo municipal popular en el Ayuntamiento de Candelaria propone la creación de la partida presupuestaria para la MEJORA Y MODERNIZACIÓN DE LA OFICINA D</w:t>
      </w:r>
      <w:r>
        <w:rPr>
          <w:b/>
          <w:i/>
        </w:rPr>
        <w:t>E INFORMACIÓN TURÍSTICA DE CANDELARIA de 18.000,00 €. Candelaria es un municipio que en condiciones normales, sin la COVID-19, recibe diariamente numerosas visitas de turistas y muchas son atendidas en la Oficina de Turismo. Sin embargo, durante los último</w:t>
      </w:r>
      <w:r>
        <w:rPr>
          <w:b/>
          <w:i/>
        </w:rPr>
        <w:t>s años, los vecinos y comerciantes de la zona del casco de Candelaria reclaman que se busque una alternativa a la ubicación de la actual oficina, dado que en estos momentos se encuentra en la entrada de la playa del Charquito, dificultando su acceso y visi</w:t>
      </w:r>
      <w:r>
        <w:rPr>
          <w:b/>
          <w:i/>
        </w:rPr>
        <w:t>bilidad. El grupo municipal popular entiende que tienen que ser los técnicos entendidos en la materia, los que deben buscar la mejor ubicación a la oficina de turismo, bien sea en un local accesible que esté al paso de los turistas o en el exterior, pero c</w:t>
      </w:r>
      <w:r>
        <w:rPr>
          <w:b/>
          <w:i/>
        </w:rPr>
        <w:t>on unas dimensiones más reducidas, que generen un menor impacto visual.</w:t>
      </w:r>
      <w:r>
        <w:rPr>
          <w:b/>
        </w:rPr>
        <w:t xml:space="preserve"> </w:t>
      </w:r>
      <w:r>
        <w:rPr>
          <w:rFonts w:ascii="Times New Roman" w:eastAsia="Times New Roman" w:hAnsi="Times New Roman" w:cs="Times New Roman"/>
          <w:sz w:val="24"/>
        </w:rPr>
        <w:t xml:space="preserve"> </w:t>
      </w:r>
    </w:p>
    <w:p w:rsidR="00B064CF" w:rsidRDefault="00E32F70">
      <w:pPr>
        <w:spacing w:after="100" w:line="259" w:lineRule="auto"/>
        <w:ind w:left="360" w:firstLine="0"/>
        <w:jc w:val="left"/>
      </w:pPr>
      <w:r>
        <w:t xml:space="preserve"> </w:t>
      </w:r>
    </w:p>
    <w:p w:rsidR="00B064CF" w:rsidRDefault="00E32F70">
      <w:pPr>
        <w:spacing w:after="214" w:line="246" w:lineRule="auto"/>
        <w:ind w:left="345" w:right="58" w:firstLine="698"/>
        <w:jc w:val="left"/>
      </w:pPr>
      <w:r>
        <w:t>La solicitud de una dotación de crédito con destino a una mejor ubicación de la Oficina de Turismo, no se encuadra dentro de los tres supuestos de reclamación, tal como dispone el artículo 170.2 del Real Decreto Legislativo 2/2004, de 5 de marzo, por el qu</w:t>
      </w:r>
      <w:r>
        <w:t xml:space="preserve">e se aprueba el Texto Refundido de la Ley reguladora de las Haciendas Locales. No existe, por tanto, obligación legal. </w:t>
      </w:r>
    </w:p>
    <w:p w:rsidR="00B064CF" w:rsidRDefault="00E32F70">
      <w:pPr>
        <w:spacing w:after="109"/>
        <w:ind w:left="355" w:right="72"/>
      </w:pPr>
      <w:r>
        <w:t xml:space="preserve">Se informa negativamente la presente reclamación. </w:t>
      </w:r>
    </w:p>
    <w:p w:rsidR="00B064CF" w:rsidRDefault="00E32F70">
      <w:pPr>
        <w:spacing w:after="113" w:line="248" w:lineRule="auto"/>
        <w:ind w:left="355" w:right="699"/>
      </w:pPr>
      <w:r>
        <w:rPr>
          <w:b/>
        </w:rPr>
        <w:t xml:space="preserve">18.- </w:t>
      </w:r>
      <w:r>
        <w:rPr>
          <w:b/>
          <w:i/>
        </w:rPr>
        <w:t>El grupo municipal popular en el Ayuntamiento de Candelaria propone la creación de la partida presupuestaria para la MEJORA Y MODERNIZACIÓN DE LA OFICINA DE INFORMACIÓN TURÍSTICA DE PUNTA LARGA Y CALETILLAS de 18.000,00 € El área de Punta Larga y Caletilla</w:t>
      </w:r>
      <w:r>
        <w:rPr>
          <w:b/>
          <w:i/>
        </w:rPr>
        <w:t>s aglutina la mayoría de los locales comerciales y de restauración de nuestro municipio, a lo que habría que añadir que el alquiler vacacional está teniendo bastante demanda en la zona. En la actualidad la Oficina de Información Turística de la zona se enc</w:t>
      </w:r>
      <w:r>
        <w:rPr>
          <w:b/>
          <w:i/>
        </w:rPr>
        <w:t>uentra en la plaza del CIT en un lugar poco visible, por lo que sería conveniente volver a contar con una oficina</w:t>
      </w:r>
      <w:r>
        <w:t xml:space="preserve"> </w:t>
      </w:r>
      <w:r>
        <w:rPr>
          <w:b/>
          <w:i/>
        </w:rPr>
        <w:t>de información turística en esa zona, en un lugar más visible y con dimensiones reducidas, a la vez que instar al Cabildo a que la vuelva a in</w:t>
      </w:r>
      <w:r>
        <w:rPr>
          <w:b/>
          <w:i/>
        </w:rPr>
        <w:t>cluir en la Red de Oficinas de Información Turística.</w:t>
      </w:r>
      <w:r>
        <w:rPr>
          <w:rFonts w:ascii="Times New Roman" w:eastAsia="Times New Roman" w:hAnsi="Times New Roman" w:cs="Times New Roman"/>
          <w:sz w:val="24"/>
        </w:rPr>
        <w:t xml:space="preserve"> </w:t>
      </w:r>
    </w:p>
    <w:p w:rsidR="00B064CF" w:rsidRDefault="00E32F70">
      <w:pPr>
        <w:spacing w:after="100" w:line="259" w:lineRule="auto"/>
        <w:ind w:left="360" w:firstLine="0"/>
        <w:jc w:val="left"/>
      </w:pPr>
      <w:r>
        <w:rPr>
          <w:b/>
          <w:i/>
        </w:rPr>
        <w:t xml:space="preserve"> </w:t>
      </w:r>
    </w:p>
    <w:p w:rsidR="00B064CF" w:rsidRDefault="00E32F70">
      <w:pPr>
        <w:spacing w:after="115" w:line="246" w:lineRule="auto"/>
        <w:ind w:left="345" w:right="685" w:firstLine="698"/>
        <w:jc w:val="left"/>
      </w:pPr>
      <w:r>
        <w:t>La solicitud de una dotación de crédito con destino a una mejor ubicación de la Oficina de Turismo en Punta Larga y Caletillas, no se encuadra dentro de los tres supuestos de reclamación, tal como di</w:t>
      </w:r>
      <w:r>
        <w:t xml:space="preserve">spone el artículo 170.2 del Real Decreto Legislativo 2/2004, de 5 de marzo, por el que se aprueba el Texto Refundido de la Ley reguladora de las Haciendas Locales. No existe, por tanto, obligación legal. </w:t>
      </w:r>
    </w:p>
    <w:p w:rsidR="00B064CF" w:rsidRDefault="00E32F70">
      <w:pPr>
        <w:spacing w:after="199" w:line="259" w:lineRule="auto"/>
        <w:ind w:left="1068" w:firstLine="0"/>
        <w:jc w:val="left"/>
      </w:pPr>
      <w:r>
        <w:t xml:space="preserve"> </w:t>
      </w:r>
    </w:p>
    <w:p w:rsidR="00B064CF" w:rsidRDefault="00E32F70">
      <w:pPr>
        <w:spacing w:after="109"/>
        <w:ind w:left="355" w:right="72"/>
      </w:pPr>
      <w:r>
        <w:t>Se informa negativamente la presente reclamación.</w:t>
      </w:r>
      <w:r>
        <w:t xml:space="preserve"> </w:t>
      </w:r>
    </w:p>
    <w:p w:rsidR="00B064CF" w:rsidRDefault="00E32F70">
      <w:pPr>
        <w:spacing w:after="95" w:line="259" w:lineRule="auto"/>
        <w:ind w:left="360" w:firstLine="0"/>
        <w:jc w:val="left"/>
      </w:pPr>
      <w:r>
        <w:t xml:space="preserve"> </w:t>
      </w:r>
    </w:p>
    <w:p w:rsidR="00B064CF" w:rsidRDefault="00E32F70">
      <w:pPr>
        <w:spacing w:after="0" w:line="248" w:lineRule="auto"/>
        <w:ind w:left="355" w:right="699"/>
      </w:pP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65717" name="Group 365717"/>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1740" name="Rectangle 1740"/>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1741" name="Rectangle 1741"/>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16 de 298 </w:t>
                              </w:r>
                            </w:p>
                          </w:txbxContent>
                        </wps:txbx>
                        <wps:bodyPr horzOverflow="overflow" vert="horz" lIns="0" tIns="0" rIns="0" bIns="0" rtlCol="0">
                          <a:noAutofit/>
                        </wps:bodyPr>
                      </wps:wsp>
                    </wpg:wgp>
                  </a:graphicData>
                </a:graphic>
              </wp:anchor>
            </w:drawing>
          </mc:Choice>
          <mc:Fallback xmlns:a="http://schemas.openxmlformats.org/drawingml/2006/main">
            <w:pict>
              <v:group id="Group 365717" style="width:12.7031pt;height:278.91pt;position:absolute;mso-position-horizontal-relative:page;mso-position-horizontal:absolute;margin-left:682.278pt;mso-position-vertical-relative:page;margin-top:533.01pt;" coordsize="1613,35421">
                <v:rect id="Rectangle 1740"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1741"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 de 298 </w:t>
                        </w:r>
                      </w:p>
                    </w:txbxContent>
                  </v:textbox>
                </v:rect>
                <w10:wrap type="square"/>
              </v:group>
            </w:pict>
          </mc:Fallback>
        </mc:AlternateContent>
      </w:r>
      <w:r>
        <w:rPr>
          <w:b/>
        </w:rPr>
        <w:t xml:space="preserve">19.- </w:t>
      </w:r>
      <w:r>
        <w:rPr>
          <w:b/>
          <w:i/>
        </w:rPr>
        <w:t xml:space="preserve">El grupo municipal popular propone la creación de </w:t>
      </w:r>
      <w:r>
        <w:rPr>
          <w:b/>
          <w:i/>
        </w:rPr>
        <w:t>una partida para una LÍNEA DE SUBVENCIÓN DE 60.000,00€ PARA EL CHEQUE EMPRENDEDOR, con el objetivo de fomentar y facilitar el acceso al empleo a través de líneas emprendedoras. El CHEQUE EMPRENDEDOR se trata de una subvención ex post pues se entregarán fon</w:t>
      </w:r>
      <w:r>
        <w:rPr>
          <w:b/>
          <w:i/>
        </w:rPr>
        <w:t>dos de forma gratuita al beneficiario en atención a una actividad subvencionable ya realizada y una subvención post pagable pues se abonaría después de pagar el beneficiario la actividad subvencionable. El listado de partidas que pueden ser objeto de subve</w:t>
      </w:r>
      <w:r>
        <w:rPr>
          <w:b/>
          <w:i/>
        </w:rPr>
        <w:t xml:space="preserve">nción es: LAS CUOTAS A LA SEGURIDAD SOCIAL DE LAS PERSONAS FÍSICAS, SOCIOS Y/O COMUNEROS. LAS CUOTAS A LA SEGURIDAD SOCIAL A CARGO DE LA EMPRESA (CUOTA PATRONAL), EN EL CASO DE TENER TRABAJADORES POR CUENTA </w:t>
      </w:r>
    </w:p>
    <w:p w:rsidR="00B064CF" w:rsidRDefault="00E32F70">
      <w:pPr>
        <w:spacing w:after="11" w:line="248" w:lineRule="auto"/>
        <w:ind w:left="355" w:right="699"/>
      </w:pPr>
      <w:r>
        <w:rPr>
          <w:b/>
          <w:i/>
        </w:rPr>
        <w:t>AJENA. GASTOS DE PUESTA EN MARCHA DEL PROYECTO EMPRESARIAL A DESA-</w:t>
      </w:r>
    </w:p>
    <w:p w:rsidR="00B064CF" w:rsidRDefault="00E32F70">
      <w:pPr>
        <w:spacing w:after="0" w:line="248" w:lineRule="auto"/>
        <w:ind w:left="355" w:right="699"/>
      </w:pPr>
      <w:r>
        <w:rPr>
          <w:b/>
          <w:i/>
        </w:rPr>
        <w:t>RROLLAR: -El importe equivalente a la tasa por prestación del derecho de apertura de establecimientos (autoliquidación). -Gastos de notaría vinculados a la ejecución del proyecto subvencion</w:t>
      </w:r>
      <w:r>
        <w:rPr>
          <w:b/>
          <w:i/>
        </w:rPr>
        <w:t>able. -El importe equivalente por la tasa de inscripción en el Registro Mercantil. -Gastos por adquisición o colocación del cartel o rótulo comercial del local donde se desarrolle la actividad. -Gastos en mantenimiento y mejoras de las instalaciones y/o de</w:t>
      </w:r>
      <w:r>
        <w:rPr>
          <w:b/>
          <w:i/>
        </w:rPr>
        <w:t>pendencias comerciales (alarmas, limpiezas, pinturas, acabados, cerrajería,) -Gastos de estudio o prospecciones de mercado con motivo de la creación de la empresa. GASTOS DE PROFESIONALES -Gastos de asesoría fiscal, contable y laboral vinculados al proyect</w:t>
      </w:r>
      <w:r>
        <w:rPr>
          <w:b/>
          <w:i/>
        </w:rPr>
        <w:t>o empresarial a desarrollar. -Gastos de profesionales, ingenieros, arquitectos, etc. por la redacción de proyectos técnicos necesarios para la adecuación del local o instalaciones de la empresa para el desarrollo del proyecto empresarial. GASTOS DE SEGUROS</w:t>
      </w:r>
      <w:r>
        <w:rPr>
          <w:b/>
          <w:i/>
        </w:rPr>
        <w:t xml:space="preserve"> VINCULADOS AL PROYECTO EMPRESARIAL. - Seguros sobre los bienes afectos a la actividad empresarial a desarrollar o por responsabilidad civil de la empresa o el seguro del vehiculo de uso comercial. GASTOS DE PROMOCIÓN Y PUBLICIDAD DE LA NUEVA EMPRESA. - Pu</w:t>
      </w:r>
      <w:r>
        <w:rPr>
          <w:b/>
          <w:i/>
        </w:rPr>
        <w:t>eden subvencionarse gastos ocasionados por promoción y publicidad en la red internet (web</w:t>
      </w:r>
      <w:r>
        <w:t xml:space="preserve"> </w:t>
      </w:r>
      <w:r>
        <w:rPr>
          <w:b/>
          <w:i/>
        </w:rPr>
        <w:t>propia, redes sociales), cartelería, cuñas publicitarias en radio, prensa y TV, megafonía, imagen corporativa, etc. GASTOS DE FORMACIÓN VINCULADOS AL PROYECTO EMPRESA</w:t>
      </w:r>
      <w:r>
        <w:rPr>
          <w:b/>
          <w:i/>
        </w:rPr>
        <w:t xml:space="preserve">RIAL. GASTOS EQUIVALENTES AL IMPUESTO SOBRE VEHÍCULOS DE TRACCIÓN MECÁNICA DE </w:t>
      </w:r>
    </w:p>
    <w:p w:rsidR="00B064CF" w:rsidRDefault="00E32F70">
      <w:pPr>
        <w:spacing w:after="113" w:line="248" w:lineRule="auto"/>
        <w:ind w:left="355" w:right="699"/>
      </w:pPr>
      <w:r>
        <w:rPr>
          <w:b/>
          <w:i/>
        </w:rPr>
        <w:t>USO COMERCIAL Y/O EMPRESARIAL. GASTOS POR LICENCIAS DE USO DE APLICATIVOS INFORMÁTICOS VINCULADOS A LA ACTIVIDAD EMPRESARIAL. GASTOS DE ADQUISICIÓN DE MATERIAL FUNGIBLE DE OFICI</w:t>
      </w:r>
      <w:r>
        <w:rPr>
          <w:b/>
          <w:i/>
        </w:rPr>
        <w:t>NA VINCULADOS A LA ACTIVIDAD EMPRESARIAL. GASTOS EN PORTALES WEB Y PRESENCIA EN REDES. -Gastos por el diseño Web de página destinada a la promoción comercial y/o venta de productos. Gastos de dominio, actualización, mantenimiento y revisión de dicha Web, a</w:t>
      </w:r>
      <w:r>
        <w:rPr>
          <w:b/>
          <w:i/>
        </w:rPr>
        <w:t>sí como actualización de la presencia de la empresa en redes sociales.</w:t>
      </w:r>
      <w:r>
        <w:rPr>
          <w:rFonts w:ascii="Times New Roman" w:eastAsia="Times New Roman" w:hAnsi="Times New Roman" w:cs="Times New Roman"/>
          <w:sz w:val="24"/>
        </w:rPr>
        <w:t xml:space="preserve"> </w:t>
      </w:r>
    </w:p>
    <w:p w:rsidR="00B064CF" w:rsidRDefault="00E32F70">
      <w:pPr>
        <w:spacing w:after="98" w:line="259" w:lineRule="auto"/>
        <w:ind w:left="360" w:firstLine="0"/>
        <w:jc w:val="left"/>
      </w:pPr>
      <w:r>
        <w:rPr>
          <w:b/>
          <w:i/>
        </w:rPr>
        <w:t xml:space="preserve"> </w:t>
      </w:r>
    </w:p>
    <w:p w:rsidR="00B064CF" w:rsidRDefault="00E32F70">
      <w:pPr>
        <w:spacing w:after="214" w:line="246" w:lineRule="auto"/>
        <w:ind w:left="345" w:right="390" w:firstLine="698"/>
        <w:jc w:val="left"/>
      </w:pPr>
      <w:r>
        <w:t xml:space="preserve">La solicitud de una dotación de crédito con destino a una línea de subvención de 60.000 Euros para el cheque emprendedor, no se encuadra dentro de los tres supuestos de reclamación, </w:t>
      </w:r>
      <w:r>
        <w:t xml:space="preserve">tal como dispone el artículo 170.2 del Real Decreto Legislativo 2/2004, de 5 de marzo, por el que se aprueba el Texto Refundido de la Ley reguladora de las Haciendas Locales. No existe, por tanto, obligación legal. </w:t>
      </w:r>
    </w:p>
    <w:p w:rsidR="00B064CF" w:rsidRDefault="00E32F70">
      <w:pPr>
        <w:spacing w:after="109"/>
        <w:ind w:left="355" w:right="72"/>
      </w:pPr>
      <w:r>
        <w:t>Se informa negativamente la presente rec</w:t>
      </w:r>
      <w:r>
        <w:t xml:space="preserve">lamación. </w:t>
      </w:r>
    </w:p>
    <w:p w:rsidR="00B064CF" w:rsidRDefault="00E32F70">
      <w:pPr>
        <w:spacing w:after="114" w:line="259" w:lineRule="auto"/>
        <w:ind w:left="360" w:firstLine="0"/>
        <w:jc w:val="left"/>
      </w:pPr>
      <w:r>
        <w:t xml:space="preserve"> </w:t>
      </w:r>
    </w:p>
    <w:p w:rsidR="00B064CF" w:rsidRDefault="00E32F70">
      <w:pPr>
        <w:spacing w:after="11" w:line="248" w:lineRule="auto"/>
        <w:ind w:left="355" w:right="699"/>
      </w:pPr>
      <w:r>
        <w:rPr>
          <w:b/>
        </w:rPr>
        <w:t xml:space="preserve">20.- </w:t>
      </w:r>
      <w:r>
        <w:rPr>
          <w:b/>
          <w:i/>
        </w:rPr>
        <w:t xml:space="preserve">El grupo municipal popular solicita la creación de una partida de 7.500,00€ PARA </w:t>
      </w:r>
    </w:p>
    <w:p w:rsidR="00B064CF" w:rsidRDefault="00E32F70">
      <w:pPr>
        <w:spacing w:after="0" w:line="248" w:lineRule="auto"/>
        <w:ind w:left="355" w:right="699"/>
      </w:pPr>
      <w:r>
        <w:rPr>
          <w:b/>
          <w:i/>
        </w:rPr>
        <w:t xml:space="preserve">UNA LÍNEA DE SUBVENCIÓN DIRECTA CON EL FIN DE CONTRIBUIR A LA RECUPERACIÓN DE LOCALES COMERCIALES VACÍOS EN LAS ZONAS COMERCIALES </w:t>
      </w:r>
    </w:p>
    <w:p w:rsidR="00B064CF" w:rsidRDefault="00E32F70">
      <w:pPr>
        <w:spacing w:after="93" w:line="248" w:lineRule="auto"/>
        <w:ind w:left="355" w:right="699"/>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65988" name="Group 365988"/>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1830" name="Rectangle 1830"/>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1831" name="Rectangle 1831"/>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17 de 298 </w:t>
                              </w:r>
                            </w:p>
                          </w:txbxContent>
                        </wps:txbx>
                        <wps:bodyPr horzOverflow="overflow" vert="horz" lIns="0" tIns="0" rIns="0" bIns="0" rtlCol="0">
                          <a:noAutofit/>
                        </wps:bodyPr>
                      </wps:wsp>
                    </wpg:wgp>
                  </a:graphicData>
                </a:graphic>
              </wp:anchor>
            </w:drawing>
          </mc:Choice>
          <mc:Fallback xmlns:a="http://schemas.openxmlformats.org/drawingml/2006/main">
            <w:pict>
              <v:group id="Group 365988" style="width:12.7031pt;height:278.91pt;position:absolute;mso-position-horizontal-relative:page;mso-position-horizontal:absolute;margin-left:682.278pt;mso-position-vertical-relative:page;margin-top:533.01pt;" coordsize="1613,35421">
                <v:rect id="Rectangle 1830"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1831"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 de 298 </w:t>
                        </w:r>
                      </w:p>
                    </w:txbxContent>
                  </v:textbox>
                </v:rect>
                <w10:wrap type="square"/>
              </v:group>
            </w:pict>
          </mc:Fallback>
        </mc:AlternateContent>
      </w:r>
      <w:r>
        <w:rPr>
          <w:b/>
          <w:i/>
        </w:rPr>
        <w:t>ABIERTAS, para contribuir a facilitarles el cumplimiento de su</w:t>
      </w:r>
      <w:r>
        <w:rPr>
          <w:b/>
          <w:i/>
        </w:rPr>
        <w:t>s obligaciones, así como el mantenimiento de la actividad comercial y el empleo. Por ello, a través de la concesión directa de subvenciones a los emprendedores que vayan a desarrollar su actividad en locales comerciales ubicados en las Zonas Comerciales Ab</w:t>
      </w:r>
      <w:r>
        <w:rPr>
          <w:b/>
          <w:i/>
        </w:rPr>
        <w:t>iertas de Candelaria se atenuará el impacto económico de la COVID.19, impulsando la actividad económica en nuestro municipio, contribuyendo a facilitarles el pago del arrendamiento de su local comercial y potenciar la actividad empresarial y el empleo. Est</w:t>
      </w:r>
      <w:r>
        <w:rPr>
          <w:b/>
          <w:i/>
        </w:rPr>
        <w:t>a subvención directa estará destinada a financiar los gastos de arrendamiento de locales comerciales que se dediquen de forma directa y profesional al desarrollo de la actividad empresarial y/o comercial, con la finalidad de incentivar sinergias comerciale</w:t>
      </w:r>
      <w:r>
        <w:rPr>
          <w:b/>
          <w:i/>
        </w:rPr>
        <w:t>s en las Zonas Comerciales Abiertas de Candelaria que conlleven a la consolidación y creación de empleo. Con esta medida se trata de incentivar la recuperación del comercio local, mediante la instalación de nuevas actividades e iniciativas que generen fluj</w:t>
      </w:r>
      <w:r>
        <w:rPr>
          <w:b/>
          <w:i/>
        </w:rPr>
        <w:t>os de personas y empresas. Una de las actuaciones esenciales para el impulso y desarrollo de la reactivación económica, lo constituye la movilización de superficies infrautilizadas, en este caso, locales comerciales</w:t>
      </w:r>
      <w:r>
        <w:rPr>
          <w:b/>
        </w:rPr>
        <w:t>.</w:t>
      </w:r>
      <w:r>
        <w:rPr>
          <w:rFonts w:ascii="Times New Roman" w:eastAsia="Times New Roman" w:hAnsi="Times New Roman" w:cs="Times New Roman"/>
          <w:sz w:val="24"/>
        </w:rPr>
        <w:t xml:space="preserve"> </w:t>
      </w:r>
    </w:p>
    <w:p w:rsidR="00B064CF" w:rsidRDefault="00E32F70">
      <w:pPr>
        <w:spacing w:after="103" w:line="259" w:lineRule="auto"/>
        <w:ind w:left="360" w:firstLine="0"/>
        <w:jc w:val="left"/>
      </w:pPr>
      <w:r>
        <w:rPr>
          <w:b/>
        </w:rPr>
        <w:t xml:space="preserve"> </w:t>
      </w:r>
    </w:p>
    <w:p w:rsidR="00B064CF" w:rsidRDefault="00E32F70">
      <w:pPr>
        <w:spacing w:after="214" w:line="246" w:lineRule="auto"/>
        <w:ind w:left="345" w:right="58" w:firstLine="698"/>
        <w:jc w:val="left"/>
      </w:pPr>
      <w:r>
        <w:t>La solicitud de una dotación de créd</w:t>
      </w:r>
      <w:r>
        <w:t>ito con destino a una línea de subvención de 7.500 Euros para recuperación de locales comerciales vacíos en zonas comerciales abiertas, afectados por la pandemia, no se encuadra dentro de los tres supuestos de reclamación, tal como dispone el artículo 170.</w:t>
      </w:r>
      <w:r>
        <w:t xml:space="preserve">2 del Real Decreto Legislativo 2/2004, de 5 de marzo, por el que se aprueba el Texto Refundido de la Ley reguladora de las Haciendas Locales. No existe, por tanto, obligación legal. </w:t>
      </w:r>
    </w:p>
    <w:p w:rsidR="00B064CF" w:rsidRDefault="00E32F70">
      <w:pPr>
        <w:ind w:left="355" w:right="72"/>
      </w:pPr>
      <w:r>
        <w:t xml:space="preserve">Se informa negativamente la presente reclamación. </w:t>
      </w:r>
    </w:p>
    <w:p w:rsidR="00B064CF" w:rsidRDefault="00E32F70">
      <w:pPr>
        <w:spacing w:after="98" w:line="259" w:lineRule="auto"/>
        <w:ind w:left="360" w:firstLine="0"/>
        <w:jc w:val="left"/>
      </w:pPr>
      <w:r>
        <w:t xml:space="preserve"> </w:t>
      </w:r>
    </w:p>
    <w:p w:rsidR="00B064CF" w:rsidRDefault="00E32F70">
      <w:pPr>
        <w:spacing w:after="5" w:line="248" w:lineRule="auto"/>
        <w:ind w:left="355" w:right="699"/>
      </w:pPr>
      <w:r>
        <w:rPr>
          <w:b/>
        </w:rPr>
        <w:t xml:space="preserve">21.- </w:t>
      </w:r>
      <w:r>
        <w:rPr>
          <w:b/>
          <w:i/>
        </w:rPr>
        <w:t>El grupo municipal popular del Ayuntamiento de Candelaria solicita la creación de una partida destinada a la SUBVENCIÓN DE LOS CENTROS DEPORTIVOS Y DE ENTRENAMIENTO PERSONAL,</w:t>
      </w:r>
      <w:r>
        <w:rPr>
          <w:i/>
        </w:rPr>
        <w:t xml:space="preserve"> </w:t>
      </w:r>
      <w:r>
        <w:rPr>
          <w:b/>
          <w:i/>
        </w:rPr>
        <w:t>ACADEMIAS DE BAILE, CENTROS DE BOXEO DEL MUNI-</w:t>
      </w:r>
    </w:p>
    <w:p w:rsidR="00B064CF" w:rsidRDefault="00E32F70">
      <w:pPr>
        <w:spacing w:after="113" w:line="248" w:lineRule="auto"/>
        <w:ind w:left="355" w:right="699"/>
      </w:pPr>
      <w:r>
        <w:rPr>
          <w:b/>
          <w:i/>
        </w:rPr>
        <w:t>CIPIO QUE SE HAN VISTO AFECTADOS P</w:t>
      </w:r>
      <w:r>
        <w:rPr>
          <w:b/>
          <w:i/>
        </w:rPr>
        <w:t>OR LA COVID-19 de 20.000,00€, con el objeto de ayudar a estas empresas que se han visto especialmente afectadas en el último año con la incidencia de la Pandemia y las restricciones que el Gobierno de Canarias ha tenido que determinar en función de los niv</w:t>
      </w:r>
      <w:r>
        <w:rPr>
          <w:b/>
          <w:i/>
        </w:rPr>
        <w:t>eles reguladores que se han establecido a lo largo del periodo de Estado de Alarma.</w:t>
      </w:r>
      <w:r>
        <w:rPr>
          <w:rFonts w:ascii="Times New Roman" w:eastAsia="Times New Roman" w:hAnsi="Times New Roman" w:cs="Times New Roman"/>
          <w:sz w:val="24"/>
        </w:rPr>
        <w:t xml:space="preserve"> </w:t>
      </w:r>
    </w:p>
    <w:p w:rsidR="00B064CF" w:rsidRDefault="00E32F70">
      <w:pPr>
        <w:spacing w:after="98" w:line="259" w:lineRule="auto"/>
        <w:ind w:left="360" w:firstLine="0"/>
        <w:jc w:val="left"/>
      </w:pPr>
      <w:r>
        <w:rPr>
          <w:b/>
          <w:i/>
        </w:rPr>
        <w:t xml:space="preserve"> </w:t>
      </w:r>
    </w:p>
    <w:p w:rsidR="00B064CF" w:rsidRDefault="00E32F70">
      <w:pPr>
        <w:spacing w:after="93"/>
        <w:ind w:left="345" w:right="715" w:firstLine="708"/>
      </w:pPr>
      <w:r>
        <w:rPr>
          <w:b/>
        </w:rPr>
        <w:t xml:space="preserve"> </w:t>
      </w:r>
      <w:r>
        <w:t>La solicitud de una dotación de crédito con destino a una línea de subvención de 20.000 Euros para determinados centros deportivos y de baile, afectados por la pandemia</w:t>
      </w:r>
      <w:r>
        <w:t>, no se encuadra dentro de los tres supuestos de reclamación, tal como dispone el artículo 170.2 del Real Decreto Legislativo 2/2004, de 5 de marzo, por el que se aprueba el Texto Refundido de la Ley reguladora de las Haciendas Locales. No existe, por tant</w:t>
      </w:r>
      <w:r>
        <w:t>o, obligación legal.Se informa negativamente la presente reclamación.</w:t>
      </w:r>
      <w:r>
        <w:rPr>
          <w:rFonts w:ascii="Times New Roman" w:eastAsia="Times New Roman" w:hAnsi="Times New Roman" w:cs="Times New Roman"/>
          <w:sz w:val="24"/>
        </w:rPr>
        <w:t xml:space="preserve"> </w:t>
      </w:r>
    </w:p>
    <w:p w:rsidR="00B064CF" w:rsidRDefault="00E32F70">
      <w:pPr>
        <w:spacing w:after="98" w:line="259" w:lineRule="auto"/>
        <w:ind w:left="1068" w:firstLine="0"/>
        <w:jc w:val="left"/>
      </w:pPr>
      <w:r>
        <w:t xml:space="preserve"> </w:t>
      </w:r>
    </w:p>
    <w:p w:rsidR="00B064CF" w:rsidRDefault="00E32F70">
      <w:pPr>
        <w:spacing w:after="92" w:line="248" w:lineRule="auto"/>
        <w:ind w:left="355" w:right="699"/>
      </w:pP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65882" name="Group 365882"/>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1930" name="Rectangle 1930"/>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1931" name="Rectangle 1931"/>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18 de 298 </w:t>
                              </w:r>
                            </w:p>
                          </w:txbxContent>
                        </wps:txbx>
                        <wps:bodyPr horzOverflow="overflow" vert="horz" lIns="0" tIns="0" rIns="0" bIns="0" rtlCol="0">
                          <a:noAutofit/>
                        </wps:bodyPr>
                      </wps:wsp>
                    </wpg:wgp>
                  </a:graphicData>
                </a:graphic>
              </wp:anchor>
            </w:drawing>
          </mc:Choice>
          <mc:Fallback xmlns:a="http://schemas.openxmlformats.org/drawingml/2006/main">
            <w:pict>
              <v:group id="Group 365882" style="width:12.7031pt;height:278.91pt;position:absolute;mso-position-horizontal-relative:page;mso-position-horizontal:absolute;margin-left:682.278pt;mso-position-vertical-relative:page;margin-top:533.01pt;" coordsize="1613,35421">
                <v:rect id="Rectangle 1930"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1931"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 de 298 </w:t>
                        </w:r>
                      </w:p>
                    </w:txbxContent>
                  </v:textbox>
                </v:rect>
                <w10:wrap type="square"/>
              </v:group>
            </w:pict>
          </mc:Fallback>
        </mc:AlternateContent>
      </w:r>
      <w:r>
        <w:rPr>
          <w:b/>
        </w:rPr>
        <w:t xml:space="preserve">22.- </w:t>
      </w:r>
      <w:r>
        <w:rPr>
          <w:b/>
          <w:i/>
        </w:rPr>
        <w:t xml:space="preserve">El grupo municipal popular del Ayuntamiento de Candelaria solicita la creación de una partida para una línea de subvención de 20.000€ A TRAVÉS DE SUBVENCIÓN </w:t>
      </w:r>
      <w:r>
        <w:rPr>
          <w:b/>
          <w:i/>
        </w:rPr>
        <w:t>PARA EL FOMENTO DE LA COMPETITIVIDAD, ASÍ COMO LA MEJORA Y CONSOLIDACIÓN DE LAS EMPRESAS DE CANDELARIA, con el objetivo de fomentar la mejora y consolidación de las empresas de Candelaria generando espacios de formación e intercambio de experiencias y cono</w:t>
      </w:r>
      <w:r>
        <w:rPr>
          <w:b/>
          <w:i/>
        </w:rPr>
        <w:t xml:space="preserve">cimientos, que les permita consolidarse en el tejido empresarial local como actividades económicas de éxito. Entre sus objetivos particulares está favorecer el incremento de las ventas y beneficios del pequeño comercio, posicionar o rediseñar la imagen de </w:t>
      </w:r>
      <w:r>
        <w:rPr>
          <w:b/>
          <w:i/>
        </w:rPr>
        <w:t>marca y atraer a nuevos clientes, mediante el análisis y mejora del punto de venta, incluyendo formación específica teórico práctica sobre el uso de la imagen corporativa.</w:t>
      </w:r>
      <w:r>
        <w:rPr>
          <w:rFonts w:ascii="Times New Roman" w:eastAsia="Times New Roman" w:hAnsi="Times New Roman" w:cs="Times New Roman"/>
          <w:sz w:val="24"/>
        </w:rPr>
        <w:t xml:space="preserve"> </w:t>
      </w:r>
    </w:p>
    <w:p w:rsidR="00B064CF" w:rsidRDefault="00E32F70">
      <w:pPr>
        <w:spacing w:after="100" w:line="259" w:lineRule="auto"/>
        <w:ind w:left="360" w:firstLine="0"/>
        <w:jc w:val="left"/>
      </w:pPr>
      <w:r>
        <w:rPr>
          <w:b/>
          <w:i/>
        </w:rPr>
        <w:t xml:space="preserve"> </w:t>
      </w:r>
    </w:p>
    <w:p w:rsidR="00B064CF" w:rsidRDefault="00E32F70">
      <w:pPr>
        <w:spacing w:after="112"/>
        <w:ind w:left="345" w:right="144" w:firstLine="708"/>
      </w:pPr>
      <w:r>
        <w:t xml:space="preserve">La solicitud de una dotación de crédito con destino a una línea de subvención de </w:t>
      </w:r>
      <w:r>
        <w:t xml:space="preserve">20.000 Euros para la consolidación de empresas del municipio, no se encuadra dentro de los tres supuestos de reclamación, tal como dispone el artículo 170.2 del Real Decreto Legislativo 2/2004, de 5 de marzo, por el que se aprueba el Texto Refundido de la </w:t>
      </w:r>
      <w:r>
        <w:t xml:space="preserve">Ley reguladora de las Haciendas Locales. No existe, por tanto, obligación legal. </w:t>
      </w:r>
    </w:p>
    <w:p w:rsidR="00B064CF" w:rsidRDefault="00E32F70">
      <w:pPr>
        <w:spacing w:after="109"/>
        <w:ind w:left="355" w:right="72"/>
      </w:pPr>
      <w:r>
        <w:t xml:space="preserve">Se informa negativamente la presente reclamación. </w:t>
      </w:r>
    </w:p>
    <w:p w:rsidR="00B064CF" w:rsidRDefault="00E32F70">
      <w:pPr>
        <w:spacing w:after="98" w:line="259" w:lineRule="auto"/>
        <w:ind w:left="360" w:firstLine="0"/>
        <w:jc w:val="left"/>
      </w:pPr>
      <w:r>
        <w:t xml:space="preserve"> </w:t>
      </w:r>
    </w:p>
    <w:p w:rsidR="00B064CF" w:rsidRDefault="00E32F70">
      <w:pPr>
        <w:spacing w:after="113" w:line="248" w:lineRule="auto"/>
        <w:ind w:left="355" w:right="699"/>
      </w:pPr>
      <w:r>
        <w:rPr>
          <w:b/>
        </w:rPr>
        <w:t xml:space="preserve">23.- </w:t>
      </w:r>
      <w:r>
        <w:rPr>
          <w:b/>
          <w:i/>
        </w:rPr>
        <w:t>El grupo municipal popular del Ayuntamiento de Candelaria solicita la creación de una partida DE 15.000€ PARA EL DES</w:t>
      </w:r>
      <w:r>
        <w:rPr>
          <w:b/>
          <w:i/>
        </w:rPr>
        <w:t xml:space="preserve">ARROLLO DE LA VENTA ONLINE, ASESORAR Y AYUDAR A SU IMPLANTACIÓN EN LOS NEGOCIOS, CON LOS TÉCNICOS MUNICIPALES, A TRAVÉS DEL MARKETPLACE MUNICIPAL, con el objeto de desarrollar una plataforma que facilite la venta online del comercio local sin coste alguno </w:t>
      </w:r>
      <w:r>
        <w:rPr>
          <w:b/>
          <w:i/>
        </w:rPr>
        <w:t xml:space="preserve">para los empresarios. El Ayuntamiento de Candelaria tiene creado en la actualidad el “MARKETPLACE” como herramienta para anunciar al comercio local y con una utilidad de directorio comercial, el grupo popular municipal propone aprovechar esta plataforma y </w:t>
      </w:r>
      <w:r>
        <w:rPr>
          <w:b/>
          <w:i/>
        </w:rPr>
        <w:t>adaptarla a las necesidades del sector comercial de Candelaria y a las formas actuales de compra de los consumidores.</w:t>
      </w:r>
      <w:r>
        <w:rPr>
          <w:rFonts w:ascii="Times New Roman" w:eastAsia="Times New Roman" w:hAnsi="Times New Roman" w:cs="Times New Roman"/>
          <w:sz w:val="24"/>
        </w:rPr>
        <w:t xml:space="preserve"> </w:t>
      </w:r>
    </w:p>
    <w:p w:rsidR="00B064CF" w:rsidRDefault="00E32F70">
      <w:pPr>
        <w:spacing w:after="112"/>
        <w:ind w:left="345" w:right="710" w:firstLine="708"/>
      </w:pPr>
      <w:r>
        <w:t xml:space="preserve">La solicitud de una dotación de crédito para el desarrollo del Marketplace en el comercio </w:t>
      </w:r>
      <w:r>
        <w:t>local, no se encuadra dentro de los tres supuestos de reclamación, tal como dispone el artículo 170.2 del Real Decreto Legislativo 2/2004, de 5 de marzo, por el que se aprueba el Texto Refundido de la Ley reguladora de las Haciendas Locales. No existe, por</w:t>
      </w:r>
      <w:r>
        <w:t xml:space="preserve"> tanto, obligación legal. </w:t>
      </w:r>
    </w:p>
    <w:p w:rsidR="00B064CF" w:rsidRDefault="00E32F70">
      <w:pPr>
        <w:spacing w:after="100" w:line="259" w:lineRule="auto"/>
        <w:ind w:left="1068" w:firstLine="0"/>
        <w:jc w:val="left"/>
      </w:pPr>
      <w:r>
        <w:t xml:space="preserve"> </w:t>
      </w:r>
    </w:p>
    <w:p w:rsidR="00B064CF" w:rsidRDefault="00E32F70">
      <w:pPr>
        <w:spacing w:after="106"/>
        <w:ind w:left="355" w:right="72"/>
      </w:pPr>
      <w:r>
        <w:t xml:space="preserve">Se informa negativamente la presente reclamación. </w:t>
      </w:r>
    </w:p>
    <w:p w:rsidR="00B064CF" w:rsidRDefault="00E32F70">
      <w:pPr>
        <w:spacing w:after="11" w:line="248" w:lineRule="auto"/>
        <w:ind w:left="355" w:right="699"/>
      </w:pPr>
      <w:r>
        <w:rPr>
          <w:b/>
        </w:rPr>
        <w:t xml:space="preserve">24.- </w:t>
      </w:r>
      <w:r>
        <w:rPr>
          <w:b/>
          <w:i/>
        </w:rPr>
        <w:t>El grupo municipal popular del Ayuntamiento de Candelaria solicita que SE ACLA-</w:t>
      </w:r>
    </w:p>
    <w:p w:rsidR="00B064CF" w:rsidRDefault="00E32F70">
      <w:pPr>
        <w:spacing w:after="113" w:line="248" w:lineRule="auto"/>
        <w:ind w:left="355" w:right="699"/>
      </w:pPr>
      <w:r>
        <w:rPr>
          <w:b/>
          <w:i/>
        </w:rPr>
        <w:t>REN LOS PROYECTOS A DESARROLLAR DE LA PARTIDA de 150.000 € del área de Urbanismo, destinado</w:t>
      </w:r>
      <w:r>
        <w:rPr>
          <w:b/>
          <w:i/>
        </w:rPr>
        <w:t>s a proyectos sin especificar su finalidad. Es importante que la Corporación Municipal conozca cuál es el fin de las partidas que se pretenden desarrollar a lo largo del año, para que a su vez, los vecinos del municipio tengan claro qué objetivos o propues</w:t>
      </w:r>
      <w:r>
        <w:rPr>
          <w:b/>
          <w:i/>
        </w:rPr>
        <w:t>tas de futuro tiene el grupo de gobierno actual para mejorar su bienestar y calidad de vida.</w:t>
      </w:r>
      <w:r>
        <w:rPr>
          <w:rFonts w:ascii="Times New Roman" w:eastAsia="Times New Roman" w:hAnsi="Times New Roman" w:cs="Times New Roman"/>
          <w:sz w:val="24"/>
        </w:rPr>
        <w:t xml:space="preserve"> </w:t>
      </w:r>
    </w:p>
    <w:p w:rsidR="00B064CF" w:rsidRDefault="00E32F70">
      <w:pPr>
        <w:spacing w:after="98" w:line="259" w:lineRule="auto"/>
        <w:ind w:left="1068" w:firstLine="0"/>
        <w:jc w:val="left"/>
      </w:pPr>
      <w:r>
        <w:t xml:space="preserve"> </w:t>
      </w:r>
    </w:p>
    <w:p w:rsidR="00B064CF" w:rsidRDefault="00E32F70">
      <w:pPr>
        <w:spacing w:after="112"/>
        <w:ind w:left="345" w:right="713" w:firstLine="708"/>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65987" name="Group 365987"/>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029" name="Rectangle 2029"/>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030" name="Rectangle 2030"/>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Documento firmado electrónicamente desde la plataforma es</w:t>
                              </w:r>
                              <w:r>
                                <w:rPr>
                                  <w:sz w:val="12"/>
                                </w:rPr>
                                <w:t xml:space="preserve">Publico Gestiona | Página 19 de 298 </w:t>
                              </w:r>
                            </w:p>
                          </w:txbxContent>
                        </wps:txbx>
                        <wps:bodyPr horzOverflow="overflow" vert="horz" lIns="0" tIns="0" rIns="0" bIns="0" rtlCol="0">
                          <a:noAutofit/>
                        </wps:bodyPr>
                      </wps:wsp>
                    </wpg:wgp>
                  </a:graphicData>
                </a:graphic>
              </wp:anchor>
            </w:drawing>
          </mc:Choice>
          <mc:Fallback xmlns:a="http://schemas.openxmlformats.org/drawingml/2006/main">
            <w:pict>
              <v:group id="Group 365987" style="width:12.7031pt;height:278.91pt;position:absolute;mso-position-horizontal-relative:page;mso-position-horizontal:absolute;margin-left:682.278pt;mso-position-vertical-relative:page;margin-top:533.01pt;" coordsize="1613,35421">
                <v:rect id="Rectangle 2029"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030"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 de 298 </w:t>
                        </w:r>
                      </w:p>
                    </w:txbxContent>
                  </v:textbox>
                </v:rect>
                <w10:wrap type="square"/>
              </v:group>
            </w:pict>
          </mc:Fallback>
        </mc:AlternateContent>
      </w:r>
      <w:r>
        <w:t>La solicitud de aclaración de los proyectos incluidos en una partida de Urbanismo, por importe de 150.000 Euros, no se encuadra dentro de los tres supuestos de reclamación, tal como dispone el artículo 170.2 del Real De</w:t>
      </w:r>
      <w:r>
        <w:t xml:space="preserve">creto Legislativo 2/2004, de 5 de marzo, por el que se aprueba el Texto Refundido de la Ley reguladora de las Haciendas Locales. No existe, por tanto, obligación legal. </w:t>
      </w:r>
    </w:p>
    <w:p w:rsidR="00B064CF" w:rsidRDefault="00E32F70">
      <w:pPr>
        <w:spacing w:after="100" w:line="259" w:lineRule="auto"/>
        <w:ind w:left="1068" w:firstLine="0"/>
        <w:jc w:val="left"/>
      </w:pPr>
      <w:r>
        <w:t xml:space="preserve"> </w:t>
      </w:r>
    </w:p>
    <w:p w:rsidR="00B064CF" w:rsidRDefault="00E32F70">
      <w:pPr>
        <w:spacing w:after="98" w:line="259" w:lineRule="auto"/>
        <w:ind w:left="360" w:firstLine="0"/>
        <w:jc w:val="left"/>
      </w:pPr>
      <w:r>
        <w:t xml:space="preserve"> </w:t>
      </w:r>
    </w:p>
    <w:p w:rsidR="00B064CF" w:rsidRDefault="00E32F70">
      <w:pPr>
        <w:spacing w:after="109"/>
        <w:ind w:left="355" w:right="72"/>
      </w:pPr>
      <w:r>
        <w:t xml:space="preserve">Se informa negativamente la presente reclamación. </w:t>
      </w:r>
    </w:p>
    <w:p w:rsidR="00B064CF" w:rsidRDefault="00E32F70">
      <w:pPr>
        <w:spacing w:after="98" w:line="259" w:lineRule="auto"/>
        <w:ind w:left="360" w:firstLine="0"/>
        <w:jc w:val="left"/>
      </w:pPr>
      <w:r>
        <w:t xml:space="preserve"> </w:t>
      </w:r>
    </w:p>
    <w:p w:rsidR="00B064CF" w:rsidRDefault="00E32F70">
      <w:pPr>
        <w:spacing w:after="22" w:line="248" w:lineRule="auto"/>
        <w:ind w:left="355" w:right="699"/>
      </w:pPr>
      <w:r>
        <w:rPr>
          <w:b/>
        </w:rPr>
        <w:t xml:space="preserve">25.- </w:t>
      </w:r>
      <w:r>
        <w:rPr>
          <w:b/>
          <w:i/>
        </w:rPr>
        <w:t>El grupo municipal popular del Ayuntamiento de Candelaria solicita la creación de una partida de AL MENOS 200.000,00€ PARA EL DESARROLLO DE PROYECTOS Y AC-</w:t>
      </w:r>
    </w:p>
    <w:p w:rsidR="00B064CF" w:rsidRDefault="00E32F70">
      <w:pPr>
        <w:spacing w:after="113" w:line="248" w:lineRule="auto"/>
        <w:ind w:left="355" w:right="699"/>
      </w:pPr>
      <w:r>
        <w:rPr>
          <w:b/>
          <w:i/>
        </w:rPr>
        <w:t>TUACIONES DENTRO DEL MARCO DE LOS PRESUPUESTOS PARTICIPATIVOS. En el año 2019 el Ayuntamiento de Can</w:t>
      </w:r>
      <w:r>
        <w:rPr>
          <w:b/>
          <w:i/>
        </w:rPr>
        <w:t>delaria destinó 500.000€ al desarrollo de proyectos y actuaciones dentro del marco de los PRESUPUESTOS PARTICIPATIVOS, en el que los vecinos podían elegir las mejoras que creían más adecuadas para su zona. Este año esa partida no existe, por lo que se le h</w:t>
      </w:r>
      <w:r>
        <w:rPr>
          <w:b/>
          <w:i/>
        </w:rPr>
        <w:t>a negado a los vecinos su carácter participativo en las decisiones de los presupuestos municipales y su capacidad de voz y voto a la hora de elegir aquellas accione que entendían adecuadas para mejorar su entorno.</w:t>
      </w:r>
      <w:r>
        <w:rPr>
          <w:rFonts w:ascii="Times New Roman" w:eastAsia="Times New Roman" w:hAnsi="Times New Roman" w:cs="Times New Roman"/>
          <w:sz w:val="24"/>
        </w:rPr>
        <w:t xml:space="preserve"> </w:t>
      </w:r>
    </w:p>
    <w:p w:rsidR="00B064CF" w:rsidRDefault="00E32F70">
      <w:pPr>
        <w:spacing w:after="98" w:line="259" w:lineRule="auto"/>
        <w:ind w:left="1068" w:firstLine="0"/>
        <w:jc w:val="left"/>
      </w:pPr>
      <w:r>
        <w:t xml:space="preserve"> </w:t>
      </w:r>
    </w:p>
    <w:p w:rsidR="00B064CF" w:rsidRDefault="00E32F70">
      <w:pPr>
        <w:spacing w:after="112"/>
        <w:ind w:left="345" w:right="712" w:firstLine="708"/>
      </w:pPr>
      <w:r>
        <w:t>La solicitud de una dotación de crédito</w:t>
      </w:r>
      <w:r>
        <w:t xml:space="preserve"> con destino a proyectos y actuaciones dentro del marco de los presupuestos participativos, por importe de 200.000 Euros, no se encuadra dentro de los tres supuestos de reclamación, tal como dispone el artículo 170.2 del Real Decreto Legislativo 2/2004, de</w:t>
      </w:r>
      <w:r>
        <w:t xml:space="preserve"> 5 de marzo, por el que se aprueba el Texto Refundido de la Ley reguladora de las Haciendas Locales. No existe, por tanto, obligación legal. </w:t>
      </w:r>
    </w:p>
    <w:p w:rsidR="00B064CF" w:rsidRDefault="00E32F70">
      <w:pPr>
        <w:spacing w:after="0" w:line="259" w:lineRule="auto"/>
        <w:ind w:left="1068" w:firstLine="0"/>
        <w:jc w:val="left"/>
      </w:pPr>
      <w:r>
        <w:t xml:space="preserve"> </w:t>
      </w:r>
    </w:p>
    <w:p w:rsidR="00B064CF" w:rsidRDefault="00E32F70">
      <w:pPr>
        <w:spacing w:after="111"/>
        <w:ind w:left="355" w:right="72"/>
      </w:pPr>
      <w:r>
        <w:t xml:space="preserve">Se informa negativamente la presente reclamación. </w:t>
      </w:r>
    </w:p>
    <w:p w:rsidR="00B064CF" w:rsidRDefault="00E32F70">
      <w:pPr>
        <w:spacing w:after="95" w:line="259" w:lineRule="auto"/>
        <w:ind w:left="360" w:firstLine="0"/>
        <w:jc w:val="left"/>
      </w:pPr>
      <w:r>
        <w:t xml:space="preserve"> </w:t>
      </w:r>
    </w:p>
    <w:p w:rsidR="00B064CF" w:rsidRDefault="00E32F70">
      <w:pPr>
        <w:spacing w:after="93" w:line="248" w:lineRule="auto"/>
        <w:ind w:left="355" w:right="699"/>
      </w:pPr>
      <w:r>
        <w:rPr>
          <w:b/>
        </w:rPr>
        <w:t xml:space="preserve">26.- </w:t>
      </w:r>
      <w:r>
        <w:rPr>
          <w:b/>
          <w:i/>
        </w:rPr>
        <w:t>El grupo municipal popular del Ayuntamiento de Candela</w:t>
      </w:r>
      <w:r>
        <w:rPr>
          <w:b/>
          <w:i/>
        </w:rPr>
        <w:t>ria solicita la creación de una partida de AL MENOS 30.000,00€ PARA UN PROYECTO DE ESTUDIO DE LA MOVILIDAD DEL TRÁFICO EN CANDELARIA Y LA MEJORA DE ESPACIOS DE ESTACIONAMIENTOS. En la actualidad Candelaria es uno de los municipios más visitados de la isla,</w:t>
      </w:r>
      <w:r>
        <w:rPr>
          <w:b/>
          <w:i/>
        </w:rPr>
        <w:t xml:space="preserve"> tanto por tener a la Virgen de Candelaria y el conjunto escultórico de los Menceyes Guanches como principal reclamo turístico, como por la variedad de oferta gastronómica y de actividades que la zona del casco, Punta Larga y Caletillas ofrece. Esto hace q</w:t>
      </w:r>
      <w:r>
        <w:rPr>
          <w:b/>
          <w:i/>
        </w:rPr>
        <w:t>ue la distribución de las calles, junto con la movilidad del tráfico o la falta de aparcamientos, fruto de la planificación de hace más de 20, 30 o 40 años en algunas zonas, haya quedado obsoleta y se requiera un estudio adecuado y pormenorizado para poder</w:t>
      </w:r>
      <w:r>
        <w:rPr>
          <w:b/>
          <w:i/>
        </w:rPr>
        <w:t xml:space="preserve"> dar respuesta en los próximos años a las necesidades reales y de futuro de nuestro municipio. Consiguiendo de esta forma poder ayudar en estos momentos de pandemia por la COVID-19 al desarrollo del comercio y la restauración local.</w:t>
      </w:r>
      <w:r>
        <w:rPr>
          <w:rFonts w:ascii="Times New Roman" w:eastAsia="Times New Roman" w:hAnsi="Times New Roman" w:cs="Times New Roman"/>
          <w:sz w:val="24"/>
        </w:rPr>
        <w:t xml:space="preserve"> </w:t>
      </w:r>
    </w:p>
    <w:p w:rsidR="00B064CF" w:rsidRDefault="00E32F70">
      <w:pPr>
        <w:spacing w:after="100" w:line="259" w:lineRule="auto"/>
        <w:ind w:left="1068" w:firstLine="0"/>
        <w:jc w:val="left"/>
      </w:pPr>
      <w:r>
        <w:t xml:space="preserve"> </w:t>
      </w:r>
    </w:p>
    <w:p w:rsidR="00B064CF" w:rsidRDefault="00E32F70">
      <w:pPr>
        <w:spacing w:after="114"/>
        <w:ind w:left="345" w:right="713" w:firstLine="708"/>
      </w:pPr>
      <w:r>
        <w:t>La solicitud de una dotación de crédito de al menos 30.000 Euros con destino a proyecto de estudio de movilidad de tráfico en el municipio, no se encuadra dentro de los tres supuestos de reclamación, tal como dispone el artículo 170.2 del Real Decreto Legi</w:t>
      </w:r>
      <w:r>
        <w:t xml:space="preserve">slativo 2/2004, de 5 de marzo, por el que se aprueba el Texto Refundido de la Ley reguladora de las Haciendas Locales. No existe, por tanto, obligación legal. </w:t>
      </w:r>
    </w:p>
    <w:p w:rsidR="00B064CF" w:rsidRDefault="00E32F70">
      <w:pPr>
        <w:spacing w:after="109"/>
        <w:ind w:left="355" w:right="72"/>
      </w:pPr>
      <w:r>
        <w:rPr>
          <w:rFonts w:ascii="Calibri" w:eastAsia="Calibri" w:hAnsi="Calibri" w:cs="Calibri"/>
          <w:noProof/>
        </w:rPr>
        <mc:AlternateContent>
          <mc:Choice Requires="wpg">
            <w:drawing>
              <wp:anchor distT="0" distB="0" distL="114300" distR="114300" simplePos="0" relativeHeight="25168179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66105" name="Group 366105"/>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124" name="Rectangle 2124"/>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64SKSNYNJRFPNN5DLPPAAC3GS | Verificación: https://candelaria.sedelectronica.</w:t>
                              </w:r>
                              <w:r>
                                <w:rPr>
                                  <w:sz w:val="12"/>
                                </w:rPr>
                                <w:t xml:space="preserve">es/ </w:t>
                              </w:r>
                            </w:p>
                          </w:txbxContent>
                        </wps:txbx>
                        <wps:bodyPr horzOverflow="overflow" vert="horz" lIns="0" tIns="0" rIns="0" bIns="0" rtlCol="0">
                          <a:noAutofit/>
                        </wps:bodyPr>
                      </wps:wsp>
                      <wps:wsp>
                        <wps:cNvPr id="2125" name="Rectangle 2125"/>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20 de 298 </w:t>
                              </w:r>
                            </w:p>
                          </w:txbxContent>
                        </wps:txbx>
                        <wps:bodyPr horzOverflow="overflow" vert="horz" lIns="0" tIns="0" rIns="0" bIns="0" rtlCol="0">
                          <a:noAutofit/>
                        </wps:bodyPr>
                      </wps:wsp>
                    </wpg:wgp>
                  </a:graphicData>
                </a:graphic>
              </wp:anchor>
            </w:drawing>
          </mc:Choice>
          <mc:Fallback xmlns:a="http://schemas.openxmlformats.org/drawingml/2006/main">
            <w:pict>
              <v:group id="Group 366105" style="width:12.7031pt;height:278.91pt;position:absolute;mso-position-horizontal-relative:page;mso-position-horizontal:absolute;margin-left:682.278pt;mso-position-vertical-relative:page;margin-top:533.01pt;" coordsize="1613,35421">
                <v:rect id="Rectangle 2124"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125"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 de 298 </w:t>
                        </w:r>
                      </w:p>
                    </w:txbxContent>
                  </v:textbox>
                </v:rect>
                <w10:wrap type="square"/>
              </v:group>
            </w:pict>
          </mc:Fallback>
        </mc:AlternateContent>
      </w:r>
      <w:r>
        <w:t xml:space="preserve">Se informa negativamente la presente reclamación. </w:t>
      </w:r>
    </w:p>
    <w:p w:rsidR="00B064CF" w:rsidRDefault="00E32F70">
      <w:pPr>
        <w:spacing w:after="98" w:line="259" w:lineRule="auto"/>
        <w:ind w:left="360" w:firstLine="0"/>
        <w:jc w:val="left"/>
      </w:pPr>
      <w:r>
        <w:t xml:space="preserve"> </w:t>
      </w:r>
    </w:p>
    <w:p w:rsidR="00B064CF" w:rsidRDefault="00E32F70">
      <w:pPr>
        <w:spacing w:after="0"/>
        <w:ind w:left="355" w:right="713"/>
      </w:pPr>
      <w:r>
        <w:rPr>
          <w:b/>
        </w:rPr>
        <w:t xml:space="preserve">Quinto: </w:t>
      </w:r>
      <w:r>
        <w:t>Que las reclamaciones y alegaciones presentadas por parte del partido político Coalición Canar</w:t>
      </w:r>
      <w:r>
        <w:t>ia, encuadrado dentro del Grupo Mixto, el día 12 de mayo de 2021, que tiene la consideración de interesado, han sido presentadas en plazo y las fundamentaciones se basan en los siguientes supuestos:</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rPr>
          <w:b/>
          <w:i/>
        </w:rPr>
        <w:t xml:space="preserve"> </w:t>
      </w:r>
    </w:p>
    <w:p w:rsidR="00B064CF" w:rsidRDefault="00E32F70">
      <w:pPr>
        <w:spacing w:after="0" w:line="248" w:lineRule="auto"/>
        <w:ind w:left="345" w:right="699" w:firstLine="708"/>
      </w:pPr>
      <w:r>
        <w:rPr>
          <w:b/>
          <w:i/>
        </w:rPr>
        <w:t>1.-</w:t>
      </w:r>
      <w:r>
        <w:t xml:space="preserve"> </w:t>
      </w:r>
      <w:r>
        <w:rPr>
          <w:b/>
          <w:i/>
        </w:rPr>
        <w:t>Se ha incumplido en la elaboración del Presupuesto</w:t>
      </w:r>
      <w:r>
        <w:rPr>
          <w:b/>
          <w:i/>
        </w:rPr>
        <w:t xml:space="preserve"> municipal de Candelaria 2021, los plazos legales establecidos en los artículos 168 y 169 del TRLRHL, para adecuada aprobación, publicación y entrada en vigor de los presupuestos.</w:t>
      </w:r>
      <w:r>
        <w:rPr>
          <w:rFonts w:ascii="Times New Roman" w:eastAsia="Times New Roman" w:hAnsi="Times New Roman" w:cs="Times New Roman"/>
          <w:sz w:val="24"/>
        </w:rPr>
        <w:t xml:space="preserve"> </w:t>
      </w:r>
    </w:p>
    <w:p w:rsidR="00B064CF" w:rsidRDefault="00E32F70">
      <w:pPr>
        <w:spacing w:after="0" w:line="259" w:lineRule="auto"/>
        <w:ind w:left="1068" w:firstLine="0"/>
        <w:jc w:val="left"/>
      </w:pPr>
      <w:r>
        <w:rPr>
          <w:b/>
          <w:i/>
        </w:rPr>
        <w:t xml:space="preserve"> </w:t>
      </w:r>
    </w:p>
    <w:p w:rsidR="00B064CF" w:rsidRDefault="00E32F70">
      <w:pPr>
        <w:spacing w:after="0" w:line="246" w:lineRule="auto"/>
        <w:ind w:left="345" w:right="58" w:firstLine="698"/>
        <w:jc w:val="left"/>
      </w:pPr>
      <w:r>
        <w:t>La norma establece unos plazos para la elaboración y aprobación del Presupuesto General, para su entrada en vigor al comienzo del ejercicio. SI no se cumplen, las normas vigentes, arbitran una serie de medidas que permitan el funcionamiento de la entidad y</w:t>
      </w:r>
      <w:r>
        <w:t xml:space="preserve"> la prestación de servicios públicos básicos. Ello explica que el apartado 6 del artículo 169 del TRLRHL: </w:t>
      </w:r>
    </w:p>
    <w:p w:rsidR="00B064CF" w:rsidRDefault="00E32F70">
      <w:pPr>
        <w:spacing w:after="0" w:line="259" w:lineRule="auto"/>
        <w:ind w:left="1068" w:firstLine="0"/>
        <w:jc w:val="left"/>
      </w:pPr>
      <w:r>
        <w:t xml:space="preserve"> </w:t>
      </w:r>
    </w:p>
    <w:p w:rsidR="00B064CF" w:rsidRDefault="00E32F70">
      <w:pPr>
        <w:spacing w:after="0"/>
        <w:ind w:left="345" w:right="655" w:firstLine="708"/>
      </w:pPr>
      <w:r>
        <w:t>“Si al iniciarse el ejercicio económico no hubiese entrado en vigor el presupuesto correspondiente, se considerará automáticamente prorrogado el de</w:t>
      </w:r>
      <w:r>
        <w:t>l anterior, con sus créditos iniciales, sin perjuicio de las modificaciones que se realicen conforme a lo dispuesto en los artículos 177, 178 y 179 de esta ley y hasta la entrada en vigor del nuevo presupuesto. La prórroga no afectará a los créditos para s</w:t>
      </w:r>
      <w:r>
        <w:t xml:space="preserve">ervicios o programas que deban concluir en el ejercicio anterior o que estén financiados con crédito u otros ingresos específicos o afectados”. </w:t>
      </w:r>
    </w:p>
    <w:p w:rsidR="00B064CF" w:rsidRDefault="00E32F70">
      <w:pPr>
        <w:spacing w:after="0" w:line="259" w:lineRule="auto"/>
        <w:ind w:left="1068" w:firstLine="0"/>
        <w:jc w:val="left"/>
      </w:pPr>
      <w:r>
        <w:t xml:space="preserve"> </w:t>
      </w:r>
    </w:p>
    <w:p w:rsidR="00B064CF" w:rsidRDefault="00E32F70">
      <w:pPr>
        <w:ind w:left="345" w:right="146" w:firstLine="360"/>
      </w:pPr>
      <w:r>
        <w:t>Asimismo, el artículo 48 de la Ley 39/2015 de 1 de octubre, del Procedimiento Administrativo Común de las Adm</w:t>
      </w:r>
      <w:r>
        <w:t>inistraciones Públicas, regula que los defectos de forma, sólo determinará la anulabilidad cuando el acto carezca de los requisitos formales indispensables para alcanzar su fin o dé lugar a la indefensión de los interesados. La realización de actuaciones a</w:t>
      </w:r>
      <w:r>
        <w:t>dministrativas fuera del tiempo establecido para ellas sólo implicará la anulabilidad del acto cuando así lo imponga la naturaleza del término o plazo.</w:t>
      </w:r>
      <w:r>
        <w:rPr>
          <w:rFonts w:ascii="Times New Roman" w:eastAsia="Times New Roman" w:hAnsi="Times New Roman" w:cs="Times New Roman"/>
          <w:sz w:val="24"/>
        </w:rPr>
        <w:t xml:space="preserve"> </w:t>
      </w:r>
    </w:p>
    <w:p w:rsidR="00B064CF" w:rsidRDefault="00E32F70">
      <w:pPr>
        <w:ind w:left="345" w:right="72" w:firstLine="360"/>
      </w:pPr>
      <w:r>
        <w:t>Por tanto, se trata de una irregularidad no invalidante, por lo que se informa negativamente la present</w:t>
      </w:r>
      <w:r>
        <w:t xml:space="preserve">e reclamación. </w:t>
      </w:r>
    </w:p>
    <w:p w:rsidR="00B064CF" w:rsidRDefault="00E32F70">
      <w:pPr>
        <w:spacing w:after="103" w:line="259" w:lineRule="auto"/>
        <w:ind w:left="360" w:firstLine="0"/>
        <w:jc w:val="left"/>
      </w:pPr>
      <w:r>
        <w:t xml:space="preserve"> </w:t>
      </w:r>
      <w:r>
        <w:tab/>
        <w:t xml:space="preserve"> </w:t>
      </w:r>
    </w:p>
    <w:p w:rsidR="00B064CF" w:rsidRDefault="00E32F70">
      <w:pPr>
        <w:spacing w:after="113" w:line="248" w:lineRule="auto"/>
        <w:ind w:left="355" w:right="143"/>
      </w:pPr>
      <w:r>
        <w:t xml:space="preserve"> </w:t>
      </w:r>
      <w:r>
        <w:rPr>
          <w:b/>
        </w:rPr>
        <w:t xml:space="preserve">2.- </w:t>
      </w:r>
      <w:r>
        <w:rPr>
          <w:b/>
          <w:i/>
        </w:rPr>
        <w:t>Se observa un aumento en los Gastos de Personal en las partidas destinadas a Órganos de Gobierno y Personal Eventual que importa un total de 859.604,13 €, frente a los 838.462,78 € del ejercicio de 2020. Produciéndose una subida sa</w:t>
      </w:r>
      <w:r>
        <w:rPr>
          <w:b/>
          <w:i/>
        </w:rPr>
        <w:t>larial del 2,8% (21.141,35 €) Desde Coalición Canaria entendemos que en la difícil situación económica y social que sufre la ciudadanía a causa de las secuelas de la pandemia, se requiere por parte de los responsables públicos un esfuerzo y consideramos qu</w:t>
      </w:r>
      <w:r>
        <w:rPr>
          <w:b/>
          <w:i/>
        </w:rPr>
        <w:t>e moralmente esta subida salarial no es ahora pertinente. El grupo de gobierno del Ayuntamiento de Candelaria e integrantes del ejecutivo local deberían haberse congelado su salario este año, y debería destinar el dinero consignado en esa subida salarial (</w:t>
      </w:r>
      <w:r>
        <w:rPr>
          <w:b/>
          <w:i/>
        </w:rPr>
        <w:t>21.141,35 €) a fines sociales, como pueden ser la Protección a la Infancia, Actuaciones para Sensibilización en Igualdad y contra la Violencia de Género o en la Ayuda a Domicilio, partidas sociales que han sufrido en este presupuesto mermas en sus créditos</w:t>
      </w:r>
      <w:r>
        <w:rPr>
          <w:b/>
        </w:rPr>
        <w:t>.</w:t>
      </w:r>
      <w:r>
        <w:rPr>
          <w:rFonts w:ascii="Times New Roman" w:eastAsia="Times New Roman" w:hAnsi="Times New Roman" w:cs="Times New Roman"/>
          <w:sz w:val="24"/>
        </w:rPr>
        <w:t xml:space="preserve"> </w:t>
      </w:r>
    </w:p>
    <w:p w:rsidR="00B064CF" w:rsidRDefault="00E32F70">
      <w:pPr>
        <w:spacing w:after="100" w:line="259" w:lineRule="auto"/>
        <w:ind w:left="360" w:firstLine="0"/>
        <w:jc w:val="left"/>
      </w:pP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66104" name="Group 366104"/>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226" name="Rectangle 2226"/>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227" name="Rectangle 2227"/>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21 de 298 </w:t>
                              </w:r>
                            </w:p>
                          </w:txbxContent>
                        </wps:txbx>
                        <wps:bodyPr horzOverflow="overflow" vert="horz" lIns="0" tIns="0" rIns="0" bIns="0" rtlCol="0">
                          <a:noAutofit/>
                        </wps:bodyPr>
                      </wps:wsp>
                    </wpg:wgp>
                  </a:graphicData>
                </a:graphic>
              </wp:anchor>
            </w:drawing>
          </mc:Choice>
          <mc:Fallback xmlns:a="http://schemas.openxmlformats.org/drawingml/2006/main">
            <w:pict>
              <v:group id="Group 366104" style="width:12.7031pt;height:278.91pt;position:absolute;mso-position-horizontal-relative:page;mso-position-horizontal:absolute;margin-left:682.278pt;mso-position-vertical-relative:page;margin-top:533.01pt;" coordsize="1613,35421">
                <v:rect id="Rectangle 2226"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227"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 de 298 </w:t>
                        </w:r>
                      </w:p>
                    </w:txbxContent>
                  </v:textbox>
                </v:rect>
                <w10:wrap type="square"/>
              </v:group>
            </w:pict>
          </mc:Fallback>
        </mc:AlternateContent>
      </w:r>
      <w:r>
        <w:rPr>
          <w:b/>
        </w:rPr>
        <w:t xml:space="preserve"> </w:t>
      </w:r>
    </w:p>
    <w:p w:rsidR="00B064CF" w:rsidRDefault="00E32F70">
      <w:pPr>
        <w:spacing w:after="112"/>
        <w:ind w:left="345" w:right="712" w:firstLine="708"/>
      </w:pPr>
      <w:r>
        <w:t>La solicitud de congelación de los gastos de personal del equipo de gobierno y personal eventual y destinar la subida a actuaciones sociales, no se encuadra dentro de los tres supuestos de reclamación, tal como dispone el artículo 170.2 del Real Decreto Le</w:t>
      </w:r>
      <w:r>
        <w:t xml:space="preserve">gislativo 2/2004, de 5 de marzo, por el que se aprueba el Texto Refundido de la Ley reguladora de las Haciendas Locales. No existe, por tanto, obligación legal. </w:t>
      </w:r>
    </w:p>
    <w:p w:rsidR="00B064CF" w:rsidRDefault="00E32F70">
      <w:pPr>
        <w:spacing w:after="100" w:line="259" w:lineRule="auto"/>
        <w:ind w:left="1068" w:firstLine="0"/>
        <w:jc w:val="left"/>
      </w:pPr>
      <w:r>
        <w:t xml:space="preserve"> </w:t>
      </w:r>
    </w:p>
    <w:p w:rsidR="00B064CF" w:rsidRDefault="00E32F70">
      <w:pPr>
        <w:spacing w:after="109"/>
        <w:ind w:left="1078" w:right="72"/>
      </w:pPr>
      <w:r>
        <w:t xml:space="preserve">Se informa negativamente la presente reclamación. </w:t>
      </w:r>
    </w:p>
    <w:p w:rsidR="00B064CF" w:rsidRDefault="00E32F70">
      <w:pPr>
        <w:spacing w:after="95" w:line="259" w:lineRule="auto"/>
        <w:ind w:left="1068" w:firstLine="0"/>
        <w:jc w:val="left"/>
      </w:pPr>
      <w:r>
        <w:t xml:space="preserve"> </w:t>
      </w:r>
    </w:p>
    <w:p w:rsidR="00B064CF" w:rsidRDefault="00E32F70">
      <w:pPr>
        <w:spacing w:after="0" w:line="248" w:lineRule="auto"/>
        <w:ind w:left="345" w:right="699" w:firstLine="708"/>
      </w:pPr>
      <w:r>
        <w:rPr>
          <w:b/>
        </w:rPr>
        <w:t>3.-</w:t>
      </w:r>
      <w:r>
        <w:rPr>
          <w:b/>
          <w:i/>
        </w:rPr>
        <w:t xml:space="preserve"> A pesar del aumento con respecto al</w:t>
      </w:r>
      <w:r>
        <w:rPr>
          <w:b/>
          <w:i/>
        </w:rPr>
        <w:t xml:space="preserve"> ejercicio anterior, manifestamos la insuficiencia de créditos del Gasto en las partidas destinadas a Inversiones Reales, que asciende a un monto total de 544.700,04 €, incluidas las inversiones en maquinaria o mobiliario. Hay que señalar que muchos de los</w:t>
      </w:r>
      <w:r>
        <w:rPr>
          <w:b/>
          <w:i/>
        </w:rPr>
        <w:t xml:space="preserve"> proyectos técnicos de inversión que se recogen en el Presupuesto Municipal 2021 se corresponden con inversiones no ejecutadas en el 2020, como la Rehabilitación de la Cripta de Santa Ana (64.647,97 €), la instalación de un Skatepark (35.140,00 €) o las ob</w:t>
      </w:r>
      <w:r>
        <w:rPr>
          <w:b/>
          <w:i/>
        </w:rPr>
        <w:t>ras y equipamiento en centros culturales (60.000,00 €). Las nuevas inversiones se centran en partidas destinadas a Obras de Accesibilidad (50.000,00 €) e Instalaciones de Saneamiento (50.000,00 €), claramente insuficientes, siendo especialmente un grave pr</w:t>
      </w:r>
      <w:r>
        <w:rPr>
          <w:b/>
          <w:i/>
        </w:rPr>
        <w:t xml:space="preserve">oblema en el municipio la falta de una buena red de saneamiento, inexistente en las medianías. Un municipio de las características de Candelaria, con casi 30.000 habitantes de derecho necesita más Inversiones Reales, para mantener su desarrollo. Servicios </w:t>
      </w:r>
      <w:r>
        <w:rPr>
          <w:b/>
          <w:i/>
        </w:rPr>
        <w:t xml:space="preserve">como Alcantarillado y Saneamiento (50.000,00 €), Pavimentación de Vías Públicas (20.056,07 € para la Reforma Plaza Las Caletillas), Alumbrado Público (6.000,00 €), Medio Ambiente (0,00 </w:t>
      </w:r>
    </w:p>
    <w:p w:rsidR="00B064CF" w:rsidRDefault="00E32F70">
      <w:pPr>
        <w:spacing w:after="92" w:line="248" w:lineRule="auto"/>
        <w:ind w:left="355" w:right="699"/>
      </w:pPr>
      <w:r>
        <w:rPr>
          <w:b/>
          <w:i/>
        </w:rPr>
        <w:t>€), Parques y Jardines (1.000,00 €), Desarrollo Rural (500,00 €), Prot</w:t>
      </w:r>
      <w:r>
        <w:rPr>
          <w:b/>
          <w:i/>
        </w:rPr>
        <w:t>ección y Desarrollo Recursos Pesqueros (500,00 €), Comercio (0,00 €), Turismo (0,00 €) o Participación Ciudadana (0,00 €), se encuentran infradotadas o no cuentan con Inversión Real en este Presupuesto. Por tanto, estamos ante un Presupuesto 2021 que, aunq</w:t>
      </w:r>
      <w:r>
        <w:rPr>
          <w:b/>
          <w:i/>
        </w:rPr>
        <w:t>ue aumenta algo la inversión, continúa sin garantizar con esta política de baja Inversión Real el ofrecer servicios públicos de calidad, no potencia el estado de bienestar vecinal, no se mejora la dinamización socioeconómica y tampoco fomenta que nuestro m</w:t>
      </w:r>
      <w:r>
        <w:rPr>
          <w:b/>
          <w:i/>
        </w:rPr>
        <w:t xml:space="preserve">unicipio resulte atractivo para el vecino, el visitante y el inversor. </w:t>
      </w:r>
      <w:r>
        <w:t xml:space="preserve"> </w:t>
      </w:r>
      <w:r>
        <w:rPr>
          <w:b/>
          <w:i/>
        </w:rPr>
        <w:t>El equipo de Gobierno sigue confiando demasiado, como ocurrió en el pasado ejercicio, la inversión que necesita este municipio para su desarrollo en la financiación externa de organism</w:t>
      </w:r>
      <w:r>
        <w:rPr>
          <w:b/>
          <w:i/>
        </w:rPr>
        <w:t>os supramunicipales, no existiendo constancia -pues no se han aportado Resoluciones de otras administraciones - que justifiquen y garanticen esas futuribles inversiones en el municipio.</w:t>
      </w:r>
      <w:r>
        <w:rPr>
          <w:rFonts w:ascii="Times New Roman" w:eastAsia="Times New Roman" w:hAnsi="Times New Roman" w:cs="Times New Roman"/>
          <w:sz w:val="24"/>
        </w:rPr>
        <w:t xml:space="preserve"> </w:t>
      </w:r>
    </w:p>
    <w:p w:rsidR="00B064CF" w:rsidRDefault="00E32F70">
      <w:pPr>
        <w:spacing w:after="98" w:line="259" w:lineRule="auto"/>
        <w:ind w:left="1068" w:firstLine="0"/>
        <w:jc w:val="left"/>
      </w:pPr>
      <w:r>
        <w:rPr>
          <w:b/>
          <w:i/>
        </w:rPr>
        <w:t xml:space="preserve"> </w:t>
      </w:r>
    </w:p>
    <w:p w:rsidR="00B064CF" w:rsidRDefault="00E32F70">
      <w:pPr>
        <w:spacing w:after="112"/>
        <w:ind w:left="345" w:right="711" w:firstLine="708"/>
      </w:pPr>
      <w:r>
        <w:t>La insuficiencia de crédito para gastos destinados a Inversiones Reales, no se encuadra dentro de los tres supuestos de reclamación, tal como dispone el artículo 170.2 del Real Decreto Legislativo 2/2004, de 5 de marzo, por el que se aprueba el Texto Refun</w:t>
      </w:r>
      <w:r>
        <w:t xml:space="preserve">dido de la Ley reguladora de las Haciendas Locales. No existe, por tanto, obligación legal. </w:t>
      </w:r>
    </w:p>
    <w:p w:rsidR="00B064CF" w:rsidRDefault="00E32F70">
      <w:pPr>
        <w:spacing w:after="98" w:line="259" w:lineRule="auto"/>
        <w:ind w:left="1068" w:firstLine="0"/>
        <w:jc w:val="left"/>
      </w:pPr>
      <w:r>
        <w:t xml:space="preserve"> </w:t>
      </w:r>
    </w:p>
    <w:p w:rsidR="00B064CF" w:rsidRDefault="00E32F70">
      <w:pPr>
        <w:spacing w:after="111"/>
        <w:ind w:left="1078" w:right="72"/>
      </w:pPr>
      <w:r>
        <w:t xml:space="preserve">Se informa negativamente la presente reclamación. </w:t>
      </w:r>
    </w:p>
    <w:p w:rsidR="00B064CF" w:rsidRDefault="00E32F70">
      <w:pPr>
        <w:spacing w:after="95" w:line="259" w:lineRule="auto"/>
        <w:ind w:left="1068" w:firstLine="0"/>
        <w:jc w:val="left"/>
      </w:pPr>
      <w:r>
        <w:rPr>
          <w:rFonts w:ascii="Calibri" w:eastAsia="Calibri" w:hAnsi="Calibri" w:cs="Calibri"/>
          <w:noProof/>
        </w:rPr>
        <mc:AlternateContent>
          <mc:Choice Requires="wpg">
            <w:drawing>
              <wp:anchor distT="0" distB="0" distL="114300" distR="114300" simplePos="0" relativeHeight="25168384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66275" name="Group 366275"/>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328" name="Rectangle 2328"/>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329" name="Rectangle 2329"/>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Documen</w:t>
                              </w:r>
                              <w:r>
                                <w:rPr>
                                  <w:sz w:val="12"/>
                                </w:rPr>
                                <w:t xml:space="preserve">to firmado electrónicamente desde la plataforma esPublico Gestiona | Página 22 de 298 </w:t>
                              </w:r>
                            </w:p>
                          </w:txbxContent>
                        </wps:txbx>
                        <wps:bodyPr horzOverflow="overflow" vert="horz" lIns="0" tIns="0" rIns="0" bIns="0" rtlCol="0">
                          <a:noAutofit/>
                        </wps:bodyPr>
                      </wps:wsp>
                    </wpg:wgp>
                  </a:graphicData>
                </a:graphic>
              </wp:anchor>
            </w:drawing>
          </mc:Choice>
          <mc:Fallback xmlns:a="http://schemas.openxmlformats.org/drawingml/2006/main">
            <w:pict>
              <v:group id="Group 366275" style="width:12.7031pt;height:278.91pt;position:absolute;mso-position-horizontal-relative:page;mso-position-horizontal:absolute;margin-left:682.278pt;mso-position-vertical-relative:page;margin-top:533.01pt;" coordsize="1613,35421">
                <v:rect id="Rectangle 2328"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329"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 de 298 </w:t>
                        </w:r>
                      </w:p>
                    </w:txbxContent>
                  </v:textbox>
                </v:rect>
                <w10:wrap type="square"/>
              </v:group>
            </w:pict>
          </mc:Fallback>
        </mc:AlternateContent>
      </w:r>
      <w:r>
        <w:t xml:space="preserve"> </w:t>
      </w:r>
    </w:p>
    <w:p w:rsidR="00B064CF" w:rsidRDefault="00E32F70">
      <w:pPr>
        <w:spacing w:after="113" w:line="248" w:lineRule="auto"/>
        <w:ind w:left="654" w:right="699"/>
      </w:pPr>
      <w:r>
        <w:rPr>
          <w:b/>
        </w:rPr>
        <w:t>4.-</w:t>
      </w:r>
      <w:r>
        <w:t xml:space="preserve"> </w:t>
      </w:r>
      <w:r>
        <w:rPr>
          <w:b/>
          <w:i/>
        </w:rPr>
        <w:t>Consideramos insuficiente el crédito que se destina a la pavimentación de vías públicas, RMC Infraestructuras y Bienes que se mantiene igual que en el ejercicio an</w:t>
      </w:r>
      <w:r>
        <w:rPr>
          <w:b/>
          <w:i/>
        </w:rPr>
        <w:t>terior con una dotación de 50.000,00 €, teniendo en cuenta el mal estado de muchas de nuestras vías municipales, llevando algunas de ellas muchos años sin ningún tipo de intervención. La mejora de nuestras vías municipales no puede estar supeditada a que p</w:t>
      </w:r>
      <w:r>
        <w:rPr>
          <w:b/>
          <w:i/>
        </w:rPr>
        <w:t>ueda utilizarse parte del superávit o del remanente de tesorería para gastos generales, para llevar a cabo las obras que se necesitan para garantizar la calidad en la movilidad de los ciudadanos de Candelaria. Es necesario contar con un Plan Municipal anua</w:t>
      </w:r>
      <w:r>
        <w:rPr>
          <w:b/>
          <w:i/>
        </w:rPr>
        <w:t>l o plurianual de Pavimentación, con dotación presupuestaria, que garantice este servicio esencial que el Ayuntamiento está obligado a dar a nuestros ciudadanos.</w:t>
      </w:r>
      <w:r>
        <w:rPr>
          <w:rFonts w:ascii="Times New Roman" w:eastAsia="Times New Roman" w:hAnsi="Times New Roman" w:cs="Times New Roman"/>
          <w:sz w:val="24"/>
        </w:rPr>
        <w:t xml:space="preserve"> </w:t>
      </w:r>
    </w:p>
    <w:p w:rsidR="00B064CF" w:rsidRDefault="00E32F70">
      <w:pPr>
        <w:spacing w:after="98" w:line="259" w:lineRule="auto"/>
        <w:ind w:left="360" w:firstLine="0"/>
        <w:jc w:val="left"/>
      </w:pPr>
      <w:r>
        <w:rPr>
          <w:b/>
          <w:i/>
        </w:rPr>
        <w:t xml:space="preserve"> </w:t>
      </w:r>
    </w:p>
    <w:p w:rsidR="00B064CF" w:rsidRDefault="00E32F70">
      <w:pPr>
        <w:spacing w:after="100" w:line="259" w:lineRule="auto"/>
        <w:ind w:left="360" w:firstLine="0"/>
        <w:jc w:val="left"/>
      </w:pPr>
      <w:r>
        <w:rPr>
          <w:b/>
          <w:i/>
        </w:rPr>
        <w:t xml:space="preserve"> </w:t>
      </w:r>
    </w:p>
    <w:p w:rsidR="00B064CF" w:rsidRDefault="00E32F70">
      <w:pPr>
        <w:spacing w:after="112"/>
        <w:ind w:left="345" w:right="709" w:firstLine="708"/>
      </w:pPr>
      <w:r>
        <w:t>La insuficiencia de crédito para gastos destinados a Pavimentación de vías, no se encuadra dentro de los tres supuestos de reclamación, tal como dispone el artículo 170.2 del Real Decreto Legislativo 2/2004, de 5 de marzo, por el que se aprueba el Texto Re</w:t>
      </w:r>
      <w:r>
        <w:t xml:space="preserve">fundido de la Ley reguladora de las Haciendas Locales. No existe, por tanto, obligación legal. </w:t>
      </w:r>
    </w:p>
    <w:p w:rsidR="00B064CF" w:rsidRDefault="00E32F70">
      <w:pPr>
        <w:spacing w:after="100" w:line="259" w:lineRule="auto"/>
        <w:ind w:left="1068" w:firstLine="0"/>
        <w:jc w:val="left"/>
      </w:pPr>
      <w:r>
        <w:t xml:space="preserve"> </w:t>
      </w:r>
    </w:p>
    <w:p w:rsidR="00B064CF" w:rsidRDefault="00E32F70">
      <w:pPr>
        <w:spacing w:after="109"/>
        <w:ind w:left="1078" w:right="72"/>
      </w:pPr>
      <w:r>
        <w:t xml:space="preserve">Se informa negativamente la presente reclamación. </w:t>
      </w:r>
    </w:p>
    <w:p w:rsidR="00B064CF" w:rsidRDefault="00E32F70">
      <w:pPr>
        <w:spacing w:after="0" w:line="259" w:lineRule="auto"/>
        <w:ind w:left="360" w:firstLine="0"/>
        <w:jc w:val="left"/>
      </w:pPr>
      <w:r>
        <w:t xml:space="preserve"> </w:t>
      </w:r>
    </w:p>
    <w:p w:rsidR="00B064CF" w:rsidRDefault="00E32F70">
      <w:pPr>
        <w:spacing w:after="113" w:line="248" w:lineRule="auto"/>
        <w:ind w:left="355" w:right="699"/>
      </w:pPr>
      <w:r>
        <w:rPr>
          <w:b/>
        </w:rPr>
        <w:t>5.-</w:t>
      </w:r>
      <w:r>
        <w:t xml:space="preserve"> </w:t>
      </w:r>
      <w:r>
        <w:rPr>
          <w:b/>
          <w:i/>
        </w:rPr>
        <w:t>Denunciamos la disminución en el Capítulo 4 de la partida destinada a la Ayuda a Domicilio en Transfe</w:t>
      </w:r>
      <w:r>
        <w:rPr>
          <w:b/>
          <w:i/>
        </w:rPr>
        <w:t>rencias Corrientes/Servicios Sociales, que cae para este ejercicio un 7% -baja exactamente en 20.523,67€-. Recordemos que también se produjo un significativo descenso en esta partida en el 2020 de un 6,34% (-31.000 €). Nos preocupa enormemente la disminuci</w:t>
      </w:r>
      <w:r>
        <w:rPr>
          <w:b/>
          <w:i/>
        </w:rPr>
        <w:t>ón de recursos económicos para políticas sociales para el ejercicio 2021, cuando nos encontramos en plena crisis social y económica como consecuencia del coronavirus y es notorio el aumento de las cifras de desempleo, la desaceleración del desarrollo econó</w:t>
      </w:r>
      <w:r>
        <w:rPr>
          <w:b/>
          <w:i/>
        </w:rPr>
        <w:t xml:space="preserve">mico en las Islas y como consecuencia de ello ha aumentado considerablemente la demanda de ayudas en el área de Servicios Sociales. Por ello consideramos insuficiente el crédito destinado a cubrir estas partidas. Este Ayuntamiento no puede estar pendiente </w:t>
      </w:r>
      <w:r>
        <w:rPr>
          <w:b/>
          <w:i/>
        </w:rPr>
        <w:t>de “futuras” transferencias para políticas sociales provenientes de otras Administraciones supramunicipales, porque nuestros vecinos, sus necesidades, no pueden</w:t>
      </w:r>
      <w:r>
        <w:t xml:space="preserve"> </w:t>
      </w:r>
      <w:r>
        <w:rPr>
          <w:b/>
          <w:i/>
        </w:rPr>
        <w:t>esperar.</w:t>
      </w:r>
      <w:r>
        <w:rPr>
          <w:rFonts w:ascii="Times New Roman" w:eastAsia="Times New Roman" w:hAnsi="Times New Roman" w:cs="Times New Roman"/>
          <w:sz w:val="24"/>
        </w:rPr>
        <w:t xml:space="preserve"> </w:t>
      </w:r>
    </w:p>
    <w:p w:rsidR="00B064CF" w:rsidRDefault="00E32F70">
      <w:pPr>
        <w:spacing w:after="98" w:line="259" w:lineRule="auto"/>
        <w:ind w:left="360" w:firstLine="0"/>
        <w:jc w:val="left"/>
      </w:pPr>
      <w:r>
        <w:rPr>
          <w:b/>
          <w:i/>
        </w:rPr>
        <w:t xml:space="preserve"> </w:t>
      </w:r>
    </w:p>
    <w:p w:rsidR="00B064CF" w:rsidRDefault="00E32F70">
      <w:pPr>
        <w:spacing w:after="112"/>
        <w:ind w:left="345" w:right="714" w:firstLine="708"/>
      </w:pPr>
      <w:r>
        <w:t>La disminución de crédito para gastos destinados a transferencias para Ayuda a Domi</w:t>
      </w:r>
      <w:r>
        <w:t>cilio, no se encuadra dentro de los tres supuestos de reclamación, tal como dispone el artículo 170.2 del Real Decreto Legislativo 2/2004, de 5 de marzo, por el que se aprueba el Texto Refundido de la Ley reguladora de las Haciendas Locales. No existe, por</w:t>
      </w:r>
      <w:r>
        <w:t xml:space="preserve"> tanto, obligación legal. </w:t>
      </w:r>
    </w:p>
    <w:p w:rsidR="00B064CF" w:rsidRDefault="00E32F70">
      <w:pPr>
        <w:spacing w:after="98" w:line="259" w:lineRule="auto"/>
        <w:ind w:left="1068" w:firstLine="0"/>
        <w:jc w:val="left"/>
      </w:pPr>
      <w:r>
        <w:t xml:space="preserve"> </w:t>
      </w:r>
    </w:p>
    <w:p w:rsidR="00B064CF" w:rsidRDefault="00E32F70">
      <w:pPr>
        <w:spacing w:after="111"/>
        <w:ind w:left="1078" w:right="72"/>
      </w:pPr>
      <w:r>
        <w:t xml:space="preserve">Se informa negativamente la presente reclamación. </w:t>
      </w:r>
    </w:p>
    <w:p w:rsidR="00B064CF" w:rsidRDefault="00E32F70">
      <w:pPr>
        <w:spacing w:after="98" w:line="259" w:lineRule="auto"/>
        <w:ind w:left="360" w:firstLine="0"/>
        <w:jc w:val="left"/>
      </w:pP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66461" name="Group 366461"/>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429" name="Rectangle 2429"/>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430" name="Rectangle 2430"/>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23 de 298 </w:t>
                              </w:r>
                            </w:p>
                          </w:txbxContent>
                        </wps:txbx>
                        <wps:bodyPr horzOverflow="overflow" vert="horz" lIns="0" tIns="0" rIns="0" bIns="0" rtlCol="0">
                          <a:noAutofit/>
                        </wps:bodyPr>
                      </wps:wsp>
                    </wpg:wgp>
                  </a:graphicData>
                </a:graphic>
              </wp:anchor>
            </w:drawing>
          </mc:Choice>
          <mc:Fallback xmlns:a="http://schemas.openxmlformats.org/drawingml/2006/main">
            <w:pict>
              <v:group id="Group 366461" style="width:12.7031pt;height:278.91pt;position:absolute;mso-position-horizontal-relative:page;mso-position-horizontal:absolute;margin-left:682.278pt;mso-position-vertical-relative:page;margin-top:533.01pt;" coordsize="1613,35421">
                <v:rect id="Rectangle 2429"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430"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 de 298 </w:t>
                        </w:r>
                      </w:p>
                    </w:txbxContent>
                  </v:textbox>
                </v:rect>
                <w10:wrap type="square"/>
              </v:group>
            </w:pict>
          </mc:Fallback>
        </mc:AlternateContent>
      </w:r>
      <w:r>
        <w:t xml:space="preserve"> </w:t>
      </w:r>
    </w:p>
    <w:p w:rsidR="00B064CF" w:rsidRDefault="00E32F70">
      <w:pPr>
        <w:spacing w:after="98" w:line="259" w:lineRule="auto"/>
        <w:ind w:left="360" w:firstLine="0"/>
        <w:jc w:val="left"/>
      </w:pPr>
      <w:r>
        <w:t xml:space="preserve"> </w:t>
      </w:r>
    </w:p>
    <w:p w:rsidR="00B064CF" w:rsidRDefault="00E32F70">
      <w:pPr>
        <w:spacing w:after="113" w:line="248" w:lineRule="auto"/>
        <w:ind w:left="355" w:right="699"/>
      </w:pPr>
      <w:r>
        <w:rPr>
          <w:b/>
        </w:rPr>
        <w:t>6.-</w:t>
      </w:r>
      <w:r>
        <w:t xml:space="preserve">  </w:t>
      </w:r>
      <w:r>
        <w:rPr>
          <w:b/>
          <w:i/>
        </w:rPr>
        <w:t xml:space="preserve">Aunque aumenta la partida Prestaciones Económicas, destinada a la emergencia social, a la que se ha consignado 200.000€ frente a los 100.000€ del pasado ejercicio, continúa estando aún lejos de los 386.476€ con los que estuvo dotada en los ejercicios 2018 </w:t>
      </w:r>
      <w:r>
        <w:rPr>
          <w:b/>
          <w:i/>
        </w:rPr>
        <w:t>y 2019. Nos preocupa enormemente la disminución de recursos económicos para políticas sociales para el ejercicio 2021, cuando nos encontramos en plena crisis social y económica como consecuencia del coronavirus y es notorio el aumento de las cifras de dese</w:t>
      </w:r>
      <w:r>
        <w:rPr>
          <w:b/>
          <w:i/>
        </w:rPr>
        <w:t>mpleo, la desaceleración del desarrollo económico en las Islas y como consecuencia de ello, ha aumentado considerablemente la demanda de ayudas en el área de Servicios Sociales. Por ello consideramos insuficiente el crédito destinado a cubrir esta partida.</w:t>
      </w:r>
      <w:r>
        <w:rPr>
          <w:b/>
          <w:i/>
        </w:rPr>
        <w:t xml:space="preserve"> Este Ayuntamiento no puede estar pendiente de “futuras” transferencias para políticas sociales provenientes de otras Administraciones supramunicipales, porque nuestros vecinos, sus necesidades, no pueden esperar.</w:t>
      </w:r>
      <w:r>
        <w:rPr>
          <w:rFonts w:ascii="Times New Roman" w:eastAsia="Times New Roman" w:hAnsi="Times New Roman" w:cs="Times New Roman"/>
          <w:sz w:val="24"/>
        </w:rPr>
        <w:t xml:space="preserve"> </w:t>
      </w:r>
    </w:p>
    <w:p w:rsidR="00B064CF" w:rsidRDefault="00E32F70">
      <w:pPr>
        <w:spacing w:after="98" w:line="259" w:lineRule="auto"/>
        <w:ind w:left="360" w:firstLine="0"/>
        <w:jc w:val="left"/>
      </w:pPr>
      <w:r>
        <w:t xml:space="preserve"> </w:t>
      </w:r>
    </w:p>
    <w:p w:rsidR="00B064CF" w:rsidRDefault="00E32F70">
      <w:pPr>
        <w:spacing w:after="114"/>
        <w:ind w:left="345" w:right="710" w:firstLine="708"/>
      </w:pPr>
      <w:r>
        <w:t>La insuficiencia de crédito para gastos</w:t>
      </w:r>
      <w:r>
        <w:t xml:space="preserve"> destinados a Emergencia Social, no se encuadra dentro de los tres supuestos de reclamación, tal como dispone el artículo 170.2 del Real Decreto Legislativo 2/2004, de 5 de marzo, por el que se aprueba el Texto Refundido de la Ley reguladora de las Haciend</w:t>
      </w:r>
      <w:r>
        <w:t xml:space="preserve">as Locales. No existe, por tanto, obligación legal. </w:t>
      </w:r>
    </w:p>
    <w:p w:rsidR="00B064CF" w:rsidRDefault="00E32F70">
      <w:pPr>
        <w:spacing w:after="98" w:line="259" w:lineRule="auto"/>
        <w:ind w:left="1068" w:firstLine="0"/>
        <w:jc w:val="left"/>
      </w:pPr>
      <w:r>
        <w:t xml:space="preserve"> </w:t>
      </w:r>
    </w:p>
    <w:p w:rsidR="00B064CF" w:rsidRDefault="00E32F70">
      <w:pPr>
        <w:spacing w:after="109"/>
        <w:ind w:left="1078" w:right="72"/>
      </w:pPr>
      <w:r>
        <w:t xml:space="preserve">Se informa negativamente la presente reclamación. </w:t>
      </w:r>
    </w:p>
    <w:p w:rsidR="00B064CF" w:rsidRDefault="00E32F70">
      <w:pPr>
        <w:spacing w:after="0" w:line="259" w:lineRule="auto"/>
        <w:ind w:left="1068" w:firstLine="0"/>
        <w:jc w:val="left"/>
      </w:pPr>
      <w:r>
        <w:t xml:space="preserve"> </w:t>
      </w:r>
    </w:p>
    <w:p w:rsidR="00B064CF" w:rsidRDefault="00E32F70">
      <w:pPr>
        <w:spacing w:after="93" w:line="248" w:lineRule="auto"/>
        <w:ind w:left="355" w:right="699"/>
      </w:pPr>
      <w:r>
        <w:rPr>
          <w:b/>
        </w:rPr>
        <w:t>7.-</w:t>
      </w:r>
      <w:r>
        <w:t xml:space="preserve"> </w:t>
      </w:r>
      <w:r>
        <w:rPr>
          <w:b/>
          <w:i/>
        </w:rPr>
        <w:t xml:space="preserve">Consideramos insuficiente la partida destinada a la Rehabilitación de viviendas de extrema necesidad, que desciende en un 55,5% con respecto al </w:t>
      </w:r>
      <w:r>
        <w:rPr>
          <w:b/>
          <w:i/>
        </w:rPr>
        <w:t>ejercicio anterior (60.000€), y se queda en un monto total de sólo 26.654,69 euros Nos preocupa enormemente la disminución de recursos económicos para políticas sociales para el ejercicio 2021, cuando nos encontramos en plena crisis social y económica como</w:t>
      </w:r>
      <w:r>
        <w:rPr>
          <w:b/>
          <w:i/>
        </w:rPr>
        <w:t xml:space="preserve"> consecuencia del coronavirus y es notorio el aumento de las cifras de desempleo, la desaceleración del desarrollo económico en las Islas y como consecuencia de ello aumenta considerablemente la demanda de ayudas en el área de Servicios Sociales. Por ello </w:t>
      </w:r>
      <w:r>
        <w:rPr>
          <w:b/>
          <w:i/>
        </w:rPr>
        <w:t>consideramos insuficiente el crédito destinado a cubrir esta partida. Este Ayuntamiento no puede estar pendiente de “futuras” transferencias para políticas sociales provenientes de otras Administraciones supramunicipales, porque nuestros vecinos, sus neces</w:t>
      </w:r>
      <w:r>
        <w:rPr>
          <w:b/>
          <w:i/>
        </w:rPr>
        <w:t>idades, no pueden esperar.</w:t>
      </w:r>
      <w:r>
        <w:rPr>
          <w:rFonts w:ascii="Times New Roman" w:eastAsia="Times New Roman" w:hAnsi="Times New Roman" w:cs="Times New Roman"/>
          <w:sz w:val="24"/>
        </w:rPr>
        <w:t xml:space="preserve"> </w:t>
      </w:r>
    </w:p>
    <w:p w:rsidR="00B064CF" w:rsidRDefault="00E32F70">
      <w:pPr>
        <w:spacing w:after="112"/>
        <w:ind w:left="345" w:right="708" w:firstLine="708"/>
      </w:pPr>
      <w:r>
        <w:t>La insuficiencia de crédito para gastos destinados a Rehabilitación de viviendas de extrema necesidad, no se encuadra dentro de los tres supuestos de reclamación, tal como dispone el artículo 170.2 del Real Decreto Legislativo 2/2004, de 5 de marzo, por el</w:t>
      </w:r>
      <w:r>
        <w:t xml:space="preserve"> que se aprueba el Texto Refundido de la Ley reguladora de las Haciendas Locales. No existe, por tanto, obligación legal. </w:t>
      </w:r>
    </w:p>
    <w:p w:rsidR="00B064CF" w:rsidRDefault="00E32F70">
      <w:pPr>
        <w:spacing w:after="100" w:line="259" w:lineRule="auto"/>
        <w:ind w:left="1068" w:firstLine="0"/>
        <w:jc w:val="left"/>
      </w:pPr>
      <w:r>
        <w:t xml:space="preserve"> </w:t>
      </w:r>
    </w:p>
    <w:p w:rsidR="00B064CF" w:rsidRDefault="00E32F70">
      <w:pPr>
        <w:spacing w:after="109"/>
        <w:ind w:left="1078" w:right="72"/>
      </w:pPr>
      <w:r>
        <w:t xml:space="preserve">Se informa negativamente la presente reclamación. </w:t>
      </w:r>
    </w:p>
    <w:p w:rsidR="00B064CF" w:rsidRDefault="00E32F70">
      <w:pPr>
        <w:spacing w:after="95" w:line="259" w:lineRule="auto"/>
        <w:ind w:left="1068" w:firstLine="0"/>
        <w:jc w:val="left"/>
      </w:pPr>
      <w:r>
        <w:t xml:space="preserve"> </w:t>
      </w:r>
    </w:p>
    <w:p w:rsidR="00B064CF" w:rsidRDefault="00E32F70">
      <w:pPr>
        <w:spacing w:after="92" w:line="248" w:lineRule="auto"/>
        <w:ind w:left="355" w:right="699"/>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63875" name="Group 363875"/>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524" name="Rectangle 2524"/>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64SKSNYNJRFPNN5DLPPAAC3GS | Verificación: https://candelar</w:t>
                              </w:r>
                              <w:r>
                                <w:rPr>
                                  <w:sz w:val="12"/>
                                </w:rPr>
                                <w:t xml:space="preserve">ia.sedelectronica.es/ </w:t>
                              </w:r>
                            </w:p>
                          </w:txbxContent>
                        </wps:txbx>
                        <wps:bodyPr horzOverflow="overflow" vert="horz" lIns="0" tIns="0" rIns="0" bIns="0" rtlCol="0">
                          <a:noAutofit/>
                        </wps:bodyPr>
                      </wps:wsp>
                      <wps:wsp>
                        <wps:cNvPr id="2525" name="Rectangle 2525"/>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24 de 298 </w:t>
                              </w:r>
                            </w:p>
                          </w:txbxContent>
                        </wps:txbx>
                        <wps:bodyPr horzOverflow="overflow" vert="horz" lIns="0" tIns="0" rIns="0" bIns="0" rtlCol="0">
                          <a:noAutofit/>
                        </wps:bodyPr>
                      </wps:wsp>
                    </wpg:wgp>
                  </a:graphicData>
                </a:graphic>
              </wp:anchor>
            </w:drawing>
          </mc:Choice>
          <mc:Fallback xmlns:a="http://schemas.openxmlformats.org/drawingml/2006/main">
            <w:pict>
              <v:group id="Group 363875" style="width:12.7031pt;height:278.91pt;position:absolute;mso-position-horizontal-relative:page;mso-position-horizontal:absolute;margin-left:682.278pt;mso-position-vertical-relative:page;margin-top:533.01pt;" coordsize="1613,35421">
                <v:rect id="Rectangle 2524"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525"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 de 298 </w:t>
                        </w:r>
                      </w:p>
                    </w:txbxContent>
                  </v:textbox>
                </v:rect>
                <w10:wrap type="square"/>
              </v:group>
            </w:pict>
          </mc:Fallback>
        </mc:AlternateContent>
      </w:r>
      <w:r>
        <w:rPr>
          <w:b/>
        </w:rPr>
        <w:t>8.-</w:t>
      </w:r>
      <w:r>
        <w:t xml:space="preserve"> </w:t>
      </w:r>
      <w:r>
        <w:rPr>
          <w:b/>
          <w:i/>
        </w:rPr>
        <w:t>Denunciamos la insuficiente financiación en Gastos Corrientes en Bienes y Servicios, destinados a actuaciones de Protección y Promoci</w:t>
      </w:r>
      <w:r>
        <w:rPr>
          <w:b/>
          <w:i/>
        </w:rPr>
        <w:t xml:space="preserve">ón Social de la Mujer, el Menor y la Familia que caen para este ejercicio en un 17,6%, al mermar algunas de sus partidas como Protección a la Infancia, a la que sólo se destinan 9.000,00€ Es incomprensible que se disminuya en un 25% el gasto en la partida </w:t>
      </w:r>
      <w:r>
        <w:rPr>
          <w:b/>
          <w:i/>
        </w:rPr>
        <w:t xml:space="preserve">destinada a Protección a la Infancia, mientras este Ayuntamiento persigue entre sus objetivos ser declarada “Ciudad amiga de la infancia y de la adolescencia. Solicitamos que se aumente la financiación de esta partida presupuestaria igualándola, al menos, </w:t>
      </w:r>
      <w:r>
        <w:rPr>
          <w:b/>
          <w:i/>
        </w:rPr>
        <w:t>con la establecida en el ejercicio 2020</w:t>
      </w:r>
      <w:r>
        <w:rPr>
          <w:rFonts w:ascii="Times New Roman" w:eastAsia="Times New Roman" w:hAnsi="Times New Roman" w:cs="Times New Roman"/>
          <w:sz w:val="24"/>
        </w:rPr>
        <w:t xml:space="preserve"> </w:t>
      </w:r>
    </w:p>
    <w:p w:rsidR="00B064CF" w:rsidRDefault="00E32F70">
      <w:pPr>
        <w:spacing w:after="98" w:line="259" w:lineRule="auto"/>
        <w:ind w:left="1068" w:firstLine="0"/>
        <w:jc w:val="left"/>
      </w:pPr>
      <w:r>
        <w:t xml:space="preserve"> </w:t>
      </w:r>
    </w:p>
    <w:p w:rsidR="00B064CF" w:rsidRDefault="00E32F70">
      <w:pPr>
        <w:spacing w:after="114"/>
        <w:ind w:left="345" w:right="710" w:firstLine="708"/>
      </w:pPr>
      <w:r>
        <w:t>La insuficiencia de crédito para gastos destinados a actuaciones de Protección a la Infancia, no se encuadra dentro de los tres supuestos de reclamación, tal como dispone el artículo 170.2 del Real Decreto Legisla</w:t>
      </w:r>
      <w:r>
        <w:t xml:space="preserve">tivo 2/2004, de 5 de marzo, por el que se aprueba el Texto Refundido de la Ley reguladora de las Haciendas Locales. No existe, por tanto, obligación legal. </w:t>
      </w:r>
    </w:p>
    <w:p w:rsidR="00B064CF" w:rsidRDefault="00E32F70">
      <w:pPr>
        <w:spacing w:after="98" w:line="259" w:lineRule="auto"/>
        <w:ind w:left="1068" w:firstLine="0"/>
        <w:jc w:val="left"/>
      </w:pPr>
      <w:r>
        <w:t xml:space="preserve"> </w:t>
      </w:r>
    </w:p>
    <w:p w:rsidR="00B064CF" w:rsidRDefault="00E32F70">
      <w:pPr>
        <w:spacing w:after="109"/>
        <w:ind w:left="1078" w:right="72"/>
      </w:pPr>
      <w:r>
        <w:t xml:space="preserve">Se informa negativamente la presente reclamación. </w:t>
      </w:r>
    </w:p>
    <w:p w:rsidR="00B064CF" w:rsidRDefault="00E32F70">
      <w:pPr>
        <w:spacing w:after="98" w:line="259" w:lineRule="auto"/>
        <w:ind w:left="1068" w:firstLine="0"/>
        <w:jc w:val="left"/>
      </w:pPr>
      <w:r>
        <w:t xml:space="preserve"> </w:t>
      </w:r>
    </w:p>
    <w:p w:rsidR="00B064CF" w:rsidRDefault="00E32F70">
      <w:pPr>
        <w:spacing w:after="113" w:line="248" w:lineRule="auto"/>
        <w:ind w:left="355" w:right="699"/>
      </w:pPr>
      <w:r>
        <w:rPr>
          <w:b/>
        </w:rPr>
        <w:t>9.-</w:t>
      </w:r>
      <w:r>
        <w:rPr>
          <w:b/>
          <w:i/>
        </w:rPr>
        <w:t xml:space="preserve"> </w:t>
      </w:r>
      <w:r>
        <w:rPr>
          <w:b/>
          <w:i/>
        </w:rPr>
        <w:t>Denunciamos la insuficiente financiación en Gastos Corrientes en Bienes y Servicios, destinados a actuaciones de Protección y Promoción Social de la Mujer, el Menor y la Familia que caen para este ejercicio en un 17,6%, al mermar algunas de sus partidas co</w:t>
      </w:r>
      <w:r>
        <w:rPr>
          <w:b/>
          <w:i/>
        </w:rPr>
        <w:t xml:space="preserve">mo la de Actuaciones para sensibilización en igualdad y contra la violencia de género, que queda reducida a 12.000€ Disminuye en un 33,3% el crédito en Actuaciones para sensibilización en igualdad y contra la violencia de género, temas que lamentablemente </w:t>
      </w:r>
      <w:r>
        <w:rPr>
          <w:b/>
          <w:i/>
        </w:rPr>
        <w:t>continúan siendo males endémicos muy difíciles de erradicar en la sociedad, por lo que consideramos que, para evitar dar pasos atrás, al menos debe mantenerse la misma financiación que en el ejercicio 2020.</w:t>
      </w:r>
      <w:r>
        <w:rPr>
          <w:rFonts w:ascii="Times New Roman" w:eastAsia="Times New Roman" w:hAnsi="Times New Roman" w:cs="Times New Roman"/>
          <w:sz w:val="24"/>
        </w:rPr>
        <w:t xml:space="preserve"> </w:t>
      </w:r>
    </w:p>
    <w:p w:rsidR="00B064CF" w:rsidRDefault="00E32F70">
      <w:pPr>
        <w:spacing w:after="100" w:line="259" w:lineRule="auto"/>
        <w:ind w:left="360" w:firstLine="0"/>
        <w:jc w:val="left"/>
      </w:pPr>
      <w:r>
        <w:rPr>
          <w:b/>
          <w:i/>
        </w:rPr>
        <w:t xml:space="preserve"> </w:t>
      </w:r>
    </w:p>
    <w:p w:rsidR="00B064CF" w:rsidRDefault="00E32F70">
      <w:pPr>
        <w:spacing w:after="114"/>
        <w:ind w:left="345" w:right="713" w:firstLine="708"/>
      </w:pPr>
      <w:r>
        <w:t>La insuficiencia de crédito para gastos destin</w:t>
      </w:r>
      <w:r>
        <w:t>ados a actuaciones para sensibilización en igualdad y contra la violencia de género, no se encuadra dentro de los tres supuestos de reclamación, tal como dispone el artículo 170.2 del Real Decreto Legislativo 2/2004, de 5 de marzo, por el que se aprueba el</w:t>
      </w:r>
      <w:r>
        <w:t xml:space="preserve"> Texto Refundido de la Ley reguladora de las Haciendas Locales. No existe, por tanto, obligación legal. </w:t>
      </w:r>
    </w:p>
    <w:p w:rsidR="00B064CF" w:rsidRDefault="00E32F70">
      <w:pPr>
        <w:spacing w:after="109"/>
        <w:ind w:left="355" w:right="72"/>
      </w:pPr>
      <w:r>
        <w:t xml:space="preserve">Se informa negativamente la presente reclamación. </w:t>
      </w:r>
    </w:p>
    <w:p w:rsidR="00B064CF" w:rsidRDefault="00E32F70">
      <w:pPr>
        <w:spacing w:after="98" w:line="259" w:lineRule="auto"/>
        <w:ind w:left="360" w:firstLine="0"/>
        <w:jc w:val="left"/>
      </w:pPr>
      <w:r>
        <w:t xml:space="preserve"> </w:t>
      </w:r>
    </w:p>
    <w:p w:rsidR="00B064CF" w:rsidRDefault="00E32F70">
      <w:pPr>
        <w:spacing w:after="91" w:line="248" w:lineRule="auto"/>
        <w:ind w:left="355" w:right="699"/>
      </w:pP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68484" name="Group 368484"/>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622" name="Rectangle 2622"/>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64SKSNYNJRFPNN5DLPPAAC3GS | Verificación: https://candelaria.sedelectronica.es</w:t>
                              </w:r>
                              <w:r>
                                <w:rPr>
                                  <w:sz w:val="12"/>
                                </w:rPr>
                                <w:t xml:space="preserve">/ </w:t>
                              </w:r>
                            </w:p>
                          </w:txbxContent>
                        </wps:txbx>
                        <wps:bodyPr horzOverflow="overflow" vert="horz" lIns="0" tIns="0" rIns="0" bIns="0" rtlCol="0">
                          <a:noAutofit/>
                        </wps:bodyPr>
                      </wps:wsp>
                      <wps:wsp>
                        <wps:cNvPr id="2623" name="Rectangle 2623"/>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25 de 298 </w:t>
                              </w:r>
                            </w:p>
                          </w:txbxContent>
                        </wps:txbx>
                        <wps:bodyPr horzOverflow="overflow" vert="horz" lIns="0" tIns="0" rIns="0" bIns="0" rtlCol="0">
                          <a:noAutofit/>
                        </wps:bodyPr>
                      </wps:wsp>
                    </wpg:wgp>
                  </a:graphicData>
                </a:graphic>
              </wp:anchor>
            </w:drawing>
          </mc:Choice>
          <mc:Fallback xmlns:a="http://schemas.openxmlformats.org/drawingml/2006/main">
            <w:pict>
              <v:group id="Group 368484" style="width:12.7031pt;height:278.91pt;position:absolute;mso-position-horizontal-relative:page;mso-position-horizontal:absolute;margin-left:682.278pt;mso-position-vertical-relative:page;margin-top:533.01pt;" coordsize="1613,35421">
                <v:rect id="Rectangle 2622"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623"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 de 298 </w:t>
                        </w:r>
                      </w:p>
                    </w:txbxContent>
                  </v:textbox>
                </v:rect>
                <w10:wrap type="square"/>
              </v:group>
            </w:pict>
          </mc:Fallback>
        </mc:AlternateContent>
      </w:r>
      <w:r>
        <w:rPr>
          <w:b/>
        </w:rPr>
        <w:t>10.-</w:t>
      </w:r>
      <w:r>
        <w:rPr>
          <w:b/>
          <w:i/>
        </w:rPr>
        <w:t xml:space="preserve"> </w:t>
      </w:r>
      <w:r>
        <w:rPr>
          <w:b/>
          <w:i/>
        </w:rPr>
        <w:t>En el pasado ejercicio se eliminó la prestación del servicio terapéutico que se venía ofreciendo en la Concejalía de Servicios Sociales a través del Gabinete Psicosocial. Este servicio especializado ofrecía a los vecinos actividades y técnicas de intervenc</w:t>
      </w:r>
      <w:r>
        <w:rPr>
          <w:b/>
          <w:i/>
        </w:rPr>
        <w:t>ión, practicadas por diferentes profesionales, con las que se intenta aliviar o curar determinados trastornos de la persona de base emocional. Teniendo en cuenta los efectos que la pandemia ha causado en la salud mental de los ciudadanos, consideramos impr</w:t>
      </w:r>
      <w:r>
        <w:rPr>
          <w:b/>
          <w:i/>
        </w:rPr>
        <w:t>escindible que se cree la partida presupuestaria “Gabinete Psicosocial” y se dote financieramente este servicio psicoterapéutico al ciudadano en el Presupuesto 2021.</w:t>
      </w:r>
      <w:r>
        <w:rPr>
          <w:rFonts w:ascii="Times New Roman" w:eastAsia="Times New Roman" w:hAnsi="Times New Roman" w:cs="Times New Roman"/>
          <w:sz w:val="24"/>
        </w:rPr>
        <w:t xml:space="preserve"> </w:t>
      </w:r>
    </w:p>
    <w:p w:rsidR="00B064CF" w:rsidRDefault="00E32F70">
      <w:pPr>
        <w:spacing w:after="100" w:line="259" w:lineRule="auto"/>
        <w:ind w:left="1068" w:firstLine="0"/>
        <w:jc w:val="left"/>
      </w:pPr>
      <w:r>
        <w:t xml:space="preserve"> </w:t>
      </w:r>
    </w:p>
    <w:p w:rsidR="00B064CF" w:rsidRDefault="00E32F70">
      <w:pPr>
        <w:spacing w:after="112"/>
        <w:ind w:left="345" w:right="709" w:firstLine="708"/>
      </w:pPr>
      <w:r>
        <w:t>Crear una aplicación presupuestaria para gastos destinados a la prestación del servicio</w:t>
      </w:r>
      <w:r>
        <w:t xml:space="preserve"> terapéutico que se venía ofreciendo en la Concejalía de Servicios Sociales a través del Gabinete Psicosocial, no se encuadra dentro de los tres supuestos de reclamación, tal como dispone el artículo 170.2 del Real Decreto Legislativo 2/2004, de 5 de marzo</w:t>
      </w:r>
      <w:r>
        <w:t xml:space="preserve">, por el que se aprueba el Texto Refundido de la Ley reguladora de las Haciendas Locales. No existe, por tanto, obligación legal. </w:t>
      </w:r>
    </w:p>
    <w:p w:rsidR="00B064CF" w:rsidRDefault="00E32F70">
      <w:pPr>
        <w:spacing w:after="109"/>
        <w:ind w:left="355" w:right="72"/>
      </w:pPr>
      <w:r>
        <w:t xml:space="preserve">Se informa negativamente la presente reclamación. </w:t>
      </w:r>
    </w:p>
    <w:p w:rsidR="00B064CF" w:rsidRDefault="00E32F70">
      <w:pPr>
        <w:spacing w:after="98" w:line="259" w:lineRule="auto"/>
        <w:ind w:left="360" w:firstLine="0"/>
        <w:jc w:val="left"/>
      </w:pPr>
      <w:r>
        <w:t xml:space="preserve"> </w:t>
      </w:r>
    </w:p>
    <w:p w:rsidR="00B064CF" w:rsidRDefault="00E32F70">
      <w:pPr>
        <w:spacing w:after="113" w:line="248" w:lineRule="auto"/>
        <w:ind w:left="355" w:right="699"/>
      </w:pPr>
      <w:r>
        <w:rPr>
          <w:b/>
        </w:rPr>
        <w:t>11.-</w:t>
      </w:r>
      <w:r>
        <w:rPr>
          <w:b/>
          <w:i/>
        </w:rPr>
        <w:t xml:space="preserve"> A pesar de que se produce un aumento de los créditos con destino a </w:t>
      </w:r>
      <w:r>
        <w:rPr>
          <w:b/>
          <w:i/>
        </w:rPr>
        <w:t>saneamiento municipal con respecto al pasado ejercicio, continúan siendo insuficientes para hacer frente a las necesidades que urgen en Candelaria de este servicio esencial, que recordemos es una competencia municipal. Sumando</w:t>
      </w:r>
      <w:r>
        <w:t xml:space="preserve"> </w:t>
      </w:r>
      <w:r>
        <w:rPr>
          <w:b/>
          <w:i/>
        </w:rPr>
        <w:t>las partidas de los Capítulos</w:t>
      </w:r>
      <w:r>
        <w:rPr>
          <w:b/>
          <w:i/>
        </w:rPr>
        <w:t xml:space="preserve"> 2, 6 y 7 que se destinan a esta materia, la financiación total alcanza apenas los 90.210,11€: se destinan 25.000€ a la R.M.C. Red de Saneamiento; a la Aportación Plan de Etapas Emisario Submarino 15.210,11€, mientras que la inversión real en Instalaciones</w:t>
      </w:r>
      <w:r>
        <w:rPr>
          <w:b/>
          <w:i/>
        </w:rPr>
        <w:t xml:space="preserve"> de Saneamiento sólo contempla 50.000,00€. Candelaria, cuenta con una obsoleta red de saneamiento que no alcanza al 50% del territorio. El municipio necesita más de 20 millones de euros de inversión sólo para conectar el saneamiento del litoral candelarier</w:t>
      </w:r>
      <w:r>
        <w:rPr>
          <w:b/>
          <w:i/>
        </w:rPr>
        <w:t>o con la EDARU del Valle de Güimar, actualmente en prácticas y que entrará en funcionamiento a finales de 2021. Queda por tanto mucha infraestructura de alcantarillado por modernizar en el litoral de Candelaria, para poder trasladar todas las aguas residua</w:t>
      </w:r>
      <w:r>
        <w:rPr>
          <w:b/>
          <w:i/>
        </w:rPr>
        <w:t>les del municipio hasta la depuradora comarcal, a lo que se suma la inexistencia de red de saneamiento en las medianías -salvo un pequeño tramo en el pueblo de Igueste-. Llevamos escuchando desde el inicio de este mandato, por parte del equipo de gobierno,</w:t>
      </w:r>
      <w:r>
        <w:rPr>
          <w:b/>
          <w:i/>
        </w:rPr>
        <w:t xml:space="preserve"> de la existencia de grandes proyectos de saneamiento pero que no terminan de concretarse, bien porque siguen sin encontrar respuesta de financiación por parte de otras administraciones supramunicipales, o bien porque hay que volver a contratar la redacció</w:t>
      </w:r>
      <w:r>
        <w:rPr>
          <w:b/>
          <w:i/>
        </w:rPr>
        <w:t>n de algunos de esos proyectos, retardando la solución a este enquistado problema. Lo único cierto es que ahora mismo en Candelaria se sigue manteniendo su obsoleta red de saneamiento, que nuestras medianías carecen de este servicio y que seguimos vertiend</w:t>
      </w:r>
      <w:r>
        <w:rPr>
          <w:b/>
          <w:i/>
        </w:rPr>
        <w:t>o nuestras aguas residuales al mar, con su consiguiente problema medioambiental. Por ello es necesario que se recoja en el Presupuesto 2021 proyectos de Inversión Real en saneamiento para Candelaria, aunque ya se llegue tarde al objetivo de tener enganchad</w:t>
      </w:r>
      <w:r>
        <w:rPr>
          <w:b/>
          <w:i/>
        </w:rPr>
        <w:t>a la red municipal a la EDARU del Valle de Güimar cuando esta entre definitivamente en servicio a finales de este año.</w:t>
      </w:r>
      <w:r>
        <w:rPr>
          <w:rFonts w:ascii="Times New Roman" w:eastAsia="Times New Roman" w:hAnsi="Times New Roman" w:cs="Times New Roman"/>
          <w:sz w:val="24"/>
        </w:rPr>
        <w:t xml:space="preserve"> </w:t>
      </w:r>
    </w:p>
    <w:p w:rsidR="00B064CF" w:rsidRDefault="00E32F70">
      <w:pPr>
        <w:spacing w:after="98" w:line="259" w:lineRule="auto"/>
        <w:ind w:left="1068" w:firstLine="0"/>
        <w:jc w:val="left"/>
      </w:pPr>
      <w:r>
        <w:t xml:space="preserve"> </w:t>
      </w:r>
    </w:p>
    <w:p w:rsidR="00B064CF" w:rsidRDefault="00E32F70">
      <w:pPr>
        <w:spacing w:after="112"/>
        <w:ind w:left="345" w:right="710" w:firstLine="708"/>
      </w:pPr>
      <w:r>
        <w:t>Crear una aplicación presupuestaria para proyectos de Inversión Real en saneamiento para Candelaria, no se encuadra dentro de los tres</w:t>
      </w:r>
      <w:r>
        <w:t xml:space="preserve"> supuestos de reclamación, tal como dispone el artículo 170.2 del Real Decreto Legislativo 2/2004, de 5 de marzo, por el que se aprueba el Texto Refundido de la Ley reguladora de las Haciendas Locales. No existe, por tanto, obligación legal. </w:t>
      </w:r>
    </w:p>
    <w:p w:rsidR="00B064CF" w:rsidRDefault="00E32F70">
      <w:pPr>
        <w:spacing w:after="111"/>
        <w:ind w:left="1078" w:right="72"/>
      </w:pPr>
      <w:r>
        <w:t>Se informa ne</w:t>
      </w:r>
      <w:r>
        <w:t xml:space="preserve">gativamente la presente reclamación. </w:t>
      </w:r>
    </w:p>
    <w:p w:rsidR="00B064CF" w:rsidRDefault="00E32F70">
      <w:pPr>
        <w:spacing w:after="95" w:line="259" w:lineRule="auto"/>
        <w:ind w:left="1068" w:firstLine="0"/>
        <w:jc w:val="left"/>
      </w:pPr>
      <w:r>
        <w:t xml:space="preserve"> </w:t>
      </w:r>
    </w:p>
    <w:p w:rsidR="00B064CF" w:rsidRDefault="00E32F70">
      <w:pPr>
        <w:spacing w:after="113" w:line="248" w:lineRule="auto"/>
        <w:ind w:left="355" w:right="699"/>
      </w:pP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67186" name="Group 367186"/>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722" name="Rectangle 2722"/>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723" name="Rectangle 2723"/>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26 de 298 </w:t>
                              </w:r>
                            </w:p>
                          </w:txbxContent>
                        </wps:txbx>
                        <wps:bodyPr horzOverflow="overflow" vert="horz" lIns="0" tIns="0" rIns="0" bIns="0" rtlCol="0">
                          <a:noAutofit/>
                        </wps:bodyPr>
                      </wps:wsp>
                    </wpg:wgp>
                  </a:graphicData>
                </a:graphic>
              </wp:anchor>
            </w:drawing>
          </mc:Choice>
          <mc:Fallback xmlns:a="http://schemas.openxmlformats.org/drawingml/2006/main">
            <w:pict>
              <v:group id="Group 367186" style="width:12.7031pt;height:278.91pt;position:absolute;mso-position-horizontal-relative:page;mso-position-horizontal:absolute;margin-left:682.278pt;mso-position-vertical-relative:page;margin-top:533.01pt;" coordsize="1613,35421">
                <v:rect id="Rectangle 2722"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723"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 de 298 </w:t>
                        </w:r>
                      </w:p>
                    </w:txbxContent>
                  </v:textbox>
                </v:rect>
                <w10:wrap type="square"/>
              </v:group>
            </w:pict>
          </mc:Fallback>
        </mc:AlternateContent>
      </w:r>
      <w:r>
        <w:rPr>
          <w:b/>
        </w:rPr>
        <w:t>12.-</w:t>
      </w:r>
      <w:r>
        <w:rPr>
          <w:b/>
          <w:i/>
        </w:rPr>
        <w:t xml:space="preserve"> </w:t>
      </w:r>
      <w:r>
        <w:rPr>
          <w:b/>
          <w:i/>
        </w:rPr>
        <w:t>Insuficiente crédito para el Subprograma 924.00 de Participación Ciudadana, donde el 94,8% de la financiación a esta área (77.769,48€) se destina a Gastos de Personal. Solo se consigna para Dinamización de la Participación Ciudadana el 3,8% (3.000€), una p</w:t>
      </w:r>
      <w:r>
        <w:rPr>
          <w:b/>
          <w:i/>
        </w:rPr>
        <w:t>artida que además ha bajado con respecto al ejercicio 2020 un -62,5% Se vuelve, un ejercicio más, a echar en falta el crear ficha financiera en este Subprograma destinada a actualizar y adaptar la participación ciudadana del municipio de Candelaria a la ac</w:t>
      </w:r>
      <w:r>
        <w:rPr>
          <w:b/>
          <w:i/>
        </w:rPr>
        <w:t>tual normativa y potenciar el empoderamiento del ciudadano en la actividad pública, con la elaboración del Reglamento de Participación Ciudadana. Señalar que en la propia Memoria de la Alcaldía que forma parte de la documentación del Presupuesto 2021 se ha</w:t>
      </w:r>
      <w:r>
        <w:rPr>
          <w:b/>
          <w:i/>
        </w:rPr>
        <w:t xml:space="preserve">ce referencia al “empeño del Equipo de Gobierno de (…) realizar un presupuesto lo más participativo posible (de cuya participación han eliminado a los grupos políticos de la oposición y tampoco ha existido participación ciudadana), con un modelo que van a </w:t>
      </w:r>
      <w:r>
        <w:rPr>
          <w:b/>
          <w:i/>
        </w:rPr>
        <w:t>desarrollar aún más en esta legislatura”, por tanto</w:t>
      </w:r>
      <w:r>
        <w:t xml:space="preserve"> </w:t>
      </w:r>
      <w:r>
        <w:rPr>
          <w:b/>
          <w:i/>
        </w:rPr>
        <w:t>es cuanto menos incongruente ese compromiso del que habla el equipo de gobierno municipal con la realidad de un presupuesto que mantiene frenado el desarrollo que, según la nueva legislación, se le debe d</w:t>
      </w:r>
      <w:r>
        <w:rPr>
          <w:b/>
          <w:i/>
        </w:rPr>
        <w:t>ar a la participación de la ciudadanía.</w:t>
      </w:r>
      <w:r>
        <w:rPr>
          <w:rFonts w:ascii="Times New Roman" w:eastAsia="Times New Roman" w:hAnsi="Times New Roman" w:cs="Times New Roman"/>
          <w:sz w:val="24"/>
        </w:rPr>
        <w:t xml:space="preserve"> </w:t>
      </w:r>
    </w:p>
    <w:p w:rsidR="00B064CF" w:rsidRDefault="00E32F70">
      <w:pPr>
        <w:spacing w:after="98" w:line="259" w:lineRule="auto"/>
        <w:ind w:left="1068" w:firstLine="0"/>
        <w:jc w:val="left"/>
      </w:pPr>
      <w:r>
        <w:t xml:space="preserve"> </w:t>
      </w:r>
    </w:p>
    <w:p w:rsidR="00B064CF" w:rsidRDefault="00E32F70">
      <w:pPr>
        <w:spacing w:after="112"/>
        <w:ind w:left="345" w:right="710" w:firstLine="708"/>
      </w:pPr>
      <w:r>
        <w:t>La insuficiencia de crédito para gastos destinados a Dinamización de la participación ciudadana, no se encuadra dentro de los tres supuestos de reclamación, tal como dispone el artículo 170.2 del Real Decreto Legi</w:t>
      </w:r>
      <w:r>
        <w:t xml:space="preserve">slativo 2/2004, de 5 de marzo, por el que se aprueba el Texto Refundido de la Ley reguladora de las Haciendas Locales. No existe, por tanto, obligación legal. </w:t>
      </w:r>
    </w:p>
    <w:p w:rsidR="00B064CF" w:rsidRDefault="00E32F70">
      <w:pPr>
        <w:spacing w:after="0" w:line="259" w:lineRule="auto"/>
        <w:ind w:left="1068" w:firstLine="0"/>
        <w:jc w:val="left"/>
      </w:pPr>
      <w:r>
        <w:t xml:space="preserve"> </w:t>
      </w:r>
    </w:p>
    <w:p w:rsidR="00B064CF" w:rsidRDefault="00E32F70">
      <w:pPr>
        <w:spacing w:after="111"/>
        <w:ind w:left="1078" w:right="72"/>
      </w:pPr>
      <w:r>
        <w:t xml:space="preserve">Se informa negativamente la presente reclamación. </w:t>
      </w:r>
    </w:p>
    <w:p w:rsidR="00B064CF" w:rsidRDefault="00E32F70">
      <w:pPr>
        <w:spacing w:after="95" w:line="259" w:lineRule="auto"/>
        <w:ind w:left="1068" w:firstLine="0"/>
        <w:jc w:val="left"/>
      </w:pPr>
      <w:r>
        <w:t xml:space="preserve"> </w:t>
      </w:r>
    </w:p>
    <w:p w:rsidR="00B064CF" w:rsidRDefault="00E32F70">
      <w:pPr>
        <w:spacing w:after="93" w:line="248" w:lineRule="auto"/>
        <w:ind w:left="355" w:right="699"/>
      </w:pPr>
      <w:r>
        <w:rPr>
          <w:b/>
        </w:rPr>
        <w:t>13.-</w:t>
      </w:r>
      <w:r>
        <w:rPr>
          <w:b/>
          <w:i/>
        </w:rPr>
        <w:t xml:space="preserve"> Insuficiente crédito al no crearse l</w:t>
      </w:r>
      <w:r>
        <w:rPr>
          <w:b/>
          <w:i/>
        </w:rPr>
        <w:t>a ficha financiera para Accesibilidad Universal, según establece el acuerdo tomado en el Pleno Ordinario celebrado el 26 de diciembre de 2019, de la Moción presentada por los concejales de CC-PNC sobre Accesibilidad Universal, que fue aprobada por unanimid</w:t>
      </w:r>
      <w:r>
        <w:rPr>
          <w:b/>
          <w:i/>
        </w:rPr>
        <w:t>ad y que en su punto Tercero refiere literalmente: “TERCERO. Se dote a los futuros Presupuestos Municipales de partida presupuestaria para insertar plenamente la Accesibilidad Universal en la actividad local, y superar de este modo el modelo de meras inter</w:t>
      </w:r>
      <w:r>
        <w:rPr>
          <w:b/>
          <w:i/>
        </w:rPr>
        <w:t>venciones puntuales sobre el medio urbano para suprimir barreras.</w:t>
      </w:r>
      <w:r>
        <w:rPr>
          <w:rFonts w:ascii="Times New Roman" w:eastAsia="Times New Roman" w:hAnsi="Times New Roman" w:cs="Times New Roman"/>
          <w:sz w:val="24"/>
        </w:rPr>
        <w:t xml:space="preserve"> </w:t>
      </w:r>
    </w:p>
    <w:p w:rsidR="00B064CF" w:rsidRDefault="00E32F70">
      <w:pPr>
        <w:spacing w:after="100" w:line="259" w:lineRule="auto"/>
        <w:ind w:left="1068" w:firstLine="0"/>
        <w:jc w:val="left"/>
      </w:pPr>
      <w:r>
        <w:t xml:space="preserve"> </w:t>
      </w:r>
    </w:p>
    <w:p w:rsidR="00B064CF" w:rsidRDefault="00E32F70">
      <w:pPr>
        <w:spacing w:after="112"/>
        <w:ind w:left="345" w:right="711" w:firstLine="708"/>
      </w:pPr>
      <w:r>
        <w:t>La insuficiencia de crédito para gastos destinados a la Accesibilidad Universal, no se encuadra dentro de los tres supuestos de reclamación, tal como dispone el artículo 170.2 del Real Decreto Legislativo 2/2004, de 5 de marzo, por el que se aprueba el Tex</w:t>
      </w:r>
      <w:r>
        <w:t xml:space="preserve">to Refundido de la Ley reguladora de las Haciendas Locales. No existe, por tanto, obligación legal. </w:t>
      </w:r>
    </w:p>
    <w:p w:rsidR="00B064CF" w:rsidRDefault="00E32F70">
      <w:pPr>
        <w:spacing w:after="100" w:line="259" w:lineRule="auto"/>
        <w:ind w:left="1068" w:firstLine="0"/>
        <w:jc w:val="left"/>
      </w:pPr>
      <w:r>
        <w:t xml:space="preserve"> </w:t>
      </w:r>
    </w:p>
    <w:p w:rsidR="00B064CF" w:rsidRDefault="00E32F70">
      <w:pPr>
        <w:spacing w:after="109"/>
        <w:ind w:left="1078" w:right="72"/>
      </w:pPr>
      <w:r>
        <w:t xml:space="preserve">Se informa negativamente la presente reclamación. </w:t>
      </w:r>
    </w:p>
    <w:p w:rsidR="00B064CF" w:rsidRDefault="00E32F70">
      <w:pPr>
        <w:spacing w:after="98" w:line="259" w:lineRule="auto"/>
        <w:ind w:left="1068" w:firstLine="0"/>
        <w:jc w:val="left"/>
      </w:pPr>
      <w:r>
        <w:t xml:space="preserve"> </w:t>
      </w:r>
    </w:p>
    <w:p w:rsidR="00B064CF" w:rsidRDefault="00E32F70">
      <w:pPr>
        <w:spacing w:after="113" w:line="248" w:lineRule="auto"/>
        <w:ind w:left="355" w:right="699"/>
      </w:pPr>
      <w:r>
        <w:rPr>
          <w:rFonts w:ascii="Calibri" w:eastAsia="Calibri" w:hAnsi="Calibri" w:cs="Calibri"/>
          <w:noProof/>
        </w:rPr>
        <mc:AlternateContent>
          <mc:Choice Requires="wpg">
            <w:drawing>
              <wp:anchor distT="0" distB="0" distL="114300" distR="114300" simplePos="0" relativeHeight="25168896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64059" name="Group 364059"/>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819" name="Rectangle 2819"/>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820" name="Rectangle 2820"/>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27 de 298 </w:t>
                              </w:r>
                            </w:p>
                          </w:txbxContent>
                        </wps:txbx>
                        <wps:bodyPr horzOverflow="overflow" vert="horz" lIns="0" tIns="0" rIns="0" bIns="0" rtlCol="0">
                          <a:noAutofit/>
                        </wps:bodyPr>
                      </wps:wsp>
                    </wpg:wgp>
                  </a:graphicData>
                </a:graphic>
              </wp:anchor>
            </w:drawing>
          </mc:Choice>
          <mc:Fallback xmlns:a="http://schemas.openxmlformats.org/drawingml/2006/main">
            <w:pict>
              <v:group id="Group 364059" style="width:12.7031pt;height:278.91pt;position:absolute;mso-position-horizontal-relative:page;mso-position-horizontal:absolute;margin-left:682.278pt;mso-position-vertical-relative:page;margin-top:533.01pt;" coordsize="1613,35421">
                <v:rect id="Rectangle 2819"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820"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 de 298 </w:t>
                        </w:r>
                      </w:p>
                    </w:txbxContent>
                  </v:textbox>
                </v:rect>
                <w10:wrap type="square"/>
              </v:group>
            </w:pict>
          </mc:Fallback>
        </mc:AlternateContent>
      </w:r>
      <w:r>
        <w:rPr>
          <w:b/>
        </w:rPr>
        <w:t xml:space="preserve">14.- </w:t>
      </w:r>
      <w:r>
        <w:rPr>
          <w:b/>
          <w:i/>
        </w:rPr>
        <w:t>Consideramos injustificado el aumento, en el Capítulo 2 de Gastos en Bienes Corrientes y de Servicios, del gasto en Prensa, Revistas y otras Publicaciones</w:t>
      </w:r>
      <w:r>
        <w:rPr>
          <w:b/>
          <w:i/>
        </w:rPr>
        <w:t>, en un 143,31% hasta casi triplicar el crédito con respecto al ejercicio 2020 sin que encontremos una justificación para esta medida. Solicitamos que el incremento experimentado en esta partida con respecto al presupuesto 2020, se destine a fines sociales</w:t>
      </w:r>
      <w:r>
        <w:rPr>
          <w:b/>
          <w:i/>
        </w:rPr>
        <w:t>.</w:t>
      </w:r>
      <w:r>
        <w:rPr>
          <w:rFonts w:ascii="Times New Roman" w:eastAsia="Times New Roman" w:hAnsi="Times New Roman" w:cs="Times New Roman"/>
          <w:sz w:val="24"/>
        </w:rPr>
        <w:t xml:space="preserve"> </w:t>
      </w:r>
    </w:p>
    <w:p w:rsidR="00B064CF" w:rsidRDefault="00E32F70">
      <w:pPr>
        <w:spacing w:after="98" w:line="259" w:lineRule="auto"/>
        <w:ind w:left="360" w:firstLine="0"/>
        <w:jc w:val="left"/>
      </w:pPr>
      <w:r>
        <w:rPr>
          <w:b/>
          <w:i/>
        </w:rPr>
        <w:t xml:space="preserve"> </w:t>
      </w:r>
    </w:p>
    <w:p w:rsidR="00B064CF" w:rsidRDefault="00E32F70">
      <w:pPr>
        <w:spacing w:after="112"/>
        <w:ind w:left="345" w:right="712" w:firstLine="708"/>
      </w:pPr>
      <w:r>
        <w:t>Incrementar los créditos a fines sociales del exceso de crédito a Prensa, Revistas y otras publicaciones, no se encuadra dentro de los tres supuestos de reclamación, tal como dispone el artículo 170.2 del Real Decreto Legislativo 2/2004, de 5 de marzo, por</w:t>
      </w:r>
      <w:r>
        <w:t xml:space="preserve"> el que se aprueba el Texto Refundido de la Ley reguladora de las Haciendas Locales. No existe, por tanto, obligación legal. </w:t>
      </w:r>
    </w:p>
    <w:p w:rsidR="00B064CF" w:rsidRDefault="00E32F70">
      <w:pPr>
        <w:spacing w:after="98" w:line="259" w:lineRule="auto"/>
        <w:ind w:left="1068" w:firstLine="0"/>
        <w:jc w:val="left"/>
      </w:pPr>
      <w:r>
        <w:t xml:space="preserve"> </w:t>
      </w:r>
    </w:p>
    <w:p w:rsidR="00B064CF" w:rsidRDefault="00E32F70">
      <w:pPr>
        <w:spacing w:after="111"/>
        <w:ind w:left="1078" w:right="72"/>
      </w:pPr>
      <w:r>
        <w:t xml:space="preserve">Se informa negativamente la presente reclamación. </w:t>
      </w:r>
    </w:p>
    <w:p w:rsidR="00B064CF" w:rsidRDefault="00E32F70">
      <w:pPr>
        <w:spacing w:after="95" w:line="259" w:lineRule="auto"/>
        <w:ind w:left="1068" w:firstLine="0"/>
        <w:jc w:val="left"/>
      </w:pPr>
      <w:r>
        <w:t xml:space="preserve"> </w:t>
      </w:r>
    </w:p>
    <w:p w:rsidR="00B064CF" w:rsidRDefault="00E32F70">
      <w:pPr>
        <w:spacing w:after="92" w:line="248" w:lineRule="auto"/>
        <w:ind w:left="355" w:right="699"/>
      </w:pPr>
      <w:r>
        <w:rPr>
          <w:b/>
        </w:rPr>
        <w:t>15.-</w:t>
      </w:r>
      <w:r>
        <w:t xml:space="preserve"> </w:t>
      </w:r>
      <w:r>
        <w:rPr>
          <w:b/>
          <w:i/>
        </w:rPr>
        <w:t>Consideramos injustificado el aumento, en el Capítulo 2 de Gastos en Bienes Corrientes y de Servicios del gasto en Publicidad y Propaganda en un 11% hasta alcanzar los 182.400€ cuando ya lo habían subido un 34,6% en el ejercicio presupuestario anterior Sol</w:t>
      </w:r>
      <w:r>
        <w:rPr>
          <w:b/>
          <w:i/>
        </w:rPr>
        <w:t>icitamos que el incremento experimentado en esta partida con respecto al presupuesto 2020, se destine a fines sociales.</w:t>
      </w:r>
      <w:r>
        <w:rPr>
          <w:rFonts w:ascii="Times New Roman" w:eastAsia="Times New Roman" w:hAnsi="Times New Roman" w:cs="Times New Roman"/>
          <w:sz w:val="24"/>
        </w:rPr>
        <w:t xml:space="preserve"> </w:t>
      </w:r>
    </w:p>
    <w:p w:rsidR="00B064CF" w:rsidRDefault="00E32F70">
      <w:pPr>
        <w:spacing w:after="101" w:line="259" w:lineRule="auto"/>
        <w:ind w:left="1068" w:firstLine="0"/>
        <w:jc w:val="left"/>
      </w:pPr>
      <w:r>
        <w:t xml:space="preserve"> </w:t>
      </w:r>
    </w:p>
    <w:p w:rsidR="00B064CF" w:rsidRDefault="00E32F70">
      <w:pPr>
        <w:spacing w:after="110"/>
        <w:ind w:left="345" w:right="711" w:firstLine="708"/>
      </w:pPr>
      <w:r>
        <w:t>Incrementar los créditos a fines sociales del exceso de crédito a Publicidad y Propaganda, no se encuadra dentro de los tres supuesto</w:t>
      </w:r>
      <w:r>
        <w:t xml:space="preserve">s de reclamación, tal como dispone el artículo 170.2 del Real Decreto Legislativo 2/2004, de 5 de marzo, por el que se aprueba el Texto Refundido de la Ley reguladora de las Haciendas Locales. No existe, por tanto, obligación legal. </w:t>
      </w:r>
    </w:p>
    <w:p w:rsidR="00B064CF" w:rsidRDefault="00E32F70">
      <w:pPr>
        <w:spacing w:after="98" w:line="259" w:lineRule="auto"/>
        <w:ind w:left="1068" w:firstLine="0"/>
        <w:jc w:val="left"/>
      </w:pPr>
      <w:r>
        <w:t xml:space="preserve"> </w:t>
      </w:r>
    </w:p>
    <w:p w:rsidR="00B064CF" w:rsidRDefault="00E32F70">
      <w:pPr>
        <w:spacing w:after="111"/>
        <w:ind w:left="1078" w:right="72"/>
      </w:pPr>
      <w:r>
        <w:t>Se informa negativam</w:t>
      </w:r>
      <w:r>
        <w:t xml:space="preserve">ente la presente reclamación. </w:t>
      </w:r>
    </w:p>
    <w:p w:rsidR="00B064CF" w:rsidRDefault="00E32F70">
      <w:pPr>
        <w:spacing w:after="95" w:line="259" w:lineRule="auto"/>
        <w:ind w:left="1068" w:firstLine="0"/>
        <w:jc w:val="left"/>
      </w:pPr>
      <w:r>
        <w:t xml:space="preserve"> </w:t>
      </w:r>
    </w:p>
    <w:p w:rsidR="00B064CF" w:rsidRDefault="00E32F70">
      <w:pPr>
        <w:spacing w:after="113" w:line="248" w:lineRule="auto"/>
        <w:ind w:left="355" w:right="699"/>
      </w:pPr>
      <w:r>
        <w:rPr>
          <w:b/>
        </w:rPr>
        <w:t>16.-</w:t>
      </w:r>
      <w:r>
        <w:t xml:space="preserve"> </w:t>
      </w:r>
      <w:r>
        <w:rPr>
          <w:b/>
          <w:i/>
        </w:rPr>
        <w:t>Consideramos injustificado el aumento, en el Capítulo 2 de Gastos en Bienes Corrientes y de Servicios del gasto en Atenciones Protocolarias en un 66,7% en estos momentos de pandemia y de escasos o nulos eventos, ponien</w:t>
      </w:r>
      <w:r>
        <w:rPr>
          <w:b/>
          <w:i/>
        </w:rPr>
        <w:t>do como única explicación a esta subida que “representa una cantidad pequeña.</w:t>
      </w:r>
      <w:r>
        <w:t xml:space="preserve"> </w:t>
      </w:r>
      <w:r>
        <w:rPr>
          <w:b/>
        </w:rPr>
        <w:t>Solicitamos que el incremento experimentado en esta partida con respecto al presupuesto 2020, se destine a fines sociales</w:t>
      </w:r>
      <w:r>
        <w:rPr>
          <w:rFonts w:ascii="Times New Roman" w:eastAsia="Times New Roman" w:hAnsi="Times New Roman" w:cs="Times New Roman"/>
          <w:sz w:val="24"/>
        </w:rPr>
        <w:t xml:space="preserve"> </w:t>
      </w:r>
    </w:p>
    <w:p w:rsidR="00B064CF" w:rsidRDefault="00E32F70">
      <w:pPr>
        <w:spacing w:after="98" w:line="259" w:lineRule="auto"/>
        <w:ind w:left="1068" w:firstLine="0"/>
        <w:jc w:val="left"/>
      </w:pPr>
      <w:r>
        <w:t xml:space="preserve"> </w:t>
      </w:r>
    </w:p>
    <w:p w:rsidR="00B064CF" w:rsidRDefault="00E32F70">
      <w:pPr>
        <w:spacing w:after="112"/>
        <w:ind w:left="345" w:right="712" w:firstLine="708"/>
      </w:pPr>
      <w:r>
        <w:t xml:space="preserve">Incrementar los créditos a fines sociales del exceso </w:t>
      </w:r>
      <w:r>
        <w:t>de crédito a Atenciones Protocolarias, no se encuadra dentro de los tres supuestos de reclamación, tal como dispone el artículo 170.2 del Real Decreto Legislativo 2/2004, de 5 de marzo, por el que se aprueba el Texto Refundido de la Ley reguladora de las H</w:t>
      </w:r>
      <w:r>
        <w:t xml:space="preserve">aciendas Locales. No existe, por tanto, obligación legal. </w:t>
      </w:r>
    </w:p>
    <w:p w:rsidR="00B064CF" w:rsidRDefault="00E32F70">
      <w:pPr>
        <w:spacing w:after="100" w:line="259" w:lineRule="auto"/>
        <w:ind w:left="1068" w:firstLine="0"/>
        <w:jc w:val="left"/>
      </w:pPr>
      <w:r>
        <w:t xml:space="preserve"> </w:t>
      </w:r>
    </w:p>
    <w:p w:rsidR="00B064CF" w:rsidRDefault="00E32F70">
      <w:pPr>
        <w:spacing w:after="109"/>
        <w:ind w:left="1078" w:right="72"/>
      </w:pPr>
      <w:r>
        <w:t xml:space="preserve">Se informa negativamente la presente reclamación. </w:t>
      </w:r>
    </w:p>
    <w:p w:rsidR="00B064CF" w:rsidRDefault="00E32F70">
      <w:pPr>
        <w:spacing w:after="95" w:line="259" w:lineRule="auto"/>
        <w:ind w:left="1068" w:firstLine="0"/>
        <w:jc w:val="left"/>
      </w:pPr>
      <w:r>
        <w:rPr>
          <w:rFonts w:ascii="Calibri" w:eastAsia="Calibri" w:hAnsi="Calibri" w:cs="Calibri"/>
          <w:noProof/>
        </w:rPr>
        <mc:AlternateContent>
          <mc:Choice Requires="wpg">
            <w:drawing>
              <wp:anchor distT="0" distB="0" distL="114300" distR="114300" simplePos="0" relativeHeight="25168998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64120" name="Group 364120"/>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917" name="Rectangle 2917"/>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918" name="Rectangle 2918"/>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28 de 298 </w:t>
                              </w:r>
                            </w:p>
                          </w:txbxContent>
                        </wps:txbx>
                        <wps:bodyPr horzOverflow="overflow" vert="horz" lIns="0" tIns="0" rIns="0" bIns="0" rtlCol="0">
                          <a:noAutofit/>
                        </wps:bodyPr>
                      </wps:wsp>
                    </wpg:wgp>
                  </a:graphicData>
                </a:graphic>
              </wp:anchor>
            </w:drawing>
          </mc:Choice>
          <mc:Fallback xmlns:a="http://schemas.openxmlformats.org/drawingml/2006/main">
            <w:pict>
              <v:group id="Group 364120" style="width:12.7031pt;height:278.91pt;position:absolute;mso-position-horizontal-relative:page;mso-position-horizontal:absolute;margin-left:682.278pt;mso-position-vertical-relative:page;margin-top:533.01pt;" coordsize="1613,35421">
                <v:rect id="Rectangle 2917"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918"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 de 298 </w:t>
                        </w:r>
                      </w:p>
                    </w:txbxContent>
                  </v:textbox>
                </v:rect>
                <w10:wrap type="square"/>
              </v:group>
            </w:pict>
          </mc:Fallback>
        </mc:AlternateContent>
      </w:r>
      <w:r>
        <w:t xml:space="preserve"> </w:t>
      </w:r>
    </w:p>
    <w:p w:rsidR="00B064CF" w:rsidRDefault="00E32F70">
      <w:pPr>
        <w:spacing w:after="113" w:line="248" w:lineRule="auto"/>
        <w:ind w:left="355" w:right="699"/>
      </w:pPr>
      <w:r>
        <w:rPr>
          <w:b/>
        </w:rPr>
        <w:t>17.-</w:t>
      </w:r>
      <w:r>
        <w:rPr>
          <w:b/>
          <w:i/>
        </w:rPr>
        <w:t xml:space="preserve"> No encontramos razones que justifiquen la disminución en un 40,47% en el Capítulo 2 del crédito de la partida destinada al Servicio de Transporte Adaptado </w:t>
      </w:r>
      <w:r>
        <w:rPr>
          <w:b/>
          <w:i/>
        </w:rPr>
        <w:t>(traslado de personas que, por razones derivadas de su edad, condiciones físicas, sociales o económicas que las hagan dependientes, requieran de vehículo acondicionado a sus necesidades) que, presupuestan con sólo 15.000€ en unos tiempos donde la necesidad</w:t>
      </w:r>
      <w:r>
        <w:rPr>
          <w:b/>
          <w:i/>
        </w:rPr>
        <w:t xml:space="preserve"> y demanda de este servicio ha aumentado. Nos preocupa enormemente la disminución de recursos económicos para políticas sociales para el ejercicio 2021, cuando nos encontramos en plena crisis social y económica como consecuencia del coronavirus y es notori</w:t>
      </w:r>
      <w:r>
        <w:rPr>
          <w:b/>
          <w:i/>
        </w:rPr>
        <w:t>o el aumento de las cifras de desempleo, la desaceleración del desarrollo económico en las Islas y la necesidad de aumentar las partidas presupuestarias destinadas a la protección de las familias y personas más vulnerables. Por ello consideramos insuficien</w:t>
      </w:r>
      <w:r>
        <w:rPr>
          <w:b/>
          <w:i/>
        </w:rPr>
        <w:t>tes los créditos destinados a cubrir estas partidas y la necesidad de dotarlos de mayores créditos.</w:t>
      </w:r>
      <w:r>
        <w:rPr>
          <w:rFonts w:ascii="Times New Roman" w:eastAsia="Times New Roman" w:hAnsi="Times New Roman" w:cs="Times New Roman"/>
          <w:sz w:val="24"/>
        </w:rPr>
        <w:t xml:space="preserve"> </w:t>
      </w:r>
    </w:p>
    <w:p w:rsidR="00B064CF" w:rsidRDefault="00E32F70">
      <w:pPr>
        <w:spacing w:after="98" w:line="259" w:lineRule="auto"/>
        <w:ind w:left="1068" w:firstLine="0"/>
        <w:jc w:val="left"/>
      </w:pPr>
      <w:r>
        <w:t xml:space="preserve"> </w:t>
      </w:r>
    </w:p>
    <w:p w:rsidR="00B064CF" w:rsidRDefault="00E32F70">
      <w:pPr>
        <w:spacing w:after="114"/>
        <w:ind w:left="345" w:right="711" w:firstLine="708"/>
      </w:pPr>
      <w:r>
        <w:t>Incrementar los créditos del Servicio de Transporte Adaptado (traslado de personas que, por razones derivadas de su edad, condiciones físicas, sociales o</w:t>
      </w:r>
      <w:r>
        <w:t xml:space="preserve"> económicas que las hagan dependientes, requieran de vehículo acondicionado a sus necesidades), no se encuadra dentro de los tres supuestos de reclamación, tal como dispone el artículo 170.2 del Real Decreto Legislativo 2/2004, de 5 de marzo, por el que se</w:t>
      </w:r>
      <w:r>
        <w:t xml:space="preserve"> aprueba el Texto Refundido de la Ley reguladora de las Haciendas Locales. No existe, por tanto, obligación legal. </w:t>
      </w:r>
    </w:p>
    <w:p w:rsidR="00B064CF" w:rsidRDefault="00E32F70">
      <w:pPr>
        <w:spacing w:after="98" w:line="259" w:lineRule="auto"/>
        <w:ind w:left="1068" w:firstLine="0"/>
        <w:jc w:val="left"/>
      </w:pPr>
      <w:r>
        <w:t xml:space="preserve"> </w:t>
      </w:r>
    </w:p>
    <w:p w:rsidR="00B064CF" w:rsidRDefault="00E32F70">
      <w:pPr>
        <w:spacing w:after="11"/>
        <w:ind w:left="1078" w:right="72"/>
      </w:pPr>
      <w:r>
        <w:t xml:space="preserve">Se informa negativamente la presente reclamación. </w:t>
      </w:r>
    </w:p>
    <w:p w:rsidR="00B064CF" w:rsidRDefault="00E32F70">
      <w:pPr>
        <w:spacing w:after="98" w:line="259" w:lineRule="auto"/>
        <w:ind w:left="1068" w:firstLine="0"/>
        <w:jc w:val="left"/>
      </w:pPr>
      <w:r>
        <w:t xml:space="preserve"> </w:t>
      </w:r>
    </w:p>
    <w:p w:rsidR="00B064CF" w:rsidRDefault="00E32F70">
      <w:pPr>
        <w:spacing w:after="11" w:line="248" w:lineRule="auto"/>
        <w:ind w:left="355" w:right="699"/>
      </w:pPr>
      <w:r>
        <w:rPr>
          <w:b/>
        </w:rPr>
        <w:t>18.-</w:t>
      </w:r>
      <w:r>
        <w:rPr>
          <w:b/>
          <w:i/>
        </w:rPr>
        <w:t xml:space="preserve"> Consideramos insuficiente el crédito destinado a Gastos Corrientes en Bienes y </w:t>
      </w:r>
    </w:p>
    <w:p w:rsidR="00B064CF" w:rsidRDefault="00E32F70">
      <w:pPr>
        <w:spacing w:after="113" w:line="248" w:lineRule="auto"/>
        <w:ind w:left="355" w:right="699"/>
      </w:pPr>
      <w:r>
        <w:rPr>
          <w:b/>
          <w:i/>
        </w:rPr>
        <w:t>Servicios en el área de Comercio, que apenas incrementan en 14.150 € con respecto al pasado ejercicio, hasta un total de 111.150 €. El comercio y la restauración son el motor económico del municipio, que ha sido uno de los sectores más golpeados por las se</w:t>
      </w:r>
      <w:r>
        <w:rPr>
          <w:b/>
          <w:i/>
        </w:rPr>
        <w:t xml:space="preserve">cuelas económicas y las restricciones de la pandemia, pero en cambio la financiación que se destina a esta área continúa siendo en comparación con su importancia económica, muy pequeña. </w:t>
      </w:r>
      <w:r>
        <w:rPr>
          <w:rFonts w:ascii="Times New Roman" w:eastAsia="Times New Roman" w:hAnsi="Times New Roman" w:cs="Times New Roman"/>
          <w:sz w:val="24"/>
        </w:rPr>
        <w:t xml:space="preserve"> </w:t>
      </w:r>
    </w:p>
    <w:p w:rsidR="00B064CF" w:rsidRDefault="00E32F70">
      <w:pPr>
        <w:spacing w:after="98" w:line="259" w:lineRule="auto"/>
        <w:ind w:left="1068" w:firstLine="0"/>
        <w:jc w:val="left"/>
      </w:pPr>
      <w:r>
        <w:t xml:space="preserve"> </w:t>
      </w:r>
    </w:p>
    <w:p w:rsidR="00B064CF" w:rsidRDefault="00E32F70">
      <w:pPr>
        <w:spacing w:after="114"/>
        <w:ind w:left="345" w:right="713" w:firstLine="708"/>
      </w:pPr>
      <w:r>
        <w:t xml:space="preserve">Incrementar los créditos para el área de Comercio, no se encuadra </w:t>
      </w:r>
      <w:r>
        <w:t>dentro de los tres supuestos de reclamación, tal como dispone el artículo 170.2 del Real Decreto Legislativo 2/2004, de 5 de marzo, por el que se aprueba el Texto Refundido de la Ley reguladora de las Haciendas Locales. No existe, por tanto, obligación leg</w:t>
      </w:r>
      <w:r>
        <w:t xml:space="preserve">al. </w:t>
      </w:r>
    </w:p>
    <w:p w:rsidR="00B064CF" w:rsidRDefault="00E32F70">
      <w:pPr>
        <w:spacing w:after="98" w:line="259" w:lineRule="auto"/>
        <w:ind w:left="1068" w:firstLine="0"/>
        <w:jc w:val="left"/>
      </w:pPr>
      <w:r>
        <w:t xml:space="preserve"> </w:t>
      </w:r>
    </w:p>
    <w:p w:rsidR="00B064CF" w:rsidRDefault="00E32F70">
      <w:pPr>
        <w:spacing w:after="109"/>
        <w:ind w:left="1078" w:right="72"/>
      </w:pPr>
      <w:r>
        <w:t xml:space="preserve">Se informa negativamente la presente reclamación. </w:t>
      </w:r>
    </w:p>
    <w:p w:rsidR="00B064CF" w:rsidRDefault="00E32F70">
      <w:pPr>
        <w:spacing w:after="98" w:line="259" w:lineRule="auto"/>
        <w:ind w:left="1068" w:firstLine="0"/>
        <w:jc w:val="left"/>
      </w:pPr>
      <w:r>
        <w:t xml:space="preserve"> </w:t>
      </w:r>
    </w:p>
    <w:p w:rsidR="00B064CF" w:rsidRDefault="00E32F70">
      <w:pPr>
        <w:spacing w:after="92" w:line="248" w:lineRule="auto"/>
        <w:ind w:left="355" w:right="699"/>
      </w:pPr>
      <w:r>
        <w:rPr>
          <w:rFonts w:ascii="Calibri" w:eastAsia="Calibri" w:hAnsi="Calibri" w:cs="Calibri"/>
          <w:noProof/>
        </w:rPr>
        <mc:AlternateContent>
          <mc:Choice Requires="wpg">
            <w:drawing>
              <wp:anchor distT="0" distB="0" distL="114300" distR="114300" simplePos="0" relativeHeight="25169100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63975" name="Group 363975"/>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006" name="Rectangle 3006"/>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007" name="Rectangle 3007"/>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29 de 298 </w:t>
                              </w:r>
                            </w:p>
                          </w:txbxContent>
                        </wps:txbx>
                        <wps:bodyPr horzOverflow="overflow" vert="horz" lIns="0" tIns="0" rIns="0" bIns="0" rtlCol="0">
                          <a:noAutofit/>
                        </wps:bodyPr>
                      </wps:wsp>
                    </wpg:wgp>
                  </a:graphicData>
                </a:graphic>
              </wp:anchor>
            </w:drawing>
          </mc:Choice>
          <mc:Fallback xmlns:a="http://schemas.openxmlformats.org/drawingml/2006/main">
            <w:pict>
              <v:group id="Group 363975" style="width:12.7031pt;height:278.91pt;position:absolute;mso-position-horizontal-relative:page;mso-position-horizontal:absolute;margin-left:682.278pt;mso-position-vertical-relative:page;margin-top:533.01pt;" coordsize="1613,35421">
                <v:rect id="Rectangle 3006"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007"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 de 298 </w:t>
                        </w:r>
                      </w:p>
                    </w:txbxContent>
                  </v:textbox>
                </v:rect>
                <w10:wrap type="square"/>
              </v:group>
            </w:pict>
          </mc:Fallback>
        </mc:AlternateContent>
      </w:r>
      <w:r>
        <w:rPr>
          <w:b/>
        </w:rPr>
        <w:t>19.-</w:t>
      </w:r>
      <w:r>
        <w:rPr>
          <w:b/>
          <w:i/>
        </w:rPr>
        <w:t xml:space="preserve"> Solicitamos se cree una nueva partida en el Capítulo 4 de Transferencias Corrientes/Comercio, una Subvención a las pequeñas y medianas empresas de la restauración y el comercio de Candelaria afectadas por las secuelas económicas del coronavirus, que </w:t>
      </w:r>
      <w:r>
        <w:rPr>
          <w:b/>
          <w:i/>
        </w:rPr>
        <w:t>les ayude a pagar los gastos derivados de su actividad o a emprender nuevos proyectos en sus empresas. El comercio y la restauración son el motor económico del municipio, que ha sido uno de los sectores más golpeados por las secuelas económicas y las restr</w:t>
      </w:r>
      <w:r>
        <w:rPr>
          <w:b/>
          <w:i/>
        </w:rPr>
        <w:t xml:space="preserve">icciones de la pandemia, pero en cambio la financiación que se destina a esta área continúa siendo en comparación con su importancia económica, muy pequeña. </w:t>
      </w:r>
      <w:r>
        <w:rPr>
          <w:rFonts w:ascii="Times New Roman" w:eastAsia="Times New Roman" w:hAnsi="Times New Roman" w:cs="Times New Roman"/>
          <w:sz w:val="24"/>
        </w:rPr>
        <w:t xml:space="preserve"> </w:t>
      </w:r>
    </w:p>
    <w:p w:rsidR="00B064CF" w:rsidRDefault="00E32F70">
      <w:pPr>
        <w:spacing w:after="100" w:line="259" w:lineRule="auto"/>
        <w:ind w:left="1068" w:firstLine="0"/>
        <w:jc w:val="left"/>
      </w:pPr>
      <w:r>
        <w:t xml:space="preserve"> </w:t>
      </w:r>
    </w:p>
    <w:p w:rsidR="00B064CF" w:rsidRDefault="00E32F70">
      <w:pPr>
        <w:spacing w:after="114"/>
        <w:ind w:left="345" w:right="712" w:firstLine="708"/>
      </w:pPr>
      <w:r>
        <w:t>Crear nueva aplicación presupuestaria para Subvención a las pequeñas y medianas empresas de la restauración y el comercio de Candelaria, no se encuadra dentro de los tres supuestos de reclamación, tal como dispone el artículo 170.2 del Real Decreto Legisla</w:t>
      </w:r>
      <w:r>
        <w:t xml:space="preserve">tivo 2/2004, de 5 de marzo, por el que se aprueba el Texto Refundido de la Ley reguladora de las Haciendas Locales. No existe, por tanto, obligación legal. </w:t>
      </w:r>
    </w:p>
    <w:p w:rsidR="00B064CF" w:rsidRDefault="00E32F70">
      <w:pPr>
        <w:spacing w:after="98" w:line="259" w:lineRule="auto"/>
        <w:ind w:left="1068" w:firstLine="0"/>
        <w:jc w:val="left"/>
      </w:pPr>
      <w:r>
        <w:t xml:space="preserve"> </w:t>
      </w:r>
    </w:p>
    <w:p w:rsidR="00B064CF" w:rsidRDefault="00E32F70">
      <w:pPr>
        <w:spacing w:after="111"/>
        <w:ind w:left="1078" w:right="72"/>
      </w:pPr>
      <w:r>
        <w:t xml:space="preserve">Se informa negativamente la presente reclamación. </w:t>
      </w:r>
    </w:p>
    <w:p w:rsidR="00B064CF" w:rsidRDefault="00E32F70">
      <w:pPr>
        <w:spacing w:after="95" w:line="259" w:lineRule="auto"/>
        <w:ind w:left="1068" w:firstLine="0"/>
        <w:jc w:val="left"/>
      </w:pPr>
      <w:r>
        <w:t xml:space="preserve"> </w:t>
      </w:r>
    </w:p>
    <w:p w:rsidR="00B064CF" w:rsidRDefault="00E32F70">
      <w:pPr>
        <w:spacing w:after="113" w:line="248" w:lineRule="auto"/>
        <w:ind w:left="355" w:right="699"/>
      </w:pPr>
      <w:r>
        <w:rPr>
          <w:b/>
        </w:rPr>
        <w:t>20.-</w:t>
      </w:r>
      <w:r>
        <w:rPr>
          <w:b/>
          <w:i/>
        </w:rPr>
        <w:t xml:space="preserve"> Solicitamos se cree una nueva partida e</w:t>
      </w:r>
      <w:r>
        <w:rPr>
          <w:b/>
          <w:i/>
        </w:rPr>
        <w:t>n el Capítulo 4 de Transferencias Corrientes/Promoción y Fomento del Deporte, una Subvención destinada a los gimnasios, centros de boxeo y centros deportivos de Candelaria cuya actividad se ha visto afectada por el coronavirus, que les ayude a pagar los ga</w:t>
      </w:r>
      <w:r>
        <w:rPr>
          <w:b/>
          <w:i/>
        </w:rPr>
        <w:t xml:space="preserve">stos derivados de su actividad o a emprender nuevos proyectos en sus empresas. </w:t>
      </w:r>
      <w:r>
        <w:rPr>
          <w:rFonts w:ascii="Times New Roman" w:eastAsia="Times New Roman" w:hAnsi="Times New Roman" w:cs="Times New Roman"/>
          <w:sz w:val="24"/>
        </w:rPr>
        <w:t xml:space="preserve"> </w:t>
      </w:r>
    </w:p>
    <w:p w:rsidR="00B064CF" w:rsidRDefault="00E32F70">
      <w:pPr>
        <w:spacing w:after="100" w:line="259" w:lineRule="auto"/>
        <w:ind w:left="1068" w:firstLine="0"/>
        <w:jc w:val="left"/>
      </w:pPr>
      <w:r>
        <w:t xml:space="preserve"> </w:t>
      </w:r>
    </w:p>
    <w:p w:rsidR="00B064CF" w:rsidRDefault="00E32F70">
      <w:pPr>
        <w:spacing w:after="115" w:line="246" w:lineRule="auto"/>
        <w:ind w:left="1068" w:right="58" w:firstLine="0"/>
        <w:jc w:val="left"/>
      </w:pPr>
      <w:r>
        <w:t>Crear nueva aplicación presupuestaria para fomento de determinadas actividades deportivas, no se encuadra dentro de los tres supuestos de reclamación, tal como dispone el ar</w:t>
      </w:r>
      <w:r>
        <w:t xml:space="preserve">tículo 170.2 del Real Decreto Legislativo 2/2004, de 5 de marzo, por el que se aprueba el Texto Refundido de la Ley reguladora de las Haciendas Locales. No existe, por tanto, obligación legal. </w:t>
      </w:r>
    </w:p>
    <w:p w:rsidR="00B064CF" w:rsidRDefault="00E32F70">
      <w:pPr>
        <w:spacing w:after="98" w:line="259" w:lineRule="auto"/>
        <w:ind w:left="1068" w:firstLine="0"/>
        <w:jc w:val="left"/>
      </w:pPr>
      <w:r>
        <w:t xml:space="preserve"> </w:t>
      </w:r>
    </w:p>
    <w:p w:rsidR="00B064CF" w:rsidRDefault="00E32F70">
      <w:pPr>
        <w:spacing w:after="112"/>
        <w:ind w:left="1078" w:right="72"/>
      </w:pPr>
      <w:r>
        <w:t xml:space="preserve">Se informa negativamente la presente reclamación. </w:t>
      </w:r>
    </w:p>
    <w:p w:rsidR="00B064CF" w:rsidRDefault="00E32F70">
      <w:pPr>
        <w:spacing w:after="95" w:line="259" w:lineRule="auto"/>
        <w:ind w:left="1068" w:firstLine="0"/>
        <w:jc w:val="left"/>
      </w:pPr>
      <w:r>
        <w:t xml:space="preserve"> </w:t>
      </w:r>
    </w:p>
    <w:p w:rsidR="00B064CF" w:rsidRDefault="00E32F70">
      <w:pPr>
        <w:spacing w:after="113" w:line="248" w:lineRule="auto"/>
        <w:ind w:left="355" w:right="699"/>
      </w:pPr>
      <w:r>
        <w:rPr>
          <w:b/>
        </w:rPr>
        <w:t>21.</w:t>
      </w:r>
      <w:r>
        <w:rPr>
          <w:b/>
          <w:i/>
        </w:rPr>
        <w:t>- In</w:t>
      </w:r>
      <w:r>
        <w:rPr>
          <w:b/>
          <w:i/>
        </w:rPr>
        <w:t>suficiente crédito en el Capítulo 6 de Inversiones Reales/Otras Infraestructuras al no recogerse la financiación de la construcción de parquin/párquines en el municipio. Estamos ante otro grave problema de Candelaria junto al de saneamiento, que lleva much</w:t>
      </w:r>
      <w:r>
        <w:rPr>
          <w:b/>
          <w:i/>
        </w:rPr>
        <w:t xml:space="preserve">os años sin dársele una solución. Es urgente acometer la construcción de estas infraestructuras, cuya ausencia no sólo provoca en momentos puntuales, festivos y vacacionales colapsos en el tráfico, sino que además está ya coartando el desarrollo económico </w:t>
      </w:r>
      <w:r>
        <w:rPr>
          <w:b/>
          <w:i/>
        </w:rPr>
        <w:t>del municipio. Muchos ciudadanos que visitan nuestro municipio para hacer sus compras, atraídos por los servicios de nuestros restaurantes, bares y tascas o para simplemente darse un baño o pasear por nuestras avenidas, tienen que abandonar el municipio an</w:t>
      </w:r>
      <w:r>
        <w:rPr>
          <w:b/>
          <w:i/>
        </w:rPr>
        <w:t xml:space="preserve">te la imposibilidad de poder estacionar su vehículo por la falta de aparcamientos y párquines. </w:t>
      </w:r>
      <w:r>
        <w:rPr>
          <w:rFonts w:ascii="Times New Roman" w:eastAsia="Times New Roman" w:hAnsi="Times New Roman" w:cs="Times New Roman"/>
          <w:sz w:val="24"/>
        </w:rPr>
        <w:t xml:space="preserve"> </w:t>
      </w:r>
    </w:p>
    <w:p w:rsidR="00B064CF" w:rsidRDefault="00E32F70">
      <w:pPr>
        <w:spacing w:after="98" w:line="259" w:lineRule="auto"/>
        <w:ind w:left="1068" w:firstLine="0"/>
        <w:jc w:val="left"/>
      </w:pPr>
      <w:r>
        <w:t xml:space="preserve"> </w:t>
      </w:r>
    </w:p>
    <w:p w:rsidR="00B064CF" w:rsidRDefault="00E32F70">
      <w:pPr>
        <w:spacing w:after="114"/>
        <w:ind w:left="345" w:right="710" w:firstLine="708"/>
      </w:pPr>
      <w:r>
        <w:rPr>
          <w:rFonts w:ascii="Calibri" w:eastAsia="Calibri" w:hAnsi="Calibri" w:cs="Calibri"/>
          <w:noProof/>
        </w:rPr>
        <mc:AlternateContent>
          <mc:Choice Requires="wpg">
            <w:drawing>
              <wp:anchor distT="0" distB="0" distL="114300" distR="114300" simplePos="0" relativeHeight="25169203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69115" name="Group 369115"/>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100" name="Rectangle 3100"/>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101" name="Rectangle 3101"/>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30 de 298 </w:t>
                              </w:r>
                            </w:p>
                          </w:txbxContent>
                        </wps:txbx>
                        <wps:bodyPr horzOverflow="overflow" vert="horz" lIns="0" tIns="0" rIns="0" bIns="0" rtlCol="0">
                          <a:noAutofit/>
                        </wps:bodyPr>
                      </wps:wsp>
                    </wpg:wgp>
                  </a:graphicData>
                </a:graphic>
              </wp:anchor>
            </w:drawing>
          </mc:Choice>
          <mc:Fallback xmlns:a="http://schemas.openxmlformats.org/drawingml/2006/main">
            <w:pict>
              <v:group id="Group 369115" style="width:12.7031pt;height:278.91pt;position:absolute;mso-position-horizontal-relative:page;mso-position-horizontal:absolute;margin-left:682.278pt;mso-position-vertical-relative:page;margin-top:533.01pt;" coordsize="1613,35421">
                <v:rect id="Rectangle 3100"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101"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 de 298 </w:t>
                        </w:r>
                      </w:p>
                    </w:txbxContent>
                  </v:textbox>
                </v:rect>
                <w10:wrap type="square"/>
              </v:group>
            </w:pict>
          </mc:Fallback>
        </mc:AlternateContent>
      </w:r>
      <w:r>
        <w:t>Incrementar los créditos para Inversiones en aparcamiento, no se encuadra dentro de los tres supuestos de reclamación, tal como dispone el artículo 170.2 del Real</w:t>
      </w:r>
      <w:r>
        <w:t xml:space="preserve"> Decreto Legislativo 2/2004, de 5 de marzo, por el que se aprueba el Texto Refundido de la Ley reguladora de las Haciendas Locales. No existe, por tanto, obligación legal. </w:t>
      </w:r>
    </w:p>
    <w:p w:rsidR="00B064CF" w:rsidRDefault="00E32F70">
      <w:pPr>
        <w:spacing w:after="98" w:line="259" w:lineRule="auto"/>
        <w:ind w:left="1068" w:firstLine="0"/>
        <w:jc w:val="left"/>
      </w:pPr>
      <w:r>
        <w:t xml:space="preserve"> </w:t>
      </w:r>
    </w:p>
    <w:p w:rsidR="00B064CF" w:rsidRDefault="00E32F70">
      <w:pPr>
        <w:spacing w:after="109"/>
        <w:ind w:left="1078" w:right="72"/>
      </w:pPr>
      <w:r>
        <w:t xml:space="preserve">Se informa negativamente la presente reclamación. </w:t>
      </w:r>
    </w:p>
    <w:p w:rsidR="00B064CF" w:rsidRDefault="00E32F70">
      <w:pPr>
        <w:spacing w:after="98" w:line="259" w:lineRule="auto"/>
        <w:ind w:left="1068" w:firstLine="0"/>
        <w:jc w:val="left"/>
      </w:pPr>
      <w:r>
        <w:t xml:space="preserve"> </w:t>
      </w:r>
    </w:p>
    <w:p w:rsidR="00B064CF" w:rsidRDefault="00E32F70">
      <w:pPr>
        <w:spacing w:after="0"/>
        <w:ind w:left="355" w:right="712"/>
      </w:pPr>
      <w:r>
        <w:rPr>
          <w:b/>
        </w:rPr>
        <w:t xml:space="preserve">Sexto: </w:t>
      </w:r>
      <w:r>
        <w:t>Que las reclamaciones</w:t>
      </w:r>
      <w:r>
        <w:t xml:space="preserve"> y alegaciones presentadas por parte del partido político Si Se Puede, encuadrado dentro del Grupo Mixto, el día 14 de mayo de 2021, que tiene la consideración de interesado, han sido presentadas en plazo y las fundamentaciones se basan en los siguientes s</w:t>
      </w:r>
      <w:r>
        <w:t>upuestos:</w:t>
      </w:r>
      <w:r>
        <w:rPr>
          <w:rFonts w:ascii="Times New Roman" w:eastAsia="Times New Roman" w:hAnsi="Times New Roman" w:cs="Times New Roman"/>
          <w:sz w:val="24"/>
        </w:rPr>
        <w:t xml:space="preserve"> </w:t>
      </w:r>
    </w:p>
    <w:p w:rsidR="00B064CF" w:rsidRDefault="00E32F70">
      <w:pPr>
        <w:spacing w:after="81" w:line="259" w:lineRule="auto"/>
        <w:ind w:left="360" w:firstLine="0"/>
        <w:jc w:val="left"/>
      </w:pPr>
      <w:r>
        <w:rPr>
          <w:b/>
          <w:i/>
        </w:rPr>
        <w:t xml:space="preserve"> </w:t>
      </w:r>
    </w:p>
    <w:p w:rsidR="00B064CF" w:rsidRDefault="00E32F70">
      <w:pPr>
        <w:spacing w:after="113" w:line="248" w:lineRule="auto"/>
        <w:ind w:left="355" w:right="699"/>
      </w:pPr>
      <w:r>
        <w:rPr>
          <w:b/>
          <w:i/>
        </w:rPr>
        <w:t xml:space="preserve">1.- Presentamos la primera de las reclamaciones por contener los Presupuestos dos defectos de forma:   </w:t>
      </w:r>
    </w:p>
    <w:p w:rsidR="00B064CF" w:rsidRDefault="00E32F70">
      <w:pPr>
        <w:numPr>
          <w:ilvl w:val="0"/>
          <w:numId w:val="4"/>
        </w:numPr>
        <w:spacing w:after="113" w:line="248" w:lineRule="auto"/>
        <w:ind w:right="699"/>
      </w:pPr>
      <w:r>
        <w:rPr>
          <w:b/>
          <w:i/>
        </w:rPr>
        <w:t>Por no presentarse en los mismos el Plan Estratégico de Subvenciones en el pleno de aprobación inicial del pasado 15 de abril. La justifica</w:t>
      </w:r>
      <w:r>
        <w:rPr>
          <w:b/>
          <w:i/>
        </w:rPr>
        <w:t>ción de Intervención ante esta misma alegación de SSP en el Pleno consistió en referirse a la misma Ley en su Art.8 de la Ley 38/2003, de 17 de noviembre, General de Subvenciones (LGS) interpretándose la forma verbal podrán en vez de como figura en el refe</w:t>
      </w:r>
      <w:r>
        <w:rPr>
          <w:b/>
          <w:i/>
        </w:rPr>
        <w:t>rido artículo deberán presentarse en los presupuestos un Plan Estratégico de Subvenciones. Textualmente la Intervención “Respecto al Plan Estratégico de Subvenciones, no es un documento que condicione la entrada en vigor de ningún presupuesto. …y que inclu</w:t>
      </w:r>
      <w:r>
        <w:rPr>
          <w:b/>
          <w:i/>
        </w:rPr>
        <w:t>so se puede omitir este Plan Estratégico con una memoria cuando son subvenciones concedidas de forma directa o cuando hay una escasa relevancia económica y social. Por lo tanto no es un documento que condicione, ni previo a ningún presupuesto”. A lo que re</w:t>
      </w:r>
      <w:r>
        <w:rPr>
          <w:b/>
          <w:i/>
        </w:rPr>
        <w:t>spondemos textualmente con el mismo artículo 8 de Principios generales que establece: 1. Los órganos de las Administraciones públicas o cualesquiera entes que propongan el establecimiento de subvenciones, con carácter previo, deberán concretar en un plan e</w:t>
      </w:r>
      <w:r>
        <w:rPr>
          <w:b/>
          <w:i/>
        </w:rPr>
        <w:t xml:space="preserve">stratégico de subvenciones los objetivos y efectos que se pretenden con su aplicación, el plazo necesario, etc.  </w:t>
      </w:r>
    </w:p>
    <w:p w:rsidR="00B064CF" w:rsidRDefault="00E32F70">
      <w:pPr>
        <w:spacing w:after="98" w:line="259" w:lineRule="auto"/>
        <w:ind w:left="360" w:firstLine="0"/>
        <w:jc w:val="left"/>
      </w:pPr>
      <w:r>
        <w:rPr>
          <w:b/>
          <w:i/>
        </w:rPr>
        <w:t xml:space="preserve"> </w:t>
      </w:r>
    </w:p>
    <w:p w:rsidR="00B064CF" w:rsidRDefault="00E32F70">
      <w:pPr>
        <w:numPr>
          <w:ilvl w:val="0"/>
          <w:numId w:val="4"/>
        </w:numPr>
        <w:spacing w:after="337" w:line="248" w:lineRule="auto"/>
        <w:ind w:right="699"/>
      </w:pPr>
      <w:r>
        <w:rPr>
          <w:rFonts w:ascii="Calibri" w:eastAsia="Calibri" w:hAnsi="Calibri" w:cs="Calibri"/>
          <w:noProof/>
        </w:rPr>
        <mc:AlternateContent>
          <mc:Choice Requires="wpg">
            <w:drawing>
              <wp:anchor distT="0" distB="0" distL="114300" distR="114300" simplePos="0" relativeHeight="25169305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64780" name="Group 364780"/>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193" name="Rectangle 3193"/>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194" name="Rectangle 3194"/>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31 de 298 </w:t>
                              </w:r>
                            </w:p>
                          </w:txbxContent>
                        </wps:txbx>
                        <wps:bodyPr horzOverflow="overflow" vert="horz" lIns="0" tIns="0" rIns="0" bIns="0" rtlCol="0">
                          <a:noAutofit/>
                        </wps:bodyPr>
                      </wps:wsp>
                    </wpg:wgp>
                  </a:graphicData>
                </a:graphic>
              </wp:anchor>
            </w:drawing>
          </mc:Choice>
          <mc:Fallback xmlns:a="http://schemas.openxmlformats.org/drawingml/2006/main">
            <w:pict>
              <v:group id="Group 364780" style="width:12.7031pt;height:278.91pt;position:absolute;mso-position-horizontal-relative:page;mso-position-horizontal:absolute;margin-left:682.278pt;mso-position-vertical-relative:page;margin-top:533.01pt;" coordsize="1613,35421">
                <v:rect id="Rectangle 3193"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194"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 de 298 </w:t>
                        </w:r>
                      </w:p>
                    </w:txbxContent>
                  </v:textbox>
                </v:rect>
                <w10:wrap type="square"/>
              </v:group>
            </w:pict>
          </mc:Fallback>
        </mc:AlternateContent>
      </w:r>
      <w:r>
        <w:rPr>
          <w:b/>
          <w:i/>
        </w:rPr>
        <w:t xml:space="preserve">Por no contener los Presupuestos 2021 en el Presupuesto Consolidado, el correspondiente a la Fundación Candelaria Solidaria, como ente que es del Ayuntamiento de </w:t>
      </w:r>
      <w:r>
        <w:rPr>
          <w:b/>
          <w:i/>
        </w:rPr>
        <w:t>Candelaria. Los presupuestos consolidados son aquellos que agrupan y dan una visión de conjunto o agrupada de todos los ingresos y gastos gestionados por parte del Ayuntamiento y de sus entidades. Para la formulación del presupuesto consolidado, se agrupan</w:t>
      </w:r>
      <w:r>
        <w:rPr>
          <w:b/>
          <w:i/>
        </w:rPr>
        <w:t xml:space="preserve"> los ingresos y gastos del Ayuntamiento y las entidades dependientes (presupuesto agregado), y posteriormente se eliminan del cálculo las transferencias internas (entre el Ayuntamiento y las entidades) para obtener los ingresos y gastos en términos consoli</w:t>
      </w:r>
      <w:r>
        <w:rPr>
          <w:b/>
          <w:i/>
        </w:rPr>
        <w:t>dados. Dado que la Fundación Candelaria Solidaria recibe financiación del Ayuntamiento debiera estar incluido estas transferencias internas en el presupuesto consolidado y al no hacerlo se vulnera la normativa en materia de haciendas locales. De hecho el p</w:t>
      </w:r>
      <w:r>
        <w:rPr>
          <w:b/>
          <w:i/>
        </w:rPr>
        <w:t>ropio Ayuntamiento reconoce la situación de CANDESOL como entidad dependiente del Ayuntamiento de Candelaria en las comunicaciones que le remite a la Hacienda Estatal, dado que lo contrario sería contrario a los principios de transparencia y veracidad pres</w:t>
      </w:r>
      <w:r>
        <w:rPr>
          <w:b/>
          <w:i/>
        </w:rPr>
        <w:t>upuestaria y podría ser sancionado el Ayuntamiento. Por estos dos defectos graves de forma es por lo cual RECLAMAMOS como en el Pleno de 15 de abril de 2021, que</w:t>
      </w:r>
      <w:r>
        <w:rPr>
          <w:b/>
        </w:rPr>
        <w:t xml:space="preserve"> los Presupuestos sean devueltos al Grupo de Gobierno para, una vez subsanados estos graves err</w:t>
      </w:r>
      <w:r>
        <w:rPr>
          <w:b/>
        </w:rPr>
        <w:t>ores, se presenten de nuevo a la aprobación de este Pleno.</w:t>
      </w:r>
      <w:r>
        <w:rPr>
          <w:rFonts w:ascii="Times New Roman" w:eastAsia="Times New Roman" w:hAnsi="Times New Roman" w:cs="Times New Roman"/>
          <w:sz w:val="24"/>
        </w:rPr>
        <w:t xml:space="preserve"> </w:t>
      </w:r>
    </w:p>
    <w:p w:rsidR="00B064CF" w:rsidRDefault="00E32F70">
      <w:pPr>
        <w:spacing w:after="339"/>
        <w:ind w:left="345" w:right="142" w:firstLine="360"/>
      </w:pPr>
      <w:r>
        <w:t>Con respecto al primer aspecto señalado, los Planes Estratégicos de Subvenciones, conforme el artículo 10 del Real Decreto 887/2006 de 21 de julio, por el que se aprueba el Reglamento de la Ley 38</w:t>
      </w:r>
      <w:r>
        <w:t>/2003, General de Subvenciones, es un instrumento de planificación de las políticas públicas que tengan por objeto el fomento de una actividad de utilidad pública o interés social o de promoción de una finalidad pública, y constituye un documento previo al</w:t>
      </w:r>
      <w:r>
        <w:t xml:space="preserve"> otorgamiento de </w:t>
      </w:r>
      <w:r>
        <w:rPr>
          <w:b/>
          <w:u w:val="single" w:color="000000"/>
        </w:rPr>
        <w:t>subvenciones.</w:t>
      </w:r>
      <w:r>
        <w:rPr>
          <w:rFonts w:ascii="Times New Roman" w:eastAsia="Times New Roman" w:hAnsi="Times New Roman" w:cs="Times New Roman"/>
          <w:sz w:val="24"/>
        </w:rPr>
        <w:t xml:space="preserve"> </w:t>
      </w:r>
    </w:p>
    <w:p w:rsidR="00B064CF" w:rsidRDefault="00E32F70">
      <w:pPr>
        <w:spacing w:after="354"/>
        <w:ind w:left="345" w:right="146" w:firstLine="360"/>
      </w:pPr>
      <w:r>
        <w:t>No está entre la documentación recogida en el artículo 166 de Real Decreto Legislativo 2/2004, de 5 de marzo, por el que se aprueba el Texto Refundido de la Ley reguladora de las Haciendas Locales, como Anexos del Presupuest</w:t>
      </w:r>
      <w:r>
        <w:t xml:space="preserve">o General ni dentro de la documentación a unir al Presupuesto, según el artículo 168 del citado texto legal. </w:t>
      </w:r>
    </w:p>
    <w:p w:rsidR="00B064CF" w:rsidRDefault="00E32F70">
      <w:pPr>
        <w:spacing w:after="332"/>
        <w:ind w:left="345" w:right="143" w:firstLine="360"/>
      </w:pPr>
      <w:r>
        <w:t xml:space="preserve">Con relación al segundo aspecto, el Artículo 164 del Real Decreto Legislativo 2/2004, de 5 de marzo, regula el Contenido del presupuesto general, </w:t>
      </w:r>
      <w:r>
        <w:t>señalando en su apartado primero que “las entidades locales elaborarán y aprobarán anualmente un presupuesto general en el que se integrarán:</w:t>
      </w:r>
      <w:r>
        <w:rPr>
          <w:rFonts w:ascii="Times New Roman" w:eastAsia="Times New Roman" w:hAnsi="Times New Roman" w:cs="Times New Roman"/>
          <w:sz w:val="24"/>
        </w:rPr>
        <w:t xml:space="preserve"> </w:t>
      </w:r>
    </w:p>
    <w:p w:rsidR="00B064CF" w:rsidRDefault="00E32F70">
      <w:pPr>
        <w:numPr>
          <w:ilvl w:val="1"/>
          <w:numId w:val="4"/>
        </w:numPr>
        <w:ind w:left="981" w:right="72" w:hanging="261"/>
      </w:pPr>
      <w:r>
        <w:t xml:space="preserve">El presupuesto de la propia entidad. </w:t>
      </w:r>
    </w:p>
    <w:p w:rsidR="00B064CF" w:rsidRDefault="00E32F70">
      <w:pPr>
        <w:numPr>
          <w:ilvl w:val="1"/>
          <w:numId w:val="4"/>
        </w:numPr>
        <w:ind w:left="981" w:right="72" w:hanging="261"/>
      </w:pPr>
      <w:r>
        <w:t xml:space="preserve">Los de los organismos autónomos dependientes de esta. </w:t>
      </w:r>
    </w:p>
    <w:p w:rsidR="00B064CF" w:rsidRDefault="00E32F70">
      <w:pPr>
        <w:numPr>
          <w:ilvl w:val="1"/>
          <w:numId w:val="4"/>
        </w:numPr>
        <w:spacing w:after="3" w:line="259" w:lineRule="auto"/>
        <w:ind w:left="981" w:right="72" w:hanging="261"/>
      </w:pPr>
      <w:r>
        <w:t xml:space="preserve">Los estados de previsión de gastos e ingresos de las sociedades mercantiles cuyo capital </w:t>
      </w:r>
    </w:p>
    <w:p w:rsidR="00B064CF" w:rsidRDefault="00E32F70">
      <w:pPr>
        <w:ind w:left="355" w:right="72"/>
      </w:pPr>
      <w:r>
        <w:t xml:space="preserve">social pertenezca íntegramente a la entidad local. </w:t>
      </w:r>
    </w:p>
    <w:p w:rsidR="00B064CF" w:rsidRDefault="00E32F70">
      <w:pPr>
        <w:spacing w:after="94" w:line="246" w:lineRule="auto"/>
        <w:ind w:left="345" w:right="58" w:firstLine="0"/>
        <w:jc w:val="left"/>
      </w:pPr>
      <w:r>
        <w:t xml:space="preserve"> </w:t>
      </w:r>
      <w:r>
        <w:tab/>
        <w:t xml:space="preserve">La Ley 57/2003, de 16 de diciembre de Medidas para la Modernización del Gobierno Local, actualmente vigente, en </w:t>
      </w:r>
      <w:r>
        <w:t>su Disposición Transitoria Segunda, regula el régimen transitorio de las entidades públicas empresariales</w:t>
      </w:r>
      <w:r>
        <w:rPr>
          <w:color w:val="222222"/>
        </w:rPr>
        <w:t xml:space="preserve"> </w:t>
      </w:r>
      <w:r>
        <w:t xml:space="preserve">En tanto no se modifique la </w:t>
      </w:r>
      <w:r>
        <w:rPr>
          <w:color w:val="0000FF"/>
          <w:u w:val="single" w:color="0000FF"/>
        </w:rPr>
        <w:t>Ley 39/1988, de 28 de diciembre, reguladora de las Haciendas Locales</w:t>
      </w:r>
      <w:r>
        <w:t>, en las materias previstas en el artículo 85 bis, apa</w:t>
      </w:r>
      <w:r>
        <w:t xml:space="preserve">rtado segundo, párrafo f) de la </w:t>
      </w:r>
      <w:r>
        <w:rPr>
          <w:color w:val="0000FF"/>
          <w:u w:val="single" w:color="0000FF"/>
        </w:rPr>
        <w:t>Ley 7/1985, de 2 de abril, Reguladora de las Bases del Régimen</w:t>
      </w:r>
      <w:r>
        <w:rPr>
          <w:color w:val="0000FF"/>
        </w:rPr>
        <w:t xml:space="preserve"> </w:t>
      </w:r>
      <w:r>
        <w:rPr>
          <w:color w:val="0000FF"/>
          <w:u w:val="single" w:color="0000FF"/>
        </w:rPr>
        <w:t>Local</w:t>
      </w:r>
      <w:r>
        <w:t xml:space="preserve">, será de aplicación a las entidades públicas empresariales lo dispuesto en la citada </w:t>
      </w:r>
      <w:r>
        <w:rPr>
          <w:color w:val="0000FF"/>
          <w:u w:val="single" w:color="0000FF"/>
        </w:rPr>
        <w:t>Ley</w:t>
      </w:r>
      <w:r>
        <w:rPr>
          <w:color w:val="0000FF"/>
        </w:rPr>
        <w:t xml:space="preserve"> </w:t>
      </w:r>
      <w:r>
        <w:rPr>
          <w:color w:val="0000FF"/>
          <w:u w:val="single" w:color="0000FF"/>
        </w:rPr>
        <w:t>39/1988</w:t>
      </w:r>
      <w:r>
        <w:t xml:space="preserve"> en referencia a las sociedades mercantiles locales cuyo ca</w:t>
      </w:r>
      <w:r>
        <w:t>pital pertenezca íntegramente a las entidades locales.</w:t>
      </w:r>
      <w:r>
        <w:rPr>
          <w:rFonts w:ascii="Times New Roman" w:eastAsia="Times New Roman" w:hAnsi="Times New Roman" w:cs="Times New Roman"/>
          <w:sz w:val="24"/>
        </w:rPr>
        <w:t xml:space="preserve"> </w:t>
      </w:r>
    </w:p>
    <w:p w:rsidR="00B064CF" w:rsidRDefault="00E32F70">
      <w:pPr>
        <w:spacing w:after="114"/>
        <w:ind w:left="345" w:right="147" w:firstLine="708"/>
      </w:pPr>
      <w:r>
        <w:t>Por tanto, ni el Plan Estratégico de Subvenciones forma parte del contenido de un Presupuesto General, ni las previsiones de ingresos y gastos de las Fundaciones se integran con el del Ayuntamiento, l</w:t>
      </w:r>
      <w:r>
        <w:t xml:space="preserve">a sociedad municipal y la entidad pública empresarial. </w:t>
      </w:r>
    </w:p>
    <w:p w:rsidR="00B064CF" w:rsidRDefault="00E32F70">
      <w:pPr>
        <w:spacing w:after="98" w:line="259" w:lineRule="auto"/>
        <w:ind w:left="1068" w:firstLine="0"/>
        <w:jc w:val="left"/>
      </w:pPr>
      <w:r>
        <w:t xml:space="preserve"> </w:t>
      </w:r>
    </w:p>
    <w:p w:rsidR="00B064CF" w:rsidRDefault="00E32F70">
      <w:pPr>
        <w:spacing w:after="109"/>
        <w:ind w:left="1078" w:right="72"/>
      </w:pPr>
      <w:r>
        <w:t xml:space="preserve">Se informa negativamente la presente reclamación. </w:t>
      </w:r>
    </w:p>
    <w:p w:rsidR="00B064CF" w:rsidRDefault="00E32F70">
      <w:pPr>
        <w:spacing w:after="100" w:line="259" w:lineRule="auto"/>
        <w:ind w:left="1068" w:firstLine="0"/>
        <w:jc w:val="left"/>
      </w:pPr>
      <w:r>
        <w:t xml:space="preserve"> </w:t>
      </w:r>
    </w:p>
    <w:p w:rsidR="00B064CF" w:rsidRDefault="00E32F70">
      <w:pPr>
        <w:spacing w:after="113" w:line="248" w:lineRule="auto"/>
        <w:ind w:left="355"/>
      </w:pPr>
      <w:r>
        <w:rPr>
          <w:b/>
          <w:i/>
        </w:rPr>
        <w:t>2.-</w:t>
      </w:r>
      <w:r>
        <w:t xml:space="preserve"> </w:t>
      </w:r>
      <w:r>
        <w:rPr>
          <w:b/>
          <w:i/>
        </w:rPr>
        <w:t>Los Presupuestos presentados al Pleno Extraordinario del 15 de Abril de 2021 para su aprobación inicial y sobre los cuales nos referimos, vul</w:t>
      </w:r>
      <w:r>
        <w:rPr>
          <w:b/>
          <w:i/>
        </w:rPr>
        <w:t xml:space="preserve">neran los siguientes principios: </w:t>
      </w:r>
      <w:r>
        <w:rPr>
          <w:rFonts w:ascii="Times New Roman" w:eastAsia="Times New Roman" w:hAnsi="Times New Roman" w:cs="Times New Roman"/>
          <w:sz w:val="24"/>
        </w:rPr>
        <w:t xml:space="preserve"> </w:t>
      </w:r>
    </w:p>
    <w:p w:rsidR="00B064CF" w:rsidRDefault="00E32F70">
      <w:pPr>
        <w:spacing w:after="113" w:line="248" w:lineRule="auto"/>
        <w:ind w:left="355" w:right="146"/>
      </w:pPr>
      <w:r>
        <w:rPr>
          <w:rFonts w:ascii="Calibri" w:eastAsia="Calibri" w:hAnsi="Calibri" w:cs="Calibri"/>
          <w:noProof/>
        </w:rPr>
        <mc:AlternateContent>
          <mc:Choice Requires="wpg">
            <w:drawing>
              <wp:anchor distT="0" distB="0" distL="114300" distR="114300" simplePos="0" relativeHeight="25169408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69349" name="Group 369349"/>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310" name="Rectangle 3310"/>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311" name="Rectangle 3311"/>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32 de 298 </w:t>
                              </w:r>
                            </w:p>
                          </w:txbxContent>
                        </wps:txbx>
                        <wps:bodyPr horzOverflow="overflow" vert="horz" lIns="0" tIns="0" rIns="0" bIns="0" rtlCol="0">
                          <a:noAutofit/>
                        </wps:bodyPr>
                      </wps:wsp>
                    </wpg:wgp>
                  </a:graphicData>
                </a:graphic>
              </wp:anchor>
            </w:drawing>
          </mc:Choice>
          <mc:Fallback xmlns:a="http://schemas.openxmlformats.org/drawingml/2006/main">
            <w:pict>
              <v:group id="Group 369349" style="width:12.7031pt;height:278.91pt;position:absolute;mso-position-horizontal-relative:page;mso-position-horizontal:absolute;margin-left:682.278pt;mso-position-vertical-relative:page;margin-top:533.01pt;" coordsize="1613,35421">
                <v:rect id="Rectangle 3310"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311"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 de 298 </w:t>
                        </w:r>
                      </w:p>
                    </w:txbxContent>
                  </v:textbox>
                </v:rect>
                <w10:wrap type="square"/>
              </v:group>
            </w:pict>
          </mc:Fallback>
        </mc:AlternateContent>
      </w:r>
      <w:r>
        <w:rPr>
          <w:b/>
          <w:i/>
        </w:rPr>
        <w:t xml:space="preserve">1º El Principio de Anualidad Presupuestaria que supone que el ejercicio presupuestario coincidirá con el año natural y a él se imputarán liquidados en el mismo, cualquiera que sea el período de que deriven y las obligaciones reconocidas durante el mismo.  </w:t>
      </w:r>
    </w:p>
    <w:p w:rsidR="00B064CF" w:rsidRDefault="00E32F70">
      <w:pPr>
        <w:spacing w:after="113" w:line="248" w:lineRule="auto"/>
        <w:ind w:left="355" w:right="144"/>
      </w:pPr>
      <w:r>
        <w:rPr>
          <w:b/>
          <w:i/>
        </w:rPr>
        <w:t>2º Principio de Publicidad: ya que el periodo en el que los vecinos y vecinas del municipio, así como asociaciones y demás entidades interesadas pueden presentar reclamaciones y/o alegaciones al Presupuesto y conocer las políticas presupuestarias a aplica</w:t>
      </w:r>
      <w:r>
        <w:rPr>
          <w:b/>
          <w:i/>
        </w:rPr>
        <w:t xml:space="preserve">r durante el año 2021, se produce estrictamente en el periodo legal de información pública, habiéndose restringido claramente el acceso a la información.  </w:t>
      </w:r>
    </w:p>
    <w:p w:rsidR="00B064CF" w:rsidRDefault="00E32F70">
      <w:pPr>
        <w:spacing w:after="113" w:line="248" w:lineRule="auto"/>
        <w:ind w:left="355" w:right="142"/>
      </w:pPr>
      <w:r>
        <w:rPr>
          <w:b/>
          <w:i/>
        </w:rPr>
        <w:t>3º Principio de transparencia: según el Art. 5 de la Ley 18/2001, 12 de diciembre, General de Estabi</w:t>
      </w:r>
      <w:r>
        <w:rPr>
          <w:b/>
          <w:i/>
        </w:rPr>
        <w:t xml:space="preserve">lidad Presupuestaria (LGEP), establece “los presupuestos de los sujetos comprendidos en el ámbito de aplicación de esta Ley y sus liquidaciones deberán contener información suficiente y adecuada para permitir la verificación del cumplimiento del principio </w:t>
      </w:r>
      <w:r>
        <w:rPr>
          <w:b/>
          <w:i/>
        </w:rPr>
        <w:t xml:space="preserve">de estabilidad presupuestaria. ·  </w:t>
      </w:r>
    </w:p>
    <w:p w:rsidR="00B064CF" w:rsidRDefault="00E32F70">
      <w:pPr>
        <w:spacing w:after="113" w:line="248" w:lineRule="auto"/>
        <w:ind w:left="355" w:right="143"/>
      </w:pPr>
      <w:r>
        <w:rPr>
          <w:b/>
          <w:i/>
        </w:rPr>
        <w:t>Considerando que, en virtud de lo dispuesto en el apartado primero del artículo 170 de la Ley Reguladora de las Haciendas Locales, uno de los supuestos para hacer reclamaciones contra el presupuesto es no haberse ajustado</w:t>
      </w:r>
      <w:r>
        <w:rPr>
          <w:b/>
          <w:i/>
        </w:rPr>
        <w:t xml:space="preserve"> su elaboración y aprobación a los trámites establecidos en esta Ley, es por lo que Reclamamos que la aprobación del presupuesto se ajuste a los plazos y trámites legales establecidos, permitiendo la mayor transparencia, publicidad y participación de los v</w:t>
      </w:r>
      <w:r>
        <w:rPr>
          <w:b/>
          <w:i/>
        </w:rPr>
        <w:t xml:space="preserve">ecinos y vecinas en la elaboración y conocimiento del mismo. </w:t>
      </w:r>
    </w:p>
    <w:p w:rsidR="00B064CF" w:rsidRDefault="00E32F70">
      <w:pPr>
        <w:spacing w:after="105" w:line="259" w:lineRule="auto"/>
        <w:ind w:left="360" w:firstLine="0"/>
        <w:jc w:val="left"/>
      </w:pPr>
      <w:r>
        <w:t xml:space="preserve"> </w:t>
      </w:r>
      <w:r>
        <w:tab/>
        <w:t xml:space="preserve"> </w:t>
      </w:r>
    </w:p>
    <w:p w:rsidR="00B064CF" w:rsidRDefault="00E32F70">
      <w:pPr>
        <w:spacing w:after="0"/>
        <w:ind w:left="355" w:right="148"/>
      </w:pPr>
      <w:r>
        <w:t>Para este Interventor, los citados principios de anualidad, se cumplirá con la aprobación definitiva, ya que entrará en vigor con efectos de 1 de enero; con respecto a la publicidad, el pres</w:t>
      </w:r>
      <w:r>
        <w:t>ente expediente se ha encontrado expuesto al público en el periodo legalmente establecido y con respecto al principio de transparencia, que conforme el artículo 6 de la Ley Orgánica 2/2012 de estabilidad Presupuestaria y Sostenibilidad Financiera , dispone</w:t>
      </w:r>
      <w:r>
        <w:t xml:space="preserve"> que “la contabilidad de las Administraciones Públicas y demás sujetos comprendidos en el ámbito de aplicación de esta Ley, así como sus Presupuestos y liquidaciones, deberán contener información suficiente y adecuada que permita verificar su situación fin</w:t>
      </w:r>
      <w:r>
        <w:t>anciera, el cumplimiento de los objetivos de estabilidad presupuestaria y de sostenibilidad financiera y la observancia de los requerimientos acordados en la normativa europea en esta materia, se cumple, ya que el expediente presupuestario contiene informa</w:t>
      </w:r>
      <w:r>
        <w:t xml:space="preserve">ción de la situación financiera y de la estabilidad presupuestaria y sostenibilidad financiera municipal. </w:t>
      </w:r>
    </w:p>
    <w:p w:rsidR="00B064CF" w:rsidRDefault="00E32F70">
      <w:pPr>
        <w:spacing w:after="0" w:line="259" w:lineRule="auto"/>
        <w:ind w:left="360" w:firstLine="0"/>
        <w:jc w:val="left"/>
      </w:pPr>
      <w:r>
        <w:t xml:space="preserve"> </w:t>
      </w:r>
    </w:p>
    <w:p w:rsidR="00B064CF" w:rsidRDefault="00E32F70">
      <w:pPr>
        <w:spacing w:after="111"/>
        <w:ind w:left="1078" w:right="72"/>
      </w:pPr>
      <w:r>
        <w:t xml:space="preserve">Se informa negativamente la presente reclamación. </w:t>
      </w:r>
    </w:p>
    <w:p w:rsidR="00B064CF" w:rsidRDefault="00E32F70">
      <w:pPr>
        <w:spacing w:after="95" w:line="259" w:lineRule="auto"/>
        <w:ind w:left="1068" w:firstLine="0"/>
        <w:jc w:val="left"/>
      </w:pPr>
      <w:r>
        <w:t xml:space="preserve"> </w:t>
      </w:r>
    </w:p>
    <w:p w:rsidR="00B064CF" w:rsidRDefault="00E32F70">
      <w:pPr>
        <w:spacing w:after="113" w:line="248" w:lineRule="auto"/>
        <w:ind w:left="355" w:right="699"/>
      </w:pPr>
      <w:r>
        <w:rPr>
          <w:b/>
        </w:rPr>
        <w:t xml:space="preserve">3.- </w:t>
      </w:r>
      <w:r>
        <w:rPr>
          <w:b/>
          <w:i/>
        </w:rPr>
        <w:t xml:space="preserve">En el capítulo de Ingresos este Ayuntamiento ingresa un año más muy por debajo de sus posibilidades, en algunos conceptos favoreciendo el trato desigual y el incumplimiento de obligaciones tributarias. </w:t>
      </w:r>
      <w:r>
        <w:rPr>
          <w:rFonts w:ascii="Times New Roman" w:eastAsia="Times New Roman" w:hAnsi="Times New Roman" w:cs="Times New Roman"/>
          <w:sz w:val="24"/>
        </w:rPr>
        <w:t xml:space="preserve"> </w:t>
      </w:r>
    </w:p>
    <w:p w:rsidR="00B064CF" w:rsidRDefault="00E32F70">
      <w:pPr>
        <w:spacing w:after="113" w:line="248" w:lineRule="auto"/>
        <w:ind w:left="355" w:right="699"/>
      </w:pPr>
      <w:r>
        <w:rPr>
          <w:b/>
          <w:i/>
        </w:rPr>
        <w:t>Es imprescindible regularizar en todo el municipio y</w:t>
      </w:r>
      <w:r>
        <w:rPr>
          <w:b/>
          <w:i/>
        </w:rPr>
        <w:t xml:space="preserve"> actualizar algunos subconceptos de ingresos lo que permitiría obtener más recursos para reinvertir en el Municipio tales como:  </w:t>
      </w:r>
    </w:p>
    <w:p w:rsidR="00B064CF" w:rsidRDefault="00E32F70">
      <w:pPr>
        <w:numPr>
          <w:ilvl w:val="0"/>
          <w:numId w:val="5"/>
        </w:numPr>
        <w:spacing w:after="113" w:line="248" w:lineRule="auto"/>
        <w:ind w:right="699"/>
      </w:pPr>
      <w:r>
        <w:rPr>
          <w:rFonts w:ascii="Calibri" w:eastAsia="Calibri" w:hAnsi="Calibri" w:cs="Calibri"/>
          <w:noProof/>
        </w:rPr>
        <mc:AlternateContent>
          <mc:Choice Requires="wpg">
            <w:drawing>
              <wp:anchor distT="0" distB="0" distL="114300" distR="114300" simplePos="0" relativeHeight="25169510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69021" name="Group 369021"/>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420" name="Rectangle 3420"/>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421" name="Rectangle 3421"/>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Documento firmado elect</w:t>
                              </w:r>
                              <w:r>
                                <w:rPr>
                                  <w:sz w:val="12"/>
                                </w:rPr>
                                <w:t xml:space="preserve">rónicamente desde la plataforma esPublico Gestiona | Página 33 de 298 </w:t>
                              </w:r>
                            </w:p>
                          </w:txbxContent>
                        </wps:txbx>
                        <wps:bodyPr horzOverflow="overflow" vert="horz" lIns="0" tIns="0" rIns="0" bIns="0" rtlCol="0">
                          <a:noAutofit/>
                        </wps:bodyPr>
                      </wps:wsp>
                    </wpg:wgp>
                  </a:graphicData>
                </a:graphic>
              </wp:anchor>
            </w:drawing>
          </mc:Choice>
          <mc:Fallback xmlns:a="http://schemas.openxmlformats.org/drawingml/2006/main">
            <w:pict>
              <v:group id="Group 369021" style="width:12.7031pt;height:278.91pt;position:absolute;mso-position-horizontal-relative:page;mso-position-horizontal:absolute;margin-left:682.278pt;mso-position-vertical-relative:page;margin-top:533.01pt;" coordsize="1613,35421">
                <v:rect id="Rectangle 3420"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421"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 de 298 </w:t>
                        </w:r>
                      </w:p>
                    </w:txbxContent>
                  </v:textbox>
                </v:rect>
                <w10:wrap type="square"/>
              </v:group>
            </w:pict>
          </mc:Fallback>
        </mc:AlternateContent>
      </w:r>
      <w:r>
        <w:rPr>
          <w:b/>
          <w:i/>
        </w:rPr>
        <w:t>Tasa por retirada de vehículos y servicio de la grúa municipal, por la falta de una inversión para una gestión eficiente del servicio, sin contemplar la provisión de una grúa ni de un d</w:t>
      </w:r>
      <w:r>
        <w:rPr>
          <w:b/>
          <w:i/>
        </w:rPr>
        <w:t xml:space="preserve">epósito, lo que conlleva unos menores ingresos. </w:t>
      </w:r>
      <w:r>
        <w:rPr>
          <w:rFonts w:ascii="Times New Roman" w:eastAsia="Times New Roman" w:hAnsi="Times New Roman" w:cs="Times New Roman"/>
          <w:sz w:val="24"/>
        </w:rPr>
        <w:t xml:space="preserve"> </w:t>
      </w:r>
    </w:p>
    <w:p w:rsidR="00B064CF" w:rsidRDefault="00E32F70">
      <w:pPr>
        <w:numPr>
          <w:ilvl w:val="0"/>
          <w:numId w:val="5"/>
        </w:numPr>
        <w:spacing w:after="113" w:line="248" w:lineRule="auto"/>
        <w:ind w:right="699"/>
      </w:pPr>
      <w:r>
        <w:rPr>
          <w:b/>
          <w:i/>
        </w:rPr>
        <w:t xml:space="preserve">Tasa por vados y paso de aceras, que lleva años sin regularizarse ni afrontarse la realidad del municipio, tolerando tratos desiguales entre los que cumplen y los que son incumplidos tolerados. </w:t>
      </w:r>
      <w:r>
        <w:rPr>
          <w:rFonts w:ascii="Times New Roman" w:eastAsia="Times New Roman" w:hAnsi="Times New Roman" w:cs="Times New Roman"/>
          <w:sz w:val="24"/>
        </w:rPr>
        <w:t xml:space="preserve"> </w:t>
      </w:r>
    </w:p>
    <w:p w:rsidR="00B064CF" w:rsidRDefault="00E32F70">
      <w:pPr>
        <w:numPr>
          <w:ilvl w:val="0"/>
          <w:numId w:val="5"/>
        </w:numPr>
        <w:spacing w:after="113" w:line="248" w:lineRule="auto"/>
        <w:ind w:right="699"/>
      </w:pPr>
      <w:r>
        <w:rPr>
          <w:b/>
          <w:i/>
        </w:rPr>
        <w:t>Tasa por u</w:t>
      </w:r>
      <w:r>
        <w:rPr>
          <w:b/>
          <w:i/>
        </w:rPr>
        <w:t>tilización privativa por empresas de servicios. No se contempla un incremento de la tasa ni se incluye una inversión en el estudio previo, como se acordó en el pleno del pasado 25 de febrero, cuando el grupo de Gobierno introdujo una enmienda a la moción p</w:t>
      </w:r>
      <w:r>
        <w:rPr>
          <w:b/>
          <w:i/>
        </w:rPr>
        <w:t>resentada por Sí se puede para la Actualización de la Ordenanza 5 Fiscal reguladora de la tasa por instalaciones o servicios constituidos en el suelo, subsuelo o vuelo del dominio público local. Desde entonces, ya varios municipios del Estado español se ha</w:t>
      </w:r>
      <w:r>
        <w:rPr>
          <w:b/>
          <w:i/>
        </w:rPr>
        <w:t>n visto amparados por sentencias para aplicar las referidas tasas, como se ha dado a conocer recientemente.</w:t>
      </w:r>
      <w:r>
        <w:rPr>
          <w:rFonts w:ascii="Times New Roman" w:eastAsia="Times New Roman" w:hAnsi="Times New Roman" w:cs="Times New Roman"/>
          <w:sz w:val="24"/>
        </w:rPr>
        <w:t xml:space="preserve"> </w:t>
      </w:r>
    </w:p>
    <w:p w:rsidR="00B064CF" w:rsidRDefault="00E32F70">
      <w:pPr>
        <w:numPr>
          <w:ilvl w:val="0"/>
          <w:numId w:val="5"/>
        </w:numPr>
        <w:spacing w:after="113" w:line="248" w:lineRule="auto"/>
        <w:ind w:right="699"/>
      </w:pPr>
      <w:r>
        <w:rPr>
          <w:b/>
          <w:i/>
        </w:rPr>
        <w:t>La Tasa por ocupación del dominio público con mesas y sillas, y cerramientos, eximida para este ejercicio y el próximo dada la crisis económica der</w:t>
      </w:r>
      <w:r>
        <w:rPr>
          <w:b/>
          <w:i/>
        </w:rPr>
        <w:t>ivada de la pandemia, no ha acabado con merma de ingresos correspondientes a recibos atrasados, que han sido abonados una vez más por unas contribuyentes sí y otras no, continuando la discriminación y trato desigual de las mismas.</w:t>
      </w:r>
      <w:r>
        <w:rPr>
          <w:rFonts w:ascii="Times New Roman" w:eastAsia="Times New Roman" w:hAnsi="Times New Roman" w:cs="Times New Roman"/>
          <w:sz w:val="24"/>
        </w:rPr>
        <w:t xml:space="preserve"> </w:t>
      </w:r>
    </w:p>
    <w:p w:rsidR="00B064CF" w:rsidRDefault="00E32F70">
      <w:pPr>
        <w:spacing w:after="96"/>
        <w:ind w:left="345" w:right="709" w:firstLine="708"/>
      </w:pPr>
      <w:r>
        <w:t>La previsión de ingresos</w:t>
      </w:r>
      <w:r>
        <w:t xml:space="preserve"> muy por debajo de las posibilidades municipales, no se encuadra dentro de los tres supuestos de reclamación, tal como dispone el artículo 170.2 del Real Decreto Legislativo 2/2004, de 5 de marzo, por el que se aprueba el Texto Refundido de la Ley regulado</w:t>
      </w:r>
      <w:r>
        <w:t>ra de las Haciendas Locales. No existe, por tanto, obligación legal.</w:t>
      </w:r>
      <w:r>
        <w:rPr>
          <w:rFonts w:ascii="Times New Roman" w:eastAsia="Times New Roman" w:hAnsi="Times New Roman" w:cs="Times New Roman"/>
          <w:sz w:val="24"/>
        </w:rPr>
        <w:t xml:space="preserve"> </w:t>
      </w:r>
    </w:p>
    <w:p w:rsidR="00B064CF" w:rsidRDefault="00E32F70">
      <w:pPr>
        <w:ind w:left="1078" w:right="72"/>
      </w:pPr>
      <w:r>
        <w:t xml:space="preserve">Se informa negativamente la presente reclamación. </w:t>
      </w:r>
    </w:p>
    <w:p w:rsidR="00B064CF" w:rsidRDefault="00E32F70">
      <w:pPr>
        <w:spacing w:after="113" w:line="248" w:lineRule="auto"/>
        <w:ind w:left="355" w:right="699"/>
      </w:pPr>
      <w:r>
        <w:rPr>
          <w:b/>
        </w:rPr>
        <w:t>4.-</w:t>
      </w:r>
      <w:r>
        <w:rPr>
          <w:b/>
          <w:i/>
        </w:rPr>
        <w:t xml:space="preserve"> En línea con lo anterior asimismo es necesario realizar una campaña efectiva que propicie el empadronamiento en Candelaria de mucha</w:t>
      </w:r>
      <w:r>
        <w:rPr>
          <w:b/>
          <w:i/>
        </w:rPr>
        <w:t>s personas que, residiendo habitualmente en el Municipio y haciendo uso de los servicios, equipamientos, infraestructuras, sin embargo, permanecen empadronadas en otro Municipio. Por ello es necesario dotar de los recursos presupuestarios necesarios para l</w:t>
      </w:r>
      <w:r>
        <w:rPr>
          <w:b/>
          <w:i/>
        </w:rPr>
        <w:t>ograr un reflejo real de la población de Candelaria y de las necesidades a cubrir, así como de los ingresos que esto podría repercutir.</w:t>
      </w:r>
      <w:r>
        <w:rPr>
          <w:rFonts w:ascii="Times New Roman" w:eastAsia="Times New Roman" w:hAnsi="Times New Roman" w:cs="Times New Roman"/>
          <w:sz w:val="24"/>
        </w:rPr>
        <w:t xml:space="preserve"> </w:t>
      </w:r>
    </w:p>
    <w:p w:rsidR="00B064CF" w:rsidRDefault="00E32F70">
      <w:pPr>
        <w:spacing w:after="91"/>
        <w:ind w:left="345" w:right="707" w:firstLine="708"/>
      </w:pPr>
      <w:r>
        <w:t>La realización de una campaña de empadronamiento en Candelaria para aumentar los recursos, no se encuadra dentro de los</w:t>
      </w:r>
      <w:r>
        <w:t xml:space="preserve"> tres supuestos de reclamación, tal como dispone el artículo 170.2 del Real Decreto Legislativo 2/2004, de 5 de marzo, por el que se aprueba el Texto Refundido de la Ley reguladora de las Haciendas Locales. No existe, por tanto, obligación legal.</w:t>
      </w:r>
      <w:r>
        <w:rPr>
          <w:rFonts w:ascii="Times New Roman" w:eastAsia="Times New Roman" w:hAnsi="Times New Roman" w:cs="Times New Roman"/>
          <w:sz w:val="24"/>
        </w:rPr>
        <w:t xml:space="preserve"> </w:t>
      </w:r>
    </w:p>
    <w:p w:rsidR="00B064CF" w:rsidRDefault="00E32F70">
      <w:pPr>
        <w:spacing w:after="109"/>
        <w:ind w:left="355" w:right="72"/>
      </w:pPr>
      <w:r>
        <w:t>Se infor</w:t>
      </w:r>
      <w:r>
        <w:t xml:space="preserve">ma negativamente la presente reclamación. </w:t>
      </w:r>
    </w:p>
    <w:p w:rsidR="00B064CF" w:rsidRDefault="00E32F70">
      <w:pPr>
        <w:spacing w:after="113" w:line="248" w:lineRule="auto"/>
        <w:ind w:left="355" w:right="145"/>
      </w:pPr>
      <w:r>
        <w:rPr>
          <w:b/>
        </w:rPr>
        <w:t xml:space="preserve">5.- </w:t>
      </w:r>
      <w:r>
        <w:rPr>
          <w:b/>
          <w:i/>
        </w:rPr>
        <w:t xml:space="preserve">La Relación de Puestos de Trabajo de cualquier Administración es un documento fundamental para acordar entre trabajadores y trabajadoras municipales y los responsables políticos, las condiciones de cada puesto de trabajo en relación a su adscripción a los </w:t>
      </w:r>
      <w:r>
        <w:rPr>
          <w:b/>
          <w:i/>
        </w:rPr>
        <w:t xml:space="preserve">cuerpos y escalas que establece el Estatuto Básico del Empleado Público, sus niveles de retribución complementaria y la cualificación y forma de acceso requeridas para acceder a ellos. </w:t>
      </w:r>
      <w:r>
        <w:rPr>
          <w:rFonts w:ascii="Times New Roman" w:eastAsia="Times New Roman" w:hAnsi="Times New Roman" w:cs="Times New Roman"/>
          <w:sz w:val="24"/>
        </w:rPr>
        <w:t xml:space="preserve"> </w:t>
      </w:r>
    </w:p>
    <w:p w:rsidR="00B064CF" w:rsidRDefault="00E32F70">
      <w:pPr>
        <w:spacing w:after="113" w:line="248" w:lineRule="auto"/>
        <w:ind w:left="355" w:right="143"/>
      </w:pPr>
      <w:r>
        <w:rPr>
          <w:rFonts w:ascii="Calibri" w:eastAsia="Calibri" w:hAnsi="Calibri" w:cs="Calibri"/>
          <w:noProof/>
        </w:rPr>
        <mc:AlternateContent>
          <mc:Choice Requires="wpg">
            <w:drawing>
              <wp:anchor distT="0" distB="0" distL="114300" distR="114300" simplePos="0" relativeHeight="25169612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69722" name="Group 369722"/>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519" name="Rectangle 3519"/>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64SKSNYNJRFPNN5DLPPAAC3GS | Verificación: https:/</w:t>
                              </w:r>
                              <w:r>
                                <w:rPr>
                                  <w:sz w:val="12"/>
                                </w:rPr>
                                <w:t xml:space="preserve">/candelaria.sedelectronica.es/ </w:t>
                              </w:r>
                            </w:p>
                          </w:txbxContent>
                        </wps:txbx>
                        <wps:bodyPr horzOverflow="overflow" vert="horz" lIns="0" tIns="0" rIns="0" bIns="0" rtlCol="0">
                          <a:noAutofit/>
                        </wps:bodyPr>
                      </wps:wsp>
                      <wps:wsp>
                        <wps:cNvPr id="3520" name="Rectangle 3520"/>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34 de 298 </w:t>
                              </w:r>
                            </w:p>
                          </w:txbxContent>
                        </wps:txbx>
                        <wps:bodyPr horzOverflow="overflow" vert="horz" lIns="0" tIns="0" rIns="0" bIns="0" rtlCol="0">
                          <a:noAutofit/>
                        </wps:bodyPr>
                      </wps:wsp>
                    </wpg:wgp>
                  </a:graphicData>
                </a:graphic>
              </wp:anchor>
            </w:drawing>
          </mc:Choice>
          <mc:Fallback xmlns:a="http://schemas.openxmlformats.org/drawingml/2006/main">
            <w:pict>
              <v:group id="Group 369722" style="width:12.7031pt;height:278.91pt;position:absolute;mso-position-horizontal-relative:page;mso-position-horizontal:absolute;margin-left:682.278pt;mso-position-vertical-relative:page;margin-top:533.01pt;" coordsize="1613,35421">
                <v:rect id="Rectangle 3519"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520"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 de 298 </w:t>
                        </w:r>
                      </w:p>
                    </w:txbxContent>
                  </v:textbox>
                </v:rect>
                <w10:wrap type="square"/>
              </v:group>
            </w:pict>
          </mc:Fallback>
        </mc:AlternateContent>
      </w:r>
      <w:r>
        <w:rPr>
          <w:b/>
          <w:i/>
        </w:rPr>
        <w:t>Asimismo, se ha evidenciado reiteradamente la precariedad de las retribuciones del personal municipal y las disparidades retribu</w:t>
      </w:r>
      <w:r>
        <w:rPr>
          <w:b/>
          <w:i/>
        </w:rPr>
        <w:t xml:space="preserve">tivas existentes a igualdad de categoría y funciones, lo que requiere una nueva tabla salarial y un nuevo manual de valoración de los puestos, vinculado a la RPT.  </w:t>
      </w:r>
    </w:p>
    <w:p w:rsidR="00B064CF" w:rsidRDefault="00E32F70">
      <w:pPr>
        <w:spacing w:after="113" w:line="248" w:lineRule="auto"/>
        <w:ind w:left="355" w:right="143"/>
      </w:pPr>
      <w:r>
        <w:rPr>
          <w:b/>
          <w:i/>
        </w:rPr>
        <w:t>Además, la insuficiencia de personal se traduce en sobrecargas laborales y en un elevado vo</w:t>
      </w:r>
      <w:r>
        <w:rPr>
          <w:b/>
          <w:i/>
        </w:rPr>
        <w:t>lumen de horas extra que se realizan por sistema para poder mantener la gestión municipal. Así mismo la prevención de riesgos laborales en los centros de trabajo y el cumplimiento estricto de las normas de seguridad y salud por el personal está cuestionado</w:t>
      </w:r>
      <w:r>
        <w:rPr>
          <w:b/>
          <w:i/>
        </w:rPr>
        <w:t xml:space="preserve"> por las inspecciones que obligan a garantizarlas.  </w:t>
      </w:r>
    </w:p>
    <w:p w:rsidR="00B064CF" w:rsidRDefault="00E32F70">
      <w:pPr>
        <w:spacing w:after="113" w:line="248" w:lineRule="auto"/>
        <w:ind w:left="355" w:right="146"/>
      </w:pPr>
      <w:r>
        <w:rPr>
          <w:b/>
          <w:i/>
        </w:rPr>
        <w:t>Este Presupuesto se presenta, en el Capítulo de Personal con una RPT del año 2010, una vez más ya que por lo menos en el año 2021 no se resolverá la situación actual. En septiembre de 2018 un acuerdo plenario aprobó que la RPT estaría negociándose a finale</w:t>
      </w:r>
      <w:r>
        <w:rPr>
          <w:b/>
          <w:i/>
        </w:rPr>
        <w:t xml:space="preserve">s de ese año, cosa que todavía no ha sucedido. </w:t>
      </w:r>
    </w:p>
    <w:p w:rsidR="00B064CF" w:rsidRDefault="00E32F70">
      <w:pPr>
        <w:spacing w:after="98" w:line="259" w:lineRule="auto"/>
        <w:ind w:left="360" w:firstLine="0"/>
        <w:jc w:val="left"/>
      </w:pPr>
      <w:r>
        <w:rPr>
          <w:b/>
          <w:i/>
        </w:rPr>
        <w:t xml:space="preserve"> </w:t>
      </w:r>
    </w:p>
    <w:p w:rsidR="00B064CF" w:rsidRDefault="00E32F70">
      <w:pPr>
        <w:spacing w:after="113" w:line="248" w:lineRule="auto"/>
        <w:ind w:left="355" w:right="699"/>
      </w:pPr>
      <w:r>
        <w:rPr>
          <w:b/>
          <w:i/>
        </w:rPr>
        <w:t>Por otra parte, está el personal que trabaja para Epelcan, que continúa después de años de promesas sin convenio aprobado y en condiciones laborales y retributivas marcadas por una elevada precariedad, como</w:t>
      </w:r>
      <w:r>
        <w:rPr>
          <w:b/>
          <w:i/>
        </w:rPr>
        <w:t xml:space="preserve"> es habitual en esta Administración. También este personal, en algunos casos, presta servicios estructurales directos al Ayuntamiento, en instalaciones municipales y recibiendo directrices directas, lo que supone una situación laboral y administrativa muy </w:t>
      </w:r>
      <w:r>
        <w:rPr>
          <w:b/>
          <w:i/>
        </w:rPr>
        <w:t xml:space="preserve">irregular. De hecho, hay Áreas de gasto municipales importantes como Deportes que no cuentan con Capítulo 1 de Personal pareciendo que se gestionaran automáticamente.  </w:t>
      </w:r>
    </w:p>
    <w:p w:rsidR="00B064CF" w:rsidRDefault="00E32F70">
      <w:pPr>
        <w:spacing w:after="101" w:line="259" w:lineRule="auto"/>
        <w:ind w:left="360" w:firstLine="0"/>
        <w:jc w:val="left"/>
      </w:pPr>
      <w:r>
        <w:rPr>
          <w:b/>
          <w:i/>
        </w:rPr>
        <w:t xml:space="preserve"> </w:t>
      </w:r>
    </w:p>
    <w:p w:rsidR="00B064CF" w:rsidRDefault="00E32F70">
      <w:pPr>
        <w:spacing w:after="113" w:line="248" w:lineRule="auto"/>
        <w:ind w:left="355" w:right="699"/>
      </w:pPr>
      <w:r>
        <w:rPr>
          <w:b/>
          <w:i/>
        </w:rPr>
        <w:t>En este sentido, reclamamos la regularización de una vez por todas de las condiciones</w:t>
      </w:r>
      <w:r>
        <w:rPr>
          <w:b/>
          <w:i/>
        </w:rPr>
        <w:t xml:space="preserve"> laborales del personal acorde a lo que una Administración pública deber cumplir. Reclamamos la garantía de una RPT, un nuevo manual de valoración de los puestos acorde con la realidad actual de la plantilla y una planificación de la oferta de empleo públi</w:t>
      </w:r>
      <w:r>
        <w:rPr>
          <w:b/>
          <w:i/>
        </w:rPr>
        <w:t xml:space="preserve">co municipal, todo ello antes de finales de 2021. También reclamamos la aprobación de un Convenio y un acuerdo de las condiciones salariales del personal de Epelcan. </w:t>
      </w:r>
    </w:p>
    <w:p w:rsidR="00B064CF" w:rsidRDefault="00E32F70">
      <w:pPr>
        <w:spacing w:after="91"/>
        <w:ind w:left="345" w:right="711" w:firstLine="708"/>
      </w:pPr>
      <w:r>
        <w:t xml:space="preserve">La regularización de las condiciones laborales del personal y la garantía de una nueva R.P.T., no se encuadra dentro de los tres supuestos de reclamación, tal como dispone el artículo 170.2 del Real Decreto Legislativo 2/2004, de 5 de marzo, por el que se </w:t>
      </w:r>
      <w:r>
        <w:t>aprueba el Texto Refundido de la Ley reguladora de las Haciendas Locales. No existe, por tanto, obligación legal.</w:t>
      </w:r>
      <w:r>
        <w:rPr>
          <w:rFonts w:ascii="Times New Roman" w:eastAsia="Times New Roman" w:hAnsi="Times New Roman" w:cs="Times New Roman"/>
          <w:sz w:val="24"/>
        </w:rPr>
        <w:t xml:space="preserve"> </w:t>
      </w:r>
    </w:p>
    <w:p w:rsidR="00B064CF" w:rsidRDefault="00E32F70">
      <w:pPr>
        <w:spacing w:after="109"/>
        <w:ind w:left="355" w:right="72"/>
      </w:pPr>
      <w:r>
        <w:t xml:space="preserve">Se informa negativamente la presente reclamación. </w:t>
      </w:r>
    </w:p>
    <w:p w:rsidR="00B064CF" w:rsidRDefault="00E32F70">
      <w:pPr>
        <w:spacing w:after="98" w:line="259" w:lineRule="auto"/>
        <w:ind w:left="360" w:firstLine="0"/>
        <w:jc w:val="left"/>
      </w:pPr>
      <w:r>
        <w:t xml:space="preserve"> </w:t>
      </w:r>
    </w:p>
    <w:p w:rsidR="00B064CF" w:rsidRDefault="00E32F70">
      <w:pPr>
        <w:spacing w:after="93" w:line="248" w:lineRule="auto"/>
        <w:ind w:left="355" w:right="699"/>
      </w:pPr>
      <w:r>
        <w:rPr>
          <w:b/>
        </w:rPr>
        <w:t xml:space="preserve">6.- </w:t>
      </w:r>
      <w:r>
        <w:rPr>
          <w:b/>
          <w:i/>
        </w:rPr>
        <w:t>Esta propuesta presupuestaria ha sido elaborada en exclusiva por los miembros del Gr</w:t>
      </w:r>
      <w:r>
        <w:rPr>
          <w:b/>
          <w:i/>
        </w:rPr>
        <w:t>upo de Gobierno y, ni siquiera, se nos trasladado a los grupos de la oposición con suficiente antelación para poder hacer consideraciones al respecto de su contenido antes de llevarse a aprobación inicial. Dado que la Ley establece unas importantes limitac</w:t>
      </w:r>
      <w:r>
        <w:rPr>
          <w:b/>
          <w:i/>
        </w:rPr>
        <w:t xml:space="preserve">iones en los supuestos que pueden alegarse en el periodo de información pública, la capacidad de incidencia de la ciudadanía en la conformación de este documento y en el reparto de recursos es prácticamente nula una vez ha sido aprobado inicialmente. </w:t>
      </w:r>
      <w:r>
        <w:rPr>
          <w:rFonts w:ascii="Times New Roman" w:eastAsia="Times New Roman" w:hAnsi="Times New Roman" w:cs="Times New Roman"/>
          <w:sz w:val="24"/>
        </w:rPr>
        <w:t xml:space="preserve"> </w:t>
      </w:r>
    </w:p>
    <w:p w:rsidR="00B064CF" w:rsidRDefault="00E32F70">
      <w:pPr>
        <w:spacing w:after="113" w:line="248" w:lineRule="auto"/>
        <w:ind w:left="355" w:right="699"/>
      </w:pPr>
      <w:r>
        <w:rPr>
          <w:b/>
          <w:i/>
        </w:rPr>
        <w:t>Ust</w:t>
      </w:r>
      <w:r>
        <w:rPr>
          <w:b/>
          <w:i/>
        </w:rPr>
        <w:t xml:space="preserve">edes hablan de un presupuesto más participativo si cabe cuando los créditos destinados a la gestión de la participación ciudadana son irrisorios.  </w:t>
      </w:r>
    </w:p>
    <w:p w:rsidR="00B064CF" w:rsidRDefault="00E32F70">
      <w:pPr>
        <w:spacing w:after="113" w:line="248" w:lineRule="auto"/>
        <w:ind w:left="355" w:right="699"/>
      </w:pPr>
      <w:r>
        <w:rPr>
          <w:rFonts w:ascii="Calibri" w:eastAsia="Calibri" w:hAnsi="Calibri" w:cs="Calibri"/>
          <w:noProof/>
        </w:rPr>
        <mc:AlternateContent>
          <mc:Choice Requires="wpg">
            <w:drawing>
              <wp:anchor distT="0" distB="0" distL="114300" distR="114300" simplePos="0" relativeHeight="25169715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70337" name="Group 370337"/>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615" name="Rectangle 3615"/>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616" name="Rectangle 3616"/>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Docum</w:t>
                              </w:r>
                              <w:r>
                                <w:rPr>
                                  <w:sz w:val="12"/>
                                </w:rPr>
                                <w:t xml:space="preserve">ento firmado electrónicamente desde la plataforma esPublico Gestiona | Página 35 de 298 </w:t>
                              </w:r>
                            </w:p>
                          </w:txbxContent>
                        </wps:txbx>
                        <wps:bodyPr horzOverflow="overflow" vert="horz" lIns="0" tIns="0" rIns="0" bIns="0" rtlCol="0">
                          <a:noAutofit/>
                        </wps:bodyPr>
                      </wps:wsp>
                    </wpg:wgp>
                  </a:graphicData>
                </a:graphic>
              </wp:anchor>
            </w:drawing>
          </mc:Choice>
          <mc:Fallback xmlns:a="http://schemas.openxmlformats.org/drawingml/2006/main">
            <w:pict>
              <v:group id="Group 370337" style="width:12.7031pt;height:278.91pt;position:absolute;mso-position-horizontal-relative:page;mso-position-horizontal:absolute;margin-left:682.278pt;mso-position-vertical-relative:page;margin-top:533.01pt;" coordsize="1613,35421">
                <v:rect id="Rectangle 3615"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616"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 de 298 </w:t>
                        </w:r>
                      </w:p>
                    </w:txbxContent>
                  </v:textbox>
                </v:rect>
                <w10:wrap type="square"/>
              </v:group>
            </w:pict>
          </mc:Fallback>
        </mc:AlternateContent>
      </w:r>
      <w:r>
        <w:rPr>
          <w:b/>
          <w:i/>
        </w:rPr>
        <w:t xml:space="preserve">En este presupuesto se destinan 77.769,48 euros frente a los 82.287,96 del ejercicio (0,4%) pasado; Representando el 0.3% respecto del presupuesto total, cada año con </w:t>
      </w:r>
      <w:r>
        <w:rPr>
          <w:b/>
          <w:i/>
        </w:rPr>
        <w:t xml:space="preserve">menores créditos. Por poner un ejemplo en 2016 fueron por un importe de 105.000. Concretamente en dinamización de la Participación Ciudadana, este presupuesto destinará 3000 euros, frente a los 8000 de 2020.  </w:t>
      </w:r>
    </w:p>
    <w:p w:rsidR="00B064CF" w:rsidRDefault="00E32F70">
      <w:pPr>
        <w:spacing w:after="113" w:line="248" w:lineRule="auto"/>
        <w:ind w:left="355" w:right="699"/>
      </w:pPr>
      <w:r>
        <w:rPr>
          <w:b/>
          <w:i/>
        </w:rPr>
        <w:t>Dinamizar la participación es clave, es fundam</w:t>
      </w:r>
      <w:r>
        <w:rPr>
          <w:b/>
          <w:i/>
        </w:rPr>
        <w:t>ental, y eso requiere recursos humanos. No podemos computar las inversiones derivadas de los presupuestos comunitarios porque eso no puede traducir la parte de esfuerzo en el fomento y formación de la participación ciudadana, que es de lo que estamos habla</w:t>
      </w:r>
      <w:r>
        <w:rPr>
          <w:b/>
          <w:i/>
        </w:rPr>
        <w:t>ndo, y entendemos debería ser prioritario considerando, además, que esas inversiones, como ya apuntamos, podrían ejecutarse independientemente de los procesos comunitarios y deberían repartirse de manera real entre los 2 ó 3 ejercicios presupuestarios en l</w:t>
      </w:r>
      <w:r>
        <w:rPr>
          <w:b/>
          <w:i/>
        </w:rPr>
        <w:t xml:space="preserve">os que se ejecutan y no solo en el que se asignan, lo cual reduciría las cifras significativamente.  </w:t>
      </w:r>
    </w:p>
    <w:p w:rsidR="00B064CF" w:rsidRDefault="00E32F70">
      <w:pPr>
        <w:spacing w:after="93" w:line="248" w:lineRule="auto"/>
        <w:ind w:left="355" w:right="699"/>
      </w:pPr>
      <w:r>
        <w:rPr>
          <w:b/>
          <w:i/>
        </w:rPr>
        <w:t>Existe un acuerdo plenario para iniciar la elaboración en 2020 del Reglamento de Participación Ciudadana para que estuviera disponible lo antes posible. P</w:t>
      </w:r>
      <w:r>
        <w:rPr>
          <w:b/>
          <w:i/>
        </w:rPr>
        <w:t>ara ello</w:t>
      </w:r>
      <w:r>
        <w:t xml:space="preserve">, </w:t>
      </w:r>
      <w:r>
        <w:rPr>
          <w:b/>
          <w:i/>
        </w:rPr>
        <w:t>estamos convencidas, como en tantas otras ocasiones hemos constatado, que es imposible desarrollar un trabajo ágil y operativo solo con recursos propios, por lo que habrá que contar con recursos en gasto corriente para la contratación de apoyos e</w:t>
      </w:r>
      <w:r>
        <w:rPr>
          <w:b/>
          <w:i/>
        </w:rPr>
        <w:t>xternos.</w:t>
      </w:r>
      <w:r>
        <w:rPr>
          <w:rFonts w:ascii="Times New Roman" w:eastAsia="Times New Roman" w:hAnsi="Times New Roman" w:cs="Times New Roman"/>
          <w:sz w:val="24"/>
        </w:rPr>
        <w:t xml:space="preserve"> </w:t>
      </w:r>
    </w:p>
    <w:p w:rsidR="00B064CF" w:rsidRDefault="00E32F70">
      <w:pPr>
        <w:spacing w:after="113" w:line="248" w:lineRule="auto"/>
        <w:ind w:left="355" w:right="699"/>
      </w:pPr>
      <w:r>
        <w:rPr>
          <w:b/>
          <w:i/>
        </w:rPr>
        <w:t xml:space="preserve"> Por esto, reclamamos unos presupuestos elaborados participativamente con la ciudadanía, descentralizado, y que fomente la autogestión vecinal. Por otro lado, reclamamos también un incremento para la dotación de la partida destinada a personal y </w:t>
      </w:r>
      <w:r>
        <w:rPr>
          <w:b/>
          <w:i/>
        </w:rPr>
        <w:t xml:space="preserve">gasto corriente para la gestión y dinamización de la participación ciudadana, así como para la elaboración del Reglamento de Participación ciudadana municipal.  </w:t>
      </w:r>
    </w:p>
    <w:p w:rsidR="00B064CF" w:rsidRDefault="00E32F70">
      <w:pPr>
        <w:spacing w:after="91"/>
        <w:ind w:left="345" w:right="708" w:firstLine="708"/>
      </w:pPr>
      <w:r>
        <w:t>La elaboración de unos presupuestos participativos y un incremento de la dotación para dinamiz</w:t>
      </w:r>
      <w:r>
        <w:t>ar participación ciudadana y elaborar un Reglamento, no se encuadra dentro de los tres supuestos de reclamación, tal como dispone el artículo 170.2 del Real Decreto Legislativo 2/2004, de 5 de marzo, por el que se aprueba el Texto Refundido de la Ley regul</w:t>
      </w:r>
      <w:r>
        <w:t>adora de las Haciendas Locales. No existe, por tanto, obligación legal.</w:t>
      </w:r>
      <w:r>
        <w:rPr>
          <w:rFonts w:ascii="Times New Roman" w:eastAsia="Times New Roman" w:hAnsi="Times New Roman" w:cs="Times New Roman"/>
          <w:sz w:val="24"/>
        </w:rPr>
        <w:t xml:space="preserve"> </w:t>
      </w:r>
    </w:p>
    <w:p w:rsidR="00B064CF" w:rsidRDefault="00E32F70">
      <w:pPr>
        <w:spacing w:after="109"/>
        <w:ind w:left="355" w:right="72"/>
      </w:pPr>
      <w:r>
        <w:t xml:space="preserve">Se informa negativamente la presente reclamación. </w:t>
      </w:r>
    </w:p>
    <w:p w:rsidR="00B064CF" w:rsidRDefault="00E32F70">
      <w:pPr>
        <w:spacing w:after="93" w:line="248" w:lineRule="auto"/>
        <w:ind w:left="355" w:right="699"/>
      </w:pPr>
      <w:r>
        <w:rPr>
          <w:b/>
        </w:rPr>
        <w:t xml:space="preserve">7.- </w:t>
      </w:r>
      <w:r>
        <w:rPr>
          <w:b/>
          <w:i/>
        </w:rPr>
        <w:t xml:space="preserve">A pesar de haber presentado Sí se puede sendas mociones en el mandato 2011- </w:t>
      </w:r>
      <w:r>
        <w:rPr>
          <w:b/>
          <w:i/>
        </w:rPr>
        <w:t>2015 y el anterior periodo de mandato, aprobadas por el Pleno, y de reclamarlo reiteradamente, el Inventario de Bienes Municipal no se ha actualizado y rectificado desde el año 2001, a excepción de unas pocas incorporaciones muy concretas. No existe en est</w:t>
      </w:r>
      <w:r>
        <w:rPr>
          <w:b/>
          <w:i/>
        </w:rPr>
        <w:t>e Presupuesto una partida presupuestaria específica finalista para los trabajos técnicos que sirva de base a este complejo e imprescindible documento, lo que provoca muchísima complicación para saber, en algunas ocasiones, qué propiedades son municipales y</w:t>
      </w:r>
      <w:r>
        <w:rPr>
          <w:b/>
          <w:i/>
        </w:rPr>
        <w:t xml:space="preserve"> cuáles no, tanto a los grupos de gobierno como a los de oposición y a los vecinos y vecinas del municipio. </w:t>
      </w:r>
      <w:r>
        <w:rPr>
          <w:rFonts w:ascii="Times New Roman" w:eastAsia="Times New Roman" w:hAnsi="Times New Roman" w:cs="Times New Roman"/>
          <w:sz w:val="24"/>
        </w:rPr>
        <w:t xml:space="preserve"> </w:t>
      </w:r>
    </w:p>
    <w:p w:rsidR="00B064CF" w:rsidRDefault="00E32F70">
      <w:pPr>
        <w:spacing w:after="113" w:line="248" w:lineRule="auto"/>
        <w:ind w:left="355" w:right="699"/>
      </w:pPr>
      <w:r>
        <w:rPr>
          <w:b/>
          <w:i/>
        </w:rPr>
        <w:t>Visto esto, reclamamos, se incluya una partida presupuestaria, para los trabajos técnicos que permitan elaborar y actualizar el Inventario de Bien</w:t>
      </w:r>
      <w:r>
        <w:rPr>
          <w:b/>
          <w:i/>
        </w:rPr>
        <w:t xml:space="preserve">es Municipal del Ayuntamiento de Candelaria.  </w:t>
      </w:r>
    </w:p>
    <w:p w:rsidR="00B064CF" w:rsidRDefault="00E32F70">
      <w:pPr>
        <w:spacing w:after="92" w:line="246" w:lineRule="auto"/>
        <w:ind w:left="345" w:right="414" w:firstLine="698"/>
        <w:jc w:val="left"/>
      </w:pPr>
      <w:r>
        <w:rPr>
          <w:rFonts w:ascii="Calibri" w:eastAsia="Calibri" w:hAnsi="Calibri" w:cs="Calibri"/>
          <w:noProof/>
        </w:rPr>
        <mc:AlternateContent>
          <mc:Choice Requires="wpg">
            <w:drawing>
              <wp:anchor distT="0" distB="0" distL="114300" distR="114300" simplePos="0" relativeHeight="25169817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70101" name="Group 370101"/>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720" name="Rectangle 3720"/>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721" name="Rectangle 3721"/>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36 de 298 </w:t>
                              </w:r>
                            </w:p>
                          </w:txbxContent>
                        </wps:txbx>
                        <wps:bodyPr horzOverflow="overflow" vert="horz" lIns="0" tIns="0" rIns="0" bIns="0" rtlCol="0">
                          <a:noAutofit/>
                        </wps:bodyPr>
                      </wps:wsp>
                    </wpg:wgp>
                  </a:graphicData>
                </a:graphic>
              </wp:anchor>
            </w:drawing>
          </mc:Choice>
          <mc:Fallback xmlns:a="http://schemas.openxmlformats.org/drawingml/2006/main">
            <w:pict>
              <v:group id="Group 370101" style="width:12.7031pt;height:278.91pt;position:absolute;mso-position-horizontal-relative:page;mso-position-horizontal:absolute;margin-left:682.278pt;mso-position-vertical-relative:page;margin-top:533.01pt;" coordsize="1613,35421">
                <v:rect id="Rectangle 3720"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721"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 de 298 </w:t>
                        </w:r>
                      </w:p>
                    </w:txbxContent>
                  </v:textbox>
                </v:rect>
                <w10:wrap type="square"/>
              </v:group>
            </w:pict>
          </mc:Fallback>
        </mc:AlternateContent>
      </w:r>
      <w:r>
        <w:t xml:space="preserve">Creación de </w:t>
      </w:r>
      <w:r>
        <w:t>una aplicación presupuestaria para la elaboración y actualización del Inventario de Bienes Municipal del Ayuntamiento de Candelaria, no se encuadra dentro de los tres supuestos de reclamación, tal como dispone el artículo 170.2 del Real Decreto Legislativo</w:t>
      </w:r>
      <w:r>
        <w:t xml:space="preserve"> 2/2004, de 5 de marzo, por el que se aprueba el Texto Refundido de la Ley reguladora de las Haciendas Locales. No existe, por tanto, obligación legal.</w:t>
      </w:r>
      <w:r>
        <w:rPr>
          <w:rFonts w:ascii="Times New Roman" w:eastAsia="Times New Roman" w:hAnsi="Times New Roman" w:cs="Times New Roman"/>
          <w:sz w:val="24"/>
        </w:rPr>
        <w:t xml:space="preserve"> </w:t>
      </w:r>
    </w:p>
    <w:p w:rsidR="00B064CF" w:rsidRDefault="00E32F70">
      <w:pPr>
        <w:spacing w:after="109"/>
        <w:ind w:left="355" w:right="72"/>
      </w:pPr>
      <w:r>
        <w:t xml:space="preserve">Se informa negativamente la presente reclamación. </w:t>
      </w:r>
    </w:p>
    <w:p w:rsidR="00B064CF" w:rsidRDefault="00E32F70">
      <w:pPr>
        <w:spacing w:after="93" w:line="248" w:lineRule="auto"/>
        <w:ind w:left="355" w:right="699"/>
      </w:pPr>
      <w:r>
        <w:rPr>
          <w:b/>
        </w:rPr>
        <w:t>8.-</w:t>
      </w:r>
      <w:r>
        <w:t xml:space="preserve">  </w:t>
      </w:r>
      <w:r>
        <w:rPr>
          <w:b/>
          <w:i/>
        </w:rPr>
        <w:t>Este ayuntamiento hasta el momento carece de un</w:t>
      </w:r>
      <w:r>
        <w:rPr>
          <w:b/>
          <w:i/>
        </w:rPr>
        <w:t>a planificación, coordinación y una priorización de sus políticas medioambientales lo que se refleja claramente en el presupuesto ya que Medio Ambiente contó con financiación finalista en el presupuesto, por primera vez en su historia en 2018, con 65.000 e</w:t>
      </w:r>
      <w:r>
        <w:rPr>
          <w:b/>
          <w:i/>
        </w:rPr>
        <w:t xml:space="preserve">uros, una cantidad verdaderamente insignificante, de los que ejecutaron realmente 6.300 euros. </w:t>
      </w:r>
      <w:r>
        <w:rPr>
          <w:rFonts w:ascii="Times New Roman" w:eastAsia="Times New Roman" w:hAnsi="Times New Roman" w:cs="Times New Roman"/>
          <w:sz w:val="24"/>
        </w:rPr>
        <w:t xml:space="preserve"> </w:t>
      </w:r>
    </w:p>
    <w:p w:rsidR="00B064CF" w:rsidRDefault="00E32F70">
      <w:pPr>
        <w:spacing w:after="113" w:line="248" w:lineRule="auto"/>
        <w:ind w:left="355" w:right="699"/>
      </w:pPr>
      <w:r>
        <w:rPr>
          <w:b/>
          <w:i/>
        </w:rPr>
        <w:t>En el presupuesto de 2021 para la Gestión Medio Ambiental, aunque ha aumentado por la creación de una nueva aplicación en el capítulo de transferencias corrien</w:t>
      </w:r>
      <w:r>
        <w:rPr>
          <w:b/>
          <w:i/>
        </w:rPr>
        <w:t>tes para la Agencia canaria de protección del medio ambiente natural, por importe de 27.309,5 euros, la cantidad sigue siendo ridícula, con 81.500 euros asignados, representando el 0,4% del presupuesto total. Y en cuanto al subprograma Medio Ambiente Natur</w:t>
      </w:r>
      <w:r>
        <w:rPr>
          <w:b/>
          <w:i/>
        </w:rPr>
        <w:t xml:space="preserve">al el importe es de 16.000 euros, 5000 menos que en 2020.  </w:t>
      </w:r>
    </w:p>
    <w:p w:rsidR="00B064CF" w:rsidRDefault="00E32F70">
      <w:pPr>
        <w:spacing w:after="113" w:line="248" w:lineRule="auto"/>
        <w:ind w:left="355" w:right="699"/>
      </w:pPr>
      <w:r>
        <w:rPr>
          <w:b/>
          <w:i/>
        </w:rPr>
        <w:t>No se incluyen partidas finalistas para la diagnosis energética del Municipio ni para la redacción del PACES aprobado en Pleno como consecuencia de la Declaración de emergencia climática y clave c</w:t>
      </w:r>
      <w:r>
        <w:rPr>
          <w:b/>
          <w:i/>
        </w:rPr>
        <w:t xml:space="preserve">omo requisito por formar parte del Pacto de los Alcaldes.  </w:t>
      </w:r>
    </w:p>
    <w:p w:rsidR="00B064CF" w:rsidRDefault="00E32F70">
      <w:pPr>
        <w:spacing w:after="113" w:line="248" w:lineRule="auto"/>
        <w:ind w:left="355" w:right="699"/>
      </w:pPr>
      <w:r>
        <w:rPr>
          <w:b/>
          <w:i/>
        </w:rPr>
        <w:t xml:space="preserve">No existe partida para acciones vinculadas a la promoción de fiestas más sostenibles acordadas también por el Pleno, entre muchas otras. </w:t>
      </w:r>
    </w:p>
    <w:p w:rsidR="00B064CF" w:rsidRDefault="00E32F70">
      <w:pPr>
        <w:spacing w:after="113" w:line="248" w:lineRule="auto"/>
        <w:ind w:left="355" w:right="699"/>
      </w:pPr>
      <w:r>
        <w:rPr>
          <w:b/>
          <w:i/>
        </w:rPr>
        <w:t>Visto esto, reclamamos, se incluyan las correspondientes partidas presupuestarias finalistas, para los trabajos técnicos que permitan dar cumplimiento a los compromisos y acuerdos adquiridos así como a las acciones referidas y que se recoja en la RPT los p</w:t>
      </w:r>
      <w:r>
        <w:rPr>
          <w:b/>
          <w:i/>
        </w:rPr>
        <w:t xml:space="preserve">uestos de trabajo específicos para este Área.  </w:t>
      </w:r>
    </w:p>
    <w:p w:rsidR="00B064CF" w:rsidRDefault="00E32F70">
      <w:pPr>
        <w:spacing w:after="96"/>
        <w:ind w:left="345" w:right="147" w:firstLine="708"/>
      </w:pPr>
      <w:r>
        <w:t>La creación de una aplicación presupuestaria para gastos en el área de gestión medioambiental, no se encuadra dentro de los tres supuestos de reclamación, tal como dispone el artículo 170.2 del Real Decreto L</w:t>
      </w:r>
      <w:r>
        <w:t>egislativo 2/2004, de 5 de marzo, por el que se aprueba el Texto Refundido de la Ley reguladora de las Haciendas Locales. No existe, por tanto, obligación legal.</w:t>
      </w:r>
      <w:r>
        <w:rPr>
          <w:rFonts w:ascii="Times New Roman" w:eastAsia="Times New Roman" w:hAnsi="Times New Roman" w:cs="Times New Roman"/>
          <w:sz w:val="24"/>
        </w:rPr>
        <w:t xml:space="preserve"> </w:t>
      </w:r>
    </w:p>
    <w:p w:rsidR="00B064CF" w:rsidRDefault="00E32F70">
      <w:pPr>
        <w:spacing w:after="109"/>
        <w:ind w:left="355" w:right="72"/>
      </w:pPr>
      <w:r>
        <w:t xml:space="preserve">Se informa negativamente la presente reclamación. </w:t>
      </w:r>
    </w:p>
    <w:p w:rsidR="00B064CF" w:rsidRDefault="00E32F70">
      <w:pPr>
        <w:spacing w:after="93" w:line="248" w:lineRule="auto"/>
        <w:ind w:left="355" w:right="699"/>
      </w:pPr>
      <w:r>
        <w:rPr>
          <w:b/>
        </w:rPr>
        <w:t>9.-</w:t>
      </w:r>
      <w:r>
        <w:rPr>
          <w:b/>
          <w:i/>
        </w:rPr>
        <w:t xml:space="preserve"> </w:t>
      </w:r>
      <w:r>
        <w:rPr>
          <w:b/>
          <w:i/>
        </w:rPr>
        <w:t>En este contexto, también por su repercusión económica y presupuestaria, reclamamos políticas prioritarias en materia de ahorro energético, utilización de suministro renovable y también fomento del autoconsumo eléctrico en las instalaciones municipales. La</w:t>
      </w:r>
      <w:r>
        <w:rPr>
          <w:b/>
          <w:i/>
        </w:rPr>
        <w:t xml:space="preserve"> suscripción por este Ayuntamiento del Pacto de los Alcaldes implica un compromiso firme en esta dirección. Las medidas de ahorro energético que se han aplicado en los últimos tiempos han conllevado un elevadísimo coste y no han provocado una reducción del</w:t>
      </w:r>
      <w:r>
        <w:rPr>
          <w:b/>
          <w:i/>
        </w:rPr>
        <w:t xml:space="preserve"> consumo eléctrico. Reclamamos una gestión activa y eficiente de ahorro que sea beneficiosa para el Ayuntamiento y para la ciudadanía, y no para empresas intermediarias o directamente para la Multinacional ENDESA. </w:t>
      </w:r>
      <w:r>
        <w:rPr>
          <w:rFonts w:ascii="Times New Roman" w:eastAsia="Times New Roman" w:hAnsi="Times New Roman" w:cs="Times New Roman"/>
          <w:sz w:val="24"/>
        </w:rPr>
        <w:t xml:space="preserve"> </w:t>
      </w:r>
    </w:p>
    <w:p w:rsidR="00B064CF" w:rsidRDefault="00E32F70">
      <w:pPr>
        <w:spacing w:after="113" w:line="248" w:lineRule="auto"/>
        <w:ind w:left="355" w:right="699"/>
      </w:pPr>
      <w:r>
        <w:rPr>
          <w:b/>
          <w:i/>
        </w:rPr>
        <w:t>En 2016 el Pleno aprobó una moción de Sí</w:t>
      </w:r>
      <w:r>
        <w:rPr>
          <w:b/>
          <w:i/>
        </w:rPr>
        <w:t xml:space="preserve"> se puede para contratar energía renovable para el alumbrado y para las instalaciones municipales lo que hasta el momento no se ha ejecutado. Muy al contrario, en el pasado pleno de 29 de abril se aprobó la adhesión de este Ayuntamiento al Acuerdo Marco de</w:t>
      </w:r>
      <w:r>
        <w:rPr>
          <w:b/>
          <w:i/>
        </w:rPr>
        <w:t xml:space="preserve"> la Central de Contratación de la FEMP para el suministro de electricidad, incumpliendo el acuerdo plenario.  </w:t>
      </w:r>
    </w:p>
    <w:p w:rsidR="00B064CF" w:rsidRDefault="00E32F70">
      <w:pPr>
        <w:spacing w:after="113" w:line="248" w:lineRule="auto"/>
        <w:ind w:left="355" w:right="699"/>
      </w:pPr>
      <w:r>
        <w:rPr>
          <w:rFonts w:ascii="Calibri" w:eastAsia="Calibri" w:hAnsi="Calibri" w:cs="Calibri"/>
          <w:noProof/>
        </w:rPr>
        <mc:AlternateContent>
          <mc:Choice Requires="wpg">
            <w:drawing>
              <wp:anchor distT="0" distB="0" distL="114300" distR="114300" simplePos="0" relativeHeight="25169920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70398" name="Group 370398"/>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828" name="Rectangle 3828"/>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829" name="Rectangle 3829"/>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Documento firmado electrónicamente desde l</w:t>
                              </w:r>
                              <w:r>
                                <w:rPr>
                                  <w:sz w:val="12"/>
                                </w:rPr>
                                <w:t xml:space="preserve">a plataforma esPublico Gestiona | Página 37 de 298 </w:t>
                              </w:r>
                            </w:p>
                          </w:txbxContent>
                        </wps:txbx>
                        <wps:bodyPr horzOverflow="overflow" vert="horz" lIns="0" tIns="0" rIns="0" bIns="0" rtlCol="0">
                          <a:noAutofit/>
                        </wps:bodyPr>
                      </wps:wsp>
                    </wpg:wgp>
                  </a:graphicData>
                </a:graphic>
              </wp:anchor>
            </w:drawing>
          </mc:Choice>
          <mc:Fallback xmlns:a="http://schemas.openxmlformats.org/drawingml/2006/main">
            <w:pict>
              <v:group id="Group 370398" style="width:12.7031pt;height:278.91pt;position:absolute;mso-position-horizontal-relative:page;mso-position-horizontal:absolute;margin-left:682.278pt;mso-position-vertical-relative:page;margin-top:533.01pt;" coordsize="1613,35421">
                <v:rect id="Rectangle 3828"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829"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37 de 298 </w:t>
                        </w:r>
                      </w:p>
                    </w:txbxContent>
                  </v:textbox>
                </v:rect>
                <w10:wrap type="square"/>
              </v:group>
            </w:pict>
          </mc:Fallback>
        </mc:AlternateContent>
      </w:r>
      <w:r>
        <w:rPr>
          <w:b/>
          <w:i/>
        </w:rPr>
        <w:t>Y en julio de 2020 se aprobó en sesión plenaria la moción presentada por nosotras, para la implantación de energías renovables en las cubiertas de las infraestructuras públicas de candelaria. En este pres</w:t>
      </w:r>
      <w:r>
        <w:rPr>
          <w:b/>
          <w:i/>
        </w:rPr>
        <w:t xml:space="preserve">upuesto no se contempla ninguna partida finalista referida a la misma.  </w:t>
      </w:r>
    </w:p>
    <w:p w:rsidR="00B064CF" w:rsidRDefault="00E32F70">
      <w:pPr>
        <w:spacing w:after="113" w:line="248" w:lineRule="auto"/>
        <w:ind w:left="355" w:right="699"/>
      </w:pPr>
      <w:r>
        <w:rPr>
          <w:b/>
          <w:i/>
        </w:rPr>
        <w:t>Por ello reclamamos presupuesto finalista dirigido a actuaciones efectivas de reducción del consumo eléctrico municipal y a proyectos de autoconsumo con renovables para las instalacio</w:t>
      </w:r>
      <w:r>
        <w:rPr>
          <w:b/>
          <w:i/>
        </w:rPr>
        <w:t xml:space="preserve">nes municipales, colegios, alumbrado público, etc.  </w:t>
      </w:r>
    </w:p>
    <w:p w:rsidR="00B064CF" w:rsidRDefault="00E32F70">
      <w:pPr>
        <w:spacing w:after="93"/>
        <w:ind w:left="345" w:right="710" w:firstLine="708"/>
      </w:pPr>
      <w:r>
        <w:t>La creación de una aplicación presupuestaria para actuaciones efectivas de reducción del consumo eléctrico municipal y a proyectos de autoconsumo con renovables para las instalaciones municipales, colegi</w:t>
      </w:r>
      <w:r>
        <w:t>os, alumbrado público, etc., no se encuadra dentro de los tres supuestos de reclamación, tal como dispone el artículo 170.2 del Real Decreto Legislativo 2/2004, de 5 de marzo, por el que se aprueba el Texto Refundido de la Ley reguladora de las Haciendas L</w:t>
      </w:r>
      <w:r>
        <w:t>ocales. No existe, por tanto, obligación legal.</w:t>
      </w:r>
      <w:r>
        <w:rPr>
          <w:rFonts w:ascii="Times New Roman" w:eastAsia="Times New Roman" w:hAnsi="Times New Roman" w:cs="Times New Roman"/>
          <w:sz w:val="24"/>
        </w:rPr>
        <w:t xml:space="preserve"> </w:t>
      </w:r>
    </w:p>
    <w:p w:rsidR="00B064CF" w:rsidRDefault="00E32F70">
      <w:pPr>
        <w:spacing w:after="111"/>
        <w:ind w:left="355" w:right="72"/>
      </w:pPr>
      <w:r>
        <w:t xml:space="preserve">Se informa negativamente la presente reclamación. </w:t>
      </w:r>
    </w:p>
    <w:p w:rsidR="00B064CF" w:rsidRDefault="00E32F70">
      <w:pPr>
        <w:spacing w:after="113" w:line="248" w:lineRule="auto"/>
        <w:ind w:left="355" w:right="699"/>
      </w:pPr>
      <w:r>
        <w:rPr>
          <w:b/>
          <w:i/>
        </w:rPr>
        <w:t xml:space="preserve">10.- Reclamamos la urgencia de un Pliego de recogida de residuos y limpieza viaria que defina políticas y estrategias medioambientalmente claras en materia </w:t>
      </w:r>
      <w:r>
        <w:rPr>
          <w:b/>
          <w:i/>
        </w:rPr>
        <w:t>de residuos. La recogida selectiva es importante, más aún si se logra y se prevé avanzar más con la implantación del quinto contenedor, pero es inexistente una propuesta municipal que apueste por incentivar la acción ciudadana para la reducción del volumen</w:t>
      </w:r>
      <w:r>
        <w:rPr>
          <w:b/>
          <w:i/>
        </w:rPr>
        <w:t xml:space="preserve"> de residuos. Reciclar no es la solución al problema de los residuos, la reducción es la verdadera clave. Echamos de menos una propuesta que explore también el aprovechamiento local y la valorización de los residuos con estrategias de economía circular com</w:t>
      </w:r>
      <w:r>
        <w:rPr>
          <w:b/>
          <w:i/>
        </w:rPr>
        <w:t xml:space="preserve">o potencial generadora de empleo.  </w:t>
      </w:r>
    </w:p>
    <w:p w:rsidR="00B064CF" w:rsidRDefault="00E32F70">
      <w:pPr>
        <w:spacing w:after="113" w:line="248" w:lineRule="auto"/>
        <w:ind w:left="355" w:right="699"/>
      </w:pPr>
      <w:r>
        <w:rPr>
          <w:b/>
          <w:i/>
        </w:rPr>
        <w:t>Presupuestariamente no se recogen partidas para materializar estos enfoques y otros complementarios en materia de gestión medioambientalmente sostenible de residuos, así como cumplimiento de criterios ambientales en la l</w:t>
      </w:r>
      <w:r>
        <w:rPr>
          <w:b/>
          <w:i/>
        </w:rPr>
        <w:t xml:space="preserve">impieza de vías públicas y de instalaciones municipales.  </w:t>
      </w:r>
    </w:p>
    <w:p w:rsidR="00B064CF" w:rsidRDefault="00E32F70">
      <w:pPr>
        <w:spacing w:after="96"/>
        <w:ind w:left="355" w:right="145"/>
      </w:pPr>
      <w:r>
        <w:t>La creación de una aplicación presupuestaria para actuaciones o estrategias medioambientales en vías públicas e instalaciones municipales, no se encuadra dentro de los tres supuestos de reclamación</w:t>
      </w:r>
      <w:r>
        <w:t>, tal como dispone el artículo 170.2 del Real Decreto Legislativo 2/2004, de 5 de marzo, por el que se aprueba el Texto Refundido de la Ley reguladora de las Haciendas Locales. No existe, por tanto, obligación legal.</w:t>
      </w:r>
      <w:r>
        <w:rPr>
          <w:rFonts w:ascii="Times New Roman" w:eastAsia="Times New Roman" w:hAnsi="Times New Roman" w:cs="Times New Roman"/>
          <w:sz w:val="24"/>
        </w:rPr>
        <w:t xml:space="preserve"> </w:t>
      </w:r>
    </w:p>
    <w:p w:rsidR="00B064CF" w:rsidRDefault="00E32F70">
      <w:pPr>
        <w:spacing w:after="106"/>
        <w:ind w:left="355" w:right="72"/>
      </w:pPr>
      <w:r>
        <w:t>Se informa negativamente la presente r</w:t>
      </w:r>
      <w:r>
        <w:t xml:space="preserve">eclamación. </w:t>
      </w:r>
    </w:p>
    <w:p w:rsidR="00B064CF" w:rsidRDefault="00E32F70">
      <w:pPr>
        <w:spacing w:after="93" w:line="248" w:lineRule="auto"/>
        <w:ind w:left="355" w:right="699"/>
      </w:pPr>
      <w:r>
        <w:rPr>
          <w:b/>
        </w:rPr>
        <w:t>11.-</w:t>
      </w:r>
      <w:r>
        <w:rPr>
          <w:b/>
          <w:i/>
        </w:rPr>
        <w:t xml:space="preserve">  El presupuesto recoge en Alcantarillado: Saneamiento y Pluviales la cantidad de 90.210, 11 euros, y de 50.000 euros para mantenimiento, y reparaciones y aportación al Plan de etapas del emisario submarino. Pero la EDARU del Valle de Güím</w:t>
      </w:r>
      <w:r>
        <w:rPr>
          <w:b/>
          <w:i/>
        </w:rPr>
        <w:t xml:space="preserve">ar está próxima a finalizar su obra y todavía el Ayuntamiento de Candelaria no ja ejecutado las obras de alcantarillado que permitan transportar nuestras aguas hasta ella. </w:t>
      </w:r>
      <w:r>
        <w:rPr>
          <w:rFonts w:ascii="Times New Roman" w:eastAsia="Times New Roman" w:hAnsi="Times New Roman" w:cs="Times New Roman"/>
          <w:sz w:val="24"/>
        </w:rPr>
        <w:t xml:space="preserve"> </w:t>
      </w:r>
    </w:p>
    <w:p w:rsidR="00B064CF" w:rsidRDefault="00E32F70">
      <w:pPr>
        <w:spacing w:after="113" w:line="248" w:lineRule="auto"/>
        <w:ind w:left="355" w:right="699"/>
      </w:pPr>
      <w:r>
        <w:rPr>
          <w:rFonts w:ascii="Calibri" w:eastAsia="Calibri" w:hAnsi="Calibri" w:cs="Calibri"/>
          <w:noProof/>
        </w:rPr>
        <mc:AlternateContent>
          <mc:Choice Requires="wpg">
            <w:drawing>
              <wp:anchor distT="0" distB="0" distL="114300" distR="114300" simplePos="0" relativeHeight="25170022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70541" name="Group 370541"/>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927" name="Rectangle 3927"/>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928" name="Rectangle 3928"/>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38 de 298 </w:t>
                              </w:r>
                            </w:p>
                          </w:txbxContent>
                        </wps:txbx>
                        <wps:bodyPr horzOverflow="overflow" vert="horz" lIns="0" tIns="0" rIns="0" bIns="0" rtlCol="0">
                          <a:noAutofit/>
                        </wps:bodyPr>
                      </wps:wsp>
                    </wpg:wgp>
                  </a:graphicData>
                </a:graphic>
              </wp:anchor>
            </w:drawing>
          </mc:Choice>
          <mc:Fallback xmlns:a="http://schemas.openxmlformats.org/drawingml/2006/main">
            <w:pict>
              <v:group id="Group 370541" style="width:12.7031pt;height:278.91pt;position:absolute;mso-position-horizontal-relative:page;mso-position-horizontal:absolute;margin-left:682.278pt;mso-position-vertical-relative:page;margin-top:533.01pt;" coordsize="1613,35421">
                <v:rect id="Rectangle 3927"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928"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38 de 298 </w:t>
                        </w:r>
                      </w:p>
                    </w:txbxContent>
                  </v:textbox>
                </v:rect>
                <w10:wrap type="square"/>
              </v:group>
            </w:pict>
          </mc:Fallback>
        </mc:AlternateContent>
      </w:r>
      <w:r>
        <w:rPr>
          <w:b/>
          <w:i/>
        </w:rPr>
        <w:t>Algunas se cofinanciarán por el Cabildo pero el Ayuntamiento d</w:t>
      </w:r>
      <w:r>
        <w:rPr>
          <w:b/>
          <w:i/>
        </w:rPr>
        <w:t>ebe garantizar presupuestariamente los recursos que le corresponden y puede, perfectamente, proyectar y ejecutar aquellos tramos de redes que considere al margen de los colectores principales aprovechando siempre las actuaciones en viarios que debe respond</w:t>
      </w:r>
      <w:r>
        <w:rPr>
          <w:b/>
          <w:i/>
        </w:rPr>
        <w:t>er a proyectos integrales para optimizar el uso de los recursos públicos y al mismo tiempo que se asfalta una calle se urbaniza y se ejecutan las instalaciones y tuberías necesarias. Debe haber una red de saneamiento a la que vincular las aguas residuales.</w:t>
      </w:r>
      <w:r>
        <w:rPr>
          <w:b/>
          <w:i/>
        </w:rPr>
        <w:t xml:space="preserve"> El presupuesto para adquirir los terrenos para la EBAR de La Viuda y San Blas, es una muestra de lo lejos que puede estar el objetivo de que Candelaria aporte sus aguas a la EDARU. La inversión en saneamiento debe ser una prioridad. Debe haber una red de </w:t>
      </w:r>
      <w:r>
        <w:rPr>
          <w:b/>
          <w:i/>
        </w:rPr>
        <w:t xml:space="preserve">saneamiento que incluya todos los pueblos de las medianías. Se trata de una empresa harto compleja, por su ejecución tanto administrativa como temporalmente hablando.  </w:t>
      </w:r>
    </w:p>
    <w:p w:rsidR="00B064CF" w:rsidRDefault="00E32F70">
      <w:pPr>
        <w:spacing w:after="113" w:line="248" w:lineRule="auto"/>
        <w:ind w:left="355" w:right="699"/>
      </w:pPr>
      <w:r>
        <w:rPr>
          <w:b/>
          <w:i/>
        </w:rPr>
        <w:t>Candelaria carece de un Plan Director de Saneamiento del municipio, como solicitamos en</w:t>
      </w:r>
      <w:r>
        <w:rPr>
          <w:b/>
          <w:i/>
        </w:rPr>
        <w:t xml:space="preserve"> la moción presentada en abril de 2018, pese a que desde 2015 el Pleno del Cabildo de Tenerife aprobara una moción para que se instara a los Ayuntamientos del Valle de Güímar a elaborar sus planes. Añádase las acciones legales que por incumplimiento de la </w:t>
      </w:r>
      <w:r>
        <w:rPr>
          <w:b/>
          <w:i/>
        </w:rPr>
        <w:t xml:space="preserve">normativa aplicó la Comisión Europea a España por infracción de la legislación medioambiental.  </w:t>
      </w:r>
    </w:p>
    <w:p w:rsidR="00B064CF" w:rsidRDefault="00E32F70">
      <w:pPr>
        <w:spacing w:after="113" w:line="248" w:lineRule="auto"/>
        <w:ind w:left="355" w:right="142"/>
      </w:pPr>
      <w:r>
        <w:rPr>
          <w:b/>
          <w:i/>
        </w:rPr>
        <w:t>En los presentes presupuestos aprobados inicialmente, según informe de Intervención se crea una aplicación nueva para el mantenimiento de la Red de Saneamiento</w:t>
      </w:r>
      <w:r>
        <w:rPr>
          <w:b/>
          <w:i/>
        </w:rPr>
        <w:t>, por importe de 25.000 euros; para instalaciones de saneamiento 50.000 y 15.000 es el importe de la aportación al Plan de Etapas del emisario submarino. Se trata de unas cantidades ínfimas en relación al coste de las importantes infraestructuras por reali</w:t>
      </w:r>
      <w:r>
        <w:rPr>
          <w:b/>
          <w:i/>
        </w:rPr>
        <w:t xml:space="preserve">zar. Repetimos, el Ayuntamiento debe garantizar en el Presupuesto la participación prevista de los proyectos cofinanciados.  </w:t>
      </w:r>
    </w:p>
    <w:p w:rsidR="00B064CF" w:rsidRDefault="00E32F70">
      <w:pPr>
        <w:spacing w:after="113" w:line="248" w:lineRule="auto"/>
        <w:ind w:left="355" w:right="3"/>
      </w:pPr>
      <w:r>
        <w:rPr>
          <w:b/>
          <w:i/>
        </w:rPr>
        <w:t>Por ello reclamamos se incrementen presupuestariamente los costes de los proyectos y obras de alcantarillado de aguas residuales y</w:t>
      </w:r>
      <w:r>
        <w:rPr>
          <w:b/>
          <w:i/>
        </w:rPr>
        <w:t xml:space="preserve"> de aguas pluviales realizar en 2021 conforme a un Plan Director de Saneamiento del municipio. </w:t>
      </w:r>
    </w:p>
    <w:p w:rsidR="00B064CF" w:rsidRDefault="00E32F70">
      <w:pPr>
        <w:spacing w:after="107" w:line="246" w:lineRule="auto"/>
        <w:ind w:left="345" w:right="58" w:firstLine="698"/>
        <w:jc w:val="left"/>
      </w:pPr>
      <w:r>
        <w:t>El Aumento de los créditos para gastos en proyectos y obras de alcantarillado, no se encuadra dentro de los tres supuestos de reclamación, tal como dispone el a</w:t>
      </w:r>
      <w:r>
        <w:t>rtículo 170.2 del Real Decreto Legislativo 2/2004, de 5 de marzo, por el que se aprueba el Texto Refundido de la Ley reguladora de las Haciendas Locales. No existe, por tanto, obligación legal.</w:t>
      </w:r>
      <w:r>
        <w:rPr>
          <w:rFonts w:ascii="Times New Roman" w:eastAsia="Times New Roman" w:hAnsi="Times New Roman" w:cs="Times New Roman"/>
          <w:sz w:val="24"/>
        </w:rPr>
        <w:t xml:space="preserve"> </w:t>
      </w:r>
    </w:p>
    <w:p w:rsidR="00B064CF" w:rsidRDefault="00E32F70">
      <w:pPr>
        <w:spacing w:after="106"/>
        <w:ind w:left="355" w:right="72"/>
      </w:pPr>
      <w:r>
        <w:t xml:space="preserve">Se informa negativamente la presente reclamación. </w:t>
      </w:r>
    </w:p>
    <w:p w:rsidR="00B064CF" w:rsidRDefault="00E32F70">
      <w:pPr>
        <w:spacing w:after="113" w:line="248" w:lineRule="auto"/>
        <w:ind w:left="355"/>
      </w:pPr>
      <w:r>
        <w:rPr>
          <w:b/>
        </w:rPr>
        <w:t xml:space="preserve">12.- </w:t>
      </w:r>
      <w:r>
        <w:rPr>
          <w:b/>
          <w:i/>
        </w:rPr>
        <w:t>En 20</w:t>
      </w:r>
      <w:r>
        <w:rPr>
          <w:b/>
          <w:i/>
        </w:rPr>
        <w:t xml:space="preserve">18 logramos que se destinara un 10% para Servicios Sociales, fueron incapaces de gestionarlo llegando a un 8,52% aproximadamente, al 9% en 2019 y al 7,4% en 2020. </w:t>
      </w:r>
      <w:r>
        <w:rPr>
          <w:rFonts w:ascii="Times New Roman" w:eastAsia="Times New Roman" w:hAnsi="Times New Roman" w:cs="Times New Roman"/>
          <w:sz w:val="24"/>
        </w:rPr>
        <w:t xml:space="preserve"> </w:t>
      </w:r>
    </w:p>
    <w:p w:rsidR="00B064CF" w:rsidRDefault="00E32F70">
      <w:pPr>
        <w:spacing w:after="113" w:line="248" w:lineRule="auto"/>
        <w:ind w:left="355" w:right="2"/>
      </w:pPr>
      <w:r>
        <w:rPr>
          <w:b/>
          <w:i/>
        </w:rPr>
        <w:t>En 2021 se presupuesta en Servicios Sociales créditos por valor de 2.066.933,92 euros, lo q</w:t>
      </w:r>
      <w:r>
        <w:rPr>
          <w:b/>
          <w:i/>
        </w:rPr>
        <w:t>ue representa el 8.9% del gasto total. La capacidad de gestión de este Ayuntamiento es muy insuficiente y, sin embargo, argumentan que estas cifras se elevarán con recursos procedentes de instancias supramunicipales pero nos cuestionamos seriamente cómo va</w:t>
      </w:r>
      <w:r>
        <w:rPr>
          <w:b/>
          <w:i/>
        </w:rPr>
        <w:t xml:space="preserve">n a gestionarlos.  </w:t>
      </w:r>
    </w:p>
    <w:p w:rsidR="00B064CF" w:rsidRDefault="00E32F70">
      <w:pPr>
        <w:spacing w:after="113" w:line="248" w:lineRule="auto"/>
        <w:ind w:left="355" w:right="2"/>
      </w:pPr>
      <w:r>
        <w:rPr>
          <w:b/>
          <w:i/>
        </w:rPr>
        <w:t>En el Área de IGUALDAD, ejemplo de ello es la redacción pendiente del Plan de Igualdad, que negociamos en 2018. Tenemos la esperanza de verlo en 2021, donde la partida presupuestaria para este área es de idéntico importe que 2020. A pes</w:t>
      </w:r>
      <w:r>
        <w:rPr>
          <w:b/>
          <w:i/>
        </w:rPr>
        <w:t xml:space="preserve">ar de estas limitaciones, que entendemos superable con una gestión política adecuada.  </w:t>
      </w:r>
    </w:p>
    <w:p w:rsidR="00B064CF" w:rsidRDefault="00E32F70">
      <w:pPr>
        <w:spacing w:after="113" w:line="248" w:lineRule="auto"/>
        <w:ind w:left="355" w:right="4"/>
      </w:pPr>
      <w:r>
        <w:rPr>
          <w:b/>
          <w:i/>
        </w:rPr>
        <w:t>Como dijimos anteriormente, en 2020 el Área de SERVICIOS SOCIALES, MUJER MENOR FAMILIA Y MAYORES ejecutó un gasto del 7,4%, cuando lo que consideramos adecuado es alcanzar el 10% del gasto total. Estos presupuestos prevén una partida que representa el 8.9%</w:t>
      </w:r>
      <w:r>
        <w:rPr>
          <w:b/>
          <w:i/>
        </w:rPr>
        <w:t xml:space="preserve"> del presupuesto total.  </w:t>
      </w:r>
    </w:p>
    <w:p w:rsidR="00B064CF" w:rsidRDefault="00E32F70">
      <w:pPr>
        <w:spacing w:after="113" w:line="248" w:lineRule="auto"/>
        <w:ind w:left="355" w:right="143"/>
      </w:pPr>
      <w:r>
        <w:rPr>
          <w:rFonts w:ascii="Calibri" w:eastAsia="Calibri" w:hAnsi="Calibri" w:cs="Calibri"/>
          <w:noProof/>
        </w:rPr>
        <mc:AlternateContent>
          <mc:Choice Requires="wpg">
            <w:drawing>
              <wp:anchor distT="0" distB="0" distL="114300" distR="114300" simplePos="0" relativeHeight="25170124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68949" name="Group 368949"/>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034" name="Rectangle 4034"/>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4035" name="Rectangle 4035"/>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39 de 298 </w:t>
                              </w:r>
                            </w:p>
                          </w:txbxContent>
                        </wps:txbx>
                        <wps:bodyPr horzOverflow="overflow" vert="horz" lIns="0" tIns="0" rIns="0" bIns="0" rtlCol="0">
                          <a:noAutofit/>
                        </wps:bodyPr>
                      </wps:wsp>
                    </wpg:wgp>
                  </a:graphicData>
                </a:graphic>
              </wp:anchor>
            </w:drawing>
          </mc:Choice>
          <mc:Fallback xmlns:a="http://schemas.openxmlformats.org/drawingml/2006/main">
            <w:pict>
              <v:group id="Group 368949" style="width:12.7031pt;height:278.91pt;position:absolute;mso-position-horizontal-relative:page;mso-position-horizontal:absolute;margin-left:682.278pt;mso-position-vertical-relative:page;margin-top:533.01pt;" coordsize="1613,35421">
                <v:rect id="Rectangle 4034"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035"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39 de 298 </w:t>
                        </w:r>
                      </w:p>
                    </w:txbxContent>
                  </v:textbox>
                </v:rect>
                <w10:wrap type="square"/>
              </v:group>
            </w:pict>
          </mc:Fallback>
        </mc:AlternateContent>
      </w:r>
      <w:r>
        <w:rPr>
          <w:b/>
          <w:i/>
        </w:rPr>
        <w:t>Si observamos por áreas diferenciadas, los créditos destinados al MENOR, han disminuido un 25%, respecto a 2020. La PROTECCIÓN A LA INFANCIA pasa de destinar en el pasado año 12.000 euros a 9000 para este 2021. A la causa de la disminución de este presupue</w:t>
      </w:r>
      <w:r>
        <w:rPr>
          <w:b/>
          <w:i/>
        </w:rPr>
        <w:t>sto nos respondieron que se redujo porque el año anterior sobró bastante crédito. Luego no se trata de finanzas sino de gestión de las mismas El criterio mercantilista no ha de prevalecer en unos presupuestos, como manifiestan, de carácter social. No se tr</w:t>
      </w:r>
      <w:r>
        <w:rPr>
          <w:b/>
          <w:i/>
        </w:rPr>
        <w:t xml:space="preserve">ata de disminuir sino de evaluar con el área correspondiente y si es preciso realizar una diagnosis de la situación de este grupo de edad y sus necesidades, que lamentablemente, de seguro no se encuentra en menor situación de riesgo y vulnerabilidad ni en </w:t>
      </w:r>
      <w:r>
        <w:rPr>
          <w:b/>
          <w:i/>
        </w:rPr>
        <w:t xml:space="preserve">circunstancias psicosociales y económicas mejores que en el año anterior.  </w:t>
      </w:r>
    </w:p>
    <w:p w:rsidR="00B064CF" w:rsidRDefault="00E32F70">
      <w:pPr>
        <w:spacing w:after="113" w:line="248" w:lineRule="auto"/>
        <w:ind w:left="355" w:right="141"/>
      </w:pPr>
      <w:r>
        <w:rPr>
          <w:b/>
          <w:i/>
        </w:rPr>
        <w:t xml:space="preserve">En el Área de la MUJER, se tiene previsto destinar un 33% menos que en 2020, con 12.000 euros frente a los 18.000 del ejercicio anterior, cuando precisamente durante el periodo de </w:t>
      </w:r>
      <w:r>
        <w:rPr>
          <w:b/>
          <w:i/>
        </w:rPr>
        <w:t>confinamiento, en Canarias las denuncias se redujeron un 10,8% pero aumentaron las llamadas de auxilio, según informe del Observatorio contra la Violencia Doméstica y de Género, que analiza el impacto de género de la crisis de la COVID-19. El confinamiento</w:t>
      </w:r>
      <w:r>
        <w:rPr>
          <w:b/>
          <w:i/>
        </w:rPr>
        <w:t xml:space="preserve"> expuso a las mujeres una mayor violencia. No entendemos la sensibilidad que reflejan estos presupuestos.  </w:t>
      </w:r>
    </w:p>
    <w:p w:rsidR="00B064CF" w:rsidRDefault="00E32F70">
      <w:pPr>
        <w:spacing w:after="113" w:line="248" w:lineRule="auto"/>
        <w:ind w:left="355" w:right="144"/>
      </w:pPr>
      <w:r>
        <w:rPr>
          <w:b/>
          <w:i/>
        </w:rPr>
        <w:t>Reclamamos para la población en general y los colectivos más vulnerables que la memoria del presupuesto sea coherente con lo que predica, y se tenga</w:t>
      </w:r>
      <w:r>
        <w:rPr>
          <w:b/>
          <w:i/>
        </w:rPr>
        <w:t xml:space="preserve"> en cuenta la revisión al alza hasta alcanzar un mínimo del 10% y el refuerzo efectivo de la política de derechos sociales de este Ayuntamiento para colocar a las personas en primera línea de la acción municipal.  </w:t>
      </w:r>
    </w:p>
    <w:p w:rsidR="00B064CF" w:rsidRDefault="00E32F70">
      <w:pPr>
        <w:spacing w:after="96"/>
        <w:ind w:left="345" w:right="150" w:firstLine="708"/>
      </w:pPr>
      <w:r>
        <w:t>El Aumento de los créditos para gastos en</w:t>
      </w:r>
      <w:r>
        <w:t xml:space="preserve"> Servicios Sociales hasta alcanzar el 10 % del presupuesto, no se encuadra dentro de los tres supuestos de reclamación, tal como dispone el artículo 170.2 del Real Decreto Legislativo 2/2004, de 5 de marzo, por el que se aprueba el Texto Refundido de la Le</w:t>
      </w:r>
      <w:r>
        <w:t>y reguladora de las Haciendas Locales. No existe, por tanto, obligación legal.</w:t>
      </w:r>
      <w:r>
        <w:rPr>
          <w:rFonts w:ascii="Times New Roman" w:eastAsia="Times New Roman" w:hAnsi="Times New Roman" w:cs="Times New Roman"/>
          <w:sz w:val="24"/>
        </w:rPr>
        <w:t xml:space="preserve"> </w:t>
      </w:r>
    </w:p>
    <w:p w:rsidR="00B064CF" w:rsidRDefault="00E32F70">
      <w:pPr>
        <w:spacing w:after="11"/>
        <w:ind w:left="355" w:right="72"/>
      </w:pPr>
      <w:r>
        <w:t xml:space="preserve">Se informa negativamente la presente reclamación. </w:t>
      </w:r>
    </w:p>
    <w:p w:rsidR="00B064CF" w:rsidRDefault="00E32F70">
      <w:pPr>
        <w:spacing w:after="113" w:line="248" w:lineRule="auto"/>
        <w:ind w:left="355" w:right="143"/>
      </w:pPr>
      <w:r>
        <w:rPr>
          <w:b/>
        </w:rPr>
        <w:t>13.-</w:t>
      </w:r>
      <w:r>
        <w:rPr>
          <w:b/>
          <w:i/>
        </w:rPr>
        <w:t xml:space="preserve">  La política de Promoción de Vivienda Pública en Candelaria, por la que siempre hemos apostado, con la partida destinada</w:t>
      </w:r>
      <w:r>
        <w:rPr>
          <w:b/>
          <w:i/>
        </w:rPr>
        <w:t xml:space="preserve"> a adquisición de solares, nos parece una fórmula demasiado lenta para dar respuesta a las urgencias sociales que existen de emergencia habitacional en el Municipio, tanto por desahucios por impago de alquiler como por impago de hipoteca. Esto no va a reso</w:t>
      </w:r>
      <w:r>
        <w:rPr>
          <w:b/>
          <w:i/>
        </w:rPr>
        <w:t xml:space="preserve">lver nada a corto e, incluso, a medio plazo. Actualmente se les conceden una o dos ayudas de 300 euros con lo que no pueden afrontar ni un mes de alquiler con los precios de Candelaria. En esto no puede aplicarse la austeridad que justifican en su memoria </w:t>
      </w:r>
      <w:r>
        <w:rPr>
          <w:b/>
          <w:i/>
        </w:rPr>
        <w:t xml:space="preserve">presupuestaria. </w:t>
      </w:r>
      <w:r>
        <w:rPr>
          <w:rFonts w:ascii="Times New Roman" w:eastAsia="Times New Roman" w:hAnsi="Times New Roman" w:cs="Times New Roman"/>
          <w:sz w:val="24"/>
        </w:rPr>
        <w:t xml:space="preserve"> </w:t>
      </w:r>
    </w:p>
    <w:p w:rsidR="00B064CF" w:rsidRDefault="00E32F70">
      <w:pPr>
        <w:spacing w:after="113" w:line="248" w:lineRule="auto"/>
        <w:ind w:left="355" w:right="699"/>
      </w:pPr>
      <w:r>
        <w:rPr>
          <w:b/>
          <w:i/>
        </w:rPr>
        <w:t>Consideramos que en estos presupuestos, además de destinar un gasto   dirigido a las vecinas y vecinos desalojados de Bajo La Cuesta, las circunstancias de esta crisis económica derivada de la pandemia y no se observa un cambio de tendenc</w:t>
      </w:r>
      <w:r>
        <w:rPr>
          <w:b/>
          <w:i/>
        </w:rPr>
        <w:t>ia favorable, hace necesario destinar una partida a ayudas de emergencia habitacional y de ayuda al alquiler, a las familias y los jóvenes, los cuales difícilmente pueden acceder a una vivienda por los precios prohibitivos del mercado. Porque la Constituci</w:t>
      </w:r>
      <w:r>
        <w:rPr>
          <w:b/>
          <w:i/>
        </w:rPr>
        <w:t xml:space="preserve">ón consagra el derecho a una vivienda digna debemos garantizar el poder atender a las personas en situación de vulnerabilidad social y económica y es por lo que:  </w:t>
      </w:r>
    </w:p>
    <w:p w:rsidR="00B064CF" w:rsidRDefault="00E32F70">
      <w:pPr>
        <w:spacing w:after="113" w:line="248" w:lineRule="auto"/>
        <w:ind w:left="355" w:right="144"/>
      </w:pPr>
      <w:r>
        <w:rPr>
          <w:b/>
          <w:i/>
        </w:rPr>
        <w:t>Reclamamos, como venimos haciéndolo en ejercicios anteriores, que se dote con recursos sufic</w:t>
      </w:r>
      <w:r>
        <w:rPr>
          <w:b/>
          <w:i/>
        </w:rPr>
        <w:t xml:space="preserve">ientes una partida finalista para afrontar alquileres de viviendas en Candelaria que puedan ofertarse desde el Ayuntamiento o abonarse a las personas que lo necesiten durante el tiempo suficiente y digno en que puedan resolver su emergencia habitacional.  </w:t>
      </w:r>
    </w:p>
    <w:p w:rsidR="00B064CF" w:rsidRDefault="00E32F70">
      <w:pPr>
        <w:spacing w:after="96"/>
        <w:ind w:left="345" w:right="146" w:firstLine="708"/>
      </w:pPr>
      <w:r>
        <w:rPr>
          <w:rFonts w:ascii="Calibri" w:eastAsia="Calibri" w:hAnsi="Calibri" w:cs="Calibri"/>
          <w:noProof/>
        </w:rPr>
        <mc:AlternateContent>
          <mc:Choice Requires="wpg">
            <w:drawing>
              <wp:anchor distT="0" distB="0" distL="114300" distR="114300" simplePos="0" relativeHeight="25170227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64955" name="Group 364955"/>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141" name="Rectangle 4141"/>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4142" name="Rectangle 4142"/>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40 de 298 </w:t>
                              </w:r>
                            </w:p>
                          </w:txbxContent>
                        </wps:txbx>
                        <wps:bodyPr horzOverflow="overflow" vert="horz" lIns="0" tIns="0" rIns="0" bIns="0" rtlCol="0">
                          <a:noAutofit/>
                        </wps:bodyPr>
                      </wps:wsp>
                    </wpg:wgp>
                  </a:graphicData>
                </a:graphic>
              </wp:anchor>
            </w:drawing>
          </mc:Choice>
          <mc:Fallback xmlns:a="http://schemas.openxmlformats.org/drawingml/2006/main">
            <w:pict>
              <v:group id="Group 364955" style="width:12.7031pt;height:278.91pt;position:absolute;mso-position-horizontal-relative:page;mso-position-horizontal:absolute;margin-left:682.278pt;mso-position-vertical-relative:page;margin-top:533.01pt;" coordsize="1613,35421">
                <v:rect id="Rectangle 4141"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142"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40 de 298 </w:t>
                        </w:r>
                      </w:p>
                    </w:txbxContent>
                  </v:textbox>
                </v:rect>
                <w10:wrap type="square"/>
              </v:group>
            </w:pict>
          </mc:Fallback>
        </mc:AlternateContent>
      </w:r>
      <w:r>
        <w:t>Crear una aplicación presupuestaria para afrontar alquileres de viviendas en el municipio, no se encuadra dentro de los tres supuestos de reclamación, tal como dispone el artículo 170.2 del Real Decreto Legislativo 2/2004, de 5 de marzo, por el que se apru</w:t>
      </w:r>
      <w:r>
        <w:t>eba el Texto Refundido de la Ley reguladora de las Haciendas Locales. No existe, por tanto, obligación legal.</w:t>
      </w:r>
      <w:r>
        <w:rPr>
          <w:rFonts w:ascii="Times New Roman" w:eastAsia="Times New Roman" w:hAnsi="Times New Roman" w:cs="Times New Roman"/>
          <w:sz w:val="24"/>
        </w:rPr>
        <w:t xml:space="preserve"> </w:t>
      </w:r>
    </w:p>
    <w:p w:rsidR="00B064CF" w:rsidRDefault="00E32F70">
      <w:pPr>
        <w:spacing w:after="106"/>
        <w:ind w:left="355" w:right="72"/>
      </w:pPr>
      <w:r>
        <w:t xml:space="preserve">Se informa negativamente la presente reclamación. </w:t>
      </w:r>
    </w:p>
    <w:p w:rsidR="00B064CF" w:rsidRDefault="00E32F70">
      <w:pPr>
        <w:spacing w:after="113" w:line="248" w:lineRule="auto"/>
        <w:ind w:left="355"/>
      </w:pPr>
      <w:r>
        <w:rPr>
          <w:b/>
        </w:rPr>
        <w:t>14.-</w:t>
      </w:r>
      <w:r>
        <w:rPr>
          <w:b/>
          <w:i/>
        </w:rPr>
        <w:t xml:space="preserve"> En la sesión de constitución del nuevo Patronato de la Fundación Candelaria Solidaria par</w:t>
      </w:r>
      <w:r>
        <w:rPr>
          <w:b/>
          <w:i/>
        </w:rPr>
        <w:t>a 2019-2023, uno de los Patronos manifestó la necesidad de incrementar los recursos para estar en condiciones de enfrentar las consecuencias que se puedan derivar del empeoramiento socioeconómico a partir de 2020 y ahora observamos que el escenario ha empe</w:t>
      </w:r>
      <w:r>
        <w:rPr>
          <w:b/>
          <w:i/>
        </w:rPr>
        <w:t xml:space="preserve">orado. </w:t>
      </w:r>
      <w:r>
        <w:rPr>
          <w:rFonts w:ascii="Times New Roman" w:eastAsia="Times New Roman" w:hAnsi="Times New Roman" w:cs="Times New Roman"/>
          <w:sz w:val="24"/>
        </w:rPr>
        <w:t xml:space="preserve"> </w:t>
      </w:r>
    </w:p>
    <w:p w:rsidR="00B064CF" w:rsidRDefault="00E32F70">
      <w:pPr>
        <w:spacing w:after="122" w:line="238" w:lineRule="auto"/>
        <w:ind w:left="360" w:firstLine="0"/>
        <w:jc w:val="left"/>
      </w:pPr>
      <w:r>
        <w:rPr>
          <w:b/>
          <w:i/>
        </w:rPr>
        <w:t xml:space="preserve">Por ello reclamamos que se establezca presupuestariamente otra partida con destino a CANDESOL en previsión de este empeoramiento y la consiguiente demanda de ayudas extraordinarias. </w:t>
      </w:r>
    </w:p>
    <w:p w:rsidR="00B064CF" w:rsidRDefault="00E32F70">
      <w:pPr>
        <w:spacing w:after="97" w:line="246" w:lineRule="auto"/>
        <w:ind w:left="345" w:right="58" w:firstLine="698"/>
        <w:jc w:val="left"/>
      </w:pPr>
      <w:r>
        <w:t>Crear una aplicación presupuestaria para afrontar más transferen</w:t>
      </w:r>
      <w:r>
        <w:t>cia de crédito a Candesol por el empeoramiento socioeconómico, no se encuadra dentro de los tres supuestos de reclamación, tal como dispone el artículo 170.2 del Real Decreto Legislativo 2/2004, de 5 de marzo, por el que se aprueba el Texto Refundido de la</w:t>
      </w:r>
      <w:r>
        <w:t xml:space="preserve"> Ley reguladora de las Haciendas Locales. No existe, por tanto, obligación legal.</w:t>
      </w:r>
      <w:r>
        <w:rPr>
          <w:rFonts w:ascii="Times New Roman" w:eastAsia="Times New Roman" w:hAnsi="Times New Roman" w:cs="Times New Roman"/>
          <w:sz w:val="24"/>
        </w:rPr>
        <w:t xml:space="preserve"> </w:t>
      </w:r>
    </w:p>
    <w:p w:rsidR="00B064CF" w:rsidRDefault="00E32F70">
      <w:pPr>
        <w:spacing w:after="106"/>
        <w:ind w:left="355" w:right="72"/>
      </w:pPr>
      <w:r>
        <w:t xml:space="preserve">Se informa negativamente la presente reclamación. </w:t>
      </w:r>
    </w:p>
    <w:p w:rsidR="00B064CF" w:rsidRDefault="00E32F70">
      <w:pPr>
        <w:spacing w:after="113" w:line="248" w:lineRule="auto"/>
        <w:ind w:left="355" w:right="144"/>
      </w:pPr>
      <w:r>
        <w:rPr>
          <w:b/>
        </w:rPr>
        <w:t>15.-</w:t>
      </w:r>
      <w:r>
        <w:rPr>
          <w:b/>
          <w:i/>
        </w:rPr>
        <w:t xml:space="preserve"> El Plan Municipal de Accesibilidad, requiere de distintos niveles de ejecución, para lo cual hay que dotarlo específi</w:t>
      </w:r>
      <w:r>
        <w:rPr>
          <w:b/>
          <w:i/>
        </w:rPr>
        <w:t xml:space="preserve">camente y con transparencia en los Presupuestos 2021. Este pleno aprobó sendas mociones de accesibilidad universal y de accesibilidad digital, respectivamente, que para llevarlos a cabo en partidas específicas y sucesivas. </w:t>
      </w:r>
      <w:r>
        <w:rPr>
          <w:rFonts w:ascii="Times New Roman" w:eastAsia="Times New Roman" w:hAnsi="Times New Roman" w:cs="Times New Roman"/>
          <w:sz w:val="24"/>
        </w:rPr>
        <w:t xml:space="preserve"> </w:t>
      </w:r>
    </w:p>
    <w:p w:rsidR="00B064CF" w:rsidRDefault="00E32F70">
      <w:pPr>
        <w:spacing w:after="113" w:line="248" w:lineRule="auto"/>
        <w:ind w:left="355" w:right="699"/>
      </w:pPr>
      <w:r>
        <w:rPr>
          <w:b/>
          <w:i/>
        </w:rPr>
        <w:t>Por ello reclamamos una dotació</w:t>
      </w:r>
      <w:r>
        <w:rPr>
          <w:b/>
          <w:i/>
        </w:rPr>
        <w:t xml:space="preserve">n presupuestaria finalista anual para garantizar la accesibilidad universal en nuestro Municipio, que contemple todos los tipos de accesibilidad, esto es, sensorial, motriz, cognitiva y digital. </w:t>
      </w:r>
    </w:p>
    <w:p w:rsidR="00B064CF" w:rsidRDefault="00E32F70">
      <w:pPr>
        <w:spacing w:after="96"/>
        <w:ind w:left="345" w:right="146" w:firstLine="708"/>
      </w:pPr>
      <w:r>
        <w:t>Crear una aplicación presupuestaria para</w:t>
      </w:r>
      <w:r>
        <w:rPr>
          <w:b/>
          <w:i/>
        </w:rPr>
        <w:t xml:space="preserve"> </w:t>
      </w:r>
      <w:r>
        <w:t xml:space="preserve">garantizar la accesibilidad universal en nuestro Municipio, que contemple todos los tipos de accesibilidad, esto es, sensorial, motriz, cognitiva y digital, no se encuadra dentro de los tres supuestos de reclamación, tal como dispone el artículo 170.2 del </w:t>
      </w:r>
      <w:r>
        <w:t>Real Decreto Legislativo 2/2004, de 5 de marzo, por el que se aprueba el Texto Refundido de la Ley reguladora de las Haciendas Locales. No existe, por tanto, obligación legal.</w:t>
      </w:r>
      <w:r>
        <w:rPr>
          <w:rFonts w:ascii="Times New Roman" w:eastAsia="Times New Roman" w:hAnsi="Times New Roman" w:cs="Times New Roman"/>
          <w:sz w:val="24"/>
        </w:rPr>
        <w:t xml:space="preserve"> </w:t>
      </w:r>
    </w:p>
    <w:p w:rsidR="00B064CF" w:rsidRDefault="00E32F70">
      <w:pPr>
        <w:spacing w:after="111"/>
        <w:ind w:left="355" w:right="72"/>
      </w:pPr>
      <w:r>
        <w:t xml:space="preserve">Se informa negativamente la presente reclamación. </w:t>
      </w:r>
    </w:p>
    <w:p w:rsidR="00B064CF" w:rsidRDefault="00E32F70">
      <w:pPr>
        <w:spacing w:after="113" w:line="248" w:lineRule="auto"/>
        <w:ind w:left="355"/>
      </w:pPr>
      <w:r>
        <w:rPr>
          <w:b/>
          <w:i/>
        </w:rPr>
        <w:t>16 Respecto a los recursos m</w:t>
      </w:r>
      <w:r>
        <w:rPr>
          <w:b/>
          <w:i/>
        </w:rPr>
        <w:t xml:space="preserve">unicipales destinados a los SECTORES ECONÓMICOS encontramos el siguiente panorama: </w:t>
      </w:r>
    </w:p>
    <w:p w:rsidR="00B064CF" w:rsidRDefault="00E32F70">
      <w:pPr>
        <w:spacing w:after="113" w:line="248" w:lineRule="auto"/>
        <w:ind w:left="355" w:right="145"/>
      </w:pPr>
      <w:r>
        <w:rPr>
          <w:b/>
          <w:i/>
        </w:rPr>
        <w:t xml:space="preserve"> Los gastos en el Área de Comercio representan el 0,67% del presupuesto total. La situación económica que se prolonga desde marzo de 2020, amerita que el sector comercial s</w:t>
      </w:r>
      <w:r>
        <w:rPr>
          <w:b/>
          <w:i/>
        </w:rPr>
        <w:t>e vea apoyado desde la institución municipal, de manera más efectiva. Es un sector que lleva consigo puestos de trabajo directos e indirectos que están poniendo en riesgo su supervivencia y permanencia en el mercado. Consideramos que los incentivos se debe</w:t>
      </w:r>
      <w:r>
        <w:rPr>
          <w:b/>
          <w:i/>
        </w:rPr>
        <w:t xml:space="preserve">n diversificar para que el estímulo mantenga el sector y contenga el deterioro del mismo.  </w:t>
      </w:r>
    </w:p>
    <w:p w:rsidR="00B064CF" w:rsidRDefault="00E32F70">
      <w:pPr>
        <w:spacing w:after="113" w:line="248" w:lineRule="auto"/>
        <w:ind w:left="355" w:right="144"/>
      </w:pPr>
      <w:r>
        <w:rPr>
          <w:rFonts w:ascii="Calibri" w:eastAsia="Calibri" w:hAnsi="Calibri" w:cs="Calibri"/>
          <w:noProof/>
        </w:rPr>
        <mc:AlternateContent>
          <mc:Choice Requires="wpg">
            <w:drawing>
              <wp:anchor distT="0" distB="0" distL="114300" distR="114300" simplePos="0" relativeHeight="25170329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69420" name="Group 369420"/>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240" name="Rectangle 4240"/>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4241" name="Rectangle 4241"/>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Documento firmado electrónicamente desde la plataforma esPubl</w:t>
                              </w:r>
                              <w:r>
                                <w:rPr>
                                  <w:sz w:val="12"/>
                                </w:rPr>
                                <w:t xml:space="preserve">ico Gestiona | Página 41 de 298 </w:t>
                              </w:r>
                            </w:p>
                          </w:txbxContent>
                        </wps:txbx>
                        <wps:bodyPr horzOverflow="overflow" vert="horz" lIns="0" tIns="0" rIns="0" bIns="0" rtlCol="0">
                          <a:noAutofit/>
                        </wps:bodyPr>
                      </wps:wsp>
                    </wpg:wgp>
                  </a:graphicData>
                </a:graphic>
              </wp:anchor>
            </w:drawing>
          </mc:Choice>
          <mc:Fallback xmlns:a="http://schemas.openxmlformats.org/drawingml/2006/main">
            <w:pict>
              <v:group id="Group 369420" style="width:12.7031pt;height:278.91pt;position:absolute;mso-position-horizontal-relative:page;mso-position-horizontal:absolute;margin-left:682.278pt;mso-position-vertical-relative:page;margin-top:533.01pt;" coordsize="1613,35421">
                <v:rect id="Rectangle 4240"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241"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41 de 298 </w:t>
                        </w:r>
                      </w:p>
                    </w:txbxContent>
                  </v:textbox>
                </v:rect>
                <w10:wrap type="square"/>
              </v:group>
            </w:pict>
          </mc:Fallback>
        </mc:AlternateContent>
      </w:r>
      <w:r>
        <w:rPr>
          <w:b/>
          <w:i/>
        </w:rPr>
        <w:t>Para Desarrollo Rural (Agricultura y ganadería) se destina para gastos de personal un importe de 86.516,43 euros, en tanto en bienes y servicios la Producción de productos locales y mercadillo continúará recibiendo la misma</w:t>
      </w:r>
      <w:r>
        <w:rPr>
          <w:b/>
          <w:i/>
        </w:rPr>
        <w:t xml:space="preserve"> cantidad que el pasado año. La asignación a este sector primario representa el 0,5% del presupuesto total. Ello significa el incumplimiento de la moción presentada por Sí se puede de mayo de 2020 para potenciar el peso del Sector Primario (agrícola, ganad</w:t>
      </w:r>
      <w:r>
        <w:rPr>
          <w:b/>
          <w:i/>
        </w:rPr>
        <w:t xml:space="preserve">ero y pesquero), así como para promover la agroecología en Candelaria.  </w:t>
      </w:r>
    </w:p>
    <w:p w:rsidR="00B064CF" w:rsidRDefault="00E32F70">
      <w:pPr>
        <w:spacing w:after="113" w:line="248" w:lineRule="auto"/>
        <w:ind w:left="355" w:right="142"/>
      </w:pPr>
      <w:r>
        <w:rPr>
          <w:b/>
          <w:i/>
        </w:rPr>
        <w:t>Concretamente al Sector PESQUERO se destinan este año 13.724,06 euros y en inversiones reales 500 euros. Han disminuido las ventas como consecuencia del cierre de establecimientos de restauración, el sector está sufriendo, como todos, esta crisis. Según in</w:t>
      </w:r>
      <w:r>
        <w:rPr>
          <w:b/>
          <w:i/>
        </w:rPr>
        <w:t>forme de intervención, los 14.224,06 euros, representan el 0,006% del presupuesto total, ¿Acaso se merece este sector, de un municipio marinero, creador de riqueza, de trabajo, de historia, de atractivo turístico y que repercute en otras tantas actividades</w:t>
      </w:r>
      <w:r>
        <w:rPr>
          <w:b/>
          <w:i/>
        </w:rPr>
        <w:t xml:space="preserve"> económicas semejante presupuesto?  </w:t>
      </w:r>
    </w:p>
    <w:p w:rsidR="00B064CF" w:rsidRDefault="00E32F70">
      <w:pPr>
        <w:spacing w:after="113" w:line="248" w:lineRule="auto"/>
        <w:ind w:left="355" w:right="145"/>
      </w:pPr>
      <w:r>
        <w:rPr>
          <w:b/>
          <w:i/>
        </w:rPr>
        <w:t>La INFORMACIÓN Y PROMOCIÓN TURÍSTICA afecta y repercute en la actividades económicas del municipio si alcanza el objetivo que pretende. Por ello los esfuerzos por dinamizarla van a redundar en beneficio de las actividad</w:t>
      </w:r>
      <w:r>
        <w:rPr>
          <w:b/>
          <w:i/>
        </w:rPr>
        <w:t xml:space="preserve">es del sector servicios directamente y en el resto de sectores de una u otra forma.  </w:t>
      </w:r>
    </w:p>
    <w:p w:rsidR="00B064CF" w:rsidRDefault="00E32F70">
      <w:pPr>
        <w:spacing w:after="113" w:line="248" w:lineRule="auto"/>
        <w:ind w:left="355" w:right="145"/>
      </w:pPr>
      <w:r>
        <w:rPr>
          <w:b/>
          <w:i/>
        </w:rPr>
        <w:t>Por todo esto, reclamamos una mayor dotación económica y de recursos humanos destinados a dar un apoyo real para los diferentes sectores económicos, como potenciales gene</w:t>
      </w:r>
      <w:r>
        <w:rPr>
          <w:b/>
          <w:i/>
        </w:rPr>
        <w:t xml:space="preserve">radores de empleo en nuestro Municipio.  </w:t>
      </w:r>
    </w:p>
    <w:p w:rsidR="00B064CF" w:rsidRDefault="00E32F70">
      <w:pPr>
        <w:spacing w:after="96"/>
        <w:ind w:left="345" w:right="141" w:firstLine="708"/>
      </w:pPr>
      <w:r>
        <w:t>Aumento de los créditos para gastos en diferentes sectores económicos, no se encuadra dentro de los tres supuestos de reclamación, tal como dispone el artículo 170.2 del Real Decreto Legislativo 2/2004, de 5 de mar</w:t>
      </w:r>
      <w:r>
        <w:t>zo, por el que se aprueba el Texto Refundido de la Ley reguladora de las Haciendas Locales. No existe, por tanto, obligación legal.</w:t>
      </w:r>
      <w:r>
        <w:rPr>
          <w:rFonts w:ascii="Times New Roman" w:eastAsia="Times New Roman" w:hAnsi="Times New Roman" w:cs="Times New Roman"/>
          <w:sz w:val="24"/>
        </w:rPr>
        <w:t xml:space="preserve"> </w:t>
      </w:r>
    </w:p>
    <w:p w:rsidR="00B064CF" w:rsidRDefault="00E32F70">
      <w:pPr>
        <w:spacing w:after="11"/>
        <w:ind w:left="355" w:right="72"/>
      </w:pPr>
      <w:r>
        <w:t xml:space="preserve">Se informa negativamente la presente reclamación. </w:t>
      </w:r>
    </w:p>
    <w:p w:rsidR="00B064CF" w:rsidRDefault="00E32F70">
      <w:pPr>
        <w:spacing w:after="113" w:line="248" w:lineRule="auto"/>
        <w:ind w:left="355" w:right="144"/>
      </w:pPr>
      <w:r>
        <w:rPr>
          <w:b/>
        </w:rPr>
        <w:t>17.-</w:t>
      </w:r>
      <w:r>
        <w:rPr>
          <w:b/>
          <w:i/>
        </w:rPr>
        <w:t xml:space="preserve"> </w:t>
      </w:r>
      <w:r>
        <w:rPr>
          <w:b/>
          <w:i/>
        </w:rPr>
        <w:t>Para dar cumplimiento al acuerdo plenario de la moción presentada por Sí se puede para la catalogación y protección del patrimonio cultural del municipio de Candelaria, se ha de dotar al área política y el área de gasto de Identidad Canaria difuminado dent</w:t>
      </w:r>
      <w:r>
        <w:rPr>
          <w:b/>
          <w:i/>
        </w:rPr>
        <w:t>ro de Promoción cultural de un presupuesto con partida finalista como muestra de que hay una voluntad política municipal que quiera abordar el patrimonio arqueológico, histórico y etnográfico de Candelaria con la importancia que merece y con la repercusión</w:t>
      </w:r>
      <w:r>
        <w:rPr>
          <w:b/>
          <w:i/>
        </w:rPr>
        <w:t xml:space="preserve"> económica que a la larga puede alcanzar la acometida de actuaciones en estas materias. </w:t>
      </w:r>
      <w:r>
        <w:rPr>
          <w:rFonts w:ascii="Times New Roman" w:eastAsia="Times New Roman" w:hAnsi="Times New Roman" w:cs="Times New Roman"/>
          <w:sz w:val="24"/>
        </w:rPr>
        <w:t xml:space="preserve"> </w:t>
      </w:r>
    </w:p>
    <w:p w:rsidR="00B064CF" w:rsidRDefault="00E32F70">
      <w:pPr>
        <w:spacing w:after="113" w:line="248" w:lineRule="auto"/>
        <w:ind w:left="355" w:right="144"/>
      </w:pPr>
      <w:r>
        <w:rPr>
          <w:b/>
          <w:i/>
        </w:rPr>
        <w:t>Por ello reclamamos una dotación presupuestaria específica para el inventario, rehabilitación, mantenimiento y promoción del patrimonio histórico y cultural de Candel</w:t>
      </w:r>
      <w:r>
        <w:rPr>
          <w:b/>
          <w:i/>
        </w:rPr>
        <w:t xml:space="preserve">aria porque tiene importancia en sí mismo y porque una estrategia adecuada puede generar actividad económica y promoción de empleo directo e indirecto.  </w:t>
      </w:r>
    </w:p>
    <w:p w:rsidR="00B064CF" w:rsidRDefault="00E32F70">
      <w:pPr>
        <w:spacing w:after="96"/>
        <w:ind w:left="345" w:right="145" w:firstLine="708"/>
      </w:pPr>
      <w:r>
        <w:t xml:space="preserve">Crear una aplicación presupuestaria para el inventario, rehabilitación, mantenimiento y promoción del </w:t>
      </w:r>
      <w:r>
        <w:t xml:space="preserve">patrimonio histórico y cultural de Candelaria, no se encuadra dentro de los tres supuestos de reclamación, tal como dispone el artículo 170.2 del Real Decreto Legislativo 2/2004, de 5 de marzo, por el que se aprueba el Texto Refundido de la Ley reguladora </w:t>
      </w:r>
      <w:r>
        <w:t>de las Haciendas Locales. No existe, por tanto, obligación legal.</w:t>
      </w:r>
      <w:r>
        <w:rPr>
          <w:rFonts w:ascii="Times New Roman" w:eastAsia="Times New Roman" w:hAnsi="Times New Roman" w:cs="Times New Roman"/>
          <w:sz w:val="24"/>
        </w:rPr>
        <w:t xml:space="preserve"> </w:t>
      </w:r>
    </w:p>
    <w:p w:rsidR="00B064CF" w:rsidRDefault="00E32F70">
      <w:pPr>
        <w:spacing w:after="111"/>
        <w:ind w:left="355" w:right="72"/>
      </w:pPr>
      <w:r>
        <w:t xml:space="preserve">Se informa negativamente la presente reclamación. </w:t>
      </w:r>
    </w:p>
    <w:p w:rsidR="00B064CF" w:rsidRDefault="00E32F70">
      <w:pPr>
        <w:spacing w:after="96" w:line="259" w:lineRule="auto"/>
        <w:ind w:left="360" w:firstLine="0"/>
        <w:jc w:val="left"/>
      </w:pPr>
      <w:r>
        <w:rPr>
          <w:b/>
          <w:i/>
        </w:rPr>
        <w:t xml:space="preserve"> </w:t>
      </w:r>
    </w:p>
    <w:p w:rsidR="00B064CF" w:rsidRDefault="00E32F70">
      <w:pPr>
        <w:spacing w:after="113" w:line="248" w:lineRule="auto"/>
        <w:ind w:left="355" w:right="149"/>
      </w:pPr>
      <w:r>
        <w:rPr>
          <w:rFonts w:ascii="Calibri" w:eastAsia="Calibri" w:hAnsi="Calibri" w:cs="Calibri"/>
          <w:noProof/>
        </w:rPr>
        <mc:AlternateContent>
          <mc:Choice Requires="wpg">
            <w:drawing>
              <wp:anchor distT="0" distB="0" distL="114300" distR="114300" simplePos="0" relativeHeight="25170432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69812" name="Group 369812"/>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353" name="Rectangle 4353"/>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4354" name="Rectangle 4354"/>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Documento firmado electrónicament</w:t>
                              </w:r>
                              <w:r>
                                <w:rPr>
                                  <w:sz w:val="12"/>
                                </w:rPr>
                                <w:t xml:space="preserve">e desde la plataforma esPublico Gestiona | Página 42 de 298 </w:t>
                              </w:r>
                            </w:p>
                          </w:txbxContent>
                        </wps:txbx>
                        <wps:bodyPr horzOverflow="overflow" vert="horz" lIns="0" tIns="0" rIns="0" bIns="0" rtlCol="0">
                          <a:noAutofit/>
                        </wps:bodyPr>
                      </wps:wsp>
                    </wpg:wgp>
                  </a:graphicData>
                </a:graphic>
              </wp:anchor>
            </w:drawing>
          </mc:Choice>
          <mc:Fallback xmlns:a="http://schemas.openxmlformats.org/drawingml/2006/main">
            <w:pict>
              <v:group id="Group 369812" style="width:12.7031pt;height:278.91pt;position:absolute;mso-position-horizontal-relative:page;mso-position-horizontal:absolute;margin-left:682.278pt;mso-position-vertical-relative:page;margin-top:533.01pt;" coordsize="1613,35421">
                <v:rect id="Rectangle 4353"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354"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42 de 298 </w:t>
                        </w:r>
                      </w:p>
                    </w:txbxContent>
                  </v:textbox>
                </v:rect>
                <w10:wrap type="square"/>
              </v:group>
            </w:pict>
          </mc:Fallback>
        </mc:AlternateContent>
      </w:r>
      <w:r>
        <w:rPr>
          <w:b/>
        </w:rPr>
        <w:t>18.-</w:t>
      </w:r>
      <w:r>
        <w:rPr>
          <w:b/>
          <w:i/>
        </w:rPr>
        <w:t xml:space="preserve">  El presupuesto elaborado, además de lo que hemos ido reseñando en las reclamaciones anteriores, ha obviado expresamente algunos acuerdos plenarios a raíz de Mociones presentadas por Sí se p</w:t>
      </w:r>
      <w:r>
        <w:rPr>
          <w:b/>
          <w:i/>
        </w:rPr>
        <w:t>uede, así como otras propuestas que entendemos importantes. Por ello reclamamos dotación presupuestaria para las siguientes actuaciones:</w:t>
      </w:r>
      <w:r>
        <w:rPr>
          <w:rFonts w:ascii="Times New Roman" w:eastAsia="Times New Roman" w:hAnsi="Times New Roman" w:cs="Times New Roman"/>
          <w:sz w:val="24"/>
        </w:rPr>
        <w:t xml:space="preserve"> </w:t>
      </w:r>
    </w:p>
    <w:p w:rsidR="00B064CF" w:rsidRDefault="00E32F70">
      <w:pPr>
        <w:spacing w:after="98" w:line="259" w:lineRule="auto"/>
        <w:ind w:left="360" w:firstLine="0"/>
        <w:jc w:val="left"/>
      </w:pPr>
      <w:r>
        <w:rPr>
          <w:b/>
          <w:i/>
        </w:rPr>
        <w:t xml:space="preserve"> </w:t>
      </w:r>
    </w:p>
    <w:p w:rsidR="00B064CF" w:rsidRDefault="00E32F70">
      <w:pPr>
        <w:numPr>
          <w:ilvl w:val="0"/>
          <w:numId w:val="6"/>
        </w:numPr>
        <w:spacing w:after="113" w:line="248" w:lineRule="auto"/>
        <w:ind w:right="349" w:hanging="259"/>
      </w:pPr>
      <w:r>
        <w:rPr>
          <w:b/>
          <w:i/>
        </w:rPr>
        <w:t xml:space="preserve">Planificación y ejecución de una playa para perros  </w:t>
      </w:r>
    </w:p>
    <w:p w:rsidR="00B064CF" w:rsidRDefault="00E32F70">
      <w:pPr>
        <w:numPr>
          <w:ilvl w:val="0"/>
          <w:numId w:val="6"/>
        </w:numPr>
        <w:spacing w:after="113" w:line="248" w:lineRule="auto"/>
        <w:ind w:right="349" w:hanging="259"/>
      </w:pPr>
      <w:r>
        <w:rPr>
          <w:b/>
          <w:i/>
        </w:rPr>
        <w:t xml:space="preserve">Red de riego para Barranco Hondo.  </w:t>
      </w:r>
    </w:p>
    <w:p w:rsidR="00B064CF" w:rsidRDefault="00E32F70">
      <w:pPr>
        <w:numPr>
          <w:ilvl w:val="0"/>
          <w:numId w:val="6"/>
        </w:numPr>
        <w:spacing w:after="113" w:line="248" w:lineRule="auto"/>
        <w:ind w:right="349" w:hanging="259"/>
      </w:pPr>
      <w:r>
        <w:rPr>
          <w:b/>
          <w:i/>
        </w:rPr>
        <w:t xml:space="preserve">Actuaciones en Playa de la Viuda en materia de alumbrado público, saneamiento y vallado de solares y mejora de los espacios públicos.  </w:t>
      </w:r>
    </w:p>
    <w:p w:rsidR="00B064CF" w:rsidRDefault="00E32F70">
      <w:pPr>
        <w:numPr>
          <w:ilvl w:val="0"/>
          <w:numId w:val="6"/>
        </w:numPr>
        <w:spacing w:after="113" w:line="248" w:lineRule="auto"/>
        <w:ind w:right="349" w:hanging="259"/>
      </w:pPr>
      <w:r>
        <w:rPr>
          <w:b/>
          <w:i/>
        </w:rPr>
        <w:t xml:space="preserve">Mantenimiento, reparación y sombra de los parques infantiles que faltan y, especialmente, de aquellos localizados en la </w:t>
      </w:r>
      <w:r>
        <w:rPr>
          <w:b/>
          <w:i/>
        </w:rPr>
        <w:t xml:space="preserve">zona de medianías. </w:t>
      </w:r>
    </w:p>
    <w:p w:rsidR="00B064CF" w:rsidRDefault="00E32F70">
      <w:pPr>
        <w:spacing w:after="91"/>
        <w:ind w:left="345" w:right="144" w:firstLine="708"/>
      </w:pPr>
      <w:r>
        <w:t>Crear aplicaciones presupuestarias para las actuaciones anteriores, propuestas en mociones plenarias, no se encuadra dentro de los tres supuestos de reclamación, tal como dispone el artículo 170.2 del Real Decreto Legislativo 2/2004, de</w:t>
      </w:r>
      <w:r>
        <w:t xml:space="preserve"> 5 de marzo, por el que se aprueba el Texto Refundido de la Ley reguladora de las Haciendas Locales. No existe, por tanto, obligación legal.</w:t>
      </w:r>
      <w:r>
        <w:rPr>
          <w:rFonts w:ascii="Times New Roman" w:eastAsia="Times New Roman" w:hAnsi="Times New Roman" w:cs="Times New Roman"/>
          <w:sz w:val="24"/>
        </w:rPr>
        <w:t xml:space="preserve"> </w:t>
      </w:r>
    </w:p>
    <w:p w:rsidR="00B064CF" w:rsidRDefault="00E32F70">
      <w:pPr>
        <w:spacing w:after="109"/>
        <w:ind w:left="355" w:right="72"/>
      </w:pPr>
      <w:r>
        <w:t xml:space="preserve">Se informa negativamente la presente reclamación. </w:t>
      </w:r>
    </w:p>
    <w:p w:rsidR="00B064CF" w:rsidRDefault="00E32F70">
      <w:pPr>
        <w:spacing w:after="113" w:line="248" w:lineRule="auto"/>
        <w:ind w:left="355" w:right="144"/>
      </w:pPr>
      <w:r>
        <w:rPr>
          <w:b/>
          <w:i/>
        </w:rPr>
        <w:t xml:space="preserve"> </w:t>
      </w:r>
      <w:r>
        <w:rPr>
          <w:b/>
        </w:rPr>
        <w:t>19.-</w:t>
      </w:r>
      <w:r>
        <w:rPr>
          <w:b/>
          <w:i/>
        </w:rPr>
        <w:t xml:space="preserve"> En este presupuesto no apreciamos que se equilibre territ</w:t>
      </w:r>
      <w:r>
        <w:rPr>
          <w:b/>
          <w:i/>
        </w:rPr>
        <w:t>orialmente el gasto en el conjunto del municipio, ya que salvo actuaciones muy puntuales es imposible saber, ni siquiera de manera aproximada, cuántos recursos económicos municipales se invertirán en cada uno de los pueblos y de las zonas de Candelaria. En</w:t>
      </w:r>
      <w:r>
        <w:rPr>
          <w:b/>
          <w:i/>
        </w:rPr>
        <w:t xml:space="preserve"> este sentido reclamamos una mayor claridad y transparencia en el capítulo de inversiones que permita un control efectivo del gasto por los vecinos y vecinas del municipio.</w:t>
      </w:r>
      <w:r>
        <w:rPr>
          <w:rFonts w:ascii="Times New Roman" w:eastAsia="Times New Roman" w:hAnsi="Times New Roman" w:cs="Times New Roman"/>
          <w:sz w:val="24"/>
        </w:rPr>
        <w:t xml:space="preserve"> </w:t>
      </w:r>
    </w:p>
    <w:p w:rsidR="00B064CF" w:rsidRDefault="00E32F70">
      <w:pPr>
        <w:spacing w:after="122"/>
        <w:ind w:left="345" w:right="72" w:firstLine="708"/>
      </w:pPr>
      <w:r>
        <w:t>Reclamar mayor claridad y transparencia, en el capítulo de inversiones que permita</w:t>
      </w:r>
      <w:r>
        <w:t xml:space="preserve"> un control efectivo del gasto por los vecinos y vecinas del municipio, no se encuadra dentro de los tres supuestos de reclamación, tal como dispone el artículo 170.2 del Real Decreto Legislativo 2/2004, de 5 de marzo, por el que se aprueba el Texto Refund</w:t>
      </w:r>
      <w:r>
        <w:t>ido de la Ley reguladora de las Haciendas Locales. No existe, por tanto, obligación legal.</w:t>
      </w:r>
      <w:r>
        <w:rPr>
          <w:rFonts w:ascii="Times New Roman" w:eastAsia="Times New Roman" w:hAnsi="Times New Roman" w:cs="Times New Roman"/>
          <w:sz w:val="24"/>
        </w:rPr>
        <w:t xml:space="preserve"> </w:t>
      </w:r>
    </w:p>
    <w:p w:rsidR="00B064CF" w:rsidRDefault="00E32F70">
      <w:pPr>
        <w:spacing w:after="109"/>
        <w:ind w:left="355" w:right="72"/>
      </w:pPr>
      <w:r>
        <w:t xml:space="preserve">Se informa negativamente la presente reclamación.” </w:t>
      </w:r>
    </w:p>
    <w:p w:rsidR="00B064CF" w:rsidRDefault="00E32F70">
      <w:pPr>
        <w:spacing w:after="98" w:line="259" w:lineRule="auto"/>
        <w:ind w:left="360" w:firstLine="0"/>
        <w:jc w:val="left"/>
      </w:pPr>
      <w:r>
        <w:t xml:space="preserve"> </w:t>
      </w:r>
    </w:p>
    <w:p w:rsidR="00B064CF" w:rsidRDefault="00E32F70">
      <w:pPr>
        <w:spacing w:after="4"/>
        <w:ind w:left="355" w:right="68"/>
      </w:pPr>
      <w:r>
        <w:rPr>
          <w:b/>
        </w:rPr>
        <w:t xml:space="preserve">   Consta en el expediente propuesta del Concejal delegado de Hacienda, D. Airam Pérez Chinea, de fecha 18 de </w:t>
      </w:r>
      <w:r>
        <w:rPr>
          <w:b/>
        </w:rPr>
        <w:t xml:space="preserve">mayo de 2021, que transcrito literalmente dice: </w:t>
      </w:r>
    </w:p>
    <w:p w:rsidR="00B064CF" w:rsidRDefault="00E32F70">
      <w:pPr>
        <w:spacing w:after="154" w:line="259" w:lineRule="auto"/>
        <w:ind w:left="360" w:firstLine="0"/>
        <w:jc w:val="left"/>
      </w:pPr>
      <w:r>
        <w:rPr>
          <w:b/>
        </w:rPr>
        <w:t xml:space="preserve"> </w:t>
      </w:r>
    </w:p>
    <w:p w:rsidR="00B064CF" w:rsidRDefault="00E32F70">
      <w:pPr>
        <w:spacing w:after="136"/>
        <w:ind w:left="345" w:right="146" w:firstLine="720"/>
      </w:pPr>
      <w:r>
        <w:t>“Dado el expediente de Presupuesto General de esta Corporación para el ejercicio 2021, seguido el trámite expresamente previsto para su confección por el Texto Refundido de la Ley de Haciendas Locales 2/20</w:t>
      </w:r>
      <w:r>
        <w:t xml:space="preserve">04, y sometido a aprobación del Pleno, en sesión extraordinaria de este órgano de fecha 15 de abril de 2021, se adopta acuerdo de aprobación inicial del expediente. </w:t>
      </w:r>
    </w:p>
    <w:p w:rsidR="00B064CF" w:rsidRDefault="00E32F70">
      <w:pPr>
        <w:spacing w:after="138"/>
        <w:ind w:left="345" w:right="147" w:firstLine="708"/>
      </w:pPr>
      <w:r>
        <w:rPr>
          <w:rFonts w:ascii="Calibri" w:eastAsia="Calibri" w:hAnsi="Calibri" w:cs="Calibri"/>
          <w:noProof/>
        </w:rPr>
        <mc:AlternateContent>
          <mc:Choice Requires="wpg">
            <w:drawing>
              <wp:anchor distT="0" distB="0" distL="114300" distR="114300" simplePos="0" relativeHeight="25170534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71521" name="Group 371521"/>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660" name="Rectangle 4660"/>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4661" name="Rectangle 4661"/>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43 de 298 </w:t>
                              </w:r>
                            </w:p>
                          </w:txbxContent>
                        </wps:txbx>
                        <wps:bodyPr horzOverflow="overflow" vert="horz" lIns="0" tIns="0" rIns="0" bIns="0" rtlCol="0">
                          <a:noAutofit/>
                        </wps:bodyPr>
                      </wps:wsp>
                    </wpg:wgp>
                  </a:graphicData>
                </a:graphic>
              </wp:anchor>
            </w:drawing>
          </mc:Choice>
          <mc:Fallback xmlns:a="http://schemas.openxmlformats.org/drawingml/2006/main">
            <w:pict>
              <v:group id="Group 371521" style="width:12.7031pt;height:278.91pt;position:absolute;mso-position-horizontal-relative:page;mso-position-horizontal:absolute;margin-left:682.278pt;mso-position-vertical-relative:page;margin-top:533.01pt;" coordsize="1613,35421">
                <v:rect id="Rectangle 4660"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661"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43 de 298 </w:t>
                        </w:r>
                      </w:p>
                    </w:txbxContent>
                  </v:textbox>
                </v:rect>
                <w10:wrap type="square"/>
              </v:group>
            </w:pict>
          </mc:Fallback>
        </mc:AlternateContent>
      </w:r>
      <w:r>
        <w:t>Sometido a exposición pública mediante anuncio en el BOP nº 49,  de 23 de abril de 2021, de conformidad con lo previsto en el art 169 del Texto Refundido de la Ley de Haciendas Locales aprobado por real Decreto Legislativo 2/2004, de 5 de marzo, y el artíc</w:t>
      </w:r>
      <w:r>
        <w:t>ulo 20 del Real Decreto Legislativo 500/1990 de 20 de abril, por los interesados se han presentado dentro del plazo legal de los quince días hábiles a partir de la referida publicación, las siguientes reclamaciones - alegaciones incorporadas al expediente:</w:t>
      </w:r>
      <w:r>
        <w:t xml:space="preserve"> </w:t>
      </w:r>
    </w:p>
    <w:p w:rsidR="00B064CF" w:rsidRDefault="00E32F70">
      <w:pPr>
        <w:numPr>
          <w:ilvl w:val="0"/>
          <w:numId w:val="7"/>
        </w:numPr>
        <w:ind w:right="72" w:hanging="358"/>
      </w:pPr>
      <w:r>
        <w:t xml:space="preserve">Por Grupo Popular municipal, con fecha 06/05/2021 y nº registro 2021-E-RE-1532. </w:t>
      </w:r>
    </w:p>
    <w:p w:rsidR="00B064CF" w:rsidRDefault="00E32F70">
      <w:pPr>
        <w:numPr>
          <w:ilvl w:val="0"/>
          <w:numId w:val="7"/>
        </w:numPr>
        <w:ind w:right="72" w:hanging="358"/>
      </w:pPr>
      <w:r>
        <w:t>Por Grupo Político Mixto – Coalición Canaria, con fecha 13 de mayo de 2021 y nº de registro de entrada 2021-E-RE-1613</w:t>
      </w:r>
      <w:r>
        <w:rPr>
          <w:rFonts w:ascii="Times New Roman" w:eastAsia="Times New Roman" w:hAnsi="Times New Roman" w:cs="Times New Roman"/>
          <w:sz w:val="24"/>
        </w:rPr>
        <w:t xml:space="preserve"> </w:t>
      </w:r>
    </w:p>
    <w:p w:rsidR="00B064CF" w:rsidRDefault="00E32F70">
      <w:pPr>
        <w:numPr>
          <w:ilvl w:val="0"/>
          <w:numId w:val="7"/>
        </w:numPr>
        <w:spacing w:after="117"/>
        <w:ind w:right="72" w:hanging="358"/>
      </w:pPr>
      <w:r>
        <w:t>Por Grupo Político Mixto – Sí se Puede, con fecha 14 d</w:t>
      </w:r>
      <w:r>
        <w:t>e mayo de 2021 y nº de registro de entrada 2021-E-RE-1647.</w:t>
      </w:r>
      <w:r>
        <w:rPr>
          <w:rFonts w:ascii="Times New Roman" w:eastAsia="Times New Roman" w:hAnsi="Times New Roman" w:cs="Times New Roman"/>
          <w:sz w:val="24"/>
        </w:rPr>
        <w:t xml:space="preserve"> </w:t>
      </w:r>
    </w:p>
    <w:p w:rsidR="00B064CF" w:rsidRDefault="00E32F70">
      <w:pPr>
        <w:spacing w:after="136"/>
        <w:ind w:left="345" w:right="143" w:firstLine="708"/>
      </w:pPr>
      <w:r>
        <w:t>Vistas las alegaciones – reclamaciones formuladas, por la Intervención de Fondos se ha emitido informe de cada una de ellas, siendo todas ellas informadas negativamente, al no estar en ningún supu</w:t>
      </w:r>
      <w:r>
        <w:t xml:space="preserve">esto de los señalados en el artículo 170 del R.D.L. 2/20014, de 5 de marzo, por el que se aprueba el Texto Refundido de la Ley Reguladora de las Haciendas Locales. </w:t>
      </w:r>
    </w:p>
    <w:p w:rsidR="00B064CF" w:rsidRDefault="00E32F70">
      <w:pPr>
        <w:spacing w:after="119"/>
        <w:ind w:left="345" w:right="72" w:firstLine="708"/>
      </w:pPr>
      <w:r>
        <w:t>Por todo ello, y en consonancia con informe favorable de la Intervención General, obrante i</w:t>
      </w:r>
      <w:r>
        <w:t>gualmente en el expediente, por esta Concejalía se Propone la adopción del siguiente acuerdo:</w:t>
      </w:r>
      <w:r>
        <w:rPr>
          <w:rFonts w:ascii="Times New Roman" w:eastAsia="Times New Roman" w:hAnsi="Times New Roman" w:cs="Times New Roman"/>
          <w:sz w:val="24"/>
        </w:rPr>
        <w:t xml:space="preserve"> </w:t>
      </w:r>
    </w:p>
    <w:p w:rsidR="00B064CF" w:rsidRDefault="00E32F70">
      <w:pPr>
        <w:spacing w:after="0"/>
        <w:ind w:left="355" w:right="146"/>
      </w:pPr>
      <w:r>
        <w:rPr>
          <w:b/>
        </w:rPr>
        <w:t>PRIMERO. -</w:t>
      </w:r>
      <w:r>
        <w:t xml:space="preserve"> Desestimar las reclamaciones - alegaciones presentadas por los interesados, y en consecuencia aprobar definitivamente el </w:t>
      </w:r>
      <w:r>
        <w:rPr>
          <w:b/>
        </w:rPr>
        <w:t>Presupuesto General del ejerc</w:t>
      </w:r>
      <w:r>
        <w:rPr>
          <w:b/>
        </w:rPr>
        <w:t>icio 2021, al que se incorpora Plantilla Orgánica y Plan Presupuestario</w:t>
      </w:r>
      <w:r>
        <w:t>, con el siguiente resumen:</w:t>
      </w:r>
      <w:r>
        <w:rPr>
          <w:rFonts w:ascii="Times New Roman" w:eastAsia="Times New Roman" w:hAnsi="Times New Roman" w:cs="Times New Roman"/>
          <w:sz w:val="24"/>
        </w:rPr>
        <w:t xml:space="preserve"> </w:t>
      </w:r>
    </w:p>
    <w:p w:rsidR="00B064CF" w:rsidRDefault="00E32F70">
      <w:pPr>
        <w:spacing w:after="98" w:line="259" w:lineRule="auto"/>
        <w:ind w:left="360" w:firstLine="0"/>
        <w:jc w:val="left"/>
      </w:pPr>
      <w:r>
        <w:t xml:space="preserve"> </w:t>
      </w:r>
    </w:p>
    <w:p w:rsidR="00B064CF" w:rsidRDefault="00E32F70">
      <w:pPr>
        <w:spacing w:after="4"/>
        <w:ind w:left="355" w:right="68"/>
      </w:pPr>
      <w:r>
        <w:rPr>
          <w:b/>
        </w:rPr>
        <w:t xml:space="preserve">I.-Estado de gastos e ingresos consolidados: </w:t>
      </w:r>
    </w:p>
    <w:tbl>
      <w:tblPr>
        <w:tblStyle w:val="TableGrid"/>
        <w:tblW w:w="8500" w:type="dxa"/>
        <w:tblInd w:w="360" w:type="dxa"/>
        <w:tblCellMar>
          <w:top w:w="5" w:type="dxa"/>
          <w:left w:w="68" w:type="dxa"/>
          <w:bottom w:w="0" w:type="dxa"/>
          <w:right w:w="12" w:type="dxa"/>
        </w:tblCellMar>
        <w:tblLook w:val="04A0" w:firstRow="1" w:lastRow="0" w:firstColumn="1" w:lastColumn="0" w:noHBand="0" w:noVBand="1"/>
      </w:tblPr>
      <w:tblGrid>
        <w:gridCol w:w="7"/>
        <w:gridCol w:w="507"/>
        <w:gridCol w:w="7"/>
        <w:gridCol w:w="1414"/>
        <w:gridCol w:w="7"/>
        <w:gridCol w:w="1134"/>
        <w:gridCol w:w="7"/>
        <w:gridCol w:w="1270"/>
        <w:gridCol w:w="7"/>
        <w:gridCol w:w="1414"/>
        <w:gridCol w:w="7"/>
        <w:gridCol w:w="1301"/>
        <w:gridCol w:w="7"/>
        <w:gridCol w:w="1412"/>
        <w:gridCol w:w="7"/>
      </w:tblGrid>
      <w:tr w:rsidR="00B064CF">
        <w:trPr>
          <w:gridAfter w:val="1"/>
          <w:wAfter w:w="7" w:type="dxa"/>
          <w:trHeight w:val="289"/>
        </w:trPr>
        <w:tc>
          <w:tcPr>
            <w:tcW w:w="514" w:type="dxa"/>
            <w:gridSpan w:val="2"/>
            <w:tcBorders>
              <w:top w:val="nil"/>
              <w:left w:val="nil"/>
              <w:bottom w:val="single" w:sz="4" w:space="0" w:color="000000"/>
              <w:right w:val="nil"/>
            </w:tcBorders>
            <w:shd w:val="clear" w:color="auto" w:fill="BFBFBF"/>
          </w:tcPr>
          <w:p w:rsidR="00B064CF" w:rsidRDefault="00B064CF">
            <w:pPr>
              <w:spacing w:after="160" w:line="259" w:lineRule="auto"/>
              <w:ind w:left="0" w:firstLine="0"/>
              <w:jc w:val="left"/>
            </w:pPr>
          </w:p>
        </w:tc>
        <w:tc>
          <w:tcPr>
            <w:tcW w:w="7986" w:type="dxa"/>
            <w:gridSpan w:val="12"/>
            <w:tcBorders>
              <w:top w:val="nil"/>
              <w:left w:val="nil"/>
              <w:bottom w:val="single" w:sz="4" w:space="0" w:color="000000"/>
              <w:right w:val="nil"/>
            </w:tcBorders>
            <w:shd w:val="clear" w:color="auto" w:fill="BFBFBF"/>
          </w:tcPr>
          <w:p w:rsidR="00B064CF" w:rsidRDefault="00E32F70">
            <w:pPr>
              <w:spacing w:after="0" w:line="259" w:lineRule="auto"/>
              <w:ind w:left="1598" w:firstLine="0"/>
              <w:jc w:val="left"/>
            </w:pPr>
            <w:r>
              <w:rPr>
                <w:b/>
                <w:sz w:val="20"/>
              </w:rPr>
              <w:t xml:space="preserve">ESTADO DE CONSOLIDACION DE GASTOS  </w:t>
            </w:r>
          </w:p>
        </w:tc>
      </w:tr>
      <w:tr w:rsidR="00B064CF">
        <w:trPr>
          <w:gridAfter w:val="1"/>
          <w:wAfter w:w="7" w:type="dxa"/>
          <w:trHeight w:val="930"/>
        </w:trPr>
        <w:tc>
          <w:tcPr>
            <w:tcW w:w="514"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41" w:lineRule="auto"/>
              <w:ind w:left="0" w:firstLine="0"/>
              <w:jc w:val="center"/>
            </w:pPr>
            <w:r>
              <w:rPr>
                <w:b/>
                <w:sz w:val="20"/>
              </w:rPr>
              <w:t>Capí-</w:t>
            </w:r>
          </w:p>
          <w:p w:rsidR="00B064CF" w:rsidRDefault="00E32F70">
            <w:pPr>
              <w:spacing w:after="0" w:line="259" w:lineRule="auto"/>
              <w:ind w:left="0" w:firstLine="0"/>
              <w:jc w:val="center"/>
            </w:pPr>
            <w:r>
              <w:rPr>
                <w:b/>
                <w:sz w:val="20"/>
              </w:rPr>
              <w:t xml:space="preserve">tulos </w:t>
            </w:r>
          </w:p>
        </w:tc>
        <w:tc>
          <w:tcPr>
            <w:tcW w:w="1421" w:type="dxa"/>
            <w:gridSpan w:val="2"/>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right="5" w:firstLine="0"/>
              <w:jc w:val="center"/>
            </w:pPr>
            <w:r>
              <w:rPr>
                <w:b/>
                <w:sz w:val="20"/>
              </w:rPr>
              <w:t xml:space="preserve">Ayuntamiento </w:t>
            </w:r>
          </w:p>
        </w:tc>
        <w:tc>
          <w:tcPr>
            <w:tcW w:w="1141" w:type="dxa"/>
            <w:gridSpan w:val="2"/>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22" w:firstLine="0"/>
            </w:pPr>
            <w:r>
              <w:rPr>
                <w:b/>
                <w:sz w:val="20"/>
              </w:rPr>
              <w:t xml:space="preserve">EPELCAN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17" w:hanging="17"/>
              <w:jc w:val="center"/>
            </w:pPr>
            <w:r>
              <w:rPr>
                <w:b/>
                <w:sz w:val="20"/>
              </w:rPr>
              <w:t xml:space="preserve">Sdad. Municipal Viviendas </w:t>
            </w:r>
          </w:p>
        </w:tc>
        <w:tc>
          <w:tcPr>
            <w:tcW w:w="1421" w:type="dxa"/>
            <w:gridSpan w:val="2"/>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right="58" w:firstLine="0"/>
              <w:jc w:val="center"/>
            </w:pPr>
            <w:r>
              <w:rPr>
                <w:b/>
                <w:sz w:val="20"/>
              </w:rPr>
              <w:t xml:space="preserve">Total </w:t>
            </w:r>
          </w:p>
        </w:tc>
        <w:tc>
          <w:tcPr>
            <w:tcW w:w="1308" w:type="dxa"/>
            <w:gridSpan w:val="2"/>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firstLine="0"/>
              <w:jc w:val="center"/>
            </w:pPr>
            <w:r>
              <w:rPr>
                <w:b/>
                <w:sz w:val="20"/>
              </w:rPr>
              <w:t xml:space="preserve">Eliminaciones </w:t>
            </w:r>
          </w:p>
        </w:tc>
        <w:tc>
          <w:tcPr>
            <w:tcW w:w="1419" w:type="dxa"/>
            <w:gridSpan w:val="2"/>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firstLine="0"/>
              <w:jc w:val="center"/>
            </w:pPr>
            <w:r>
              <w:rPr>
                <w:b/>
                <w:sz w:val="20"/>
              </w:rPr>
              <w:t xml:space="preserve">Pº Consolidado </w:t>
            </w:r>
          </w:p>
        </w:tc>
      </w:tr>
      <w:tr w:rsidR="00B064CF">
        <w:trPr>
          <w:gridAfter w:val="1"/>
          <w:wAfter w:w="7" w:type="dxa"/>
          <w:trHeight w:val="240"/>
        </w:trPr>
        <w:tc>
          <w:tcPr>
            <w:tcW w:w="514"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42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pPr>
            <w:r>
              <w:rPr>
                <w:sz w:val="20"/>
              </w:rPr>
              <w:t xml:space="preserve">10.024.256,50 </w:t>
            </w:r>
          </w:p>
        </w:tc>
        <w:tc>
          <w:tcPr>
            <w:tcW w:w="114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pPr>
            <w:r>
              <w:rPr>
                <w:sz w:val="20"/>
              </w:rPr>
              <w:t xml:space="preserve">544.872,84 </w:t>
            </w:r>
          </w:p>
        </w:tc>
        <w:tc>
          <w:tcPr>
            <w:tcW w:w="1277"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right"/>
            </w:pPr>
            <w:r>
              <w:rPr>
                <w:sz w:val="20"/>
              </w:rPr>
              <w:t xml:space="preserve">873.145,75 </w:t>
            </w:r>
          </w:p>
        </w:tc>
        <w:tc>
          <w:tcPr>
            <w:tcW w:w="142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4" w:firstLine="0"/>
            </w:pPr>
            <w:r>
              <w:rPr>
                <w:sz w:val="20"/>
              </w:rPr>
              <w:t xml:space="preserve">11.442.275,09 </w:t>
            </w:r>
          </w:p>
        </w:tc>
        <w:tc>
          <w:tcPr>
            <w:tcW w:w="1308"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right"/>
            </w:pPr>
            <w:r>
              <w:rPr>
                <w:sz w:val="20"/>
              </w:rPr>
              <w:t xml:space="preserve">  </w:t>
            </w:r>
          </w:p>
        </w:tc>
        <w:tc>
          <w:tcPr>
            <w:tcW w:w="1419"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4" w:firstLine="0"/>
            </w:pPr>
            <w:r>
              <w:rPr>
                <w:sz w:val="20"/>
              </w:rPr>
              <w:t xml:space="preserve">11.442.275,09 </w:t>
            </w:r>
          </w:p>
        </w:tc>
      </w:tr>
      <w:tr w:rsidR="00B064CF">
        <w:trPr>
          <w:gridAfter w:val="1"/>
          <w:wAfter w:w="7" w:type="dxa"/>
          <w:trHeight w:val="240"/>
        </w:trPr>
        <w:tc>
          <w:tcPr>
            <w:tcW w:w="514"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2 </w:t>
            </w:r>
          </w:p>
        </w:tc>
        <w:tc>
          <w:tcPr>
            <w:tcW w:w="142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10" w:firstLine="0"/>
              <w:jc w:val="left"/>
            </w:pPr>
            <w:r>
              <w:rPr>
                <w:sz w:val="20"/>
              </w:rPr>
              <w:t xml:space="preserve">9.290.540,83 </w:t>
            </w:r>
          </w:p>
        </w:tc>
        <w:tc>
          <w:tcPr>
            <w:tcW w:w="114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pPr>
            <w:r>
              <w:rPr>
                <w:sz w:val="20"/>
              </w:rPr>
              <w:t xml:space="preserve">349.304,74 </w:t>
            </w:r>
          </w:p>
        </w:tc>
        <w:tc>
          <w:tcPr>
            <w:tcW w:w="1277"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1" w:firstLine="0"/>
              <w:jc w:val="right"/>
            </w:pPr>
            <w:r>
              <w:rPr>
                <w:sz w:val="20"/>
              </w:rPr>
              <w:t xml:space="preserve">25.504,30 </w:t>
            </w:r>
          </w:p>
        </w:tc>
        <w:tc>
          <w:tcPr>
            <w:tcW w:w="142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10" w:firstLine="0"/>
              <w:jc w:val="left"/>
            </w:pPr>
            <w:r>
              <w:rPr>
                <w:sz w:val="20"/>
              </w:rPr>
              <w:t xml:space="preserve">9.665.349,87 </w:t>
            </w:r>
          </w:p>
        </w:tc>
        <w:tc>
          <w:tcPr>
            <w:tcW w:w="1308"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8" w:firstLine="0"/>
              <w:jc w:val="right"/>
            </w:pPr>
            <w:r>
              <w:rPr>
                <w:sz w:val="20"/>
              </w:rPr>
              <w:t xml:space="preserve">0,00 </w:t>
            </w:r>
          </w:p>
        </w:tc>
        <w:tc>
          <w:tcPr>
            <w:tcW w:w="1419"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10" w:firstLine="0"/>
              <w:jc w:val="left"/>
            </w:pPr>
            <w:r>
              <w:rPr>
                <w:sz w:val="20"/>
              </w:rPr>
              <w:t xml:space="preserve">9.665.349,87 </w:t>
            </w:r>
          </w:p>
        </w:tc>
      </w:tr>
      <w:tr w:rsidR="00B064CF">
        <w:trPr>
          <w:gridAfter w:val="1"/>
          <w:wAfter w:w="7" w:type="dxa"/>
          <w:trHeight w:val="240"/>
        </w:trPr>
        <w:tc>
          <w:tcPr>
            <w:tcW w:w="514"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3 </w:t>
            </w:r>
          </w:p>
        </w:tc>
        <w:tc>
          <w:tcPr>
            <w:tcW w:w="142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right"/>
            </w:pPr>
            <w:r>
              <w:rPr>
                <w:sz w:val="20"/>
              </w:rPr>
              <w:t xml:space="preserve">150.000,00 </w:t>
            </w:r>
          </w:p>
        </w:tc>
        <w:tc>
          <w:tcPr>
            <w:tcW w:w="114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righ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2" w:firstLine="0"/>
              <w:jc w:val="right"/>
            </w:pPr>
            <w:r>
              <w:rPr>
                <w:sz w:val="20"/>
              </w:rPr>
              <w:t xml:space="preserve">  </w:t>
            </w:r>
          </w:p>
        </w:tc>
        <w:tc>
          <w:tcPr>
            <w:tcW w:w="142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1" w:firstLine="0"/>
              <w:jc w:val="right"/>
            </w:pPr>
            <w:r>
              <w:rPr>
                <w:sz w:val="20"/>
              </w:rPr>
              <w:t xml:space="preserve">150.000,00 </w:t>
            </w:r>
          </w:p>
        </w:tc>
        <w:tc>
          <w:tcPr>
            <w:tcW w:w="1308"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right"/>
            </w:pPr>
            <w:r>
              <w:rPr>
                <w:sz w:val="20"/>
              </w:rPr>
              <w:t xml:space="preserve">  </w:t>
            </w:r>
          </w:p>
        </w:tc>
        <w:tc>
          <w:tcPr>
            <w:tcW w:w="1419"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8" w:firstLine="0"/>
              <w:jc w:val="right"/>
            </w:pPr>
            <w:r>
              <w:rPr>
                <w:sz w:val="20"/>
              </w:rPr>
              <w:t xml:space="preserve">150.000,00 </w:t>
            </w:r>
          </w:p>
        </w:tc>
      </w:tr>
      <w:tr w:rsidR="00B064CF">
        <w:trPr>
          <w:gridBefore w:val="1"/>
          <w:wBefore w:w="7" w:type="dxa"/>
          <w:trHeight w:val="235"/>
        </w:trPr>
        <w:tc>
          <w:tcPr>
            <w:tcW w:w="514" w:type="dxa"/>
            <w:gridSpan w:val="2"/>
            <w:tcBorders>
              <w:top w:val="nil"/>
              <w:left w:val="single" w:sz="4" w:space="0" w:color="000000"/>
              <w:bottom w:val="single" w:sz="4" w:space="0" w:color="000000"/>
              <w:right w:val="single" w:sz="4" w:space="0" w:color="000000"/>
            </w:tcBorders>
          </w:tcPr>
          <w:p w:rsidR="00B064CF" w:rsidRDefault="00E32F70">
            <w:pPr>
              <w:spacing w:after="0" w:line="259" w:lineRule="auto"/>
              <w:ind w:left="0" w:right="56" w:firstLine="0"/>
              <w:jc w:val="center"/>
            </w:pPr>
            <w:r>
              <w:rPr>
                <w:sz w:val="20"/>
              </w:rPr>
              <w:t xml:space="preserve">4 </w:t>
            </w:r>
          </w:p>
        </w:tc>
        <w:tc>
          <w:tcPr>
            <w:tcW w:w="1421" w:type="dxa"/>
            <w:gridSpan w:val="2"/>
            <w:tcBorders>
              <w:top w:val="nil"/>
              <w:left w:val="single" w:sz="4" w:space="0" w:color="000000"/>
              <w:bottom w:val="single" w:sz="4" w:space="0" w:color="000000"/>
              <w:right w:val="single" w:sz="4" w:space="0" w:color="000000"/>
            </w:tcBorders>
          </w:tcPr>
          <w:p w:rsidR="00B064CF" w:rsidRDefault="00E32F70">
            <w:pPr>
              <w:spacing w:after="0" w:line="259" w:lineRule="auto"/>
              <w:ind w:left="113" w:firstLine="0"/>
              <w:jc w:val="left"/>
            </w:pPr>
            <w:r>
              <w:rPr>
                <w:sz w:val="20"/>
              </w:rPr>
              <w:t xml:space="preserve">3.053.859,31 </w:t>
            </w:r>
          </w:p>
        </w:tc>
        <w:tc>
          <w:tcPr>
            <w:tcW w:w="1141" w:type="dxa"/>
            <w:gridSpan w:val="2"/>
            <w:tcBorders>
              <w:top w:val="nil"/>
              <w:left w:val="single" w:sz="4" w:space="0" w:color="000000"/>
              <w:bottom w:val="single" w:sz="4" w:space="0" w:color="000000"/>
              <w:right w:val="single" w:sz="4" w:space="0" w:color="000000"/>
            </w:tcBorders>
          </w:tcPr>
          <w:p w:rsidR="00B064CF" w:rsidRDefault="00E32F70">
            <w:pPr>
              <w:spacing w:after="0" w:line="259" w:lineRule="auto"/>
              <w:ind w:left="0" w:right="1" w:firstLine="0"/>
              <w:jc w:val="right"/>
            </w:pPr>
            <w:r>
              <w:rPr>
                <w:sz w:val="20"/>
              </w:rPr>
              <w:t xml:space="preserve">  </w:t>
            </w:r>
          </w:p>
        </w:tc>
        <w:tc>
          <w:tcPr>
            <w:tcW w:w="1277" w:type="dxa"/>
            <w:gridSpan w:val="2"/>
            <w:tcBorders>
              <w:top w:val="nil"/>
              <w:left w:val="single" w:sz="4" w:space="0" w:color="000000"/>
              <w:bottom w:val="single" w:sz="4" w:space="0" w:color="000000"/>
              <w:right w:val="single" w:sz="4" w:space="0" w:color="000000"/>
            </w:tcBorders>
          </w:tcPr>
          <w:p w:rsidR="00B064CF" w:rsidRDefault="00E32F70">
            <w:pPr>
              <w:spacing w:after="0" w:line="259" w:lineRule="auto"/>
              <w:ind w:left="0" w:right="4" w:firstLine="0"/>
              <w:jc w:val="right"/>
            </w:pPr>
            <w:r>
              <w:rPr>
                <w:sz w:val="20"/>
              </w:rPr>
              <w:t xml:space="preserve"> </w:t>
            </w:r>
          </w:p>
        </w:tc>
        <w:tc>
          <w:tcPr>
            <w:tcW w:w="1421" w:type="dxa"/>
            <w:gridSpan w:val="2"/>
            <w:tcBorders>
              <w:top w:val="nil"/>
              <w:left w:val="single" w:sz="4" w:space="0" w:color="000000"/>
              <w:bottom w:val="single" w:sz="4" w:space="0" w:color="000000"/>
              <w:right w:val="single" w:sz="4" w:space="0" w:color="000000"/>
            </w:tcBorders>
          </w:tcPr>
          <w:p w:rsidR="00B064CF" w:rsidRDefault="00E32F70">
            <w:pPr>
              <w:spacing w:after="0" w:line="259" w:lineRule="auto"/>
              <w:ind w:left="113" w:firstLine="0"/>
              <w:jc w:val="left"/>
            </w:pPr>
            <w:r>
              <w:rPr>
                <w:sz w:val="20"/>
              </w:rPr>
              <w:t xml:space="preserve">3.053.859,31 </w:t>
            </w:r>
          </w:p>
        </w:tc>
        <w:tc>
          <w:tcPr>
            <w:tcW w:w="1308" w:type="dxa"/>
            <w:gridSpan w:val="2"/>
            <w:tcBorders>
              <w:top w:val="nil"/>
              <w:left w:val="single" w:sz="4" w:space="0" w:color="000000"/>
              <w:bottom w:val="single" w:sz="4" w:space="0" w:color="000000"/>
              <w:right w:val="single" w:sz="4" w:space="0" w:color="000000"/>
            </w:tcBorders>
          </w:tcPr>
          <w:p w:rsidR="00B064CF" w:rsidRDefault="00E32F70">
            <w:pPr>
              <w:spacing w:after="0" w:line="259" w:lineRule="auto"/>
              <w:ind w:left="4" w:firstLine="0"/>
            </w:pPr>
            <w:r>
              <w:rPr>
                <w:sz w:val="20"/>
              </w:rPr>
              <w:t xml:space="preserve">1.074.088,19 </w:t>
            </w:r>
          </w:p>
        </w:tc>
        <w:tc>
          <w:tcPr>
            <w:tcW w:w="1419" w:type="dxa"/>
            <w:gridSpan w:val="2"/>
            <w:tcBorders>
              <w:top w:val="nil"/>
              <w:left w:val="single" w:sz="4" w:space="0" w:color="000000"/>
              <w:bottom w:val="single" w:sz="4" w:space="0" w:color="000000"/>
              <w:right w:val="single" w:sz="4" w:space="0" w:color="000000"/>
            </w:tcBorders>
          </w:tcPr>
          <w:p w:rsidR="00B064CF" w:rsidRDefault="00E32F70">
            <w:pPr>
              <w:spacing w:after="0" w:line="259" w:lineRule="auto"/>
              <w:ind w:left="114" w:firstLine="0"/>
              <w:jc w:val="left"/>
            </w:pPr>
            <w:r>
              <w:rPr>
                <w:sz w:val="20"/>
              </w:rPr>
              <w:t xml:space="preserve">1.979.771,12 </w:t>
            </w:r>
          </w:p>
        </w:tc>
      </w:tr>
      <w:tr w:rsidR="00B064CF">
        <w:trPr>
          <w:gridBefore w:val="1"/>
          <w:wBefore w:w="7" w:type="dxa"/>
          <w:trHeight w:val="240"/>
        </w:trPr>
        <w:tc>
          <w:tcPr>
            <w:tcW w:w="514"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6" w:firstLine="0"/>
              <w:jc w:val="center"/>
            </w:pPr>
            <w:r>
              <w:rPr>
                <w:sz w:val="20"/>
              </w:rPr>
              <w:t xml:space="preserve">5 </w:t>
            </w:r>
          </w:p>
        </w:tc>
        <w:tc>
          <w:tcPr>
            <w:tcW w:w="142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 w:firstLine="0"/>
              <w:jc w:val="right"/>
            </w:pPr>
            <w:r>
              <w:rPr>
                <w:sz w:val="20"/>
              </w:rPr>
              <w:t xml:space="preserve">  </w:t>
            </w:r>
          </w:p>
        </w:tc>
        <w:tc>
          <w:tcPr>
            <w:tcW w:w="114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 w:firstLine="0"/>
              <w:jc w:val="righ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 w:firstLine="0"/>
              <w:jc w:val="right"/>
            </w:pPr>
            <w:r>
              <w:rPr>
                <w:sz w:val="20"/>
              </w:rPr>
              <w:t xml:space="preserve">  </w:t>
            </w:r>
          </w:p>
        </w:tc>
        <w:tc>
          <w:tcPr>
            <w:tcW w:w="142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right"/>
            </w:pPr>
            <w:r>
              <w:rPr>
                <w:sz w:val="20"/>
              </w:rPr>
              <w:t xml:space="preserve">0,00 </w:t>
            </w:r>
          </w:p>
        </w:tc>
        <w:tc>
          <w:tcPr>
            <w:tcW w:w="1308"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right"/>
            </w:pPr>
            <w:r>
              <w:rPr>
                <w:sz w:val="20"/>
              </w:rPr>
              <w:t xml:space="preserve">  </w:t>
            </w:r>
          </w:p>
        </w:tc>
        <w:tc>
          <w:tcPr>
            <w:tcW w:w="1419"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right"/>
            </w:pPr>
            <w:r>
              <w:rPr>
                <w:sz w:val="20"/>
              </w:rPr>
              <w:t xml:space="preserve">0,00 </w:t>
            </w:r>
          </w:p>
        </w:tc>
      </w:tr>
      <w:tr w:rsidR="00B064CF">
        <w:trPr>
          <w:gridBefore w:val="1"/>
          <w:wBefore w:w="7" w:type="dxa"/>
          <w:trHeight w:val="240"/>
        </w:trPr>
        <w:tc>
          <w:tcPr>
            <w:tcW w:w="514"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6" w:firstLine="0"/>
              <w:jc w:val="center"/>
            </w:pPr>
            <w:r>
              <w:rPr>
                <w:sz w:val="20"/>
              </w:rPr>
              <w:t xml:space="preserve">6 </w:t>
            </w:r>
          </w:p>
        </w:tc>
        <w:tc>
          <w:tcPr>
            <w:tcW w:w="142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1" w:firstLine="0"/>
              <w:jc w:val="right"/>
            </w:pPr>
            <w:r>
              <w:rPr>
                <w:sz w:val="20"/>
              </w:rPr>
              <w:t xml:space="preserve">544.700,04 </w:t>
            </w:r>
          </w:p>
        </w:tc>
        <w:tc>
          <w:tcPr>
            <w:tcW w:w="114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 w:firstLine="0"/>
              <w:jc w:val="righ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 w:firstLine="0"/>
              <w:jc w:val="right"/>
            </w:pPr>
            <w:r>
              <w:rPr>
                <w:sz w:val="20"/>
              </w:rPr>
              <w:t xml:space="preserve">  </w:t>
            </w:r>
          </w:p>
        </w:tc>
        <w:tc>
          <w:tcPr>
            <w:tcW w:w="142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1" w:firstLine="0"/>
              <w:jc w:val="right"/>
            </w:pPr>
            <w:r>
              <w:rPr>
                <w:sz w:val="20"/>
              </w:rPr>
              <w:t xml:space="preserve">544.700,04 </w:t>
            </w:r>
          </w:p>
        </w:tc>
        <w:tc>
          <w:tcPr>
            <w:tcW w:w="1308"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right"/>
            </w:pPr>
            <w:r>
              <w:rPr>
                <w:sz w:val="20"/>
              </w:rPr>
              <w:t xml:space="preserve">  </w:t>
            </w:r>
          </w:p>
        </w:tc>
        <w:tc>
          <w:tcPr>
            <w:tcW w:w="1419"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right"/>
            </w:pPr>
            <w:r>
              <w:rPr>
                <w:sz w:val="20"/>
              </w:rPr>
              <w:t xml:space="preserve">544.700,04 </w:t>
            </w:r>
          </w:p>
        </w:tc>
      </w:tr>
      <w:tr w:rsidR="00B064CF">
        <w:trPr>
          <w:gridBefore w:val="1"/>
          <w:wBefore w:w="7" w:type="dxa"/>
          <w:trHeight w:val="240"/>
        </w:trPr>
        <w:tc>
          <w:tcPr>
            <w:tcW w:w="514"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6" w:firstLine="0"/>
              <w:jc w:val="center"/>
            </w:pPr>
            <w:r>
              <w:rPr>
                <w:sz w:val="20"/>
              </w:rPr>
              <w:t xml:space="preserve">7 </w:t>
            </w:r>
          </w:p>
        </w:tc>
        <w:tc>
          <w:tcPr>
            <w:tcW w:w="142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1" w:firstLine="0"/>
              <w:jc w:val="right"/>
            </w:pPr>
            <w:r>
              <w:rPr>
                <w:sz w:val="20"/>
              </w:rPr>
              <w:t xml:space="preserve">123.716,05 </w:t>
            </w:r>
          </w:p>
        </w:tc>
        <w:tc>
          <w:tcPr>
            <w:tcW w:w="114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 w:firstLine="0"/>
              <w:jc w:val="righ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 w:firstLine="0"/>
              <w:jc w:val="right"/>
            </w:pPr>
            <w:r>
              <w:rPr>
                <w:sz w:val="20"/>
              </w:rPr>
              <w:t xml:space="preserve">  </w:t>
            </w:r>
          </w:p>
        </w:tc>
        <w:tc>
          <w:tcPr>
            <w:tcW w:w="142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1" w:firstLine="0"/>
              <w:jc w:val="right"/>
            </w:pPr>
            <w:r>
              <w:rPr>
                <w:sz w:val="20"/>
              </w:rPr>
              <w:t xml:space="preserve">123.716,05 </w:t>
            </w:r>
          </w:p>
        </w:tc>
        <w:tc>
          <w:tcPr>
            <w:tcW w:w="1308"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right"/>
            </w:pPr>
            <w:r>
              <w:rPr>
                <w:sz w:val="20"/>
              </w:rPr>
              <w:t xml:space="preserve">  </w:t>
            </w:r>
          </w:p>
        </w:tc>
        <w:tc>
          <w:tcPr>
            <w:tcW w:w="1419"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right"/>
            </w:pPr>
            <w:r>
              <w:rPr>
                <w:sz w:val="20"/>
              </w:rPr>
              <w:t xml:space="preserve">123.716,05 </w:t>
            </w:r>
          </w:p>
        </w:tc>
      </w:tr>
      <w:tr w:rsidR="00B064CF">
        <w:trPr>
          <w:gridBefore w:val="1"/>
          <w:wBefore w:w="7" w:type="dxa"/>
          <w:trHeight w:val="240"/>
        </w:trPr>
        <w:tc>
          <w:tcPr>
            <w:tcW w:w="514"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6" w:firstLine="0"/>
              <w:jc w:val="center"/>
            </w:pPr>
            <w:r>
              <w:rPr>
                <w:sz w:val="20"/>
              </w:rPr>
              <w:t xml:space="preserve">8 </w:t>
            </w:r>
          </w:p>
        </w:tc>
        <w:tc>
          <w:tcPr>
            <w:tcW w:w="142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2" w:firstLine="0"/>
              <w:jc w:val="right"/>
            </w:pPr>
            <w:r>
              <w:rPr>
                <w:sz w:val="20"/>
              </w:rPr>
              <w:t xml:space="preserve">50.000,00 </w:t>
            </w:r>
          </w:p>
        </w:tc>
        <w:tc>
          <w:tcPr>
            <w:tcW w:w="114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 w:firstLine="0"/>
              <w:jc w:val="righ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 w:firstLine="0"/>
              <w:jc w:val="right"/>
            </w:pPr>
            <w:r>
              <w:rPr>
                <w:sz w:val="20"/>
              </w:rPr>
              <w:t xml:space="preserve">  </w:t>
            </w:r>
          </w:p>
        </w:tc>
        <w:tc>
          <w:tcPr>
            <w:tcW w:w="142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1" w:firstLine="0"/>
              <w:jc w:val="right"/>
            </w:pPr>
            <w:r>
              <w:rPr>
                <w:sz w:val="20"/>
              </w:rPr>
              <w:t xml:space="preserve">50.000,00 </w:t>
            </w:r>
          </w:p>
        </w:tc>
        <w:tc>
          <w:tcPr>
            <w:tcW w:w="1308"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right"/>
            </w:pPr>
            <w:r>
              <w:rPr>
                <w:sz w:val="20"/>
              </w:rPr>
              <w:t xml:space="preserve">  </w:t>
            </w:r>
          </w:p>
        </w:tc>
        <w:tc>
          <w:tcPr>
            <w:tcW w:w="1419"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right"/>
            </w:pPr>
            <w:r>
              <w:rPr>
                <w:sz w:val="20"/>
              </w:rPr>
              <w:t xml:space="preserve">50.000,00 </w:t>
            </w:r>
          </w:p>
        </w:tc>
      </w:tr>
      <w:tr w:rsidR="00B064CF">
        <w:trPr>
          <w:gridBefore w:val="1"/>
          <w:wBefore w:w="7" w:type="dxa"/>
          <w:trHeight w:val="241"/>
        </w:trPr>
        <w:tc>
          <w:tcPr>
            <w:tcW w:w="514"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6" w:firstLine="0"/>
              <w:jc w:val="center"/>
            </w:pPr>
            <w:r>
              <w:rPr>
                <w:sz w:val="20"/>
              </w:rPr>
              <w:t xml:space="preserve">9 </w:t>
            </w:r>
          </w:p>
        </w:tc>
        <w:tc>
          <w:tcPr>
            <w:tcW w:w="142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 w:firstLine="0"/>
              <w:jc w:val="right"/>
            </w:pPr>
            <w:r>
              <w:rPr>
                <w:sz w:val="20"/>
              </w:rPr>
              <w:t xml:space="preserve">  </w:t>
            </w:r>
          </w:p>
        </w:tc>
        <w:tc>
          <w:tcPr>
            <w:tcW w:w="114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 w:firstLine="0"/>
              <w:jc w:val="righ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 w:firstLine="0"/>
              <w:jc w:val="right"/>
            </w:pPr>
            <w:r>
              <w:rPr>
                <w:sz w:val="20"/>
              </w:rPr>
              <w:t xml:space="preserve">  </w:t>
            </w:r>
          </w:p>
        </w:tc>
        <w:tc>
          <w:tcPr>
            <w:tcW w:w="142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right"/>
            </w:pPr>
            <w:r>
              <w:rPr>
                <w:sz w:val="20"/>
              </w:rPr>
              <w:t xml:space="preserve">0,00 </w:t>
            </w:r>
          </w:p>
        </w:tc>
        <w:tc>
          <w:tcPr>
            <w:tcW w:w="1308"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right"/>
            </w:pPr>
            <w:r>
              <w:rPr>
                <w:sz w:val="20"/>
              </w:rPr>
              <w:t xml:space="preserve">  </w:t>
            </w:r>
          </w:p>
        </w:tc>
        <w:tc>
          <w:tcPr>
            <w:tcW w:w="1419"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right"/>
            </w:pPr>
            <w:r>
              <w:rPr>
                <w:sz w:val="20"/>
              </w:rPr>
              <w:t xml:space="preserve">0,00 </w:t>
            </w:r>
          </w:p>
        </w:tc>
      </w:tr>
      <w:tr w:rsidR="00B064CF">
        <w:trPr>
          <w:gridBefore w:val="1"/>
          <w:wBefore w:w="7" w:type="dxa"/>
          <w:trHeight w:val="468"/>
        </w:trPr>
        <w:tc>
          <w:tcPr>
            <w:tcW w:w="514" w:type="dxa"/>
            <w:gridSpan w:val="2"/>
            <w:tcBorders>
              <w:top w:val="single" w:sz="4" w:space="0" w:color="000000"/>
              <w:left w:val="single" w:sz="4" w:space="0" w:color="000000"/>
              <w:bottom w:val="single" w:sz="4" w:space="0" w:color="000000"/>
              <w:right w:val="single" w:sz="4" w:space="0" w:color="000000"/>
            </w:tcBorders>
            <w:shd w:val="clear" w:color="auto" w:fill="BFBFBF"/>
          </w:tcPr>
          <w:p w:rsidR="00B064CF" w:rsidRDefault="00E32F70">
            <w:pPr>
              <w:spacing w:after="0" w:line="259" w:lineRule="auto"/>
              <w:ind w:left="17" w:firstLine="0"/>
            </w:pPr>
            <w:r>
              <w:rPr>
                <w:b/>
                <w:sz w:val="20"/>
              </w:rPr>
              <w:t>TO-</w:t>
            </w:r>
          </w:p>
          <w:p w:rsidR="00B064CF" w:rsidRDefault="00E32F70">
            <w:pPr>
              <w:spacing w:after="0" w:line="259" w:lineRule="auto"/>
              <w:ind w:left="0" w:firstLine="0"/>
            </w:pPr>
            <w:r>
              <w:rPr>
                <w:b/>
                <w:sz w:val="20"/>
              </w:rPr>
              <w:t xml:space="preserve">TAL </w:t>
            </w:r>
          </w:p>
        </w:tc>
        <w:tc>
          <w:tcPr>
            <w:tcW w:w="1421"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B064CF" w:rsidRDefault="00E32F70">
            <w:pPr>
              <w:spacing w:after="0" w:line="259" w:lineRule="auto"/>
              <w:ind w:left="2" w:firstLine="0"/>
            </w:pPr>
            <w:r>
              <w:rPr>
                <w:b/>
                <w:sz w:val="20"/>
              </w:rPr>
              <w:t xml:space="preserve">23.237.072,73 </w:t>
            </w:r>
          </w:p>
        </w:tc>
        <w:tc>
          <w:tcPr>
            <w:tcW w:w="1141"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B064CF" w:rsidRDefault="00E32F70">
            <w:pPr>
              <w:spacing w:after="0" w:line="259" w:lineRule="auto"/>
              <w:ind w:left="2" w:firstLine="0"/>
            </w:pPr>
            <w:r>
              <w:rPr>
                <w:b/>
                <w:sz w:val="20"/>
              </w:rPr>
              <w:t xml:space="preserve">894.177,58 </w:t>
            </w:r>
          </w:p>
        </w:tc>
        <w:tc>
          <w:tcPr>
            <w:tcW w:w="1277"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B064CF" w:rsidRDefault="00E32F70">
            <w:pPr>
              <w:spacing w:after="0" w:line="259" w:lineRule="auto"/>
              <w:ind w:left="0" w:right="61" w:firstLine="0"/>
              <w:jc w:val="right"/>
            </w:pPr>
            <w:r>
              <w:rPr>
                <w:b/>
                <w:sz w:val="20"/>
              </w:rPr>
              <w:t xml:space="preserve">898.650,05 </w:t>
            </w:r>
          </w:p>
        </w:tc>
        <w:tc>
          <w:tcPr>
            <w:tcW w:w="1421"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B064CF" w:rsidRDefault="00E32F70">
            <w:pPr>
              <w:spacing w:after="0" w:line="259" w:lineRule="auto"/>
              <w:ind w:left="2" w:firstLine="0"/>
            </w:pPr>
            <w:r>
              <w:rPr>
                <w:b/>
                <w:sz w:val="20"/>
              </w:rPr>
              <w:t xml:space="preserve">25.029.900,36 </w:t>
            </w:r>
          </w:p>
        </w:tc>
        <w:tc>
          <w:tcPr>
            <w:tcW w:w="1308"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B064CF" w:rsidRDefault="00E32F70">
            <w:pPr>
              <w:spacing w:after="0" w:line="259" w:lineRule="auto"/>
              <w:ind w:left="4" w:firstLine="0"/>
            </w:pPr>
            <w:r>
              <w:rPr>
                <w:b/>
                <w:sz w:val="20"/>
              </w:rPr>
              <w:t xml:space="preserve">1.074.088,19 </w:t>
            </w:r>
          </w:p>
        </w:tc>
        <w:tc>
          <w:tcPr>
            <w:tcW w:w="1419"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B064CF" w:rsidRDefault="00E32F70">
            <w:pPr>
              <w:spacing w:after="0" w:line="259" w:lineRule="auto"/>
              <w:ind w:left="4" w:firstLine="0"/>
            </w:pPr>
            <w:r>
              <w:rPr>
                <w:b/>
                <w:sz w:val="20"/>
              </w:rPr>
              <w:t xml:space="preserve">23.955.812,17 </w:t>
            </w:r>
          </w:p>
        </w:tc>
      </w:tr>
    </w:tbl>
    <w:p w:rsidR="00B064CF" w:rsidRDefault="00E32F70">
      <w:pPr>
        <w:spacing w:after="0" w:line="259" w:lineRule="auto"/>
        <w:ind w:left="360" w:firstLine="0"/>
        <w:jc w:val="left"/>
      </w:pPr>
      <w:r>
        <w:rPr>
          <w:rFonts w:ascii="Calibri" w:eastAsia="Calibri" w:hAnsi="Calibri" w:cs="Calibri"/>
          <w:noProof/>
        </w:rPr>
        <mc:AlternateContent>
          <mc:Choice Requires="wpg">
            <w:drawing>
              <wp:anchor distT="0" distB="0" distL="114300" distR="114300" simplePos="0" relativeHeight="251706368" behindDoc="0" locked="0" layoutInCell="1" allowOverlap="1">
                <wp:simplePos x="0" y="0"/>
                <wp:positionH relativeFrom="page">
                  <wp:posOffset>8664935</wp:posOffset>
                </wp:positionH>
                <wp:positionV relativeFrom="page">
                  <wp:posOffset>6769227</wp:posOffset>
                </wp:positionV>
                <wp:extent cx="161330" cy="3542157"/>
                <wp:effectExtent l="0" t="0" r="0" b="0"/>
                <wp:wrapTopAndBottom/>
                <wp:docPr id="445984" name="Group 445984"/>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5790" name="Rectangle 5790"/>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5791" name="Rectangle 5791"/>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44 de 298 </w:t>
                              </w:r>
                            </w:p>
                          </w:txbxContent>
                        </wps:txbx>
                        <wps:bodyPr horzOverflow="overflow" vert="horz" lIns="0" tIns="0" rIns="0" bIns="0" rtlCol="0">
                          <a:noAutofit/>
                        </wps:bodyPr>
                      </wps:wsp>
                    </wpg:wgp>
                  </a:graphicData>
                </a:graphic>
              </wp:anchor>
            </w:drawing>
          </mc:Choice>
          <mc:Fallback xmlns:a="http://schemas.openxmlformats.org/drawingml/2006/main">
            <w:pict>
              <v:group id="Group 445984" style="width:12.7031pt;height:278.91pt;position:absolute;mso-position-horizontal-relative:page;mso-position-horizontal:absolute;margin-left:682.278pt;mso-position-vertical-relative:page;margin-top:533.01pt;" coordsize="1613,35421">
                <v:rect id="Rectangle 5790"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5791"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44 de 298 </w:t>
                        </w:r>
                      </w:p>
                    </w:txbxContent>
                  </v:textbox>
                </v:rect>
                <w10:wrap type="topAndBottom"/>
              </v:group>
            </w:pict>
          </mc:Fallback>
        </mc:AlternateContent>
      </w:r>
      <w:r>
        <w:rPr>
          <w:sz w:val="20"/>
        </w:rPr>
        <w:t xml:space="preserve"> </w:t>
      </w:r>
    </w:p>
    <w:tbl>
      <w:tblPr>
        <w:tblStyle w:val="TableGrid"/>
        <w:tblW w:w="8879" w:type="dxa"/>
        <w:tblInd w:w="362" w:type="dxa"/>
        <w:tblCellMar>
          <w:top w:w="8" w:type="dxa"/>
          <w:left w:w="71" w:type="dxa"/>
          <w:bottom w:w="0" w:type="dxa"/>
          <w:right w:w="13" w:type="dxa"/>
        </w:tblCellMar>
        <w:tblLook w:val="04A0" w:firstRow="1" w:lastRow="0" w:firstColumn="1" w:lastColumn="0" w:noHBand="0" w:noVBand="1"/>
      </w:tblPr>
      <w:tblGrid>
        <w:gridCol w:w="874"/>
        <w:gridCol w:w="1421"/>
        <w:gridCol w:w="1142"/>
        <w:gridCol w:w="1285"/>
        <w:gridCol w:w="1421"/>
        <w:gridCol w:w="1308"/>
        <w:gridCol w:w="1429"/>
      </w:tblGrid>
      <w:tr w:rsidR="00B064CF">
        <w:trPr>
          <w:trHeight w:val="292"/>
        </w:trPr>
        <w:tc>
          <w:tcPr>
            <w:tcW w:w="8879" w:type="dxa"/>
            <w:gridSpan w:val="7"/>
            <w:tcBorders>
              <w:top w:val="nil"/>
              <w:left w:val="nil"/>
              <w:bottom w:val="single" w:sz="4" w:space="0" w:color="000000"/>
              <w:right w:val="nil"/>
            </w:tcBorders>
            <w:shd w:val="clear" w:color="auto" w:fill="BFBFBF"/>
          </w:tcPr>
          <w:p w:rsidR="00B064CF" w:rsidRDefault="00E32F70">
            <w:pPr>
              <w:spacing w:after="0" w:line="259" w:lineRule="auto"/>
              <w:ind w:left="0" w:right="65" w:firstLine="0"/>
              <w:jc w:val="center"/>
            </w:pPr>
            <w:r>
              <w:rPr>
                <w:b/>
                <w:sz w:val="20"/>
              </w:rPr>
              <w:t xml:space="preserve">ESTADO DE CONSOLIDACION DE INGRESOS </w:t>
            </w:r>
          </w:p>
        </w:tc>
      </w:tr>
      <w:tr w:rsidR="00B064CF">
        <w:trPr>
          <w:trHeight w:val="700"/>
        </w:trPr>
        <w:tc>
          <w:tcPr>
            <w:tcW w:w="874" w:type="dxa"/>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firstLine="0"/>
              <w:jc w:val="center"/>
            </w:pPr>
            <w:r>
              <w:rPr>
                <w:b/>
                <w:sz w:val="20"/>
              </w:rPr>
              <w:t xml:space="preserve">Capítulos </w:t>
            </w:r>
          </w:p>
        </w:tc>
        <w:tc>
          <w:tcPr>
            <w:tcW w:w="1421" w:type="dxa"/>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right="5" w:firstLine="0"/>
              <w:jc w:val="center"/>
            </w:pPr>
            <w:r>
              <w:rPr>
                <w:b/>
                <w:sz w:val="20"/>
              </w:rPr>
              <w:t xml:space="preserve">Ayuntamiento </w:t>
            </w:r>
          </w:p>
        </w:tc>
        <w:tc>
          <w:tcPr>
            <w:tcW w:w="1142" w:type="dxa"/>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22" w:firstLine="0"/>
            </w:pPr>
            <w:r>
              <w:rPr>
                <w:b/>
                <w:sz w:val="20"/>
              </w:rPr>
              <w:t xml:space="preserve">EPELCAN </w:t>
            </w:r>
          </w:p>
        </w:tc>
        <w:tc>
          <w:tcPr>
            <w:tcW w:w="12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7" w:hanging="17"/>
              <w:jc w:val="center"/>
            </w:pPr>
            <w:r>
              <w:rPr>
                <w:b/>
                <w:sz w:val="20"/>
              </w:rPr>
              <w:t xml:space="preserve">Sdad. Municipal Viviendas </w:t>
            </w:r>
          </w:p>
        </w:tc>
        <w:tc>
          <w:tcPr>
            <w:tcW w:w="1421" w:type="dxa"/>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right="58" w:firstLine="0"/>
              <w:jc w:val="center"/>
            </w:pPr>
            <w:r>
              <w:rPr>
                <w:b/>
                <w:sz w:val="20"/>
              </w:rPr>
              <w:t xml:space="preserve">Total </w:t>
            </w:r>
          </w:p>
        </w:tc>
        <w:tc>
          <w:tcPr>
            <w:tcW w:w="1308" w:type="dxa"/>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firstLine="0"/>
              <w:jc w:val="center"/>
            </w:pPr>
            <w:r>
              <w:rPr>
                <w:b/>
                <w:sz w:val="20"/>
              </w:rPr>
              <w:t xml:space="preserve">Eliminaciones </w:t>
            </w:r>
          </w:p>
        </w:tc>
        <w:tc>
          <w:tcPr>
            <w:tcW w:w="1429" w:type="dxa"/>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firstLine="0"/>
              <w:jc w:val="center"/>
            </w:pPr>
            <w:r>
              <w:rPr>
                <w:b/>
                <w:sz w:val="20"/>
              </w:rPr>
              <w:t xml:space="preserve">Pº Consolidado </w:t>
            </w:r>
          </w:p>
        </w:tc>
      </w:tr>
      <w:tr w:rsidR="00B064CF">
        <w:trPr>
          <w:trHeight w:val="240"/>
        </w:trPr>
        <w:tc>
          <w:tcPr>
            <w:tcW w:w="87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center"/>
            </w:pPr>
            <w:r>
              <w:rPr>
                <w:sz w:val="20"/>
              </w:rPr>
              <w:t xml:space="preserve">1 </w:t>
            </w:r>
          </w:p>
        </w:tc>
        <w:tc>
          <w:tcPr>
            <w:tcW w:w="142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10" w:firstLine="0"/>
              <w:jc w:val="left"/>
            </w:pPr>
            <w:r>
              <w:rPr>
                <w:sz w:val="20"/>
              </w:rPr>
              <w:t xml:space="preserve">8.080.885,00 </w:t>
            </w:r>
          </w:p>
        </w:tc>
        <w:tc>
          <w:tcPr>
            <w:tcW w:w="1142"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 w:firstLine="0"/>
              <w:jc w:val="right"/>
            </w:pPr>
            <w:r>
              <w:rPr>
                <w:sz w:val="20"/>
              </w:rPr>
              <w:t xml:space="preserve">  </w:t>
            </w:r>
          </w:p>
        </w:tc>
        <w:tc>
          <w:tcPr>
            <w:tcW w:w="12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right"/>
            </w:pPr>
            <w:r>
              <w:rPr>
                <w:sz w:val="20"/>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10" w:firstLine="0"/>
              <w:jc w:val="left"/>
            </w:pPr>
            <w:r>
              <w:rPr>
                <w:sz w:val="20"/>
              </w:rPr>
              <w:t xml:space="preserve">8.080.885,00 </w:t>
            </w:r>
          </w:p>
        </w:tc>
        <w:tc>
          <w:tcPr>
            <w:tcW w:w="130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right"/>
            </w:pPr>
            <w:r>
              <w:rPr>
                <w:sz w:val="20"/>
              </w:rPr>
              <w:t xml:space="preserve">  </w:t>
            </w:r>
          </w:p>
        </w:tc>
        <w:tc>
          <w:tcPr>
            <w:tcW w:w="142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8" w:firstLine="0"/>
              <w:jc w:val="right"/>
            </w:pPr>
            <w:r>
              <w:rPr>
                <w:sz w:val="20"/>
              </w:rPr>
              <w:t xml:space="preserve">8.080.885,00 </w:t>
            </w:r>
          </w:p>
        </w:tc>
      </w:tr>
      <w:tr w:rsidR="00B064CF">
        <w:trPr>
          <w:trHeight w:val="240"/>
        </w:trPr>
        <w:tc>
          <w:tcPr>
            <w:tcW w:w="87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center"/>
            </w:pPr>
            <w:r>
              <w:rPr>
                <w:sz w:val="20"/>
              </w:rPr>
              <w:t xml:space="preserve">2 </w:t>
            </w:r>
          </w:p>
        </w:tc>
        <w:tc>
          <w:tcPr>
            <w:tcW w:w="142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10" w:firstLine="0"/>
              <w:jc w:val="left"/>
            </w:pPr>
            <w:r>
              <w:rPr>
                <w:sz w:val="20"/>
              </w:rPr>
              <w:t xml:space="preserve">3.989.577,65 </w:t>
            </w:r>
          </w:p>
        </w:tc>
        <w:tc>
          <w:tcPr>
            <w:tcW w:w="1142"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 w:firstLine="0"/>
              <w:jc w:val="right"/>
            </w:pPr>
            <w:r>
              <w:rPr>
                <w:sz w:val="20"/>
              </w:rPr>
              <w:t xml:space="preserve">  </w:t>
            </w:r>
          </w:p>
        </w:tc>
        <w:tc>
          <w:tcPr>
            <w:tcW w:w="12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right"/>
            </w:pPr>
            <w:r>
              <w:rPr>
                <w:sz w:val="20"/>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10" w:firstLine="0"/>
              <w:jc w:val="left"/>
            </w:pPr>
            <w:r>
              <w:rPr>
                <w:sz w:val="20"/>
              </w:rPr>
              <w:t xml:space="preserve">3.989.577,65 </w:t>
            </w:r>
          </w:p>
        </w:tc>
        <w:tc>
          <w:tcPr>
            <w:tcW w:w="130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right"/>
            </w:pPr>
            <w:r>
              <w:rPr>
                <w:sz w:val="20"/>
              </w:rPr>
              <w:t xml:space="preserve">  </w:t>
            </w:r>
          </w:p>
        </w:tc>
        <w:tc>
          <w:tcPr>
            <w:tcW w:w="142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right"/>
            </w:pPr>
            <w:r>
              <w:rPr>
                <w:sz w:val="20"/>
              </w:rPr>
              <w:t xml:space="preserve">3.989.577,65 </w:t>
            </w:r>
          </w:p>
        </w:tc>
      </w:tr>
      <w:tr w:rsidR="00B064CF">
        <w:trPr>
          <w:trHeight w:val="240"/>
        </w:trPr>
        <w:tc>
          <w:tcPr>
            <w:tcW w:w="87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center"/>
            </w:pPr>
            <w:r>
              <w:rPr>
                <w:sz w:val="20"/>
              </w:rPr>
              <w:t xml:space="preserve">3 </w:t>
            </w:r>
          </w:p>
        </w:tc>
        <w:tc>
          <w:tcPr>
            <w:tcW w:w="142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10" w:firstLine="0"/>
              <w:jc w:val="left"/>
            </w:pPr>
            <w:r>
              <w:rPr>
                <w:sz w:val="20"/>
              </w:rPr>
              <w:t xml:space="preserve">1.845.100,00 </w:t>
            </w:r>
          </w:p>
        </w:tc>
        <w:tc>
          <w:tcPr>
            <w:tcW w:w="1142"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pPr>
            <w:r>
              <w:rPr>
                <w:sz w:val="20"/>
              </w:rPr>
              <w:t xml:space="preserve">393.272,39 </w:t>
            </w:r>
          </w:p>
        </w:tc>
        <w:tc>
          <w:tcPr>
            <w:tcW w:w="12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8" w:firstLine="0"/>
              <w:jc w:val="right"/>
            </w:pPr>
            <w:r>
              <w:rPr>
                <w:sz w:val="20"/>
              </w:rPr>
              <w:t xml:space="preserve">5.000,00 </w:t>
            </w:r>
          </w:p>
        </w:tc>
        <w:tc>
          <w:tcPr>
            <w:tcW w:w="142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10" w:firstLine="0"/>
              <w:jc w:val="left"/>
            </w:pPr>
            <w:r>
              <w:rPr>
                <w:sz w:val="20"/>
              </w:rPr>
              <w:t xml:space="preserve">2.243.372,39 </w:t>
            </w:r>
          </w:p>
        </w:tc>
        <w:tc>
          <w:tcPr>
            <w:tcW w:w="130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right"/>
            </w:pPr>
            <w:r>
              <w:rPr>
                <w:sz w:val="20"/>
              </w:rPr>
              <w:t xml:space="preserve">  </w:t>
            </w:r>
          </w:p>
        </w:tc>
        <w:tc>
          <w:tcPr>
            <w:tcW w:w="142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8" w:firstLine="0"/>
              <w:jc w:val="right"/>
            </w:pPr>
            <w:r>
              <w:rPr>
                <w:sz w:val="20"/>
              </w:rPr>
              <w:t xml:space="preserve">2.243.372,39 </w:t>
            </w:r>
          </w:p>
        </w:tc>
      </w:tr>
      <w:tr w:rsidR="00B064CF">
        <w:trPr>
          <w:trHeight w:val="240"/>
        </w:trPr>
        <w:tc>
          <w:tcPr>
            <w:tcW w:w="87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center"/>
            </w:pPr>
            <w:r>
              <w:rPr>
                <w:sz w:val="20"/>
              </w:rPr>
              <w:t xml:space="preserve">4 </w:t>
            </w:r>
          </w:p>
        </w:tc>
        <w:tc>
          <w:tcPr>
            <w:tcW w:w="142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10" w:firstLine="0"/>
              <w:jc w:val="left"/>
            </w:pPr>
            <w:r>
              <w:rPr>
                <w:sz w:val="20"/>
              </w:rPr>
              <w:t xml:space="preserve">7.739.526,30 </w:t>
            </w:r>
          </w:p>
        </w:tc>
        <w:tc>
          <w:tcPr>
            <w:tcW w:w="1142"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pPr>
            <w:r>
              <w:rPr>
                <w:sz w:val="20"/>
              </w:rPr>
              <w:t xml:space="preserve">503.817,29 </w:t>
            </w:r>
          </w:p>
        </w:tc>
        <w:tc>
          <w:tcPr>
            <w:tcW w:w="12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8" w:firstLine="0"/>
              <w:jc w:val="right"/>
            </w:pPr>
            <w:r>
              <w:rPr>
                <w:sz w:val="20"/>
              </w:rPr>
              <w:t xml:space="preserve">893.650,05 </w:t>
            </w:r>
          </w:p>
        </w:tc>
        <w:tc>
          <w:tcPr>
            <w:tcW w:w="142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10" w:firstLine="0"/>
              <w:jc w:val="left"/>
            </w:pPr>
            <w:r>
              <w:rPr>
                <w:sz w:val="20"/>
              </w:rPr>
              <w:t xml:space="preserve">9.136.993,64 </w:t>
            </w:r>
          </w:p>
        </w:tc>
        <w:tc>
          <w:tcPr>
            <w:tcW w:w="130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pPr>
            <w:r>
              <w:rPr>
                <w:sz w:val="20"/>
              </w:rPr>
              <w:t xml:space="preserve">1.074.088,19 </w:t>
            </w:r>
          </w:p>
        </w:tc>
        <w:tc>
          <w:tcPr>
            <w:tcW w:w="142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8" w:firstLine="0"/>
              <w:jc w:val="right"/>
            </w:pPr>
            <w:r>
              <w:rPr>
                <w:sz w:val="20"/>
              </w:rPr>
              <w:t xml:space="preserve">8.062.905,45 </w:t>
            </w:r>
          </w:p>
        </w:tc>
      </w:tr>
      <w:tr w:rsidR="00B064CF">
        <w:trPr>
          <w:trHeight w:val="240"/>
        </w:trPr>
        <w:tc>
          <w:tcPr>
            <w:tcW w:w="87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center"/>
            </w:pPr>
            <w:r>
              <w:rPr>
                <w:sz w:val="20"/>
              </w:rPr>
              <w:t xml:space="preserve">5 </w:t>
            </w:r>
          </w:p>
        </w:tc>
        <w:tc>
          <w:tcPr>
            <w:tcW w:w="142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1" w:firstLine="0"/>
              <w:jc w:val="right"/>
            </w:pPr>
            <w:r>
              <w:rPr>
                <w:sz w:val="20"/>
              </w:rPr>
              <w:t xml:space="preserve">12.000,00 </w:t>
            </w:r>
          </w:p>
        </w:tc>
        <w:tc>
          <w:tcPr>
            <w:tcW w:w="1142"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 w:firstLine="0"/>
              <w:jc w:val="right"/>
            </w:pPr>
            <w:r>
              <w:rPr>
                <w:sz w:val="20"/>
              </w:rPr>
              <w:t xml:space="preserve">  </w:t>
            </w:r>
          </w:p>
        </w:tc>
        <w:tc>
          <w:tcPr>
            <w:tcW w:w="12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right"/>
            </w:pPr>
            <w:r>
              <w:rPr>
                <w:sz w:val="20"/>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1" w:firstLine="0"/>
              <w:jc w:val="right"/>
            </w:pPr>
            <w:r>
              <w:rPr>
                <w:sz w:val="20"/>
              </w:rPr>
              <w:t xml:space="preserve">12.000,00 </w:t>
            </w:r>
          </w:p>
        </w:tc>
        <w:tc>
          <w:tcPr>
            <w:tcW w:w="130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right"/>
            </w:pPr>
            <w:r>
              <w:rPr>
                <w:sz w:val="20"/>
              </w:rPr>
              <w:t xml:space="preserve">  </w:t>
            </w:r>
          </w:p>
        </w:tc>
        <w:tc>
          <w:tcPr>
            <w:tcW w:w="142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right"/>
            </w:pPr>
            <w:r>
              <w:rPr>
                <w:sz w:val="20"/>
              </w:rPr>
              <w:t xml:space="preserve">12.000,00 </w:t>
            </w:r>
          </w:p>
        </w:tc>
      </w:tr>
      <w:tr w:rsidR="00B064CF">
        <w:trPr>
          <w:trHeight w:val="240"/>
        </w:trPr>
        <w:tc>
          <w:tcPr>
            <w:tcW w:w="87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center"/>
            </w:pPr>
            <w:r>
              <w:rPr>
                <w:sz w:val="20"/>
              </w:rPr>
              <w:t xml:space="preserve">7 </w:t>
            </w:r>
          </w:p>
        </w:tc>
        <w:tc>
          <w:tcPr>
            <w:tcW w:w="142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10" w:firstLine="0"/>
              <w:jc w:val="left"/>
            </w:pPr>
            <w:r>
              <w:rPr>
                <w:sz w:val="20"/>
              </w:rPr>
              <w:t xml:space="preserve">1.569.983,78 </w:t>
            </w:r>
          </w:p>
        </w:tc>
        <w:tc>
          <w:tcPr>
            <w:tcW w:w="1142"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 w:firstLine="0"/>
              <w:jc w:val="right"/>
            </w:pPr>
            <w:r>
              <w:rPr>
                <w:sz w:val="20"/>
              </w:rPr>
              <w:t xml:space="preserve">  </w:t>
            </w:r>
          </w:p>
        </w:tc>
        <w:tc>
          <w:tcPr>
            <w:tcW w:w="12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right"/>
            </w:pPr>
            <w:r>
              <w:rPr>
                <w:sz w:val="20"/>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10" w:firstLine="0"/>
              <w:jc w:val="left"/>
            </w:pPr>
            <w:r>
              <w:rPr>
                <w:sz w:val="20"/>
              </w:rPr>
              <w:t xml:space="preserve">1.569.983,78 </w:t>
            </w:r>
          </w:p>
        </w:tc>
        <w:tc>
          <w:tcPr>
            <w:tcW w:w="130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right"/>
            </w:pPr>
            <w:r>
              <w:rPr>
                <w:sz w:val="20"/>
              </w:rPr>
              <w:t xml:space="preserve">  </w:t>
            </w:r>
          </w:p>
        </w:tc>
        <w:tc>
          <w:tcPr>
            <w:tcW w:w="142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8" w:firstLine="0"/>
              <w:jc w:val="right"/>
            </w:pPr>
            <w:r>
              <w:rPr>
                <w:sz w:val="20"/>
              </w:rPr>
              <w:t xml:space="preserve">1.569.983,78 </w:t>
            </w:r>
          </w:p>
        </w:tc>
      </w:tr>
      <w:tr w:rsidR="00B064CF">
        <w:trPr>
          <w:trHeight w:val="240"/>
        </w:trPr>
        <w:tc>
          <w:tcPr>
            <w:tcW w:w="87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center"/>
            </w:pPr>
            <w:r>
              <w:rPr>
                <w:sz w:val="20"/>
              </w:rPr>
              <w:t xml:space="preserve">8 </w:t>
            </w:r>
          </w:p>
        </w:tc>
        <w:tc>
          <w:tcPr>
            <w:tcW w:w="142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2" w:firstLine="0"/>
              <w:jc w:val="right"/>
            </w:pPr>
            <w:r>
              <w:rPr>
                <w:sz w:val="20"/>
              </w:rPr>
              <w:t xml:space="preserve">  </w:t>
            </w:r>
          </w:p>
        </w:tc>
        <w:tc>
          <w:tcPr>
            <w:tcW w:w="1142"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 w:firstLine="0"/>
              <w:jc w:val="right"/>
            </w:pPr>
            <w:r>
              <w:rPr>
                <w:sz w:val="20"/>
              </w:rPr>
              <w:t xml:space="preserve">  </w:t>
            </w:r>
          </w:p>
        </w:tc>
        <w:tc>
          <w:tcPr>
            <w:tcW w:w="12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right"/>
            </w:pPr>
            <w:r>
              <w:rPr>
                <w:sz w:val="20"/>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right"/>
            </w:pPr>
            <w:r>
              <w:rPr>
                <w:sz w:val="20"/>
              </w:rPr>
              <w:t xml:space="preserve">0,00 </w:t>
            </w:r>
          </w:p>
        </w:tc>
        <w:tc>
          <w:tcPr>
            <w:tcW w:w="130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right"/>
            </w:pPr>
            <w:r>
              <w:rPr>
                <w:sz w:val="20"/>
              </w:rPr>
              <w:t xml:space="preserve">  </w:t>
            </w:r>
          </w:p>
        </w:tc>
        <w:tc>
          <w:tcPr>
            <w:tcW w:w="142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7" w:firstLine="0"/>
              <w:jc w:val="right"/>
            </w:pPr>
            <w:r>
              <w:rPr>
                <w:sz w:val="20"/>
              </w:rPr>
              <w:t xml:space="preserve">0,00 </w:t>
            </w:r>
          </w:p>
        </w:tc>
      </w:tr>
      <w:tr w:rsidR="00B064CF">
        <w:trPr>
          <w:trHeight w:val="242"/>
        </w:trPr>
        <w:tc>
          <w:tcPr>
            <w:tcW w:w="87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center"/>
            </w:pPr>
            <w:r>
              <w:rPr>
                <w:sz w:val="20"/>
              </w:rPr>
              <w:t xml:space="preserve">9 </w:t>
            </w:r>
          </w:p>
        </w:tc>
        <w:tc>
          <w:tcPr>
            <w:tcW w:w="142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2" w:firstLine="0"/>
              <w:jc w:val="right"/>
            </w:pPr>
            <w:r>
              <w:rPr>
                <w:sz w:val="20"/>
              </w:rPr>
              <w:t xml:space="preserve">  </w:t>
            </w:r>
          </w:p>
        </w:tc>
        <w:tc>
          <w:tcPr>
            <w:tcW w:w="1142"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 w:firstLine="0"/>
              <w:jc w:val="right"/>
            </w:pPr>
            <w:r>
              <w:rPr>
                <w:sz w:val="20"/>
              </w:rPr>
              <w:t xml:space="preserve">  </w:t>
            </w:r>
          </w:p>
        </w:tc>
        <w:tc>
          <w:tcPr>
            <w:tcW w:w="12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right"/>
            </w:pPr>
            <w:r>
              <w:rPr>
                <w:sz w:val="20"/>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right"/>
            </w:pPr>
            <w:r>
              <w:rPr>
                <w:sz w:val="20"/>
              </w:rPr>
              <w:t xml:space="preserve">0,00 </w:t>
            </w:r>
          </w:p>
        </w:tc>
        <w:tc>
          <w:tcPr>
            <w:tcW w:w="130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right"/>
            </w:pPr>
            <w:r>
              <w:rPr>
                <w:sz w:val="20"/>
              </w:rPr>
              <w:t xml:space="preserve">  </w:t>
            </w:r>
          </w:p>
        </w:tc>
        <w:tc>
          <w:tcPr>
            <w:tcW w:w="142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8" w:firstLine="0"/>
              <w:jc w:val="right"/>
            </w:pPr>
            <w:r>
              <w:rPr>
                <w:sz w:val="20"/>
              </w:rPr>
              <w:t xml:space="preserve">0,00 </w:t>
            </w:r>
          </w:p>
        </w:tc>
      </w:tr>
      <w:tr w:rsidR="00B064CF">
        <w:trPr>
          <w:trHeight w:val="266"/>
        </w:trPr>
        <w:tc>
          <w:tcPr>
            <w:tcW w:w="874" w:type="dxa"/>
            <w:tcBorders>
              <w:top w:val="single" w:sz="4" w:space="0" w:color="000000"/>
              <w:left w:val="single" w:sz="4" w:space="0" w:color="000000"/>
              <w:bottom w:val="single" w:sz="4" w:space="0" w:color="000000"/>
              <w:right w:val="single" w:sz="4" w:space="0" w:color="000000"/>
            </w:tcBorders>
            <w:shd w:val="clear" w:color="auto" w:fill="BFBFBF"/>
          </w:tcPr>
          <w:p w:rsidR="00B064CF" w:rsidRDefault="00E32F70">
            <w:pPr>
              <w:spacing w:after="0" w:line="259" w:lineRule="auto"/>
              <w:ind w:left="41" w:firstLine="0"/>
            </w:pPr>
            <w:r>
              <w:rPr>
                <w:b/>
                <w:sz w:val="20"/>
              </w:rPr>
              <w:t xml:space="preserve">TOTAL </w:t>
            </w:r>
          </w:p>
        </w:tc>
        <w:tc>
          <w:tcPr>
            <w:tcW w:w="1421" w:type="dxa"/>
            <w:tcBorders>
              <w:top w:val="single" w:sz="4" w:space="0" w:color="000000"/>
              <w:left w:val="single" w:sz="4" w:space="0" w:color="000000"/>
              <w:bottom w:val="single" w:sz="4" w:space="0" w:color="000000"/>
              <w:right w:val="single" w:sz="4" w:space="0" w:color="000000"/>
            </w:tcBorders>
            <w:shd w:val="clear" w:color="auto" w:fill="BFBFBF"/>
          </w:tcPr>
          <w:p w:rsidR="00B064CF" w:rsidRDefault="00E32F70">
            <w:pPr>
              <w:spacing w:after="0" w:line="259" w:lineRule="auto"/>
              <w:ind w:left="0" w:firstLine="0"/>
            </w:pPr>
            <w:r>
              <w:rPr>
                <w:b/>
                <w:sz w:val="20"/>
              </w:rPr>
              <w:t xml:space="preserve">23.237.072,73 </w:t>
            </w:r>
          </w:p>
        </w:tc>
        <w:tc>
          <w:tcPr>
            <w:tcW w:w="1142" w:type="dxa"/>
            <w:tcBorders>
              <w:top w:val="single" w:sz="4" w:space="0" w:color="000000"/>
              <w:left w:val="single" w:sz="4" w:space="0" w:color="000000"/>
              <w:bottom w:val="single" w:sz="4" w:space="0" w:color="000000"/>
              <w:right w:val="single" w:sz="4" w:space="0" w:color="000000"/>
            </w:tcBorders>
            <w:shd w:val="clear" w:color="auto" w:fill="BFBFBF"/>
          </w:tcPr>
          <w:p w:rsidR="00B064CF" w:rsidRDefault="00E32F70">
            <w:pPr>
              <w:spacing w:after="0" w:line="259" w:lineRule="auto"/>
              <w:ind w:left="0" w:firstLine="0"/>
            </w:pPr>
            <w:r>
              <w:rPr>
                <w:b/>
                <w:sz w:val="20"/>
              </w:rPr>
              <w:t xml:space="preserve">897.089,68 </w:t>
            </w:r>
          </w:p>
        </w:tc>
        <w:tc>
          <w:tcPr>
            <w:tcW w:w="1285" w:type="dxa"/>
            <w:tcBorders>
              <w:top w:val="single" w:sz="4" w:space="0" w:color="000000"/>
              <w:left w:val="single" w:sz="4" w:space="0" w:color="000000"/>
              <w:bottom w:val="single" w:sz="4" w:space="0" w:color="000000"/>
              <w:right w:val="single" w:sz="4" w:space="0" w:color="000000"/>
            </w:tcBorders>
            <w:shd w:val="clear" w:color="auto" w:fill="BFBFBF"/>
          </w:tcPr>
          <w:p w:rsidR="00B064CF" w:rsidRDefault="00E32F70">
            <w:pPr>
              <w:spacing w:after="0" w:line="259" w:lineRule="auto"/>
              <w:ind w:left="0" w:right="58" w:firstLine="0"/>
              <w:jc w:val="right"/>
            </w:pPr>
            <w:r>
              <w:rPr>
                <w:b/>
                <w:sz w:val="20"/>
              </w:rPr>
              <w:t xml:space="preserve">898.650,05 </w:t>
            </w:r>
          </w:p>
        </w:tc>
        <w:tc>
          <w:tcPr>
            <w:tcW w:w="1421" w:type="dxa"/>
            <w:tcBorders>
              <w:top w:val="single" w:sz="4" w:space="0" w:color="000000"/>
              <w:left w:val="single" w:sz="4" w:space="0" w:color="000000"/>
              <w:bottom w:val="single" w:sz="4" w:space="0" w:color="000000"/>
              <w:right w:val="single" w:sz="4" w:space="0" w:color="000000"/>
            </w:tcBorders>
            <w:shd w:val="clear" w:color="auto" w:fill="BFBFBF"/>
          </w:tcPr>
          <w:p w:rsidR="00B064CF" w:rsidRDefault="00E32F70">
            <w:pPr>
              <w:spacing w:after="0" w:line="259" w:lineRule="auto"/>
              <w:ind w:left="0" w:firstLine="0"/>
            </w:pPr>
            <w:r>
              <w:rPr>
                <w:b/>
                <w:sz w:val="20"/>
              </w:rPr>
              <w:t xml:space="preserve">25.032.812,46 </w:t>
            </w:r>
          </w:p>
        </w:tc>
        <w:tc>
          <w:tcPr>
            <w:tcW w:w="1308" w:type="dxa"/>
            <w:tcBorders>
              <w:top w:val="single" w:sz="4" w:space="0" w:color="000000"/>
              <w:left w:val="single" w:sz="4" w:space="0" w:color="000000"/>
              <w:bottom w:val="single" w:sz="4" w:space="0" w:color="000000"/>
              <w:right w:val="single" w:sz="4" w:space="0" w:color="000000"/>
            </w:tcBorders>
            <w:shd w:val="clear" w:color="auto" w:fill="BFBFBF"/>
          </w:tcPr>
          <w:p w:rsidR="00B064CF" w:rsidRDefault="00E32F70">
            <w:pPr>
              <w:spacing w:after="0" w:line="259" w:lineRule="auto"/>
              <w:ind w:left="0" w:firstLine="0"/>
            </w:pPr>
            <w:r>
              <w:rPr>
                <w:b/>
                <w:sz w:val="20"/>
              </w:rPr>
              <w:t xml:space="preserve">1.074.088,19 </w:t>
            </w:r>
          </w:p>
        </w:tc>
        <w:tc>
          <w:tcPr>
            <w:tcW w:w="1429" w:type="dxa"/>
            <w:tcBorders>
              <w:top w:val="single" w:sz="4" w:space="0" w:color="000000"/>
              <w:left w:val="single" w:sz="4" w:space="0" w:color="000000"/>
              <w:bottom w:val="single" w:sz="4" w:space="0" w:color="000000"/>
              <w:right w:val="single" w:sz="4" w:space="0" w:color="000000"/>
            </w:tcBorders>
            <w:shd w:val="clear" w:color="auto" w:fill="BFBFBF"/>
          </w:tcPr>
          <w:p w:rsidR="00B064CF" w:rsidRDefault="00E32F70">
            <w:pPr>
              <w:spacing w:after="0" w:line="259" w:lineRule="auto"/>
              <w:ind w:firstLine="0"/>
            </w:pPr>
            <w:r>
              <w:rPr>
                <w:b/>
                <w:sz w:val="20"/>
              </w:rPr>
              <w:t xml:space="preserve">23.958.724,27 </w:t>
            </w:r>
          </w:p>
        </w:tc>
      </w:tr>
    </w:tbl>
    <w:p w:rsidR="00B064CF" w:rsidRDefault="00E32F70">
      <w:pPr>
        <w:spacing w:after="0" w:line="259" w:lineRule="auto"/>
        <w:ind w:left="0" w:right="2134" w:firstLine="0"/>
        <w:jc w:val="right"/>
      </w:pPr>
      <w:r>
        <w:rPr>
          <w:b/>
          <w:sz w:val="20"/>
        </w:rPr>
        <w:t xml:space="preserve"> </w:t>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tbl>
      <w:tblPr>
        <w:tblStyle w:val="TableGrid"/>
        <w:tblW w:w="8879" w:type="dxa"/>
        <w:tblInd w:w="362" w:type="dxa"/>
        <w:tblCellMar>
          <w:top w:w="6" w:type="dxa"/>
          <w:left w:w="115" w:type="dxa"/>
          <w:bottom w:w="0" w:type="dxa"/>
          <w:right w:w="13" w:type="dxa"/>
        </w:tblCellMar>
        <w:tblLook w:val="04A0" w:firstRow="1" w:lastRow="0" w:firstColumn="1" w:lastColumn="0" w:noHBand="0" w:noVBand="1"/>
      </w:tblPr>
      <w:tblGrid>
        <w:gridCol w:w="874"/>
        <w:gridCol w:w="1421"/>
        <w:gridCol w:w="1142"/>
        <w:gridCol w:w="1285"/>
        <w:gridCol w:w="1421"/>
        <w:gridCol w:w="1308"/>
        <w:gridCol w:w="1429"/>
      </w:tblGrid>
      <w:tr w:rsidR="00B064CF">
        <w:trPr>
          <w:trHeight w:val="468"/>
        </w:trPr>
        <w:tc>
          <w:tcPr>
            <w:tcW w:w="874" w:type="dxa"/>
            <w:tcBorders>
              <w:top w:val="single" w:sz="4" w:space="0" w:color="000000"/>
              <w:left w:val="single" w:sz="4" w:space="0" w:color="000000"/>
              <w:bottom w:val="single" w:sz="4" w:space="0" w:color="000000"/>
              <w:right w:val="single" w:sz="4" w:space="0" w:color="000000"/>
            </w:tcBorders>
            <w:shd w:val="clear" w:color="auto" w:fill="BFBFBF"/>
          </w:tcPr>
          <w:p w:rsidR="00B064CF" w:rsidRDefault="00E32F70">
            <w:pPr>
              <w:spacing w:after="0" w:line="259" w:lineRule="auto"/>
              <w:ind w:left="0" w:firstLine="0"/>
              <w:jc w:val="center"/>
            </w:pPr>
            <w:r>
              <w:rPr>
                <w:b/>
                <w:sz w:val="20"/>
              </w:rPr>
              <w:t xml:space="preserve">Superávit </w:t>
            </w:r>
          </w:p>
        </w:tc>
        <w:tc>
          <w:tcPr>
            <w:tcW w:w="142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064CF" w:rsidRDefault="00E32F70">
            <w:pPr>
              <w:spacing w:after="0" w:line="259" w:lineRule="auto"/>
              <w:ind w:left="0" w:right="60" w:firstLine="0"/>
              <w:jc w:val="right"/>
            </w:pPr>
            <w:r>
              <w:rPr>
                <w:b/>
                <w:sz w:val="20"/>
              </w:rPr>
              <w:t xml:space="preserve">0,00 </w:t>
            </w:r>
          </w:p>
        </w:tc>
        <w:tc>
          <w:tcPr>
            <w:tcW w:w="114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064CF" w:rsidRDefault="00E32F70">
            <w:pPr>
              <w:spacing w:after="0" w:line="259" w:lineRule="auto"/>
              <w:ind w:left="0" w:right="59" w:firstLine="0"/>
              <w:jc w:val="right"/>
            </w:pPr>
            <w:r>
              <w:rPr>
                <w:b/>
                <w:sz w:val="20"/>
              </w:rPr>
              <w:t xml:space="preserve">2.912,10 </w:t>
            </w:r>
          </w:p>
        </w:tc>
        <w:tc>
          <w:tcPr>
            <w:tcW w:w="128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064CF" w:rsidRDefault="00E32F70">
            <w:pPr>
              <w:spacing w:after="0" w:line="259" w:lineRule="auto"/>
              <w:ind w:left="0" w:right="58" w:firstLine="0"/>
              <w:jc w:val="right"/>
            </w:pPr>
            <w:r>
              <w:rPr>
                <w:b/>
                <w:sz w:val="20"/>
              </w:rPr>
              <w:t xml:space="preserve">0,00 </w:t>
            </w:r>
          </w:p>
        </w:tc>
        <w:tc>
          <w:tcPr>
            <w:tcW w:w="142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064CF" w:rsidRDefault="00E32F70">
            <w:pPr>
              <w:spacing w:after="0" w:line="259" w:lineRule="auto"/>
              <w:ind w:left="0" w:right="60" w:firstLine="0"/>
              <w:jc w:val="right"/>
            </w:pPr>
            <w:r>
              <w:rPr>
                <w:b/>
                <w:sz w:val="20"/>
              </w:rPr>
              <w:t xml:space="preserve">2.912,10 </w:t>
            </w:r>
          </w:p>
        </w:tc>
        <w:tc>
          <w:tcPr>
            <w:tcW w:w="13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064CF" w:rsidRDefault="00E32F70">
            <w:pPr>
              <w:spacing w:after="0" w:line="259" w:lineRule="auto"/>
              <w:ind w:left="0" w:right="58" w:firstLine="0"/>
              <w:jc w:val="right"/>
            </w:pPr>
            <w:r>
              <w:rPr>
                <w:b/>
                <w:sz w:val="20"/>
              </w:rPr>
              <w:t xml:space="preserve">0,00 </w:t>
            </w:r>
          </w:p>
        </w:tc>
        <w:tc>
          <w:tcPr>
            <w:tcW w:w="142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064CF" w:rsidRDefault="00E32F70">
            <w:pPr>
              <w:spacing w:after="0" w:line="259" w:lineRule="auto"/>
              <w:ind w:left="0" w:right="57" w:firstLine="0"/>
              <w:jc w:val="right"/>
            </w:pPr>
            <w:r>
              <w:rPr>
                <w:b/>
                <w:sz w:val="20"/>
              </w:rPr>
              <w:t xml:space="preserve">2.912,10 </w:t>
            </w:r>
          </w:p>
        </w:tc>
      </w:tr>
    </w:tbl>
    <w:p w:rsidR="00B064CF" w:rsidRDefault="00E32F70">
      <w:pPr>
        <w:spacing w:after="101" w:line="259" w:lineRule="auto"/>
        <w:ind w:left="360" w:firstLine="0"/>
        <w:jc w:val="left"/>
      </w:pPr>
      <w:r>
        <w:rPr>
          <w:sz w:val="20"/>
        </w:rPr>
        <w:t xml:space="preserve"> </w:t>
      </w:r>
    </w:p>
    <w:p w:rsidR="00B064CF" w:rsidRDefault="00E32F70">
      <w:pPr>
        <w:spacing w:after="140" w:line="259" w:lineRule="auto"/>
        <w:ind w:left="355"/>
        <w:jc w:val="left"/>
      </w:pPr>
      <w:r>
        <w:rPr>
          <w:b/>
          <w:sz w:val="20"/>
        </w:rPr>
        <w:t xml:space="preserve">II.-  Plantilla Orgánica </w:t>
      </w:r>
    </w:p>
    <w:p w:rsidR="00B064CF" w:rsidRDefault="00E32F70">
      <w:pPr>
        <w:numPr>
          <w:ilvl w:val="0"/>
          <w:numId w:val="8"/>
        </w:numPr>
        <w:spacing w:after="1" w:line="259" w:lineRule="auto"/>
        <w:ind w:hanging="708"/>
        <w:jc w:val="left"/>
      </w:pPr>
      <w:r>
        <w:rPr>
          <w:b/>
          <w:sz w:val="20"/>
        </w:rPr>
        <w:t>PLAZAS RESERVADAS A FUNCIONARIOS/AS</w:t>
      </w:r>
      <w:r>
        <w:t xml:space="preserve"> </w:t>
      </w:r>
    </w:p>
    <w:p w:rsidR="00B064CF" w:rsidRDefault="00E32F70">
      <w:pPr>
        <w:spacing w:after="0" w:line="259" w:lineRule="auto"/>
        <w:ind w:left="360" w:firstLine="0"/>
        <w:jc w:val="left"/>
      </w:pPr>
      <w:r>
        <w:rPr>
          <w:b/>
          <w:sz w:val="20"/>
        </w:rPr>
        <w:t xml:space="preserve"> </w:t>
      </w:r>
    </w:p>
    <w:tbl>
      <w:tblPr>
        <w:tblStyle w:val="TableGrid"/>
        <w:tblW w:w="8082" w:type="dxa"/>
        <w:tblInd w:w="366" w:type="dxa"/>
        <w:tblCellMar>
          <w:top w:w="6" w:type="dxa"/>
          <w:left w:w="107" w:type="dxa"/>
          <w:bottom w:w="0" w:type="dxa"/>
          <w:right w:w="51" w:type="dxa"/>
        </w:tblCellMar>
        <w:tblLook w:val="04A0" w:firstRow="1" w:lastRow="0" w:firstColumn="1" w:lastColumn="0" w:noHBand="0" w:noVBand="1"/>
      </w:tblPr>
      <w:tblGrid>
        <w:gridCol w:w="4779"/>
        <w:gridCol w:w="1044"/>
        <w:gridCol w:w="1175"/>
        <w:gridCol w:w="1084"/>
      </w:tblGrid>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20"/>
              </w:rPr>
              <w:t xml:space="preserve">Plazas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38" w:firstLine="0"/>
              <w:jc w:val="left"/>
            </w:pPr>
            <w:r>
              <w:rPr>
                <w:b/>
                <w:sz w:val="20"/>
              </w:rPr>
              <w:t xml:space="preserve">Número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firstLine="0"/>
              <w:jc w:val="left"/>
            </w:pPr>
            <w:r>
              <w:rPr>
                <w:b/>
                <w:sz w:val="20"/>
              </w:rPr>
              <w:t xml:space="preserve">Subgrupo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 w:firstLine="0"/>
              <w:jc w:val="left"/>
            </w:pPr>
            <w:r>
              <w:rPr>
                <w:b/>
                <w:sz w:val="20"/>
              </w:rPr>
              <w:t xml:space="preserve">Vacantes </w:t>
            </w:r>
          </w:p>
        </w:tc>
      </w:tr>
      <w:tr w:rsidR="00B064CF">
        <w:trPr>
          <w:trHeight w:val="59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20"/>
              </w:rPr>
              <w:t xml:space="preserve">I.- FUNCIONARIOS CON HABILITACIÓN NACIONAL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center"/>
            </w:pPr>
            <w:r>
              <w:rPr>
                <w:b/>
                <w:sz w:val="20"/>
              </w:rPr>
              <w:t xml:space="preserve">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 w:firstLine="0"/>
              <w:jc w:val="center"/>
            </w:pPr>
            <w:r>
              <w:rPr>
                <w:b/>
                <w:sz w:val="20"/>
              </w:rPr>
              <w:t xml:space="preserve">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 w:firstLine="0"/>
              <w:jc w:val="center"/>
            </w:pPr>
            <w:r>
              <w:rPr>
                <w:b/>
                <w:sz w:val="20"/>
              </w:rPr>
              <w:t xml:space="preserve"> </w:t>
            </w:r>
          </w:p>
        </w:tc>
      </w:tr>
      <w:tr w:rsidR="00B064CF">
        <w:trPr>
          <w:trHeight w:val="361"/>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Interventor/a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A1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0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Secretario/a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1</w:t>
            </w:r>
            <w:r>
              <w:rPr>
                <w:sz w:val="20"/>
              </w:rPr>
              <w:t xml:space="preserve">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A1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0 </w:t>
            </w:r>
          </w:p>
        </w:tc>
      </w:tr>
      <w:tr w:rsidR="00B064CF">
        <w:trPr>
          <w:trHeight w:val="361"/>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Tesorero/a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A1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r w:rsidR="00B064CF">
        <w:trPr>
          <w:trHeight w:val="358"/>
        </w:trPr>
        <w:tc>
          <w:tcPr>
            <w:tcW w:w="4779" w:type="dxa"/>
            <w:tcBorders>
              <w:top w:val="single" w:sz="4" w:space="0" w:color="000000"/>
              <w:left w:val="single" w:sz="4" w:space="0" w:color="000000"/>
              <w:bottom w:val="single" w:sz="4" w:space="0" w:color="000000"/>
              <w:right w:val="single" w:sz="4" w:space="0" w:color="000000"/>
            </w:tcBorders>
            <w:shd w:val="clear" w:color="auto" w:fill="D9D9D9"/>
          </w:tcPr>
          <w:p w:rsidR="00B064CF" w:rsidRDefault="00E32F70">
            <w:pPr>
              <w:spacing w:after="0" w:line="259" w:lineRule="auto"/>
              <w:ind w:left="0" w:right="59" w:firstLine="0"/>
              <w:jc w:val="right"/>
            </w:pPr>
            <w:r>
              <w:rPr>
                <w:b/>
                <w:sz w:val="20"/>
              </w:rPr>
              <w:t xml:space="preserve">Total Habilitados Nacionales </w:t>
            </w:r>
          </w:p>
        </w:tc>
        <w:tc>
          <w:tcPr>
            <w:tcW w:w="1044" w:type="dxa"/>
            <w:tcBorders>
              <w:top w:val="single" w:sz="4" w:space="0" w:color="000000"/>
              <w:left w:val="single" w:sz="4" w:space="0" w:color="000000"/>
              <w:bottom w:val="single" w:sz="4" w:space="0" w:color="000000"/>
              <w:right w:val="single" w:sz="4" w:space="0" w:color="000000"/>
            </w:tcBorders>
            <w:shd w:val="clear" w:color="auto" w:fill="D9D9D9"/>
          </w:tcPr>
          <w:p w:rsidR="00B064CF" w:rsidRDefault="00E32F70">
            <w:pPr>
              <w:spacing w:after="0" w:line="259" w:lineRule="auto"/>
              <w:ind w:left="0" w:right="55" w:firstLine="0"/>
              <w:jc w:val="center"/>
            </w:pPr>
            <w:r>
              <w:rPr>
                <w:b/>
                <w:sz w:val="20"/>
              </w:rPr>
              <w:t xml:space="preserve">3 </w:t>
            </w:r>
          </w:p>
        </w:tc>
        <w:tc>
          <w:tcPr>
            <w:tcW w:w="1175" w:type="dxa"/>
            <w:tcBorders>
              <w:top w:val="single" w:sz="4" w:space="0" w:color="000000"/>
              <w:left w:val="single" w:sz="4" w:space="0" w:color="000000"/>
              <w:bottom w:val="single" w:sz="4" w:space="0" w:color="000000"/>
              <w:right w:val="single" w:sz="4" w:space="0" w:color="000000"/>
            </w:tcBorders>
            <w:shd w:val="clear" w:color="auto" w:fill="D9D9D9"/>
          </w:tcPr>
          <w:p w:rsidR="00B064CF" w:rsidRDefault="00E32F70">
            <w:pPr>
              <w:spacing w:after="0" w:line="259" w:lineRule="auto"/>
              <w:ind w:left="0" w:right="1" w:firstLine="0"/>
              <w:jc w:val="center"/>
            </w:pPr>
            <w:r>
              <w:rPr>
                <w:b/>
                <w:sz w:val="20"/>
              </w:rPr>
              <w:t xml:space="preserve"> </w:t>
            </w:r>
          </w:p>
        </w:tc>
        <w:tc>
          <w:tcPr>
            <w:tcW w:w="1084" w:type="dxa"/>
            <w:tcBorders>
              <w:top w:val="single" w:sz="4" w:space="0" w:color="000000"/>
              <w:left w:val="single" w:sz="4" w:space="0" w:color="000000"/>
              <w:bottom w:val="single" w:sz="4" w:space="0" w:color="000000"/>
              <w:right w:val="single" w:sz="4" w:space="0" w:color="000000"/>
            </w:tcBorders>
            <w:shd w:val="clear" w:color="auto" w:fill="D9D9D9"/>
          </w:tcPr>
          <w:p w:rsidR="00B064CF" w:rsidRDefault="00E32F70">
            <w:pPr>
              <w:spacing w:after="0" w:line="259" w:lineRule="auto"/>
              <w:ind w:left="0" w:right="54" w:firstLine="0"/>
              <w:jc w:val="center"/>
            </w:pPr>
            <w:r>
              <w:rPr>
                <w:b/>
                <w:sz w:val="20"/>
              </w:rPr>
              <w:t xml:space="preserve">1 </w:t>
            </w:r>
          </w:p>
        </w:tc>
      </w:tr>
      <w:tr w:rsidR="00B064CF">
        <w:trPr>
          <w:trHeight w:val="361"/>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20"/>
              </w:rPr>
              <w:t xml:space="preserve">II.- ADMINISTRACIÓN GENERAL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center"/>
            </w:pPr>
            <w:r>
              <w:rPr>
                <w:b/>
                <w:sz w:val="20"/>
              </w:rPr>
              <w:t xml:space="preserve">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 w:firstLine="0"/>
              <w:jc w:val="center"/>
            </w:pPr>
            <w:r>
              <w:rPr>
                <w:b/>
                <w:sz w:val="20"/>
              </w:rPr>
              <w:t xml:space="preserve">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 w:firstLine="0"/>
              <w:jc w:val="center"/>
            </w:pPr>
            <w:r>
              <w:rPr>
                <w:b/>
                <w:sz w:val="20"/>
              </w:rPr>
              <w:t xml:space="preserve">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360" w:firstLine="0"/>
              <w:jc w:val="left"/>
            </w:pPr>
            <w:r>
              <w:rPr>
                <w:b/>
                <w:sz w:val="20"/>
              </w:rPr>
              <w:t xml:space="preserve">A) SUBESCALA TÉCNICA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center"/>
            </w:pPr>
            <w:r>
              <w:rPr>
                <w:b/>
                <w:sz w:val="20"/>
              </w:rPr>
              <w:t xml:space="preserve">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 w:firstLine="0"/>
              <w:jc w:val="center"/>
            </w:pPr>
            <w:r>
              <w:rPr>
                <w:b/>
                <w:sz w:val="20"/>
              </w:rPr>
              <w:t xml:space="preserve">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 w:firstLine="0"/>
              <w:jc w:val="center"/>
            </w:pPr>
            <w:r>
              <w:rPr>
                <w:b/>
                <w:sz w:val="20"/>
              </w:rPr>
              <w:t xml:space="preserve">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Técnico/a Jurídico Alcaldía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A1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Técnico/a Jurídico Área Gobierno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6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A1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6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Técnico/a Gestión Presupuestaria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A1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Técnico/a Contratación, compras y patrimonio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A1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Técnico/a Jurídico Gestión Tributaria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A1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bl>
    <w:tbl>
      <w:tblPr>
        <w:tblStyle w:val="TableGrid"/>
        <w:tblpPr w:vertAnchor="text" w:tblpX="366"/>
        <w:tblOverlap w:val="never"/>
        <w:tblW w:w="8082" w:type="dxa"/>
        <w:tblInd w:w="0" w:type="dxa"/>
        <w:tblCellMar>
          <w:top w:w="6" w:type="dxa"/>
          <w:left w:w="107" w:type="dxa"/>
          <w:bottom w:w="0" w:type="dxa"/>
          <w:right w:w="51" w:type="dxa"/>
        </w:tblCellMar>
        <w:tblLook w:val="04A0" w:firstRow="1" w:lastRow="0" w:firstColumn="1" w:lastColumn="0" w:noHBand="0" w:noVBand="1"/>
      </w:tblPr>
      <w:tblGrid>
        <w:gridCol w:w="4779"/>
        <w:gridCol w:w="1044"/>
        <w:gridCol w:w="1175"/>
        <w:gridCol w:w="1084"/>
      </w:tblGrid>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360" w:firstLine="0"/>
              <w:jc w:val="left"/>
            </w:pPr>
            <w:r>
              <w:rPr>
                <w:b/>
                <w:sz w:val="20"/>
              </w:rPr>
              <w:t xml:space="preserve">B) SUBESCALA ADMINISTRATIVA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center"/>
            </w:pPr>
            <w:r>
              <w:rPr>
                <w:b/>
                <w:sz w:val="20"/>
              </w:rPr>
              <w:t xml:space="preserve">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 w:firstLine="0"/>
              <w:jc w:val="center"/>
            </w:pPr>
            <w:r>
              <w:rPr>
                <w:b/>
                <w:sz w:val="20"/>
              </w:rPr>
              <w:t xml:space="preserve">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 w:firstLine="0"/>
              <w:jc w:val="center"/>
            </w:pPr>
            <w:r>
              <w:rPr>
                <w:b/>
                <w:sz w:val="20"/>
              </w:rPr>
              <w:t xml:space="preserve">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Administrativo/a Área de Gobierno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4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6" w:firstLine="0"/>
              <w:jc w:val="center"/>
            </w:pPr>
            <w:r>
              <w:rPr>
                <w:sz w:val="20"/>
              </w:rPr>
              <w:t xml:space="preserve">C1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4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360" w:firstLine="0"/>
              <w:jc w:val="left"/>
            </w:pPr>
            <w:r>
              <w:rPr>
                <w:b/>
                <w:sz w:val="20"/>
              </w:rPr>
              <w:t xml:space="preserve">C) SUBESCALA AUXILIAR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center"/>
            </w:pPr>
            <w:r>
              <w:rPr>
                <w:b/>
                <w:sz w:val="20"/>
              </w:rPr>
              <w:t xml:space="preserve">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 w:firstLine="0"/>
              <w:jc w:val="center"/>
            </w:pPr>
            <w:r>
              <w:rPr>
                <w:b/>
                <w:sz w:val="20"/>
              </w:rPr>
              <w:t xml:space="preserve">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 w:firstLine="0"/>
              <w:jc w:val="center"/>
            </w:pPr>
            <w:r>
              <w:rPr>
                <w:b/>
                <w:sz w:val="20"/>
              </w:rPr>
              <w:t xml:space="preserve">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Auxiliar Apoyo Servicios Informáticos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6" w:firstLine="0"/>
              <w:jc w:val="center"/>
            </w:pPr>
            <w:r>
              <w:rPr>
                <w:sz w:val="20"/>
              </w:rPr>
              <w:t xml:space="preserve">C2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Auxiliar Áreas de Gobierno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39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6" w:firstLine="0"/>
              <w:jc w:val="center"/>
            </w:pPr>
            <w:r>
              <w:rPr>
                <w:sz w:val="20"/>
              </w:rPr>
              <w:t xml:space="preserve">C2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32 </w:t>
            </w:r>
          </w:p>
        </w:tc>
      </w:tr>
      <w:tr w:rsidR="00B064CF">
        <w:trPr>
          <w:trHeight w:val="362"/>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Gestor/a de Información y atención ciudadana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5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6" w:firstLine="0"/>
              <w:jc w:val="center"/>
            </w:pPr>
            <w:r>
              <w:rPr>
                <w:sz w:val="20"/>
              </w:rPr>
              <w:t xml:space="preserve">C2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4 </w:t>
            </w:r>
          </w:p>
        </w:tc>
      </w:tr>
      <w:tr w:rsidR="00B064CF">
        <w:trPr>
          <w:trHeight w:val="358"/>
        </w:trPr>
        <w:tc>
          <w:tcPr>
            <w:tcW w:w="4779" w:type="dxa"/>
            <w:tcBorders>
              <w:top w:val="single" w:sz="4" w:space="0" w:color="000000"/>
              <w:left w:val="single" w:sz="4" w:space="0" w:color="000000"/>
              <w:bottom w:val="single" w:sz="4" w:space="0" w:color="000000"/>
              <w:right w:val="single" w:sz="4" w:space="0" w:color="000000"/>
            </w:tcBorders>
            <w:shd w:val="clear" w:color="auto" w:fill="D9D9D9"/>
          </w:tcPr>
          <w:p w:rsidR="00B064CF" w:rsidRDefault="00E32F70">
            <w:pPr>
              <w:spacing w:after="0" w:line="259" w:lineRule="auto"/>
              <w:ind w:left="0" w:right="60" w:firstLine="0"/>
              <w:jc w:val="right"/>
            </w:pPr>
            <w:r>
              <w:rPr>
                <w:b/>
                <w:sz w:val="20"/>
              </w:rPr>
              <w:t xml:space="preserve">Total Administración General </w:t>
            </w:r>
          </w:p>
        </w:tc>
        <w:tc>
          <w:tcPr>
            <w:tcW w:w="1044" w:type="dxa"/>
            <w:tcBorders>
              <w:top w:val="single" w:sz="4" w:space="0" w:color="000000"/>
              <w:left w:val="single" w:sz="4" w:space="0" w:color="000000"/>
              <w:bottom w:val="single" w:sz="4" w:space="0" w:color="000000"/>
              <w:right w:val="single" w:sz="4" w:space="0" w:color="000000"/>
            </w:tcBorders>
            <w:shd w:val="clear" w:color="auto" w:fill="D9D9D9"/>
          </w:tcPr>
          <w:p w:rsidR="00B064CF" w:rsidRDefault="00E32F70">
            <w:pPr>
              <w:spacing w:after="0" w:line="259" w:lineRule="auto"/>
              <w:ind w:left="0" w:right="55" w:firstLine="0"/>
              <w:jc w:val="center"/>
            </w:pPr>
            <w:r>
              <w:rPr>
                <w:b/>
                <w:sz w:val="20"/>
              </w:rPr>
              <w:t xml:space="preserve">59 </w:t>
            </w:r>
          </w:p>
        </w:tc>
        <w:tc>
          <w:tcPr>
            <w:tcW w:w="1175" w:type="dxa"/>
            <w:tcBorders>
              <w:top w:val="single" w:sz="4" w:space="0" w:color="000000"/>
              <w:left w:val="single" w:sz="4" w:space="0" w:color="000000"/>
              <w:bottom w:val="single" w:sz="4" w:space="0" w:color="000000"/>
              <w:right w:val="single" w:sz="4" w:space="0" w:color="000000"/>
            </w:tcBorders>
            <w:shd w:val="clear" w:color="auto" w:fill="D9D9D9"/>
          </w:tcPr>
          <w:p w:rsidR="00B064CF" w:rsidRDefault="00E32F70">
            <w:pPr>
              <w:spacing w:after="0" w:line="259" w:lineRule="auto"/>
              <w:ind w:left="0" w:right="1" w:firstLine="0"/>
              <w:jc w:val="center"/>
            </w:pPr>
            <w:r>
              <w:rPr>
                <w:b/>
                <w:sz w:val="20"/>
              </w:rPr>
              <w:t xml:space="preserve"> </w:t>
            </w:r>
          </w:p>
        </w:tc>
        <w:tc>
          <w:tcPr>
            <w:tcW w:w="1084" w:type="dxa"/>
            <w:tcBorders>
              <w:top w:val="single" w:sz="4" w:space="0" w:color="000000"/>
              <w:left w:val="single" w:sz="4" w:space="0" w:color="000000"/>
              <w:bottom w:val="single" w:sz="4" w:space="0" w:color="000000"/>
              <w:right w:val="single" w:sz="4" w:space="0" w:color="000000"/>
            </w:tcBorders>
            <w:shd w:val="clear" w:color="auto" w:fill="D9D9D9"/>
          </w:tcPr>
          <w:p w:rsidR="00B064CF" w:rsidRDefault="00E32F70">
            <w:pPr>
              <w:spacing w:after="0" w:line="259" w:lineRule="auto"/>
              <w:ind w:left="0" w:right="59" w:firstLine="0"/>
              <w:jc w:val="center"/>
            </w:pPr>
            <w:r>
              <w:rPr>
                <w:b/>
                <w:sz w:val="20"/>
              </w:rPr>
              <w:t xml:space="preserve">51 </w:t>
            </w:r>
          </w:p>
        </w:tc>
      </w:tr>
      <w:tr w:rsidR="00B064CF">
        <w:trPr>
          <w:trHeight w:val="361"/>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20"/>
              </w:rPr>
              <w:t xml:space="preserve">III.- ADMINISTRACIÓN ESPECIAL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center"/>
            </w:pPr>
            <w:r>
              <w:rPr>
                <w:b/>
                <w:sz w:val="20"/>
              </w:rPr>
              <w:t xml:space="preserve">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 w:firstLine="0"/>
              <w:jc w:val="center"/>
            </w:pPr>
            <w:r>
              <w:rPr>
                <w:b/>
                <w:sz w:val="20"/>
              </w:rPr>
              <w:t xml:space="preserve">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 w:firstLine="0"/>
              <w:jc w:val="center"/>
            </w:pPr>
            <w:r>
              <w:rPr>
                <w:b/>
                <w:sz w:val="20"/>
              </w:rPr>
              <w:t xml:space="preserve">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360" w:firstLine="0"/>
              <w:jc w:val="left"/>
            </w:pPr>
            <w:r>
              <w:rPr>
                <w:b/>
                <w:sz w:val="20"/>
              </w:rPr>
              <w:t>A) SUBESCALA TÉCNICA SUPERIOR</w:t>
            </w:r>
            <w:r>
              <w:rPr>
                <w:b/>
                <w:sz w:val="20"/>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center"/>
            </w:pPr>
            <w:r>
              <w:rPr>
                <w:b/>
                <w:sz w:val="20"/>
              </w:rPr>
              <w:t xml:space="preserve">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 w:firstLine="0"/>
              <w:jc w:val="center"/>
            </w:pPr>
            <w:r>
              <w:rPr>
                <w:b/>
                <w:sz w:val="20"/>
              </w:rPr>
              <w:t xml:space="preserve">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 w:firstLine="0"/>
              <w:jc w:val="center"/>
            </w:pPr>
            <w:r>
              <w:rPr>
                <w:b/>
                <w:sz w:val="20"/>
              </w:rPr>
              <w:t xml:space="preserve">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Arquitecto/a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A1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Técnico/a de Accesibilidad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A1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Psicologo/a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A1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Pedagogo/a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A1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Logopeda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A1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Técnico/a de Sanidad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A1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r w:rsidR="00B064CF">
        <w:trPr>
          <w:trHeight w:val="59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Técnico/a de Identidad Canaria, Tradiciones y museo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A1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Técnico/a de Desarrollo y Medio Ambiente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A1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r w:rsidR="00B064CF">
        <w:trPr>
          <w:trHeight w:val="59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Técnico/a de Recursos patrimoniales, artesanía y etnografía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A1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Técnico/a en Participación ciudadana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A1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Agente de Desarrollo Local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3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A1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3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360" w:firstLine="0"/>
              <w:jc w:val="left"/>
            </w:pPr>
            <w:r>
              <w:rPr>
                <w:b/>
                <w:sz w:val="20"/>
              </w:rPr>
              <w:t xml:space="preserve">B) SUBESCALA TÉCNICA MEDIA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center"/>
            </w:pPr>
            <w:r>
              <w:rPr>
                <w:b/>
                <w:sz w:val="20"/>
              </w:rPr>
              <w:t xml:space="preserve">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 w:firstLine="0"/>
              <w:jc w:val="center"/>
            </w:pPr>
            <w:r>
              <w:rPr>
                <w:b/>
                <w:sz w:val="20"/>
              </w:rPr>
              <w:t xml:space="preserve">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 w:firstLine="0"/>
              <w:jc w:val="center"/>
            </w:pPr>
            <w:r>
              <w:rPr>
                <w:b/>
                <w:sz w:val="20"/>
              </w:rPr>
              <w:t xml:space="preserve">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Arquitecto Técnico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5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A2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5 </w:t>
            </w:r>
          </w:p>
        </w:tc>
      </w:tr>
      <w:tr w:rsidR="00B064CF">
        <w:trPr>
          <w:trHeight w:val="361"/>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Ingeniero/a Técnico/a Topógrafo/a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A2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Ingeniero/a Técnico/a Industrial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A2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Técnico/a Servicios de Igualdad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A2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Técnico/a de Menor y familia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A2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Técnico/a de Servicios Mayores y Discapacidad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A2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r w:rsidR="00B064CF">
        <w:trPr>
          <w:trHeight w:val="588"/>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Técnico/a Servicios de Información, Orientación y Valoración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A2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r w:rsidR="00B064CF">
        <w:trPr>
          <w:trHeight w:val="59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Técnico/a de Servicios Drogodependencias e Inserción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A2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Trabajador/a Social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5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A2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5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Educador/a-Maestro/a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A2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bl>
    <w:p w:rsidR="00B064CF" w:rsidRDefault="00E32F70">
      <w:pPr>
        <w:spacing w:after="0" w:line="259" w:lineRule="auto"/>
        <w:ind w:left="-2192" w:right="1623" w:firstLine="0"/>
        <w:jc w:val="left"/>
      </w:pPr>
      <w:r>
        <w:rPr>
          <w:rFonts w:ascii="Calibri" w:eastAsia="Calibri" w:hAnsi="Calibri" w:cs="Calibri"/>
          <w:noProof/>
        </w:rPr>
        <mc:AlternateContent>
          <mc:Choice Requires="wpg">
            <w:drawing>
              <wp:anchor distT="0" distB="0" distL="114300" distR="114300" simplePos="0" relativeHeight="251707392" behindDoc="0" locked="0" layoutInCell="1" allowOverlap="1">
                <wp:simplePos x="0" y="0"/>
                <wp:positionH relativeFrom="page">
                  <wp:posOffset>8664935</wp:posOffset>
                </wp:positionH>
                <wp:positionV relativeFrom="page">
                  <wp:posOffset>6769227</wp:posOffset>
                </wp:positionV>
                <wp:extent cx="161330" cy="3542157"/>
                <wp:effectExtent l="0" t="0" r="0" b="0"/>
                <wp:wrapTopAndBottom/>
                <wp:docPr id="382433" name="Group 382433"/>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6554" name="Rectangle 6554"/>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6555" name="Rectangle 6555"/>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45 de 298 </w:t>
                              </w:r>
                            </w:p>
                          </w:txbxContent>
                        </wps:txbx>
                        <wps:bodyPr horzOverflow="overflow" vert="horz" lIns="0" tIns="0" rIns="0" bIns="0" rtlCol="0">
                          <a:noAutofit/>
                        </wps:bodyPr>
                      </wps:wsp>
                    </wpg:wgp>
                  </a:graphicData>
                </a:graphic>
              </wp:anchor>
            </w:drawing>
          </mc:Choice>
          <mc:Fallback xmlns:a="http://schemas.openxmlformats.org/drawingml/2006/main">
            <w:pict>
              <v:group id="Group 382433" style="width:12.7031pt;height:278.91pt;position:absolute;mso-position-horizontal-relative:page;mso-position-horizontal:absolute;margin-left:682.278pt;mso-position-vertical-relative:page;margin-top:533.01pt;" coordsize="1613,35421">
                <v:rect id="Rectangle 6554"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6555"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45 de 298 </w:t>
                        </w:r>
                      </w:p>
                    </w:txbxContent>
                  </v:textbox>
                </v:rect>
                <w10:wrap type="topAndBottom"/>
              </v:group>
            </w:pict>
          </mc:Fallback>
        </mc:AlternateContent>
      </w:r>
      <w:r>
        <w:br w:type="page"/>
      </w:r>
    </w:p>
    <w:tbl>
      <w:tblPr>
        <w:tblStyle w:val="TableGrid"/>
        <w:tblW w:w="8085" w:type="dxa"/>
        <w:tblInd w:w="365" w:type="dxa"/>
        <w:tblCellMar>
          <w:top w:w="7" w:type="dxa"/>
          <w:left w:w="108" w:type="dxa"/>
          <w:bottom w:w="0" w:type="dxa"/>
          <w:right w:w="53" w:type="dxa"/>
        </w:tblCellMar>
        <w:tblLook w:val="04A0" w:firstRow="1" w:lastRow="0" w:firstColumn="1" w:lastColumn="0" w:noHBand="0" w:noVBand="1"/>
      </w:tblPr>
      <w:tblGrid>
        <w:gridCol w:w="4781"/>
        <w:gridCol w:w="1044"/>
        <w:gridCol w:w="1174"/>
        <w:gridCol w:w="1085"/>
      </w:tblGrid>
      <w:tr w:rsidR="00B064CF">
        <w:trPr>
          <w:trHeight w:val="360"/>
        </w:trPr>
        <w:tc>
          <w:tcPr>
            <w:tcW w:w="478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Fisioterapeuta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8" w:firstLine="0"/>
              <w:jc w:val="center"/>
            </w:pPr>
            <w:r>
              <w:rPr>
                <w:sz w:val="20"/>
              </w:rPr>
              <w:t xml:space="preserve">1 </w:t>
            </w:r>
          </w:p>
        </w:tc>
        <w:tc>
          <w:tcPr>
            <w:tcW w:w="117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center"/>
            </w:pPr>
            <w:r>
              <w:rPr>
                <w:sz w:val="20"/>
              </w:rPr>
              <w:t xml:space="preserve">A2 </w:t>
            </w:r>
          </w:p>
        </w:tc>
        <w:tc>
          <w:tcPr>
            <w:tcW w:w="10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6" w:firstLine="0"/>
              <w:jc w:val="center"/>
            </w:pPr>
            <w:r>
              <w:rPr>
                <w:sz w:val="20"/>
              </w:rPr>
              <w:t xml:space="preserve">1 </w:t>
            </w:r>
          </w:p>
        </w:tc>
      </w:tr>
      <w:tr w:rsidR="00B064CF">
        <w:trPr>
          <w:trHeight w:val="360"/>
        </w:trPr>
        <w:tc>
          <w:tcPr>
            <w:tcW w:w="478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Archivero/a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8" w:firstLine="0"/>
              <w:jc w:val="center"/>
            </w:pPr>
            <w:r>
              <w:rPr>
                <w:sz w:val="20"/>
              </w:rPr>
              <w:t xml:space="preserve">1 </w:t>
            </w:r>
          </w:p>
        </w:tc>
        <w:tc>
          <w:tcPr>
            <w:tcW w:w="117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center"/>
            </w:pPr>
            <w:r>
              <w:rPr>
                <w:sz w:val="20"/>
              </w:rPr>
              <w:t xml:space="preserve">A2 </w:t>
            </w:r>
          </w:p>
        </w:tc>
        <w:tc>
          <w:tcPr>
            <w:tcW w:w="10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6" w:firstLine="0"/>
              <w:jc w:val="center"/>
            </w:pPr>
            <w:r>
              <w:rPr>
                <w:sz w:val="20"/>
              </w:rPr>
              <w:t xml:space="preserve">1 </w:t>
            </w:r>
          </w:p>
        </w:tc>
      </w:tr>
      <w:tr w:rsidR="00B064CF">
        <w:trPr>
          <w:trHeight w:val="360"/>
        </w:trPr>
        <w:tc>
          <w:tcPr>
            <w:tcW w:w="478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Técnico/a Comercio y Turismo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8" w:firstLine="0"/>
              <w:jc w:val="center"/>
            </w:pPr>
            <w:r>
              <w:rPr>
                <w:sz w:val="20"/>
              </w:rPr>
              <w:t xml:space="preserve">1 </w:t>
            </w:r>
          </w:p>
        </w:tc>
        <w:tc>
          <w:tcPr>
            <w:tcW w:w="117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center"/>
            </w:pPr>
            <w:r>
              <w:rPr>
                <w:sz w:val="20"/>
              </w:rPr>
              <w:t xml:space="preserve">A2 </w:t>
            </w:r>
          </w:p>
        </w:tc>
        <w:tc>
          <w:tcPr>
            <w:tcW w:w="10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6" w:firstLine="0"/>
              <w:jc w:val="center"/>
            </w:pPr>
            <w:r>
              <w:rPr>
                <w:sz w:val="20"/>
              </w:rPr>
              <w:t xml:space="preserve">1 </w:t>
            </w:r>
          </w:p>
        </w:tc>
      </w:tr>
      <w:tr w:rsidR="00B064CF">
        <w:trPr>
          <w:trHeight w:val="360"/>
        </w:trPr>
        <w:tc>
          <w:tcPr>
            <w:tcW w:w="478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Gestor de Recursos Humanos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8" w:firstLine="0"/>
              <w:jc w:val="center"/>
            </w:pPr>
            <w:r>
              <w:rPr>
                <w:sz w:val="20"/>
              </w:rPr>
              <w:t xml:space="preserve">1 </w:t>
            </w:r>
          </w:p>
        </w:tc>
        <w:tc>
          <w:tcPr>
            <w:tcW w:w="117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center"/>
            </w:pPr>
            <w:r>
              <w:rPr>
                <w:sz w:val="20"/>
              </w:rPr>
              <w:t xml:space="preserve">A2 </w:t>
            </w:r>
          </w:p>
        </w:tc>
        <w:tc>
          <w:tcPr>
            <w:tcW w:w="10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6" w:firstLine="0"/>
              <w:jc w:val="center"/>
            </w:pPr>
            <w:r>
              <w:rPr>
                <w:sz w:val="20"/>
              </w:rPr>
              <w:t xml:space="preserve">1 </w:t>
            </w:r>
          </w:p>
        </w:tc>
      </w:tr>
      <w:tr w:rsidR="00B064CF">
        <w:trPr>
          <w:trHeight w:val="360"/>
        </w:trPr>
        <w:tc>
          <w:tcPr>
            <w:tcW w:w="478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Informador/a Turístico/a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8" w:firstLine="0"/>
              <w:jc w:val="center"/>
            </w:pPr>
            <w:r>
              <w:rPr>
                <w:sz w:val="20"/>
              </w:rPr>
              <w:t xml:space="preserve">1 </w:t>
            </w:r>
          </w:p>
        </w:tc>
        <w:tc>
          <w:tcPr>
            <w:tcW w:w="117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center"/>
            </w:pPr>
            <w:r>
              <w:rPr>
                <w:sz w:val="20"/>
              </w:rPr>
              <w:t xml:space="preserve">A2 </w:t>
            </w:r>
          </w:p>
        </w:tc>
        <w:tc>
          <w:tcPr>
            <w:tcW w:w="10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6" w:firstLine="0"/>
              <w:jc w:val="center"/>
            </w:pPr>
            <w:r>
              <w:rPr>
                <w:sz w:val="20"/>
              </w:rPr>
              <w:t xml:space="preserve">1 </w:t>
            </w:r>
          </w:p>
        </w:tc>
      </w:tr>
      <w:tr w:rsidR="00B064CF">
        <w:trPr>
          <w:trHeight w:val="361"/>
        </w:trPr>
        <w:tc>
          <w:tcPr>
            <w:tcW w:w="478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360" w:firstLine="0"/>
              <w:jc w:val="left"/>
            </w:pPr>
            <w:r>
              <w:rPr>
                <w:b/>
                <w:sz w:val="20"/>
              </w:rPr>
              <w:t xml:space="preserve">C) SERVICIOS ESPECIALES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2" w:firstLine="0"/>
              <w:jc w:val="center"/>
            </w:pPr>
            <w:r>
              <w:rPr>
                <w:sz w:val="20"/>
              </w:rPr>
              <w:t xml:space="preserve"> </w:t>
            </w:r>
          </w:p>
        </w:tc>
        <w:tc>
          <w:tcPr>
            <w:tcW w:w="117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2" w:firstLine="0"/>
              <w:jc w:val="center"/>
            </w:pPr>
            <w:r>
              <w:rPr>
                <w:sz w:val="20"/>
              </w:rPr>
              <w:t xml:space="preserve"> </w:t>
            </w:r>
          </w:p>
        </w:tc>
        <w:tc>
          <w:tcPr>
            <w:tcW w:w="10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 w:firstLine="0"/>
              <w:jc w:val="center"/>
            </w:pPr>
            <w:r>
              <w:rPr>
                <w:sz w:val="20"/>
              </w:rPr>
              <w:t xml:space="preserve"> </w:t>
            </w:r>
          </w:p>
        </w:tc>
      </w:tr>
      <w:tr w:rsidR="00B064CF">
        <w:trPr>
          <w:trHeight w:val="360"/>
        </w:trPr>
        <w:tc>
          <w:tcPr>
            <w:tcW w:w="478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Inspector/a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8" w:firstLine="0"/>
              <w:jc w:val="center"/>
            </w:pPr>
            <w:r>
              <w:rPr>
                <w:sz w:val="20"/>
              </w:rPr>
              <w:t xml:space="preserve">1 </w:t>
            </w:r>
          </w:p>
        </w:tc>
        <w:tc>
          <w:tcPr>
            <w:tcW w:w="117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center"/>
            </w:pPr>
            <w:r>
              <w:rPr>
                <w:sz w:val="20"/>
              </w:rPr>
              <w:t xml:space="preserve">A2 </w:t>
            </w:r>
          </w:p>
        </w:tc>
        <w:tc>
          <w:tcPr>
            <w:tcW w:w="10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6" w:firstLine="0"/>
              <w:jc w:val="center"/>
            </w:pPr>
            <w:r>
              <w:rPr>
                <w:sz w:val="20"/>
              </w:rPr>
              <w:t xml:space="preserve">1 </w:t>
            </w:r>
          </w:p>
        </w:tc>
      </w:tr>
      <w:tr w:rsidR="00B064CF">
        <w:trPr>
          <w:trHeight w:val="360"/>
        </w:trPr>
        <w:tc>
          <w:tcPr>
            <w:tcW w:w="478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Subinspector/a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8" w:firstLine="0"/>
              <w:jc w:val="center"/>
            </w:pPr>
            <w:r>
              <w:rPr>
                <w:sz w:val="20"/>
              </w:rPr>
              <w:t xml:space="preserve">2 </w:t>
            </w:r>
          </w:p>
        </w:tc>
        <w:tc>
          <w:tcPr>
            <w:tcW w:w="117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center"/>
            </w:pPr>
            <w:r>
              <w:rPr>
                <w:sz w:val="20"/>
              </w:rPr>
              <w:t xml:space="preserve">A2 </w:t>
            </w:r>
          </w:p>
        </w:tc>
        <w:tc>
          <w:tcPr>
            <w:tcW w:w="10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6" w:firstLine="0"/>
              <w:jc w:val="center"/>
            </w:pPr>
            <w:r>
              <w:rPr>
                <w:sz w:val="20"/>
              </w:rPr>
              <w:t xml:space="preserve">1 </w:t>
            </w:r>
          </w:p>
        </w:tc>
      </w:tr>
      <w:tr w:rsidR="00B064CF">
        <w:trPr>
          <w:trHeight w:val="360"/>
        </w:trPr>
        <w:tc>
          <w:tcPr>
            <w:tcW w:w="478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Oficial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8" w:firstLine="0"/>
              <w:jc w:val="center"/>
            </w:pPr>
            <w:r>
              <w:rPr>
                <w:sz w:val="20"/>
              </w:rPr>
              <w:t xml:space="preserve">7 </w:t>
            </w:r>
          </w:p>
        </w:tc>
        <w:tc>
          <w:tcPr>
            <w:tcW w:w="117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7" w:firstLine="0"/>
              <w:jc w:val="center"/>
            </w:pPr>
            <w:r>
              <w:rPr>
                <w:sz w:val="20"/>
              </w:rPr>
              <w:t xml:space="preserve">C1 </w:t>
            </w:r>
          </w:p>
        </w:tc>
        <w:tc>
          <w:tcPr>
            <w:tcW w:w="10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6" w:firstLine="0"/>
              <w:jc w:val="center"/>
            </w:pPr>
            <w:r>
              <w:rPr>
                <w:sz w:val="20"/>
              </w:rPr>
              <w:t xml:space="preserve">5 </w:t>
            </w:r>
          </w:p>
        </w:tc>
      </w:tr>
      <w:tr w:rsidR="00B064CF">
        <w:trPr>
          <w:trHeight w:val="360"/>
        </w:trPr>
        <w:tc>
          <w:tcPr>
            <w:tcW w:w="478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Policía Local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8" w:firstLine="0"/>
              <w:jc w:val="center"/>
            </w:pPr>
            <w:r>
              <w:rPr>
                <w:sz w:val="20"/>
              </w:rPr>
              <w:t xml:space="preserve">27 </w:t>
            </w:r>
          </w:p>
        </w:tc>
        <w:tc>
          <w:tcPr>
            <w:tcW w:w="117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7" w:firstLine="0"/>
              <w:jc w:val="center"/>
            </w:pPr>
            <w:r>
              <w:rPr>
                <w:sz w:val="20"/>
              </w:rPr>
              <w:t xml:space="preserve">C1 </w:t>
            </w:r>
          </w:p>
        </w:tc>
        <w:tc>
          <w:tcPr>
            <w:tcW w:w="10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6" w:firstLine="0"/>
              <w:jc w:val="center"/>
            </w:pPr>
            <w:r>
              <w:rPr>
                <w:sz w:val="20"/>
              </w:rPr>
              <w:t xml:space="preserve">3 </w:t>
            </w:r>
          </w:p>
        </w:tc>
      </w:tr>
      <w:tr w:rsidR="00B064CF">
        <w:trPr>
          <w:trHeight w:val="360"/>
        </w:trPr>
        <w:tc>
          <w:tcPr>
            <w:tcW w:w="478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right"/>
            </w:pPr>
            <w:r>
              <w:rPr>
                <w:b/>
                <w:sz w:val="20"/>
              </w:rPr>
              <w:t xml:space="preserve">Administración Especial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8" w:firstLine="0"/>
              <w:jc w:val="center"/>
            </w:pPr>
            <w:r>
              <w:rPr>
                <w:b/>
                <w:sz w:val="20"/>
              </w:rPr>
              <w:t xml:space="preserve">73 </w:t>
            </w:r>
          </w:p>
        </w:tc>
        <w:tc>
          <w:tcPr>
            <w:tcW w:w="117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2" w:firstLine="0"/>
              <w:jc w:val="center"/>
            </w:pPr>
            <w:r>
              <w:rPr>
                <w:b/>
                <w:sz w:val="20"/>
              </w:rPr>
              <w:t xml:space="preserve"> </w:t>
            </w:r>
          </w:p>
        </w:tc>
        <w:tc>
          <w:tcPr>
            <w:tcW w:w="10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center"/>
            </w:pPr>
            <w:r>
              <w:rPr>
                <w:b/>
                <w:sz w:val="20"/>
              </w:rPr>
              <w:t xml:space="preserve">46 </w:t>
            </w:r>
          </w:p>
        </w:tc>
      </w:tr>
      <w:tr w:rsidR="00B064CF">
        <w:trPr>
          <w:trHeight w:val="360"/>
        </w:trPr>
        <w:tc>
          <w:tcPr>
            <w:tcW w:w="478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2" w:firstLine="0"/>
              <w:jc w:val="center"/>
            </w:pPr>
            <w:r>
              <w:rPr>
                <w:sz w:val="20"/>
              </w:rPr>
              <w:t xml:space="preserve"> </w:t>
            </w:r>
          </w:p>
        </w:tc>
        <w:tc>
          <w:tcPr>
            <w:tcW w:w="117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2" w:firstLine="0"/>
              <w:jc w:val="center"/>
            </w:pPr>
            <w:r>
              <w:rPr>
                <w:sz w:val="20"/>
              </w:rPr>
              <w:t xml:space="preserve"> </w:t>
            </w:r>
          </w:p>
        </w:tc>
        <w:tc>
          <w:tcPr>
            <w:tcW w:w="10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 w:firstLine="0"/>
              <w:jc w:val="center"/>
            </w:pPr>
            <w:r>
              <w:rPr>
                <w:sz w:val="20"/>
              </w:rPr>
              <w:t xml:space="preserve"> </w:t>
            </w:r>
          </w:p>
        </w:tc>
      </w:tr>
      <w:tr w:rsidR="00B064CF">
        <w:trPr>
          <w:trHeight w:val="360"/>
        </w:trPr>
        <w:tc>
          <w:tcPr>
            <w:tcW w:w="478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right"/>
            </w:pPr>
            <w:r>
              <w:rPr>
                <w:b/>
                <w:sz w:val="20"/>
              </w:rPr>
              <w:t xml:space="preserve">Total Funcionarios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8" w:firstLine="0"/>
              <w:jc w:val="center"/>
            </w:pPr>
            <w:r>
              <w:rPr>
                <w:b/>
                <w:sz w:val="20"/>
              </w:rPr>
              <w:t xml:space="preserve">132 </w:t>
            </w:r>
          </w:p>
        </w:tc>
        <w:tc>
          <w:tcPr>
            <w:tcW w:w="117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2" w:firstLine="0"/>
              <w:jc w:val="center"/>
            </w:pPr>
            <w:r>
              <w:rPr>
                <w:b/>
                <w:sz w:val="20"/>
              </w:rPr>
              <w:t xml:space="preserve"> </w:t>
            </w:r>
          </w:p>
        </w:tc>
        <w:tc>
          <w:tcPr>
            <w:tcW w:w="10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center"/>
            </w:pPr>
            <w:r>
              <w:rPr>
                <w:b/>
                <w:sz w:val="20"/>
              </w:rPr>
              <w:t xml:space="preserve">97 </w:t>
            </w:r>
          </w:p>
        </w:tc>
      </w:tr>
    </w:tbl>
    <w:p w:rsidR="00B064CF" w:rsidRDefault="00E32F70">
      <w:pPr>
        <w:spacing w:after="103" w:line="259" w:lineRule="auto"/>
        <w:ind w:left="360" w:firstLine="0"/>
        <w:jc w:val="left"/>
      </w:pPr>
      <w:r>
        <w:rPr>
          <w:b/>
          <w:sz w:val="20"/>
        </w:rPr>
        <w:t xml:space="preserve"> </w:t>
      </w:r>
    </w:p>
    <w:p w:rsidR="00B064CF" w:rsidRDefault="00E32F70">
      <w:pPr>
        <w:spacing w:after="103" w:line="259" w:lineRule="auto"/>
        <w:ind w:left="360" w:firstLine="0"/>
        <w:jc w:val="left"/>
      </w:pPr>
      <w:r>
        <w:rPr>
          <w:b/>
          <w:sz w:val="20"/>
        </w:rPr>
        <w:t xml:space="preserve"> </w:t>
      </w:r>
    </w:p>
    <w:p w:rsidR="00B064CF" w:rsidRDefault="00E32F70">
      <w:pPr>
        <w:spacing w:after="103" w:line="259" w:lineRule="auto"/>
        <w:ind w:left="360" w:firstLine="0"/>
        <w:jc w:val="left"/>
      </w:pPr>
      <w:r>
        <w:rPr>
          <w:b/>
          <w:sz w:val="20"/>
        </w:rPr>
        <w:t xml:space="preserve"> </w:t>
      </w:r>
    </w:p>
    <w:p w:rsidR="00B064CF" w:rsidRDefault="00E32F70">
      <w:pPr>
        <w:spacing w:after="103" w:line="259" w:lineRule="auto"/>
        <w:ind w:left="360" w:firstLine="0"/>
        <w:jc w:val="left"/>
      </w:pPr>
      <w:r>
        <w:rPr>
          <w:rFonts w:ascii="Calibri" w:eastAsia="Calibri" w:hAnsi="Calibri" w:cs="Calibri"/>
          <w:noProof/>
        </w:rPr>
        <mc:AlternateContent>
          <mc:Choice Requires="wpg">
            <w:drawing>
              <wp:anchor distT="0" distB="0" distL="114300" distR="114300" simplePos="0" relativeHeight="251708416" behindDoc="0" locked="0" layoutInCell="1" allowOverlap="1">
                <wp:simplePos x="0" y="0"/>
                <wp:positionH relativeFrom="page">
                  <wp:posOffset>8664935</wp:posOffset>
                </wp:positionH>
                <wp:positionV relativeFrom="page">
                  <wp:posOffset>6769227</wp:posOffset>
                </wp:positionV>
                <wp:extent cx="161330" cy="3542157"/>
                <wp:effectExtent l="0" t="0" r="0" b="0"/>
                <wp:wrapTopAndBottom/>
                <wp:docPr id="394016" name="Group 394016"/>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7132" name="Rectangle 7132"/>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7133" name="Rectangle 7133"/>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46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4016" style="width:12.7031pt;height:278.91pt;position:absolute;mso-position-horizontal-relative:page;mso-position-horizontal:absolute;margin-left:682.278pt;mso-position-vertical-relative:page;margin-top:533.01pt;" coordsize="1613,35421">
                <v:rect id="Rectangle 7132"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7133"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46 de 298 </w:t>
                        </w:r>
                      </w:p>
                    </w:txbxContent>
                  </v:textbox>
                </v:rect>
                <w10:wrap type="topAndBottom"/>
              </v:group>
            </w:pict>
          </mc:Fallback>
        </mc:AlternateContent>
      </w:r>
      <w:r>
        <w:rPr>
          <w:b/>
          <w:sz w:val="20"/>
        </w:rPr>
        <w:t xml:space="preserve"> </w:t>
      </w:r>
    </w:p>
    <w:p w:rsidR="00B064CF" w:rsidRDefault="00E32F70">
      <w:pPr>
        <w:spacing w:after="138" w:line="259" w:lineRule="auto"/>
        <w:ind w:left="360" w:firstLine="0"/>
        <w:jc w:val="left"/>
      </w:pPr>
      <w:r>
        <w:rPr>
          <w:b/>
          <w:sz w:val="20"/>
        </w:rPr>
        <w:t xml:space="preserve"> </w:t>
      </w:r>
    </w:p>
    <w:p w:rsidR="00B064CF" w:rsidRDefault="00E32F70">
      <w:pPr>
        <w:numPr>
          <w:ilvl w:val="0"/>
          <w:numId w:val="8"/>
        </w:numPr>
        <w:spacing w:after="1" w:line="259" w:lineRule="auto"/>
        <w:ind w:hanging="708"/>
        <w:jc w:val="left"/>
      </w:pPr>
      <w:r>
        <w:rPr>
          <w:b/>
          <w:sz w:val="20"/>
        </w:rPr>
        <w:t>PLAZAS RESERVADAS A PERSONAL LABORAL</w:t>
      </w:r>
      <w:r>
        <w:t xml:space="preserve"> </w:t>
      </w:r>
    </w:p>
    <w:p w:rsidR="00B064CF" w:rsidRDefault="00E32F70">
      <w:pPr>
        <w:spacing w:after="0" w:line="259" w:lineRule="auto"/>
        <w:ind w:left="360" w:firstLine="0"/>
        <w:jc w:val="left"/>
      </w:pPr>
      <w:r>
        <w:rPr>
          <w:b/>
          <w:sz w:val="20"/>
        </w:rPr>
        <w:t xml:space="preserve"> </w:t>
      </w:r>
    </w:p>
    <w:tbl>
      <w:tblPr>
        <w:tblStyle w:val="TableGrid"/>
        <w:tblW w:w="6913" w:type="dxa"/>
        <w:tblInd w:w="365" w:type="dxa"/>
        <w:tblCellMar>
          <w:top w:w="7" w:type="dxa"/>
          <w:left w:w="108" w:type="dxa"/>
          <w:bottom w:w="0" w:type="dxa"/>
          <w:right w:w="53" w:type="dxa"/>
        </w:tblCellMar>
        <w:tblLook w:val="04A0" w:firstRow="1" w:lastRow="0" w:firstColumn="1" w:lastColumn="0" w:noHBand="0" w:noVBand="1"/>
      </w:tblPr>
      <w:tblGrid>
        <w:gridCol w:w="3937"/>
        <w:gridCol w:w="991"/>
        <w:gridCol w:w="1985"/>
      </w:tblGrid>
      <w:tr w:rsidR="00B064CF">
        <w:trPr>
          <w:trHeight w:val="360"/>
        </w:trPr>
        <w:tc>
          <w:tcPr>
            <w:tcW w:w="39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Plaza </w:t>
            </w:r>
          </w:p>
        </w:tc>
        <w:tc>
          <w:tcPr>
            <w:tcW w:w="9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6" w:firstLine="0"/>
              <w:jc w:val="center"/>
            </w:pPr>
            <w:r>
              <w:rPr>
                <w:sz w:val="20"/>
              </w:rPr>
              <w:t xml:space="preserve">Nº </w:t>
            </w:r>
          </w:p>
        </w:tc>
        <w:tc>
          <w:tcPr>
            <w:tcW w:w="19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3" w:firstLine="0"/>
              <w:jc w:val="center"/>
            </w:pPr>
            <w:r>
              <w:rPr>
                <w:sz w:val="20"/>
              </w:rPr>
              <w:t xml:space="preserve">Vacante </w:t>
            </w:r>
          </w:p>
        </w:tc>
      </w:tr>
      <w:tr w:rsidR="00B064CF">
        <w:trPr>
          <w:trHeight w:val="360"/>
        </w:trPr>
        <w:tc>
          <w:tcPr>
            <w:tcW w:w="39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Fosero/a </w:t>
            </w:r>
          </w:p>
        </w:tc>
        <w:tc>
          <w:tcPr>
            <w:tcW w:w="9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5" w:firstLine="0"/>
              <w:jc w:val="center"/>
            </w:pPr>
            <w:r>
              <w:rPr>
                <w:sz w:val="20"/>
              </w:rPr>
              <w:t xml:space="preserve">1 </w:t>
            </w:r>
          </w:p>
        </w:tc>
        <w:tc>
          <w:tcPr>
            <w:tcW w:w="19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6" w:firstLine="0"/>
              <w:jc w:val="center"/>
            </w:pPr>
            <w:r>
              <w:rPr>
                <w:sz w:val="20"/>
              </w:rPr>
              <w:t xml:space="preserve">1 </w:t>
            </w:r>
          </w:p>
        </w:tc>
      </w:tr>
      <w:tr w:rsidR="00B064CF">
        <w:trPr>
          <w:trHeight w:val="360"/>
        </w:trPr>
        <w:tc>
          <w:tcPr>
            <w:tcW w:w="39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Encargado/a de obras y servicios </w:t>
            </w:r>
          </w:p>
        </w:tc>
        <w:tc>
          <w:tcPr>
            <w:tcW w:w="9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5" w:firstLine="0"/>
              <w:jc w:val="center"/>
            </w:pPr>
            <w:r>
              <w:rPr>
                <w:sz w:val="20"/>
              </w:rPr>
              <w:t xml:space="preserve">1 </w:t>
            </w:r>
          </w:p>
        </w:tc>
        <w:tc>
          <w:tcPr>
            <w:tcW w:w="19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6" w:firstLine="0"/>
              <w:jc w:val="center"/>
            </w:pPr>
            <w:r>
              <w:rPr>
                <w:sz w:val="20"/>
              </w:rPr>
              <w:t xml:space="preserve">1 </w:t>
            </w:r>
          </w:p>
        </w:tc>
      </w:tr>
      <w:tr w:rsidR="00B064CF">
        <w:trPr>
          <w:trHeight w:val="361"/>
        </w:trPr>
        <w:tc>
          <w:tcPr>
            <w:tcW w:w="39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Jefe/a de equipo de electricidad </w:t>
            </w:r>
          </w:p>
        </w:tc>
        <w:tc>
          <w:tcPr>
            <w:tcW w:w="9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5" w:firstLine="0"/>
              <w:jc w:val="center"/>
            </w:pPr>
            <w:r>
              <w:rPr>
                <w:sz w:val="20"/>
              </w:rPr>
              <w:t xml:space="preserve">1 </w:t>
            </w:r>
          </w:p>
        </w:tc>
        <w:tc>
          <w:tcPr>
            <w:tcW w:w="19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6" w:firstLine="0"/>
              <w:jc w:val="center"/>
            </w:pPr>
            <w:r>
              <w:rPr>
                <w:sz w:val="20"/>
              </w:rPr>
              <w:t xml:space="preserve">1 </w:t>
            </w:r>
          </w:p>
        </w:tc>
      </w:tr>
      <w:tr w:rsidR="00B064CF">
        <w:trPr>
          <w:trHeight w:val="360"/>
        </w:trPr>
        <w:tc>
          <w:tcPr>
            <w:tcW w:w="39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Oficial de primera </w:t>
            </w:r>
          </w:p>
        </w:tc>
        <w:tc>
          <w:tcPr>
            <w:tcW w:w="9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5" w:firstLine="0"/>
              <w:jc w:val="center"/>
            </w:pPr>
            <w:r>
              <w:rPr>
                <w:sz w:val="20"/>
              </w:rPr>
              <w:t xml:space="preserve">9 </w:t>
            </w:r>
          </w:p>
        </w:tc>
        <w:tc>
          <w:tcPr>
            <w:tcW w:w="19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6" w:firstLine="0"/>
              <w:jc w:val="center"/>
            </w:pPr>
            <w:r>
              <w:rPr>
                <w:sz w:val="20"/>
              </w:rPr>
              <w:t xml:space="preserve">9 </w:t>
            </w:r>
          </w:p>
        </w:tc>
      </w:tr>
      <w:tr w:rsidR="00B064CF">
        <w:trPr>
          <w:trHeight w:val="360"/>
        </w:trPr>
        <w:tc>
          <w:tcPr>
            <w:tcW w:w="39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Oficial de segunda </w:t>
            </w:r>
          </w:p>
        </w:tc>
        <w:tc>
          <w:tcPr>
            <w:tcW w:w="9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5" w:firstLine="0"/>
              <w:jc w:val="center"/>
            </w:pPr>
            <w:r>
              <w:rPr>
                <w:sz w:val="20"/>
              </w:rPr>
              <w:t xml:space="preserve">8 </w:t>
            </w:r>
          </w:p>
        </w:tc>
        <w:tc>
          <w:tcPr>
            <w:tcW w:w="19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6" w:firstLine="0"/>
              <w:jc w:val="center"/>
            </w:pPr>
            <w:r>
              <w:rPr>
                <w:sz w:val="20"/>
              </w:rPr>
              <w:t xml:space="preserve">8 </w:t>
            </w:r>
          </w:p>
        </w:tc>
      </w:tr>
      <w:tr w:rsidR="00B064CF">
        <w:trPr>
          <w:trHeight w:val="360"/>
        </w:trPr>
        <w:tc>
          <w:tcPr>
            <w:tcW w:w="39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Conductor/a </w:t>
            </w:r>
          </w:p>
        </w:tc>
        <w:tc>
          <w:tcPr>
            <w:tcW w:w="9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5" w:firstLine="0"/>
              <w:jc w:val="center"/>
            </w:pPr>
            <w:r>
              <w:rPr>
                <w:sz w:val="20"/>
              </w:rPr>
              <w:t xml:space="preserve">4 </w:t>
            </w:r>
          </w:p>
        </w:tc>
        <w:tc>
          <w:tcPr>
            <w:tcW w:w="19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6" w:firstLine="0"/>
              <w:jc w:val="center"/>
            </w:pPr>
            <w:r>
              <w:rPr>
                <w:sz w:val="20"/>
              </w:rPr>
              <w:t xml:space="preserve">4 </w:t>
            </w:r>
          </w:p>
        </w:tc>
      </w:tr>
      <w:tr w:rsidR="00B064CF">
        <w:trPr>
          <w:trHeight w:val="360"/>
        </w:trPr>
        <w:tc>
          <w:tcPr>
            <w:tcW w:w="39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Operario/a </w:t>
            </w:r>
          </w:p>
        </w:tc>
        <w:tc>
          <w:tcPr>
            <w:tcW w:w="9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5" w:firstLine="0"/>
              <w:jc w:val="center"/>
            </w:pPr>
            <w:r>
              <w:rPr>
                <w:sz w:val="20"/>
              </w:rPr>
              <w:t xml:space="preserve">21 </w:t>
            </w:r>
          </w:p>
        </w:tc>
        <w:tc>
          <w:tcPr>
            <w:tcW w:w="19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6" w:firstLine="0"/>
              <w:jc w:val="center"/>
            </w:pPr>
            <w:r>
              <w:rPr>
                <w:sz w:val="20"/>
              </w:rPr>
              <w:t xml:space="preserve">21 </w:t>
            </w:r>
          </w:p>
        </w:tc>
      </w:tr>
      <w:tr w:rsidR="00B064CF">
        <w:trPr>
          <w:trHeight w:val="360"/>
        </w:trPr>
        <w:tc>
          <w:tcPr>
            <w:tcW w:w="39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Encargado/a jardines </w:t>
            </w:r>
          </w:p>
        </w:tc>
        <w:tc>
          <w:tcPr>
            <w:tcW w:w="9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5" w:firstLine="0"/>
              <w:jc w:val="center"/>
            </w:pPr>
            <w:r>
              <w:rPr>
                <w:sz w:val="20"/>
              </w:rPr>
              <w:t xml:space="preserve">1 </w:t>
            </w:r>
          </w:p>
        </w:tc>
        <w:tc>
          <w:tcPr>
            <w:tcW w:w="19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6" w:firstLine="0"/>
              <w:jc w:val="center"/>
            </w:pPr>
            <w:r>
              <w:rPr>
                <w:sz w:val="20"/>
              </w:rPr>
              <w:t xml:space="preserve">1 </w:t>
            </w:r>
          </w:p>
        </w:tc>
      </w:tr>
      <w:tr w:rsidR="00B064CF">
        <w:trPr>
          <w:trHeight w:val="360"/>
        </w:trPr>
        <w:tc>
          <w:tcPr>
            <w:tcW w:w="39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Jefe/a de equpo de jardines </w:t>
            </w:r>
          </w:p>
        </w:tc>
        <w:tc>
          <w:tcPr>
            <w:tcW w:w="9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5" w:firstLine="0"/>
              <w:jc w:val="center"/>
            </w:pPr>
            <w:r>
              <w:rPr>
                <w:sz w:val="20"/>
              </w:rPr>
              <w:t xml:space="preserve">1 </w:t>
            </w:r>
          </w:p>
        </w:tc>
        <w:tc>
          <w:tcPr>
            <w:tcW w:w="19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6" w:firstLine="0"/>
              <w:jc w:val="center"/>
            </w:pPr>
            <w:r>
              <w:rPr>
                <w:sz w:val="20"/>
              </w:rPr>
              <w:t xml:space="preserve">1 </w:t>
            </w:r>
          </w:p>
        </w:tc>
      </w:tr>
      <w:tr w:rsidR="00B064CF">
        <w:trPr>
          <w:trHeight w:val="360"/>
        </w:trPr>
        <w:tc>
          <w:tcPr>
            <w:tcW w:w="39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Auxiliar de Ayuda a domicilio </w:t>
            </w:r>
          </w:p>
        </w:tc>
        <w:tc>
          <w:tcPr>
            <w:tcW w:w="9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5" w:firstLine="0"/>
              <w:jc w:val="center"/>
            </w:pPr>
            <w:r>
              <w:rPr>
                <w:sz w:val="20"/>
              </w:rPr>
              <w:t xml:space="preserve">3 </w:t>
            </w:r>
          </w:p>
        </w:tc>
        <w:tc>
          <w:tcPr>
            <w:tcW w:w="19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6" w:firstLine="0"/>
              <w:jc w:val="center"/>
            </w:pPr>
            <w:r>
              <w:rPr>
                <w:sz w:val="20"/>
              </w:rPr>
              <w:t xml:space="preserve">3 </w:t>
            </w:r>
          </w:p>
        </w:tc>
      </w:tr>
      <w:tr w:rsidR="00B064CF">
        <w:trPr>
          <w:trHeight w:val="360"/>
        </w:trPr>
        <w:tc>
          <w:tcPr>
            <w:tcW w:w="39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Conserje-Notificador </w:t>
            </w:r>
          </w:p>
        </w:tc>
        <w:tc>
          <w:tcPr>
            <w:tcW w:w="9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5" w:firstLine="0"/>
              <w:jc w:val="center"/>
            </w:pPr>
            <w:r>
              <w:rPr>
                <w:sz w:val="20"/>
              </w:rPr>
              <w:t xml:space="preserve">1 </w:t>
            </w:r>
          </w:p>
        </w:tc>
        <w:tc>
          <w:tcPr>
            <w:tcW w:w="19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6" w:firstLine="0"/>
              <w:jc w:val="center"/>
            </w:pPr>
            <w:r>
              <w:rPr>
                <w:sz w:val="20"/>
              </w:rPr>
              <w:t xml:space="preserve">1 </w:t>
            </w:r>
          </w:p>
        </w:tc>
      </w:tr>
      <w:tr w:rsidR="00B064CF">
        <w:trPr>
          <w:trHeight w:val="360"/>
        </w:trPr>
        <w:tc>
          <w:tcPr>
            <w:tcW w:w="39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Conserje Edificios Municipales </w:t>
            </w:r>
          </w:p>
        </w:tc>
        <w:tc>
          <w:tcPr>
            <w:tcW w:w="9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5" w:firstLine="0"/>
              <w:jc w:val="center"/>
            </w:pPr>
            <w:r>
              <w:rPr>
                <w:sz w:val="20"/>
              </w:rPr>
              <w:t xml:space="preserve">8 </w:t>
            </w:r>
          </w:p>
        </w:tc>
        <w:tc>
          <w:tcPr>
            <w:tcW w:w="19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6" w:firstLine="0"/>
              <w:jc w:val="center"/>
            </w:pPr>
            <w:r>
              <w:rPr>
                <w:sz w:val="20"/>
              </w:rPr>
              <w:t xml:space="preserve">8 </w:t>
            </w:r>
          </w:p>
        </w:tc>
      </w:tr>
      <w:tr w:rsidR="00B064CF">
        <w:trPr>
          <w:trHeight w:val="360"/>
        </w:trPr>
        <w:tc>
          <w:tcPr>
            <w:tcW w:w="39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Decorador/a </w:t>
            </w:r>
          </w:p>
        </w:tc>
        <w:tc>
          <w:tcPr>
            <w:tcW w:w="9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5" w:firstLine="0"/>
              <w:jc w:val="center"/>
            </w:pPr>
            <w:r>
              <w:rPr>
                <w:sz w:val="20"/>
              </w:rPr>
              <w:t xml:space="preserve">1 </w:t>
            </w:r>
          </w:p>
        </w:tc>
        <w:tc>
          <w:tcPr>
            <w:tcW w:w="19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6" w:firstLine="0"/>
              <w:jc w:val="center"/>
            </w:pPr>
            <w:r>
              <w:rPr>
                <w:sz w:val="20"/>
              </w:rPr>
              <w:t xml:space="preserve">1 </w:t>
            </w:r>
          </w:p>
        </w:tc>
      </w:tr>
      <w:tr w:rsidR="00B064CF">
        <w:trPr>
          <w:trHeight w:val="360"/>
        </w:trPr>
        <w:tc>
          <w:tcPr>
            <w:tcW w:w="39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right"/>
            </w:pPr>
            <w:r>
              <w:rPr>
                <w:b/>
                <w:sz w:val="20"/>
              </w:rPr>
              <w:t xml:space="preserve">Total laborales </w:t>
            </w:r>
          </w:p>
        </w:tc>
        <w:tc>
          <w:tcPr>
            <w:tcW w:w="9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5" w:firstLine="0"/>
              <w:jc w:val="center"/>
            </w:pPr>
            <w:r>
              <w:rPr>
                <w:b/>
                <w:sz w:val="20"/>
              </w:rPr>
              <w:t xml:space="preserve">60 </w:t>
            </w:r>
          </w:p>
        </w:tc>
        <w:tc>
          <w:tcPr>
            <w:tcW w:w="19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4" w:firstLine="0"/>
              <w:jc w:val="center"/>
            </w:pPr>
            <w:r>
              <w:rPr>
                <w:b/>
                <w:sz w:val="20"/>
              </w:rPr>
              <w:t xml:space="preserve">60 </w:t>
            </w:r>
          </w:p>
        </w:tc>
      </w:tr>
    </w:tbl>
    <w:p w:rsidR="00B064CF" w:rsidRDefault="00E32F70">
      <w:pPr>
        <w:spacing w:after="137" w:line="259" w:lineRule="auto"/>
        <w:ind w:left="360" w:firstLine="0"/>
        <w:jc w:val="left"/>
      </w:pPr>
      <w:r>
        <w:rPr>
          <w:sz w:val="20"/>
        </w:rPr>
        <w:t xml:space="preserve"> </w:t>
      </w:r>
    </w:p>
    <w:p w:rsidR="00B064CF" w:rsidRDefault="00E32F70">
      <w:pPr>
        <w:numPr>
          <w:ilvl w:val="0"/>
          <w:numId w:val="8"/>
        </w:numPr>
        <w:spacing w:after="1" w:line="259" w:lineRule="auto"/>
        <w:ind w:hanging="708"/>
        <w:jc w:val="left"/>
      </w:pPr>
      <w:r>
        <w:rPr>
          <w:b/>
          <w:sz w:val="20"/>
        </w:rPr>
        <w:t>PERSONAL EVENTUAL</w:t>
      </w:r>
      <w:r>
        <w:rPr>
          <w:sz w:val="20"/>
        </w:rPr>
        <w:t xml:space="preserve"> </w:t>
      </w:r>
      <w:r>
        <w:rPr>
          <w:sz w:val="20"/>
        </w:rPr>
        <w:tab/>
      </w:r>
      <w:r>
        <w:t xml:space="preserve"> </w:t>
      </w:r>
    </w:p>
    <w:tbl>
      <w:tblPr>
        <w:tblStyle w:val="TableGrid"/>
        <w:tblW w:w="6908" w:type="dxa"/>
        <w:tblInd w:w="365" w:type="dxa"/>
        <w:tblCellMar>
          <w:top w:w="7" w:type="dxa"/>
          <w:left w:w="108" w:type="dxa"/>
          <w:bottom w:w="0" w:type="dxa"/>
          <w:right w:w="115" w:type="dxa"/>
        </w:tblCellMar>
        <w:tblLook w:val="04A0" w:firstRow="1" w:lastRow="0" w:firstColumn="1" w:lastColumn="0" w:noHBand="0" w:noVBand="1"/>
      </w:tblPr>
      <w:tblGrid>
        <w:gridCol w:w="4933"/>
        <w:gridCol w:w="1976"/>
      </w:tblGrid>
      <w:tr w:rsidR="00B064CF">
        <w:trPr>
          <w:trHeight w:val="360"/>
        </w:trPr>
        <w:tc>
          <w:tcPr>
            <w:tcW w:w="493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20"/>
              </w:rPr>
              <w:t xml:space="preserve">Personal eventual </w:t>
            </w:r>
          </w:p>
        </w:tc>
        <w:tc>
          <w:tcPr>
            <w:tcW w:w="1976"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 w:firstLine="0"/>
              <w:jc w:val="center"/>
            </w:pPr>
            <w:r>
              <w:rPr>
                <w:b/>
                <w:sz w:val="20"/>
              </w:rPr>
              <w:t xml:space="preserve">Nº </w:t>
            </w:r>
          </w:p>
        </w:tc>
      </w:tr>
      <w:tr w:rsidR="00B064CF">
        <w:trPr>
          <w:trHeight w:val="360"/>
        </w:trPr>
        <w:tc>
          <w:tcPr>
            <w:tcW w:w="493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Asesor/a Cultura y Fiestas</w:t>
            </w:r>
            <w:r>
              <w:rPr>
                <w:rFonts w:ascii="Times New Roman" w:eastAsia="Times New Roman" w:hAnsi="Times New Roman" w:cs="Times New Roman"/>
                <w:sz w:val="24"/>
              </w:rPr>
              <w:t xml:space="preserve"> </w:t>
            </w:r>
          </w:p>
        </w:tc>
        <w:tc>
          <w:tcPr>
            <w:tcW w:w="1976"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6" w:firstLine="0"/>
              <w:jc w:val="center"/>
            </w:pPr>
            <w:r>
              <w:rPr>
                <w:sz w:val="20"/>
              </w:rPr>
              <w:t xml:space="preserve">1 </w:t>
            </w:r>
          </w:p>
        </w:tc>
      </w:tr>
      <w:tr w:rsidR="00B064CF">
        <w:trPr>
          <w:trHeight w:val="361"/>
        </w:trPr>
        <w:tc>
          <w:tcPr>
            <w:tcW w:w="493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Asesor/a Comunicación y Prensa </w:t>
            </w:r>
          </w:p>
        </w:tc>
        <w:tc>
          <w:tcPr>
            <w:tcW w:w="1976"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6" w:firstLine="0"/>
              <w:jc w:val="center"/>
            </w:pPr>
            <w:r>
              <w:rPr>
                <w:sz w:val="20"/>
              </w:rPr>
              <w:t xml:space="preserve">1 </w:t>
            </w:r>
          </w:p>
        </w:tc>
      </w:tr>
      <w:tr w:rsidR="00B064CF">
        <w:trPr>
          <w:trHeight w:val="360"/>
        </w:trPr>
        <w:tc>
          <w:tcPr>
            <w:tcW w:w="493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Asesor/a Alcaldía Presidencia </w:t>
            </w:r>
          </w:p>
        </w:tc>
        <w:tc>
          <w:tcPr>
            <w:tcW w:w="1976"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6" w:firstLine="0"/>
              <w:jc w:val="center"/>
            </w:pPr>
            <w:r>
              <w:rPr>
                <w:sz w:val="20"/>
              </w:rPr>
              <w:t xml:space="preserve">1 </w:t>
            </w:r>
          </w:p>
        </w:tc>
      </w:tr>
      <w:tr w:rsidR="00B064CF">
        <w:trPr>
          <w:trHeight w:val="360"/>
        </w:trPr>
        <w:tc>
          <w:tcPr>
            <w:tcW w:w="493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Asesor/a Alcaldía Pres./Concejales/as delegados/as </w:t>
            </w:r>
          </w:p>
        </w:tc>
        <w:tc>
          <w:tcPr>
            <w:tcW w:w="1976"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6" w:firstLine="0"/>
              <w:jc w:val="center"/>
            </w:pPr>
            <w:r>
              <w:rPr>
                <w:sz w:val="20"/>
              </w:rPr>
              <w:t xml:space="preserve">1 </w:t>
            </w:r>
          </w:p>
        </w:tc>
      </w:tr>
      <w:tr w:rsidR="00B064CF">
        <w:trPr>
          <w:trHeight w:val="360"/>
        </w:trPr>
        <w:tc>
          <w:tcPr>
            <w:tcW w:w="493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Asesor/a Concejales/as delegados/as </w:t>
            </w:r>
          </w:p>
        </w:tc>
        <w:tc>
          <w:tcPr>
            <w:tcW w:w="1976"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6" w:firstLine="0"/>
              <w:jc w:val="center"/>
            </w:pPr>
            <w:r>
              <w:rPr>
                <w:sz w:val="20"/>
              </w:rPr>
              <w:t xml:space="preserve">3 </w:t>
            </w:r>
          </w:p>
        </w:tc>
      </w:tr>
      <w:tr w:rsidR="00B064CF">
        <w:trPr>
          <w:trHeight w:val="360"/>
        </w:trPr>
        <w:tc>
          <w:tcPr>
            <w:tcW w:w="493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 w:firstLine="0"/>
              <w:jc w:val="center"/>
            </w:pPr>
            <w:r>
              <w:rPr>
                <w:b/>
                <w:sz w:val="20"/>
              </w:rPr>
              <w:t xml:space="preserve">TOTAL </w:t>
            </w:r>
          </w:p>
        </w:tc>
        <w:tc>
          <w:tcPr>
            <w:tcW w:w="1976"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6" w:firstLine="0"/>
              <w:jc w:val="center"/>
            </w:pPr>
            <w:r>
              <w:rPr>
                <w:b/>
                <w:sz w:val="20"/>
              </w:rPr>
              <w:t xml:space="preserve">7 </w:t>
            </w:r>
          </w:p>
        </w:tc>
      </w:tr>
    </w:tbl>
    <w:p w:rsidR="00B064CF" w:rsidRDefault="00E32F70">
      <w:pPr>
        <w:spacing w:after="103" w:line="259" w:lineRule="auto"/>
        <w:ind w:left="360" w:firstLine="0"/>
        <w:jc w:val="left"/>
      </w:pPr>
      <w:r>
        <w:rPr>
          <w:b/>
          <w:sz w:val="20"/>
        </w:rPr>
        <w:t xml:space="preserve"> </w:t>
      </w:r>
    </w:p>
    <w:p w:rsidR="00B064CF" w:rsidRDefault="00E32F70">
      <w:pPr>
        <w:spacing w:after="1" w:line="259" w:lineRule="auto"/>
        <w:ind w:left="355"/>
        <w:jc w:val="left"/>
      </w:pPr>
      <w:r>
        <w:rPr>
          <w:rFonts w:ascii="Calibri" w:eastAsia="Calibri" w:hAnsi="Calibri" w:cs="Calibri"/>
          <w:noProof/>
        </w:rPr>
        <mc:AlternateContent>
          <mc:Choice Requires="wpg">
            <w:drawing>
              <wp:anchor distT="0" distB="0" distL="114300" distR="114300" simplePos="0" relativeHeight="251709440" behindDoc="0" locked="0" layoutInCell="1" allowOverlap="1">
                <wp:simplePos x="0" y="0"/>
                <wp:positionH relativeFrom="page">
                  <wp:posOffset>8664935</wp:posOffset>
                </wp:positionH>
                <wp:positionV relativeFrom="page">
                  <wp:posOffset>6769227</wp:posOffset>
                </wp:positionV>
                <wp:extent cx="161330" cy="3542157"/>
                <wp:effectExtent l="0" t="0" r="0" b="0"/>
                <wp:wrapTopAndBottom/>
                <wp:docPr id="444264" name="Group 444264"/>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7743" name="Rectangle 7743"/>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7744" name="Rectangle 7744"/>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47 de 298 </w:t>
                              </w:r>
                            </w:p>
                          </w:txbxContent>
                        </wps:txbx>
                        <wps:bodyPr horzOverflow="overflow" vert="horz" lIns="0" tIns="0" rIns="0" bIns="0" rtlCol="0">
                          <a:noAutofit/>
                        </wps:bodyPr>
                      </wps:wsp>
                    </wpg:wgp>
                  </a:graphicData>
                </a:graphic>
              </wp:anchor>
            </w:drawing>
          </mc:Choice>
          <mc:Fallback xmlns:a="http://schemas.openxmlformats.org/drawingml/2006/main">
            <w:pict>
              <v:group id="Group 444264" style="width:12.7031pt;height:278.91pt;position:absolute;mso-position-horizontal-relative:page;mso-position-horizontal:absolute;margin-left:682.278pt;mso-position-vertical-relative:page;margin-top:533.01pt;" coordsize="1613,35421">
                <v:rect id="Rectangle 7743"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7744"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47 de 298 </w:t>
                        </w:r>
                      </w:p>
                    </w:txbxContent>
                  </v:textbox>
                </v:rect>
                <w10:wrap type="topAndBottom"/>
              </v:group>
            </w:pict>
          </mc:Fallback>
        </mc:AlternateContent>
      </w:r>
      <w:r>
        <w:rPr>
          <w:b/>
          <w:sz w:val="20"/>
        </w:rPr>
        <w:t xml:space="preserve">III.- Plan Presupuestario 2022-2024 </w:t>
      </w:r>
    </w:p>
    <w:tbl>
      <w:tblPr>
        <w:tblStyle w:val="TableGrid"/>
        <w:tblW w:w="8452" w:type="dxa"/>
        <w:tblInd w:w="917" w:type="dxa"/>
        <w:tblCellMar>
          <w:top w:w="57" w:type="dxa"/>
          <w:left w:w="55" w:type="dxa"/>
          <w:bottom w:w="0" w:type="dxa"/>
          <w:right w:w="0" w:type="dxa"/>
        </w:tblCellMar>
        <w:tblLook w:val="04A0" w:firstRow="1" w:lastRow="0" w:firstColumn="1" w:lastColumn="0" w:noHBand="0" w:noVBand="1"/>
      </w:tblPr>
      <w:tblGrid>
        <w:gridCol w:w="2552"/>
        <w:gridCol w:w="1560"/>
        <w:gridCol w:w="1419"/>
        <w:gridCol w:w="1416"/>
        <w:gridCol w:w="1505"/>
      </w:tblGrid>
      <w:tr w:rsidR="00B064CF">
        <w:trPr>
          <w:trHeight w:val="574"/>
        </w:trPr>
        <w:tc>
          <w:tcPr>
            <w:tcW w:w="2552"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right="60" w:firstLine="0"/>
              <w:jc w:val="center"/>
            </w:pPr>
            <w:r>
              <w:rPr>
                <w:b/>
                <w:sz w:val="20"/>
              </w:rPr>
              <w:t xml:space="preserve">INGRESOS </w:t>
            </w:r>
          </w:p>
        </w:tc>
        <w:tc>
          <w:tcPr>
            <w:tcW w:w="156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46" w:firstLine="0"/>
            </w:pPr>
            <w:r>
              <w:rPr>
                <w:b/>
                <w:sz w:val="20"/>
              </w:rPr>
              <w:t>PRESUPUEST</w:t>
            </w:r>
          </w:p>
          <w:p w:rsidR="00B064CF" w:rsidRDefault="00E32F70">
            <w:pPr>
              <w:spacing w:after="0" w:line="259" w:lineRule="auto"/>
              <w:ind w:left="0" w:right="59" w:firstLine="0"/>
              <w:jc w:val="center"/>
            </w:pPr>
            <w:r>
              <w:rPr>
                <w:b/>
                <w:sz w:val="20"/>
              </w:rPr>
              <w:t xml:space="preserve">O 2021 </w:t>
            </w:r>
          </w:p>
        </w:tc>
        <w:tc>
          <w:tcPr>
            <w:tcW w:w="141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8" w:right="9" w:firstLine="0"/>
              <w:jc w:val="center"/>
            </w:pPr>
            <w:r>
              <w:rPr>
                <w:b/>
                <w:sz w:val="20"/>
              </w:rPr>
              <w:t xml:space="preserve">PREVISIÓN Pº 2022 </w:t>
            </w:r>
          </w:p>
        </w:tc>
        <w:tc>
          <w:tcPr>
            <w:tcW w:w="1416"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8" w:right="6" w:firstLine="0"/>
              <w:jc w:val="center"/>
            </w:pPr>
            <w:r>
              <w:rPr>
                <w:b/>
                <w:sz w:val="20"/>
              </w:rPr>
              <w:t xml:space="preserve">PREVISIÓN Pº 2023 </w:t>
            </w:r>
          </w:p>
        </w:tc>
        <w:tc>
          <w:tcPr>
            <w:tcW w:w="150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center"/>
            </w:pPr>
            <w:r>
              <w:rPr>
                <w:b/>
                <w:sz w:val="20"/>
              </w:rPr>
              <w:t>PREVISIÓN Pº 2024</w:t>
            </w:r>
            <w:r>
              <w:rPr>
                <w:rFonts w:ascii="Times New Roman" w:eastAsia="Times New Roman" w:hAnsi="Times New Roman" w:cs="Times New Roman"/>
                <w:sz w:val="24"/>
              </w:rPr>
              <w:t xml:space="preserve"> </w:t>
            </w:r>
          </w:p>
        </w:tc>
      </w:tr>
      <w:tr w:rsidR="00B064CF">
        <w:trPr>
          <w:trHeight w:val="572"/>
        </w:trPr>
        <w:tc>
          <w:tcPr>
            <w:tcW w:w="2552"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IMPUESTOS DIRECTOS </w:t>
            </w:r>
          </w:p>
        </w:tc>
        <w:tc>
          <w:tcPr>
            <w:tcW w:w="156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115" w:firstLine="0"/>
              <w:jc w:val="left"/>
            </w:pPr>
            <w:r>
              <w:rPr>
                <w:sz w:val="20"/>
              </w:rPr>
              <w:t xml:space="preserve">8.080.885,00 € </w:t>
            </w:r>
          </w:p>
        </w:tc>
        <w:tc>
          <w:tcPr>
            <w:tcW w:w="141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31" w:right="55" w:firstLine="0"/>
              <w:jc w:val="right"/>
            </w:pPr>
            <w:r>
              <w:rPr>
                <w:sz w:val="20"/>
              </w:rPr>
              <w:t xml:space="preserve">8.224.929,25 € </w:t>
            </w:r>
          </w:p>
        </w:tc>
        <w:tc>
          <w:tcPr>
            <w:tcW w:w="1416"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31" w:right="52" w:firstLine="0"/>
              <w:jc w:val="right"/>
            </w:pPr>
            <w:r>
              <w:rPr>
                <w:sz w:val="20"/>
              </w:rPr>
              <w:t xml:space="preserve">8.309.175,71 € </w:t>
            </w:r>
          </w:p>
        </w:tc>
        <w:tc>
          <w:tcPr>
            <w:tcW w:w="150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60" w:firstLine="0"/>
              <w:jc w:val="left"/>
            </w:pPr>
            <w:r>
              <w:rPr>
                <w:sz w:val="20"/>
              </w:rPr>
              <w:t xml:space="preserve">8.490.408,78 € </w:t>
            </w:r>
          </w:p>
        </w:tc>
      </w:tr>
      <w:tr w:rsidR="00B064CF">
        <w:trPr>
          <w:trHeight w:val="569"/>
        </w:trPr>
        <w:tc>
          <w:tcPr>
            <w:tcW w:w="2552"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30" w:firstLine="0"/>
              <w:jc w:val="left"/>
            </w:pPr>
            <w:r>
              <w:rPr>
                <w:sz w:val="20"/>
              </w:rPr>
              <w:t xml:space="preserve">IMPUESTOS INDIRECTOS </w:t>
            </w:r>
          </w:p>
        </w:tc>
        <w:tc>
          <w:tcPr>
            <w:tcW w:w="156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115" w:firstLine="0"/>
              <w:jc w:val="left"/>
            </w:pPr>
            <w:r>
              <w:rPr>
                <w:sz w:val="20"/>
              </w:rPr>
              <w:t xml:space="preserve">3.989.577,65 € </w:t>
            </w:r>
          </w:p>
        </w:tc>
        <w:tc>
          <w:tcPr>
            <w:tcW w:w="141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31" w:right="55" w:firstLine="0"/>
              <w:jc w:val="right"/>
            </w:pPr>
            <w:r>
              <w:rPr>
                <w:sz w:val="20"/>
              </w:rPr>
              <w:t xml:space="preserve">4.056.893,12 € </w:t>
            </w:r>
          </w:p>
        </w:tc>
        <w:tc>
          <w:tcPr>
            <w:tcW w:w="1416"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31" w:right="52" w:firstLine="0"/>
              <w:jc w:val="right"/>
            </w:pPr>
            <w:r>
              <w:rPr>
                <w:sz w:val="20"/>
              </w:rPr>
              <w:t xml:space="preserve">4.310.506,41 € </w:t>
            </w:r>
          </w:p>
        </w:tc>
        <w:tc>
          <w:tcPr>
            <w:tcW w:w="150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60" w:firstLine="0"/>
              <w:jc w:val="left"/>
            </w:pPr>
            <w:r>
              <w:rPr>
                <w:sz w:val="20"/>
              </w:rPr>
              <w:t xml:space="preserve">4.416.405,61 € </w:t>
            </w:r>
          </w:p>
        </w:tc>
      </w:tr>
      <w:tr w:rsidR="00B064CF">
        <w:trPr>
          <w:trHeight w:val="571"/>
        </w:trPr>
        <w:tc>
          <w:tcPr>
            <w:tcW w:w="2552"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20"/>
              </w:rPr>
              <w:t xml:space="preserve">TASAS Y OTROS INGRESOS </w:t>
            </w:r>
          </w:p>
        </w:tc>
        <w:tc>
          <w:tcPr>
            <w:tcW w:w="156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115" w:firstLine="0"/>
              <w:jc w:val="left"/>
            </w:pPr>
            <w:r>
              <w:rPr>
                <w:sz w:val="20"/>
              </w:rPr>
              <w:t xml:space="preserve">2.243.372,39 € </w:t>
            </w:r>
          </w:p>
        </w:tc>
        <w:tc>
          <w:tcPr>
            <w:tcW w:w="141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31" w:right="55" w:firstLine="0"/>
              <w:jc w:val="right"/>
            </w:pPr>
            <w:r>
              <w:rPr>
                <w:sz w:val="20"/>
              </w:rPr>
              <w:t xml:space="preserve">2.256.446,12 € </w:t>
            </w:r>
          </w:p>
        </w:tc>
        <w:tc>
          <w:tcPr>
            <w:tcW w:w="1416"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31" w:right="52" w:firstLine="0"/>
              <w:jc w:val="right"/>
            </w:pPr>
            <w:r>
              <w:rPr>
                <w:sz w:val="20"/>
              </w:rPr>
              <w:t xml:space="preserve">2.298.629,22 € </w:t>
            </w:r>
          </w:p>
        </w:tc>
        <w:tc>
          <w:tcPr>
            <w:tcW w:w="150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60" w:firstLine="0"/>
              <w:jc w:val="left"/>
            </w:pPr>
            <w:r>
              <w:rPr>
                <w:sz w:val="20"/>
              </w:rPr>
              <w:t xml:space="preserve">2.326.809,33 € </w:t>
            </w:r>
          </w:p>
        </w:tc>
      </w:tr>
      <w:tr w:rsidR="00B064CF">
        <w:trPr>
          <w:trHeight w:val="569"/>
        </w:trPr>
        <w:tc>
          <w:tcPr>
            <w:tcW w:w="2552"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20"/>
              </w:rPr>
              <w:t xml:space="preserve">TRANSFERENCIAS CORRIENTES </w:t>
            </w:r>
          </w:p>
        </w:tc>
        <w:tc>
          <w:tcPr>
            <w:tcW w:w="156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115" w:firstLine="0"/>
              <w:jc w:val="left"/>
            </w:pPr>
            <w:r>
              <w:rPr>
                <w:sz w:val="20"/>
              </w:rPr>
              <w:t xml:space="preserve">8.062.905,45 € </w:t>
            </w:r>
          </w:p>
        </w:tc>
        <w:tc>
          <w:tcPr>
            <w:tcW w:w="141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31" w:right="55" w:firstLine="0"/>
              <w:jc w:val="right"/>
            </w:pPr>
            <w:r>
              <w:rPr>
                <w:sz w:val="20"/>
              </w:rPr>
              <w:t xml:space="preserve">8.208.353,43 € </w:t>
            </w:r>
          </w:p>
        </w:tc>
        <w:tc>
          <w:tcPr>
            <w:tcW w:w="1416"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31" w:right="52" w:firstLine="0"/>
              <w:jc w:val="right"/>
            </w:pPr>
            <w:r>
              <w:rPr>
                <w:sz w:val="20"/>
              </w:rPr>
              <w:t xml:space="preserve">8.372.411,07 € </w:t>
            </w:r>
          </w:p>
        </w:tc>
        <w:tc>
          <w:tcPr>
            <w:tcW w:w="150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60" w:firstLine="0"/>
              <w:jc w:val="left"/>
            </w:pPr>
            <w:r>
              <w:rPr>
                <w:sz w:val="20"/>
              </w:rPr>
              <w:t xml:space="preserve">8.501.608,77 € </w:t>
            </w:r>
          </w:p>
        </w:tc>
      </w:tr>
      <w:tr w:rsidR="00B064CF">
        <w:trPr>
          <w:trHeight w:val="571"/>
        </w:trPr>
        <w:tc>
          <w:tcPr>
            <w:tcW w:w="2552" w:type="dxa"/>
            <w:tcBorders>
              <w:top w:val="single" w:sz="2" w:space="0" w:color="000000"/>
              <w:left w:val="single" w:sz="2" w:space="0" w:color="000000"/>
              <w:bottom w:val="single" w:sz="2" w:space="0" w:color="000000"/>
              <w:right w:val="single" w:sz="2" w:space="0" w:color="000000"/>
            </w:tcBorders>
          </w:tcPr>
          <w:p w:rsidR="00B064CF" w:rsidRDefault="00E32F70">
            <w:pPr>
              <w:spacing w:after="15" w:line="259" w:lineRule="auto"/>
              <w:ind w:left="0" w:firstLine="0"/>
              <w:jc w:val="left"/>
            </w:pPr>
            <w:r>
              <w:rPr>
                <w:sz w:val="20"/>
              </w:rPr>
              <w:t xml:space="preserve">INGRESOS </w:t>
            </w:r>
          </w:p>
          <w:p w:rsidR="00B064CF" w:rsidRDefault="00E32F70">
            <w:pPr>
              <w:spacing w:after="0" w:line="259" w:lineRule="auto"/>
              <w:ind w:left="0" w:firstLine="0"/>
              <w:jc w:val="left"/>
            </w:pPr>
            <w:r>
              <w:rPr>
                <w:sz w:val="20"/>
              </w:rPr>
              <w:t>PATRIMONIALES</w:t>
            </w:r>
            <w:r>
              <w:rPr>
                <w:rFonts w:ascii="Times New Roman" w:eastAsia="Times New Roman" w:hAnsi="Times New Roman" w:cs="Times New Roman"/>
                <w:sz w:val="24"/>
              </w:rPr>
              <w:t xml:space="preserve"> </w:t>
            </w:r>
          </w:p>
        </w:tc>
        <w:tc>
          <w:tcPr>
            <w:tcW w:w="156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right="57" w:firstLine="0"/>
              <w:jc w:val="right"/>
            </w:pPr>
            <w:r>
              <w:rPr>
                <w:sz w:val="20"/>
              </w:rPr>
              <w:t xml:space="preserve">12.000,00 € </w:t>
            </w:r>
          </w:p>
        </w:tc>
        <w:tc>
          <w:tcPr>
            <w:tcW w:w="1419"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right="58" w:firstLine="0"/>
              <w:jc w:val="right"/>
            </w:pPr>
            <w:r>
              <w:rPr>
                <w:sz w:val="20"/>
              </w:rPr>
              <w:t xml:space="preserve">29.000,00 € </w:t>
            </w:r>
          </w:p>
        </w:tc>
        <w:tc>
          <w:tcPr>
            <w:tcW w:w="1416"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right="55" w:firstLine="0"/>
              <w:jc w:val="right"/>
            </w:pPr>
            <w:r>
              <w:rPr>
                <w:sz w:val="20"/>
              </w:rPr>
              <w:t xml:space="preserve">29.000,00 € </w:t>
            </w:r>
          </w:p>
        </w:tc>
        <w:tc>
          <w:tcPr>
            <w:tcW w:w="150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right="58" w:firstLine="0"/>
              <w:jc w:val="right"/>
            </w:pPr>
            <w:r>
              <w:rPr>
                <w:sz w:val="20"/>
              </w:rPr>
              <w:t xml:space="preserve">29.000,00 € </w:t>
            </w:r>
          </w:p>
        </w:tc>
      </w:tr>
      <w:tr w:rsidR="00B064CF">
        <w:trPr>
          <w:trHeight w:val="569"/>
        </w:trPr>
        <w:tc>
          <w:tcPr>
            <w:tcW w:w="2552"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20"/>
              </w:rPr>
              <w:t>TRANSFERENCIAS DE CAPITAL</w:t>
            </w:r>
            <w:r>
              <w:rPr>
                <w:rFonts w:ascii="Times New Roman" w:eastAsia="Times New Roman" w:hAnsi="Times New Roman" w:cs="Times New Roman"/>
                <w:sz w:val="24"/>
              </w:rPr>
              <w:t xml:space="preserve"> </w:t>
            </w:r>
          </w:p>
        </w:tc>
        <w:tc>
          <w:tcPr>
            <w:tcW w:w="156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115" w:firstLine="0"/>
              <w:jc w:val="left"/>
            </w:pPr>
            <w:r>
              <w:rPr>
                <w:sz w:val="20"/>
              </w:rPr>
              <w:t xml:space="preserve">1.569.983,78 € </w:t>
            </w:r>
          </w:p>
        </w:tc>
        <w:tc>
          <w:tcPr>
            <w:tcW w:w="141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31" w:right="55" w:firstLine="0"/>
              <w:jc w:val="right"/>
            </w:pPr>
            <w:r>
              <w:rPr>
                <w:sz w:val="20"/>
              </w:rPr>
              <w:t xml:space="preserve">1.651.529,53 € </w:t>
            </w:r>
          </w:p>
        </w:tc>
        <w:tc>
          <w:tcPr>
            <w:tcW w:w="1416"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31" w:right="52" w:firstLine="0"/>
              <w:jc w:val="right"/>
            </w:pPr>
            <w:r>
              <w:rPr>
                <w:sz w:val="20"/>
              </w:rPr>
              <w:t xml:space="preserve">1.726.609,41 € </w:t>
            </w:r>
          </w:p>
        </w:tc>
        <w:tc>
          <w:tcPr>
            <w:tcW w:w="150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60" w:firstLine="0"/>
              <w:jc w:val="left"/>
            </w:pPr>
            <w:r>
              <w:rPr>
                <w:sz w:val="20"/>
              </w:rPr>
              <w:t xml:space="preserve">1.762.490,22 € </w:t>
            </w:r>
          </w:p>
        </w:tc>
      </w:tr>
      <w:tr w:rsidR="00B064CF">
        <w:trPr>
          <w:trHeight w:val="341"/>
        </w:trPr>
        <w:tc>
          <w:tcPr>
            <w:tcW w:w="2552"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20"/>
              </w:rPr>
              <w:t>ACTIVOS FINANCIEROS</w:t>
            </w:r>
            <w:r>
              <w:rPr>
                <w:rFonts w:ascii="Times New Roman" w:eastAsia="Times New Roman" w:hAnsi="Times New Roman" w:cs="Times New Roman"/>
                <w:sz w:val="24"/>
              </w:rPr>
              <w:t xml:space="preserve"> </w:t>
            </w:r>
          </w:p>
        </w:tc>
        <w:tc>
          <w:tcPr>
            <w:tcW w:w="156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7" w:firstLine="0"/>
              <w:jc w:val="right"/>
            </w:pPr>
            <w:r>
              <w:rPr>
                <w:sz w:val="20"/>
              </w:rPr>
              <w:t xml:space="preserve">0,00 € </w:t>
            </w:r>
          </w:p>
        </w:tc>
        <w:tc>
          <w:tcPr>
            <w:tcW w:w="141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7" w:firstLine="0"/>
              <w:jc w:val="right"/>
            </w:pPr>
            <w:r>
              <w:rPr>
                <w:sz w:val="20"/>
              </w:rPr>
              <w:t xml:space="preserve">0,00 € </w:t>
            </w:r>
          </w:p>
        </w:tc>
        <w:tc>
          <w:tcPr>
            <w:tcW w:w="1416"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5" w:firstLine="0"/>
              <w:jc w:val="right"/>
            </w:pPr>
            <w:r>
              <w:rPr>
                <w:sz w:val="20"/>
              </w:rPr>
              <w:t xml:space="preserve">0,00 € </w:t>
            </w:r>
          </w:p>
        </w:tc>
        <w:tc>
          <w:tcPr>
            <w:tcW w:w="150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7" w:firstLine="0"/>
              <w:jc w:val="right"/>
            </w:pPr>
            <w:r>
              <w:rPr>
                <w:sz w:val="20"/>
              </w:rPr>
              <w:t xml:space="preserve">0,00 € </w:t>
            </w:r>
          </w:p>
        </w:tc>
      </w:tr>
      <w:tr w:rsidR="00B064CF">
        <w:trPr>
          <w:trHeight w:val="338"/>
        </w:trPr>
        <w:tc>
          <w:tcPr>
            <w:tcW w:w="2552"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20"/>
              </w:rPr>
              <w:t xml:space="preserve">PASIVOS FINANCIEROS </w:t>
            </w:r>
          </w:p>
        </w:tc>
        <w:tc>
          <w:tcPr>
            <w:tcW w:w="156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7" w:firstLine="0"/>
              <w:jc w:val="right"/>
            </w:pPr>
            <w:r>
              <w:rPr>
                <w:sz w:val="20"/>
              </w:rPr>
              <w:t xml:space="preserve">0,00 € </w:t>
            </w:r>
          </w:p>
        </w:tc>
        <w:tc>
          <w:tcPr>
            <w:tcW w:w="141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7" w:firstLine="0"/>
              <w:jc w:val="right"/>
            </w:pPr>
            <w:r>
              <w:rPr>
                <w:sz w:val="20"/>
              </w:rPr>
              <w:t xml:space="preserve">0,00 € </w:t>
            </w:r>
          </w:p>
        </w:tc>
        <w:tc>
          <w:tcPr>
            <w:tcW w:w="1416"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5" w:firstLine="0"/>
              <w:jc w:val="right"/>
            </w:pPr>
            <w:r>
              <w:rPr>
                <w:sz w:val="20"/>
              </w:rPr>
              <w:t xml:space="preserve">0,00 € </w:t>
            </w:r>
          </w:p>
        </w:tc>
        <w:tc>
          <w:tcPr>
            <w:tcW w:w="150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7" w:firstLine="0"/>
              <w:jc w:val="right"/>
            </w:pPr>
            <w:r>
              <w:rPr>
                <w:sz w:val="20"/>
              </w:rPr>
              <w:t xml:space="preserve">0,00 € </w:t>
            </w:r>
          </w:p>
        </w:tc>
      </w:tr>
      <w:tr w:rsidR="00B064CF">
        <w:trPr>
          <w:trHeight w:val="571"/>
        </w:trPr>
        <w:tc>
          <w:tcPr>
            <w:tcW w:w="2552"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right="3" w:firstLine="0"/>
              <w:jc w:val="center"/>
            </w:pPr>
            <w:r>
              <w:rPr>
                <w:sz w:val="20"/>
              </w:rPr>
              <w:t xml:space="preserve"> </w:t>
            </w:r>
          </w:p>
        </w:tc>
        <w:tc>
          <w:tcPr>
            <w:tcW w:w="156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5" w:firstLine="0"/>
            </w:pPr>
            <w:r>
              <w:rPr>
                <w:sz w:val="20"/>
              </w:rPr>
              <w:t xml:space="preserve">23.958.724,27 € </w:t>
            </w:r>
          </w:p>
        </w:tc>
        <w:tc>
          <w:tcPr>
            <w:tcW w:w="141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5" w:firstLine="0"/>
              <w:jc w:val="right"/>
            </w:pPr>
            <w:r>
              <w:rPr>
                <w:sz w:val="20"/>
              </w:rPr>
              <w:t xml:space="preserve">24.427.151,45 € </w:t>
            </w:r>
          </w:p>
        </w:tc>
        <w:tc>
          <w:tcPr>
            <w:tcW w:w="1416"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2" w:firstLine="0"/>
              <w:jc w:val="right"/>
            </w:pPr>
            <w:r>
              <w:rPr>
                <w:sz w:val="20"/>
              </w:rPr>
              <w:t xml:space="preserve">25.046.331,82 € </w:t>
            </w:r>
          </w:p>
        </w:tc>
        <w:tc>
          <w:tcPr>
            <w:tcW w:w="150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7" w:right="55" w:firstLine="0"/>
              <w:jc w:val="right"/>
            </w:pPr>
            <w:r>
              <w:rPr>
                <w:sz w:val="20"/>
              </w:rPr>
              <w:t xml:space="preserve">25.526.722,71 € </w:t>
            </w:r>
          </w:p>
        </w:tc>
      </w:tr>
    </w:tbl>
    <w:p w:rsidR="00B064CF" w:rsidRDefault="00E32F70">
      <w:pPr>
        <w:spacing w:after="0" w:line="259" w:lineRule="auto"/>
        <w:ind w:left="360" w:firstLine="0"/>
        <w:jc w:val="left"/>
      </w:pPr>
      <w:r>
        <w:rPr>
          <w:b/>
          <w:sz w:val="20"/>
        </w:rPr>
        <w:t xml:space="preserve"> </w:t>
      </w:r>
    </w:p>
    <w:tbl>
      <w:tblPr>
        <w:tblStyle w:val="TableGrid"/>
        <w:tblW w:w="8452" w:type="dxa"/>
        <w:tblInd w:w="917" w:type="dxa"/>
        <w:tblCellMar>
          <w:top w:w="56" w:type="dxa"/>
          <w:left w:w="55" w:type="dxa"/>
          <w:bottom w:w="0" w:type="dxa"/>
          <w:right w:w="0" w:type="dxa"/>
        </w:tblCellMar>
        <w:tblLook w:val="04A0" w:firstRow="1" w:lastRow="0" w:firstColumn="1" w:lastColumn="0" w:noHBand="0" w:noVBand="1"/>
      </w:tblPr>
      <w:tblGrid>
        <w:gridCol w:w="2552"/>
        <w:gridCol w:w="1560"/>
        <w:gridCol w:w="1419"/>
        <w:gridCol w:w="1416"/>
        <w:gridCol w:w="1505"/>
      </w:tblGrid>
      <w:tr w:rsidR="00B064CF">
        <w:trPr>
          <w:trHeight w:val="574"/>
        </w:trPr>
        <w:tc>
          <w:tcPr>
            <w:tcW w:w="2552"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right="60" w:firstLine="0"/>
              <w:jc w:val="center"/>
            </w:pPr>
            <w:r>
              <w:rPr>
                <w:b/>
                <w:sz w:val="20"/>
              </w:rPr>
              <w:t xml:space="preserve">GASTOS </w:t>
            </w:r>
          </w:p>
        </w:tc>
        <w:tc>
          <w:tcPr>
            <w:tcW w:w="156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46" w:firstLine="0"/>
            </w:pPr>
            <w:r>
              <w:rPr>
                <w:b/>
                <w:sz w:val="20"/>
              </w:rPr>
              <w:t>PRESUPUEST</w:t>
            </w:r>
          </w:p>
          <w:p w:rsidR="00B064CF" w:rsidRDefault="00E32F70">
            <w:pPr>
              <w:spacing w:after="0" w:line="259" w:lineRule="auto"/>
              <w:ind w:left="0" w:right="59" w:firstLine="0"/>
              <w:jc w:val="center"/>
            </w:pPr>
            <w:r>
              <w:rPr>
                <w:b/>
                <w:sz w:val="20"/>
              </w:rPr>
              <w:t xml:space="preserve">O 2021 </w:t>
            </w:r>
          </w:p>
        </w:tc>
        <w:tc>
          <w:tcPr>
            <w:tcW w:w="141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8" w:right="9" w:firstLine="0"/>
              <w:jc w:val="center"/>
            </w:pPr>
            <w:r>
              <w:rPr>
                <w:b/>
                <w:sz w:val="20"/>
              </w:rPr>
              <w:t xml:space="preserve">PREVISIÓN Pº 2022 </w:t>
            </w:r>
          </w:p>
        </w:tc>
        <w:tc>
          <w:tcPr>
            <w:tcW w:w="1416"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8" w:right="6" w:firstLine="0"/>
              <w:jc w:val="center"/>
            </w:pPr>
            <w:r>
              <w:rPr>
                <w:b/>
                <w:sz w:val="20"/>
              </w:rPr>
              <w:t xml:space="preserve">PREVISIÓN Pº 2023 </w:t>
            </w:r>
          </w:p>
        </w:tc>
        <w:tc>
          <w:tcPr>
            <w:tcW w:w="150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center"/>
            </w:pPr>
            <w:r>
              <w:rPr>
                <w:b/>
                <w:sz w:val="20"/>
              </w:rPr>
              <w:t>PREVISIÓN Pº 2024</w:t>
            </w:r>
            <w:r>
              <w:rPr>
                <w:rFonts w:ascii="Times New Roman" w:eastAsia="Times New Roman" w:hAnsi="Times New Roman" w:cs="Times New Roman"/>
                <w:sz w:val="24"/>
              </w:rPr>
              <w:t xml:space="preserve"> </w:t>
            </w:r>
          </w:p>
        </w:tc>
      </w:tr>
      <w:tr w:rsidR="00B064CF">
        <w:trPr>
          <w:trHeight w:val="571"/>
        </w:trPr>
        <w:tc>
          <w:tcPr>
            <w:tcW w:w="2552"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GASTOS DE PERSONAL </w:t>
            </w:r>
          </w:p>
        </w:tc>
        <w:tc>
          <w:tcPr>
            <w:tcW w:w="156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19" w:firstLine="0"/>
            </w:pPr>
            <w:r>
              <w:rPr>
                <w:sz w:val="20"/>
              </w:rPr>
              <w:t xml:space="preserve">11.442.275,09 € </w:t>
            </w:r>
          </w:p>
        </w:tc>
        <w:tc>
          <w:tcPr>
            <w:tcW w:w="141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5" w:firstLine="0"/>
              <w:jc w:val="right"/>
            </w:pPr>
            <w:r>
              <w:rPr>
                <w:sz w:val="20"/>
              </w:rPr>
              <w:t xml:space="preserve">11.656.697,84 € </w:t>
            </w:r>
          </w:p>
        </w:tc>
        <w:tc>
          <w:tcPr>
            <w:tcW w:w="1416"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2" w:firstLine="0"/>
              <w:jc w:val="right"/>
            </w:pPr>
            <w:r>
              <w:rPr>
                <w:sz w:val="20"/>
              </w:rPr>
              <w:t xml:space="preserve">11.887.831,80 € </w:t>
            </w:r>
          </w:p>
        </w:tc>
        <w:tc>
          <w:tcPr>
            <w:tcW w:w="150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7" w:right="55" w:firstLine="0"/>
              <w:jc w:val="right"/>
            </w:pPr>
            <w:r>
              <w:rPr>
                <w:sz w:val="20"/>
              </w:rPr>
              <w:t xml:space="preserve">12.023.588,43 € </w:t>
            </w:r>
          </w:p>
        </w:tc>
      </w:tr>
      <w:tr w:rsidR="00B064CF">
        <w:trPr>
          <w:trHeight w:val="800"/>
        </w:trPr>
        <w:tc>
          <w:tcPr>
            <w:tcW w:w="2552"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20"/>
              </w:rPr>
              <w:t xml:space="preserve">GASTOS EN BIENES </w:t>
            </w:r>
          </w:p>
          <w:p w:rsidR="00B064CF" w:rsidRDefault="00E32F70">
            <w:pPr>
              <w:spacing w:after="0" w:line="259" w:lineRule="auto"/>
              <w:ind w:left="0" w:firstLine="0"/>
              <w:jc w:val="left"/>
            </w:pPr>
            <w:r>
              <w:rPr>
                <w:sz w:val="20"/>
              </w:rPr>
              <w:t xml:space="preserve">CORRIENTES Y </w:t>
            </w:r>
          </w:p>
          <w:p w:rsidR="00B064CF" w:rsidRDefault="00E32F70">
            <w:pPr>
              <w:spacing w:after="0" w:line="259" w:lineRule="auto"/>
              <w:ind w:left="0" w:firstLine="0"/>
              <w:jc w:val="left"/>
            </w:pPr>
            <w:r>
              <w:rPr>
                <w:sz w:val="20"/>
              </w:rPr>
              <w:t xml:space="preserve">SERVICIOS </w:t>
            </w:r>
          </w:p>
        </w:tc>
        <w:tc>
          <w:tcPr>
            <w:tcW w:w="156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115" w:firstLine="0"/>
              <w:jc w:val="left"/>
            </w:pPr>
            <w:r>
              <w:rPr>
                <w:sz w:val="20"/>
              </w:rPr>
              <w:t xml:space="preserve">9.665.349,87 € </w:t>
            </w:r>
          </w:p>
        </w:tc>
        <w:tc>
          <w:tcPr>
            <w:tcW w:w="1419"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right="55" w:firstLine="0"/>
              <w:jc w:val="right"/>
            </w:pPr>
            <w:r>
              <w:rPr>
                <w:sz w:val="20"/>
              </w:rPr>
              <w:t xml:space="preserve">10.273.866,00 € </w:t>
            </w:r>
          </w:p>
        </w:tc>
        <w:tc>
          <w:tcPr>
            <w:tcW w:w="1416"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right="52" w:firstLine="0"/>
              <w:jc w:val="right"/>
            </w:pPr>
            <w:r>
              <w:rPr>
                <w:sz w:val="20"/>
              </w:rPr>
              <w:t xml:space="preserve">10.753.812,43 € </w:t>
            </w:r>
          </w:p>
        </w:tc>
        <w:tc>
          <w:tcPr>
            <w:tcW w:w="150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1" w:right="55" w:firstLine="0"/>
              <w:jc w:val="right"/>
            </w:pPr>
            <w:r>
              <w:rPr>
                <w:sz w:val="20"/>
              </w:rPr>
              <w:t xml:space="preserve">11.120.944,52 € </w:t>
            </w:r>
          </w:p>
        </w:tc>
      </w:tr>
      <w:tr w:rsidR="00B064CF">
        <w:trPr>
          <w:trHeight w:val="341"/>
        </w:trPr>
        <w:tc>
          <w:tcPr>
            <w:tcW w:w="2552"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20"/>
              </w:rPr>
              <w:t xml:space="preserve">GASTOS FINANCIEROS </w:t>
            </w:r>
          </w:p>
        </w:tc>
        <w:tc>
          <w:tcPr>
            <w:tcW w:w="156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8" w:firstLine="0"/>
              <w:jc w:val="right"/>
            </w:pPr>
            <w:r>
              <w:rPr>
                <w:sz w:val="20"/>
              </w:rPr>
              <w:t xml:space="preserve">150.000,00 € </w:t>
            </w:r>
          </w:p>
        </w:tc>
        <w:tc>
          <w:tcPr>
            <w:tcW w:w="141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9" w:firstLine="0"/>
              <w:jc w:val="right"/>
            </w:pPr>
            <w:r>
              <w:rPr>
                <w:sz w:val="20"/>
              </w:rPr>
              <w:t xml:space="preserve">150.000,00 € </w:t>
            </w:r>
          </w:p>
        </w:tc>
        <w:tc>
          <w:tcPr>
            <w:tcW w:w="1416"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6" w:firstLine="0"/>
              <w:jc w:val="right"/>
            </w:pPr>
            <w:r>
              <w:rPr>
                <w:sz w:val="20"/>
              </w:rPr>
              <w:t xml:space="preserve">150.000,00 € </w:t>
            </w:r>
          </w:p>
        </w:tc>
        <w:tc>
          <w:tcPr>
            <w:tcW w:w="150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9" w:firstLine="0"/>
              <w:jc w:val="right"/>
            </w:pPr>
            <w:r>
              <w:rPr>
                <w:sz w:val="20"/>
              </w:rPr>
              <w:t xml:space="preserve">150.000,00 € </w:t>
            </w:r>
          </w:p>
        </w:tc>
      </w:tr>
      <w:tr w:rsidR="00B064CF">
        <w:trPr>
          <w:trHeight w:val="574"/>
        </w:trPr>
        <w:tc>
          <w:tcPr>
            <w:tcW w:w="2552" w:type="dxa"/>
            <w:tcBorders>
              <w:top w:val="nil"/>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20"/>
              </w:rPr>
              <w:t xml:space="preserve">TRANSFERENCIAS CORRIENTES </w:t>
            </w:r>
          </w:p>
        </w:tc>
        <w:tc>
          <w:tcPr>
            <w:tcW w:w="1560" w:type="dxa"/>
            <w:tcBorders>
              <w:top w:val="nil"/>
              <w:left w:val="single" w:sz="2" w:space="0" w:color="000000"/>
              <w:bottom w:val="single" w:sz="2" w:space="0" w:color="000000"/>
              <w:right w:val="single" w:sz="2" w:space="0" w:color="000000"/>
            </w:tcBorders>
            <w:vAlign w:val="center"/>
          </w:tcPr>
          <w:p w:rsidR="00B064CF" w:rsidRDefault="00E32F70">
            <w:pPr>
              <w:spacing w:after="0" w:line="259" w:lineRule="auto"/>
              <w:ind w:left="115" w:firstLine="0"/>
              <w:jc w:val="left"/>
            </w:pPr>
            <w:r>
              <w:rPr>
                <w:sz w:val="20"/>
              </w:rPr>
              <w:t xml:space="preserve">1.979.771,12 € </w:t>
            </w:r>
          </w:p>
        </w:tc>
        <w:tc>
          <w:tcPr>
            <w:tcW w:w="1419" w:type="dxa"/>
            <w:tcBorders>
              <w:top w:val="nil"/>
              <w:left w:val="single" w:sz="2" w:space="0" w:color="000000"/>
              <w:bottom w:val="single" w:sz="2" w:space="0" w:color="000000"/>
              <w:right w:val="single" w:sz="2" w:space="0" w:color="000000"/>
            </w:tcBorders>
          </w:tcPr>
          <w:p w:rsidR="00B064CF" w:rsidRDefault="00E32F70">
            <w:pPr>
              <w:spacing w:after="0" w:line="259" w:lineRule="auto"/>
              <w:ind w:left="31" w:right="55" w:firstLine="0"/>
              <w:jc w:val="right"/>
            </w:pPr>
            <w:r>
              <w:rPr>
                <w:sz w:val="20"/>
              </w:rPr>
              <w:t xml:space="preserve">1.979.771,12 € </w:t>
            </w:r>
          </w:p>
        </w:tc>
        <w:tc>
          <w:tcPr>
            <w:tcW w:w="1416" w:type="dxa"/>
            <w:tcBorders>
              <w:top w:val="nil"/>
              <w:left w:val="single" w:sz="2" w:space="0" w:color="000000"/>
              <w:bottom w:val="single" w:sz="2" w:space="0" w:color="000000"/>
              <w:right w:val="single" w:sz="2" w:space="0" w:color="000000"/>
            </w:tcBorders>
          </w:tcPr>
          <w:p w:rsidR="00B064CF" w:rsidRDefault="00E32F70">
            <w:pPr>
              <w:spacing w:after="0" w:line="259" w:lineRule="auto"/>
              <w:ind w:left="31" w:right="52" w:firstLine="0"/>
              <w:jc w:val="right"/>
            </w:pPr>
            <w:r>
              <w:rPr>
                <w:sz w:val="20"/>
              </w:rPr>
              <w:t xml:space="preserve">1.979.771,12 € </w:t>
            </w:r>
          </w:p>
        </w:tc>
        <w:tc>
          <w:tcPr>
            <w:tcW w:w="1505" w:type="dxa"/>
            <w:tcBorders>
              <w:top w:val="nil"/>
              <w:left w:val="single" w:sz="2" w:space="0" w:color="000000"/>
              <w:bottom w:val="single" w:sz="2" w:space="0" w:color="000000"/>
              <w:right w:val="single" w:sz="2" w:space="0" w:color="000000"/>
            </w:tcBorders>
            <w:vAlign w:val="center"/>
          </w:tcPr>
          <w:p w:rsidR="00B064CF" w:rsidRDefault="00E32F70">
            <w:pPr>
              <w:spacing w:after="0" w:line="259" w:lineRule="auto"/>
              <w:ind w:left="60" w:firstLine="0"/>
              <w:jc w:val="left"/>
            </w:pPr>
            <w:r>
              <w:rPr>
                <w:sz w:val="20"/>
              </w:rPr>
              <w:t xml:space="preserve">1.979.771,12 € </w:t>
            </w:r>
          </w:p>
        </w:tc>
      </w:tr>
      <w:tr w:rsidR="00B064CF">
        <w:trPr>
          <w:trHeight w:val="338"/>
        </w:trPr>
        <w:tc>
          <w:tcPr>
            <w:tcW w:w="2552"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20"/>
              </w:rPr>
              <w:t xml:space="preserve">INVERSIONES REALES </w:t>
            </w:r>
          </w:p>
        </w:tc>
        <w:tc>
          <w:tcPr>
            <w:tcW w:w="156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8" w:firstLine="0"/>
              <w:jc w:val="right"/>
            </w:pPr>
            <w:r>
              <w:rPr>
                <w:sz w:val="20"/>
              </w:rPr>
              <w:t xml:space="preserve">544.700,04 € </w:t>
            </w:r>
          </w:p>
        </w:tc>
        <w:tc>
          <w:tcPr>
            <w:tcW w:w="141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84" w:firstLine="0"/>
              <w:jc w:val="left"/>
            </w:pPr>
            <w:r>
              <w:rPr>
                <w:sz w:val="20"/>
              </w:rPr>
              <w:t xml:space="preserve">185.609,41  € </w:t>
            </w:r>
          </w:p>
        </w:tc>
        <w:tc>
          <w:tcPr>
            <w:tcW w:w="1416"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6" w:firstLine="0"/>
              <w:jc w:val="right"/>
            </w:pPr>
            <w:r>
              <w:rPr>
                <w:sz w:val="20"/>
              </w:rPr>
              <w:t xml:space="preserve">162.306,75 € </w:t>
            </w:r>
          </w:p>
        </w:tc>
        <w:tc>
          <w:tcPr>
            <w:tcW w:w="150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9" w:firstLine="0"/>
              <w:jc w:val="right"/>
            </w:pPr>
            <w:r>
              <w:rPr>
                <w:sz w:val="20"/>
              </w:rPr>
              <w:t xml:space="preserve">146.809,41 € </w:t>
            </w:r>
          </w:p>
        </w:tc>
      </w:tr>
      <w:tr w:rsidR="00B064CF">
        <w:trPr>
          <w:trHeight w:val="571"/>
        </w:trPr>
        <w:tc>
          <w:tcPr>
            <w:tcW w:w="2552"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20"/>
              </w:rPr>
              <w:t xml:space="preserve">TRANSFERENCIAS DE CAPITAL </w:t>
            </w:r>
          </w:p>
        </w:tc>
        <w:tc>
          <w:tcPr>
            <w:tcW w:w="156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right="58" w:firstLine="0"/>
              <w:jc w:val="right"/>
            </w:pPr>
            <w:r>
              <w:rPr>
                <w:sz w:val="20"/>
              </w:rPr>
              <w:t xml:space="preserve">123.716,05 € </w:t>
            </w:r>
          </w:p>
        </w:tc>
        <w:tc>
          <w:tcPr>
            <w:tcW w:w="1419"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right="59" w:firstLine="0"/>
              <w:jc w:val="right"/>
            </w:pPr>
            <w:r>
              <w:rPr>
                <w:sz w:val="20"/>
              </w:rPr>
              <w:t xml:space="preserve">131.206,86 € </w:t>
            </w:r>
          </w:p>
        </w:tc>
        <w:tc>
          <w:tcPr>
            <w:tcW w:w="1416"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right="55" w:firstLine="0"/>
              <w:jc w:val="right"/>
            </w:pPr>
            <w:r>
              <w:rPr>
                <w:sz w:val="20"/>
              </w:rPr>
              <w:t xml:space="preserve">62.609,72 € </w:t>
            </w:r>
          </w:p>
        </w:tc>
        <w:tc>
          <w:tcPr>
            <w:tcW w:w="150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right="58" w:firstLine="0"/>
              <w:jc w:val="right"/>
            </w:pPr>
            <w:r>
              <w:rPr>
                <w:sz w:val="20"/>
              </w:rPr>
              <w:t xml:space="preserve">55.609,23 € </w:t>
            </w:r>
          </w:p>
        </w:tc>
      </w:tr>
      <w:tr w:rsidR="00B064CF">
        <w:trPr>
          <w:trHeight w:val="341"/>
        </w:trPr>
        <w:tc>
          <w:tcPr>
            <w:tcW w:w="2552"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20"/>
              </w:rPr>
              <w:t xml:space="preserve">ACTIVOS FINANCIEROS </w:t>
            </w:r>
          </w:p>
        </w:tc>
        <w:tc>
          <w:tcPr>
            <w:tcW w:w="156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7" w:firstLine="0"/>
              <w:jc w:val="right"/>
            </w:pPr>
            <w:r>
              <w:rPr>
                <w:sz w:val="20"/>
              </w:rPr>
              <w:t xml:space="preserve">50.000,00 € </w:t>
            </w:r>
          </w:p>
        </w:tc>
        <w:tc>
          <w:tcPr>
            <w:tcW w:w="141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8" w:firstLine="0"/>
              <w:jc w:val="right"/>
            </w:pPr>
            <w:r>
              <w:rPr>
                <w:sz w:val="20"/>
              </w:rPr>
              <w:t xml:space="preserve">50.000,00 € </w:t>
            </w:r>
          </w:p>
        </w:tc>
        <w:tc>
          <w:tcPr>
            <w:tcW w:w="1416"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5" w:firstLine="0"/>
              <w:jc w:val="right"/>
            </w:pPr>
            <w:r>
              <w:rPr>
                <w:sz w:val="20"/>
              </w:rPr>
              <w:t xml:space="preserve">50.000,00 € </w:t>
            </w:r>
          </w:p>
        </w:tc>
        <w:tc>
          <w:tcPr>
            <w:tcW w:w="150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8" w:firstLine="0"/>
              <w:jc w:val="right"/>
            </w:pPr>
            <w:r>
              <w:rPr>
                <w:sz w:val="20"/>
              </w:rPr>
              <w:t xml:space="preserve">50.000,00 € </w:t>
            </w:r>
          </w:p>
        </w:tc>
      </w:tr>
      <w:tr w:rsidR="00B064CF">
        <w:trPr>
          <w:trHeight w:val="339"/>
        </w:trPr>
        <w:tc>
          <w:tcPr>
            <w:tcW w:w="2552"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20"/>
              </w:rPr>
              <w:t xml:space="preserve">PASIVOS FINANCIEROS </w:t>
            </w:r>
          </w:p>
        </w:tc>
        <w:tc>
          <w:tcPr>
            <w:tcW w:w="156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7" w:firstLine="0"/>
              <w:jc w:val="right"/>
            </w:pPr>
            <w:r>
              <w:rPr>
                <w:sz w:val="20"/>
              </w:rPr>
              <w:t xml:space="preserve">0,00 € </w:t>
            </w:r>
          </w:p>
        </w:tc>
        <w:tc>
          <w:tcPr>
            <w:tcW w:w="141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7" w:firstLine="0"/>
              <w:jc w:val="right"/>
            </w:pPr>
            <w:r>
              <w:rPr>
                <w:sz w:val="20"/>
              </w:rPr>
              <w:t xml:space="preserve">0,00 € </w:t>
            </w:r>
          </w:p>
        </w:tc>
        <w:tc>
          <w:tcPr>
            <w:tcW w:w="1416"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5" w:firstLine="0"/>
              <w:jc w:val="right"/>
            </w:pPr>
            <w:r>
              <w:rPr>
                <w:sz w:val="20"/>
              </w:rPr>
              <w:t xml:space="preserve">0,00 € </w:t>
            </w:r>
          </w:p>
        </w:tc>
        <w:tc>
          <w:tcPr>
            <w:tcW w:w="150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7" w:firstLine="0"/>
              <w:jc w:val="right"/>
            </w:pPr>
            <w:r>
              <w:rPr>
                <w:sz w:val="20"/>
              </w:rPr>
              <w:t xml:space="preserve">0,00 € </w:t>
            </w:r>
          </w:p>
        </w:tc>
      </w:tr>
      <w:tr w:rsidR="00B064CF">
        <w:trPr>
          <w:trHeight w:val="571"/>
        </w:trPr>
        <w:tc>
          <w:tcPr>
            <w:tcW w:w="2552"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 </w:t>
            </w:r>
          </w:p>
        </w:tc>
        <w:tc>
          <w:tcPr>
            <w:tcW w:w="156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5" w:firstLine="0"/>
            </w:pPr>
            <w:r>
              <w:rPr>
                <w:sz w:val="20"/>
              </w:rPr>
              <w:t xml:space="preserve">23.955.812,17 € </w:t>
            </w:r>
          </w:p>
        </w:tc>
        <w:tc>
          <w:tcPr>
            <w:tcW w:w="141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5" w:firstLine="0"/>
              <w:jc w:val="right"/>
            </w:pPr>
            <w:r>
              <w:rPr>
                <w:sz w:val="20"/>
              </w:rPr>
              <w:t xml:space="preserve">24.427.151,45 € </w:t>
            </w:r>
          </w:p>
        </w:tc>
        <w:tc>
          <w:tcPr>
            <w:tcW w:w="1416"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2" w:firstLine="0"/>
              <w:jc w:val="right"/>
            </w:pPr>
            <w:r>
              <w:rPr>
                <w:sz w:val="20"/>
              </w:rPr>
              <w:t xml:space="preserve">25.046.331,82 € </w:t>
            </w:r>
          </w:p>
        </w:tc>
        <w:tc>
          <w:tcPr>
            <w:tcW w:w="150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7" w:right="55" w:firstLine="0"/>
              <w:jc w:val="right"/>
            </w:pPr>
            <w:r>
              <w:rPr>
                <w:sz w:val="20"/>
              </w:rPr>
              <w:t xml:space="preserve">25.526.722,71 € </w:t>
            </w:r>
          </w:p>
        </w:tc>
      </w:tr>
    </w:tbl>
    <w:p w:rsidR="00B064CF" w:rsidRDefault="00E32F70">
      <w:pPr>
        <w:spacing w:after="98" w:line="259" w:lineRule="auto"/>
        <w:ind w:left="360" w:firstLine="0"/>
        <w:jc w:val="left"/>
      </w:pPr>
      <w:r>
        <w:rPr>
          <w:b/>
        </w:rPr>
        <w:t xml:space="preserve"> </w:t>
      </w:r>
    </w:p>
    <w:p w:rsidR="00B064CF" w:rsidRDefault="00E32F70">
      <w:pPr>
        <w:spacing w:after="0"/>
        <w:ind w:left="355" w:right="148"/>
      </w:pPr>
      <w:r>
        <w:rPr>
          <w:b/>
        </w:rPr>
        <w:t xml:space="preserve">SEGUNDO. - </w:t>
      </w:r>
      <w:r>
        <w:t>El Presupuesto General definitivamente aprobados será insertado en el Boletín Oficial de la Provincia resumido por capítulos, además de la Plantilla Orgánica y resumen del Plan Presupuestario, y las Bases de Ejecución íntegramente.</w:t>
      </w:r>
      <w:r>
        <w:rPr>
          <w:rFonts w:ascii="Times New Roman" w:eastAsia="Times New Roman" w:hAnsi="Times New Roman" w:cs="Times New Roman"/>
          <w:sz w:val="24"/>
        </w:rPr>
        <w:t xml:space="preserve"> </w:t>
      </w:r>
    </w:p>
    <w:p w:rsidR="00B064CF" w:rsidRDefault="00E32F70">
      <w:pPr>
        <w:spacing w:after="98" w:line="259" w:lineRule="auto"/>
        <w:ind w:left="360" w:firstLine="0"/>
        <w:jc w:val="left"/>
      </w:pPr>
      <w:r>
        <w:t xml:space="preserve"> </w:t>
      </w:r>
    </w:p>
    <w:p w:rsidR="00B064CF" w:rsidRDefault="00E32F70">
      <w:pPr>
        <w:spacing w:after="92"/>
        <w:ind w:left="355" w:right="151"/>
      </w:pPr>
      <w:r>
        <w:rPr>
          <w:b/>
        </w:rPr>
        <w:t xml:space="preserve">TERCERO. - </w:t>
      </w:r>
      <w:r>
        <w:t>Del Presup</w:t>
      </w:r>
      <w:r>
        <w:t>uesto General definitivamente aprobado se remitirá copia a la Administración del Estado y a la Comunidad Autónoma. La remisión será simultánea al envío al Boletín Oficial de la Provincia.</w:t>
      </w:r>
      <w:r>
        <w:rPr>
          <w:rFonts w:ascii="Times New Roman" w:eastAsia="Times New Roman" w:hAnsi="Times New Roman" w:cs="Times New Roman"/>
          <w:sz w:val="24"/>
        </w:rPr>
        <w:t xml:space="preserve"> </w:t>
      </w:r>
    </w:p>
    <w:p w:rsidR="00B064CF" w:rsidRDefault="00E32F70">
      <w:pPr>
        <w:spacing w:after="14"/>
        <w:ind w:left="355" w:right="144"/>
      </w:pPr>
      <w:r>
        <w:rPr>
          <w:b/>
        </w:rPr>
        <w:t xml:space="preserve">CUARTO. - </w:t>
      </w:r>
      <w:r>
        <w:t>Anular las Modificaciones por transferencias de crédito d</w:t>
      </w:r>
      <w:r>
        <w:t>el ejercicio 2021 que se detallan a continuación, al estar los importes contemplados en los créditos iniciales al amparo del artículo 21 del Real Decreto 500/1990, de 20 de abril por el que se desarrolla el capítulo primero del título sexto de la Ley 39/19</w:t>
      </w:r>
      <w:r>
        <w:t>88, de 28 de diciembre, reguladora de las Haciendas Locales, en materia de presupuestos.</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rPr>
          <w:rFonts w:ascii="Calibri" w:eastAsia="Calibri" w:hAnsi="Calibri" w:cs="Calibri"/>
          <w:noProof/>
        </w:rPr>
        <mc:AlternateContent>
          <mc:Choice Requires="wpg">
            <w:drawing>
              <wp:anchor distT="0" distB="0" distL="114300" distR="114300" simplePos="0" relativeHeight="25171046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77104" name="Group 377104"/>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8186" name="Rectangle 8186"/>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8187" name="Rectangle 8187"/>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48 de 298 </w:t>
                              </w:r>
                            </w:p>
                          </w:txbxContent>
                        </wps:txbx>
                        <wps:bodyPr horzOverflow="overflow" vert="horz" lIns="0" tIns="0" rIns="0" bIns="0" rtlCol="0">
                          <a:noAutofit/>
                        </wps:bodyPr>
                      </wps:wsp>
                    </wpg:wgp>
                  </a:graphicData>
                </a:graphic>
              </wp:anchor>
            </w:drawing>
          </mc:Choice>
          <mc:Fallback xmlns:a="http://schemas.openxmlformats.org/drawingml/2006/main">
            <w:pict>
              <v:group id="Group 377104" style="width:12.7031pt;height:278.91pt;position:absolute;mso-position-horizontal-relative:page;mso-position-horizontal:absolute;margin-left:682.278pt;mso-position-vertical-relative:page;margin-top:533.01pt;" coordsize="1613,35421">
                <v:rect id="Rectangle 8186"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8187"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48 de 298 </w:t>
                        </w:r>
                      </w:p>
                    </w:txbxContent>
                  </v:textbox>
                </v:rect>
                <w10:wrap type="square"/>
              </v:group>
            </w:pict>
          </mc:Fallback>
        </mc:AlternateContent>
      </w:r>
      <w:r>
        <w:rPr>
          <w:sz w:val="20"/>
        </w:rPr>
        <w:t xml:space="preserve"> </w:t>
      </w:r>
    </w:p>
    <w:tbl>
      <w:tblPr>
        <w:tblStyle w:val="TableGrid"/>
        <w:tblW w:w="3601" w:type="dxa"/>
        <w:tblInd w:w="2813" w:type="dxa"/>
        <w:tblCellMar>
          <w:top w:w="7" w:type="dxa"/>
          <w:left w:w="127" w:type="dxa"/>
          <w:bottom w:w="0" w:type="dxa"/>
          <w:right w:w="14" w:type="dxa"/>
        </w:tblCellMar>
        <w:tblLook w:val="04A0" w:firstRow="1" w:lastRow="0" w:firstColumn="1" w:lastColumn="0" w:noHBand="0" w:noVBand="1"/>
      </w:tblPr>
      <w:tblGrid>
        <w:gridCol w:w="1201"/>
        <w:gridCol w:w="1198"/>
        <w:gridCol w:w="1203"/>
      </w:tblGrid>
      <w:tr w:rsidR="00B064CF">
        <w:trPr>
          <w:trHeight w:val="470"/>
        </w:trPr>
        <w:tc>
          <w:tcPr>
            <w:tcW w:w="120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24" w:firstLine="0"/>
              <w:jc w:val="center"/>
            </w:pPr>
            <w:r>
              <w:rPr>
                <w:b/>
                <w:sz w:val="20"/>
              </w:rPr>
              <w:t xml:space="preserve">Expediente </w:t>
            </w:r>
          </w:p>
        </w:tc>
        <w:tc>
          <w:tcPr>
            <w:tcW w:w="1198" w:type="dxa"/>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right="117" w:firstLine="0"/>
              <w:jc w:val="center"/>
            </w:pPr>
            <w:r>
              <w:rPr>
                <w:b/>
                <w:sz w:val="20"/>
              </w:rPr>
              <w:t xml:space="preserve">Decreto </w:t>
            </w:r>
          </w:p>
        </w:tc>
        <w:tc>
          <w:tcPr>
            <w:tcW w:w="1203" w:type="dxa"/>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right="116" w:firstLine="0"/>
              <w:jc w:val="center"/>
            </w:pPr>
            <w:r>
              <w:rPr>
                <w:b/>
                <w:sz w:val="20"/>
              </w:rPr>
              <w:t xml:space="preserve">Fecha </w:t>
            </w:r>
          </w:p>
        </w:tc>
      </w:tr>
      <w:tr w:rsidR="00B064CF">
        <w:trPr>
          <w:trHeight w:val="310"/>
        </w:trPr>
        <w:tc>
          <w:tcPr>
            <w:tcW w:w="120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1029/2021 </w:t>
            </w:r>
          </w:p>
        </w:tc>
        <w:tc>
          <w:tcPr>
            <w:tcW w:w="119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53" w:firstLine="0"/>
              <w:jc w:val="left"/>
            </w:pPr>
            <w:r>
              <w:rPr>
                <w:sz w:val="20"/>
              </w:rPr>
              <w:t xml:space="preserve">225/2021 </w:t>
            </w:r>
          </w:p>
        </w:tc>
        <w:tc>
          <w:tcPr>
            <w:tcW w:w="120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5" w:firstLine="0"/>
              <w:jc w:val="left"/>
            </w:pPr>
            <w:r>
              <w:rPr>
                <w:sz w:val="20"/>
              </w:rPr>
              <w:t xml:space="preserve">08/02/2021 </w:t>
            </w:r>
          </w:p>
        </w:tc>
      </w:tr>
      <w:tr w:rsidR="00B064CF">
        <w:trPr>
          <w:trHeight w:val="310"/>
        </w:trPr>
        <w:tc>
          <w:tcPr>
            <w:tcW w:w="120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1230/2021 </w:t>
            </w:r>
          </w:p>
        </w:tc>
        <w:tc>
          <w:tcPr>
            <w:tcW w:w="119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53" w:firstLine="0"/>
              <w:jc w:val="left"/>
            </w:pPr>
            <w:r>
              <w:rPr>
                <w:sz w:val="20"/>
              </w:rPr>
              <w:t xml:space="preserve">306/2021 </w:t>
            </w:r>
          </w:p>
        </w:tc>
        <w:tc>
          <w:tcPr>
            <w:tcW w:w="120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5" w:firstLine="0"/>
              <w:jc w:val="left"/>
            </w:pPr>
            <w:r>
              <w:rPr>
                <w:sz w:val="20"/>
              </w:rPr>
              <w:t xml:space="preserve">12/02/2021 </w:t>
            </w:r>
          </w:p>
        </w:tc>
      </w:tr>
      <w:tr w:rsidR="00B064CF">
        <w:trPr>
          <w:trHeight w:val="310"/>
        </w:trPr>
        <w:tc>
          <w:tcPr>
            <w:tcW w:w="120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2493/2021 </w:t>
            </w:r>
          </w:p>
        </w:tc>
        <w:tc>
          <w:tcPr>
            <w:tcW w:w="119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53" w:firstLine="0"/>
              <w:jc w:val="left"/>
            </w:pPr>
            <w:r>
              <w:rPr>
                <w:sz w:val="20"/>
              </w:rPr>
              <w:t xml:space="preserve">765/2021 </w:t>
            </w:r>
          </w:p>
        </w:tc>
        <w:tc>
          <w:tcPr>
            <w:tcW w:w="120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5" w:firstLine="0"/>
              <w:jc w:val="left"/>
            </w:pPr>
            <w:r>
              <w:rPr>
                <w:sz w:val="20"/>
              </w:rPr>
              <w:t xml:space="preserve">22/03/2021 </w:t>
            </w:r>
          </w:p>
        </w:tc>
      </w:tr>
      <w:tr w:rsidR="00B064CF">
        <w:trPr>
          <w:trHeight w:val="313"/>
        </w:trPr>
        <w:tc>
          <w:tcPr>
            <w:tcW w:w="120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2496/2021 </w:t>
            </w:r>
          </w:p>
        </w:tc>
        <w:tc>
          <w:tcPr>
            <w:tcW w:w="119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53" w:firstLine="0"/>
              <w:jc w:val="left"/>
            </w:pPr>
            <w:r>
              <w:rPr>
                <w:sz w:val="20"/>
              </w:rPr>
              <w:t xml:space="preserve">763/2021 </w:t>
            </w:r>
          </w:p>
        </w:tc>
        <w:tc>
          <w:tcPr>
            <w:tcW w:w="120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5" w:firstLine="0"/>
              <w:jc w:val="left"/>
            </w:pPr>
            <w:r>
              <w:rPr>
                <w:sz w:val="20"/>
              </w:rPr>
              <w:t xml:space="preserve">22/03/2021 </w:t>
            </w:r>
          </w:p>
        </w:tc>
      </w:tr>
    </w:tbl>
    <w:p w:rsidR="00B064CF" w:rsidRDefault="00E32F70">
      <w:pPr>
        <w:spacing w:after="143" w:line="259" w:lineRule="auto"/>
        <w:ind w:left="360" w:firstLine="0"/>
        <w:jc w:val="left"/>
      </w:pPr>
      <w:r>
        <w:rPr>
          <w:sz w:val="20"/>
        </w:rPr>
        <w:t xml:space="preserve"> </w:t>
      </w:r>
    </w:p>
    <w:p w:rsidR="00B064CF" w:rsidRDefault="00E32F70">
      <w:pPr>
        <w:spacing w:after="4"/>
        <w:ind w:left="355" w:right="68"/>
      </w:pPr>
      <w:r>
        <w:rPr>
          <w:b/>
        </w:rPr>
        <w:t xml:space="preserve">“ </w:t>
      </w:r>
    </w:p>
    <w:p w:rsidR="00B064CF" w:rsidRDefault="00E32F70">
      <w:pPr>
        <w:spacing w:after="0" w:line="259" w:lineRule="auto"/>
        <w:ind w:left="360" w:firstLine="0"/>
        <w:jc w:val="left"/>
      </w:pPr>
      <w:r>
        <w:rPr>
          <w:b/>
        </w:rPr>
        <w:t xml:space="preserve"> </w:t>
      </w:r>
    </w:p>
    <w:p w:rsidR="00B064CF" w:rsidRDefault="00E32F70">
      <w:pPr>
        <w:spacing w:after="0" w:line="259" w:lineRule="auto"/>
        <w:ind w:left="360" w:firstLine="0"/>
        <w:jc w:val="left"/>
      </w:pPr>
      <w:r>
        <w:rPr>
          <w:b/>
        </w:rPr>
        <w:t xml:space="preserve"> </w:t>
      </w:r>
    </w:p>
    <w:p w:rsidR="00B064CF" w:rsidRDefault="00E32F70">
      <w:pPr>
        <w:spacing w:after="0" w:line="259" w:lineRule="auto"/>
        <w:ind w:left="360" w:firstLine="0"/>
        <w:jc w:val="left"/>
      </w:pPr>
      <w:r>
        <w:t xml:space="preserve"> </w:t>
      </w:r>
    </w:p>
    <w:p w:rsidR="00B064CF" w:rsidRDefault="00E32F70">
      <w:pPr>
        <w:spacing w:after="4"/>
        <w:ind w:left="355" w:right="68"/>
      </w:pPr>
      <w:r>
        <w:rPr>
          <w:b/>
        </w:rPr>
        <w:t xml:space="preserve">DICTAMEN FAVORABLE DE LA COMISIÓN INFORMATIVA DE HACIENDA, RECURSOS HUMANOS Y SERVICIOS GENERALES DE 24 DE MAYO DE 2021. </w:t>
      </w:r>
    </w:p>
    <w:p w:rsidR="00B064CF" w:rsidRDefault="00E32F70">
      <w:pPr>
        <w:spacing w:after="0" w:line="259" w:lineRule="auto"/>
        <w:ind w:left="360" w:firstLine="0"/>
        <w:jc w:val="left"/>
      </w:pPr>
      <w:r>
        <w:rPr>
          <w:b/>
        </w:rPr>
        <w:t xml:space="preserve"> </w:t>
      </w:r>
    </w:p>
    <w:p w:rsidR="00B064CF" w:rsidRDefault="00E32F70">
      <w:pPr>
        <w:spacing w:after="11"/>
        <w:ind w:left="355" w:right="72"/>
      </w:pPr>
      <w:r>
        <w:t xml:space="preserve">Votos a favor: 4. </w:t>
      </w:r>
    </w:p>
    <w:p w:rsidR="00B064CF" w:rsidRDefault="00E32F70">
      <w:pPr>
        <w:spacing w:after="0"/>
        <w:ind w:left="355" w:right="72"/>
      </w:pPr>
      <w:r>
        <w:t xml:space="preserve">Los 4 concejales del Grupo Socialista: Don Airam Pérez Chinea, Don José Francisco Pinto Ramos, Don Olegario Francisco Alonso Bello y Doña Margarita Eva Tendero Barroso.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Votos en contra: 0.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Abstenciones: 3. </w:t>
      </w:r>
    </w:p>
    <w:p w:rsidR="00B064CF" w:rsidRDefault="00E32F70">
      <w:pPr>
        <w:spacing w:after="11"/>
        <w:ind w:left="355" w:right="72"/>
      </w:pPr>
      <w:r>
        <w:t xml:space="preserve">1 del concejal del Grupo Popular, Don Juan </w:t>
      </w:r>
      <w:r>
        <w:t xml:space="preserve">Miguel Olivera González. </w:t>
      </w:r>
    </w:p>
    <w:p w:rsidR="00B064CF" w:rsidRDefault="00E32F70">
      <w:pPr>
        <w:spacing w:after="11"/>
        <w:ind w:left="355" w:right="72"/>
      </w:pPr>
      <w:r>
        <w:t xml:space="preserve">1 de la concejal del Grupo Mixto (CC-PNC), Doña Ángela Cruz Perera. </w:t>
      </w:r>
    </w:p>
    <w:p w:rsidR="00B064CF" w:rsidRDefault="00E32F70">
      <w:pPr>
        <w:spacing w:after="11"/>
        <w:ind w:left="355" w:right="72"/>
      </w:pPr>
      <w:r>
        <w:t xml:space="preserve">1 de la concejal del Grupo Mixto (SSP), Doña Lourdes del Carmen Mondéjar Rondón. </w:t>
      </w:r>
    </w:p>
    <w:p w:rsidR="00B064CF" w:rsidRDefault="00E32F70">
      <w:pPr>
        <w:spacing w:after="0" w:line="259" w:lineRule="auto"/>
        <w:ind w:left="360" w:firstLine="0"/>
        <w:jc w:val="left"/>
      </w:pPr>
      <w:r>
        <w:rPr>
          <w:b/>
        </w:rPr>
        <w:t xml:space="preserve"> </w:t>
      </w:r>
    </w:p>
    <w:p w:rsidR="00B064CF" w:rsidRDefault="00E32F70">
      <w:pPr>
        <w:spacing w:after="0" w:line="259" w:lineRule="auto"/>
        <w:ind w:left="360" w:firstLine="0"/>
        <w:jc w:val="left"/>
      </w:pPr>
      <w:r>
        <w:rPr>
          <w:b/>
        </w:rPr>
        <w:t xml:space="preserve"> </w:t>
      </w:r>
    </w:p>
    <w:p w:rsidR="00B064CF" w:rsidRDefault="00E32F70">
      <w:pPr>
        <w:spacing w:after="4"/>
        <w:ind w:left="355" w:right="68"/>
      </w:pPr>
      <w:r>
        <w:rPr>
          <w:b/>
        </w:rPr>
        <w:t xml:space="preserve">JUNTA DE PORTAVOCES DE  24 DE MAYO DE 2021.  </w:t>
      </w:r>
    </w:p>
    <w:p w:rsidR="00B064CF" w:rsidRDefault="00E32F70">
      <w:pPr>
        <w:spacing w:after="0" w:line="259" w:lineRule="auto"/>
        <w:ind w:left="360" w:firstLine="0"/>
        <w:jc w:val="left"/>
      </w:pPr>
      <w:r>
        <w:t xml:space="preserve"> </w:t>
      </w:r>
    </w:p>
    <w:p w:rsidR="00B064CF" w:rsidRDefault="00E32F70">
      <w:pPr>
        <w:spacing w:after="11"/>
        <w:ind w:left="355" w:right="72"/>
      </w:pPr>
      <w:r>
        <w:t>Quedó oída.</w:t>
      </w:r>
      <w:r>
        <w:rPr>
          <w:b/>
        </w:rPr>
        <w:t xml:space="preserve"> </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rPr>
          <w:b/>
        </w:rPr>
        <w:t xml:space="preserve"> </w:t>
      </w:r>
    </w:p>
    <w:p w:rsidR="00B064CF" w:rsidRDefault="00E32F70">
      <w:pPr>
        <w:spacing w:after="0" w:line="259" w:lineRule="auto"/>
        <w:ind w:left="360" w:firstLine="0"/>
        <w:jc w:val="left"/>
      </w:pPr>
      <w:r>
        <w:rPr>
          <w:b/>
        </w:rPr>
        <w:t xml:space="preserve"> </w:t>
      </w:r>
    </w:p>
    <w:p w:rsidR="00B064CF" w:rsidRDefault="00E32F70">
      <w:pPr>
        <w:spacing w:after="4"/>
        <w:ind w:left="355" w:right="68"/>
      </w:pPr>
      <w:r>
        <w:rPr>
          <w:b/>
        </w:rPr>
        <w:t xml:space="preserve">VOTACIÓN EN EL PLENO DE 27 DE MAYO DE 2021  </w:t>
      </w:r>
    </w:p>
    <w:p w:rsidR="00B064CF" w:rsidRDefault="00E32F70">
      <w:pPr>
        <w:spacing w:after="0" w:line="259" w:lineRule="auto"/>
        <w:ind w:left="360" w:firstLine="0"/>
        <w:jc w:val="left"/>
      </w:pPr>
      <w:r>
        <w:rPr>
          <w:b/>
        </w:rPr>
        <w:t xml:space="preserve"> </w:t>
      </w:r>
    </w:p>
    <w:p w:rsidR="00B064CF" w:rsidRDefault="00E32F70">
      <w:pPr>
        <w:spacing w:after="11"/>
        <w:ind w:left="355" w:right="72"/>
      </w:pPr>
      <w:r>
        <w:t xml:space="preserve">Votos a favor: 11. </w:t>
      </w:r>
    </w:p>
    <w:p w:rsidR="00B064CF" w:rsidRDefault="00E32F70">
      <w:pPr>
        <w:spacing w:after="11"/>
        <w:ind w:left="355" w:right="72"/>
      </w:pPr>
      <w:r>
        <w:t xml:space="preserve">11 concejales del Grupo Socialista: Doña María Concepción Brito Núñez, Don Jorge Baute Delgado, </w:t>
      </w:r>
    </w:p>
    <w:p w:rsidR="00B064CF" w:rsidRDefault="00E32F70">
      <w:pPr>
        <w:spacing w:after="111"/>
        <w:ind w:left="355" w:right="147"/>
      </w:pPr>
      <w:r>
        <w:rPr>
          <w:rFonts w:ascii="Calibri" w:eastAsia="Calibri" w:hAnsi="Calibri" w:cs="Calibri"/>
          <w:noProof/>
        </w:rPr>
        <mc:AlternateContent>
          <mc:Choice Requires="wpg">
            <w:drawing>
              <wp:anchor distT="0" distB="0" distL="114300" distR="114300" simplePos="0" relativeHeight="25171148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74524" name="Group 374524"/>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8626" name="Rectangle 8626"/>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8627" name="Rectangle 8627"/>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49 de 298 </w:t>
                              </w:r>
                            </w:p>
                          </w:txbxContent>
                        </wps:txbx>
                        <wps:bodyPr horzOverflow="overflow" vert="horz" lIns="0" tIns="0" rIns="0" bIns="0" rtlCol="0">
                          <a:noAutofit/>
                        </wps:bodyPr>
                      </wps:wsp>
                    </wpg:wgp>
                  </a:graphicData>
                </a:graphic>
              </wp:anchor>
            </w:drawing>
          </mc:Choice>
          <mc:Fallback xmlns:a="http://schemas.openxmlformats.org/drawingml/2006/main">
            <w:pict>
              <v:group id="Group 374524" style="width:12.7031pt;height:278.91pt;position:absolute;mso-position-horizontal-relative:page;mso-position-horizontal:absolute;margin-left:682.278pt;mso-position-vertical-relative:page;margin-top:533.01pt;" coordsize="1613,35421">
                <v:rect id="Rectangle 8626"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8627"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49 de 298 </w:t>
                        </w:r>
                      </w:p>
                    </w:txbxContent>
                  </v:textbox>
                </v:rect>
                <w10:wrap type="square"/>
              </v:group>
            </w:pict>
          </mc:Fallback>
        </mc:AlternateContent>
      </w:r>
      <w:r>
        <w:t>Doña Olivia Concepción Pérez Díaz, Don José Francisco Pinto Ra</w:t>
      </w:r>
      <w:r>
        <w:t xml:space="preserve">mos, Doña Hilaria Cecilia Otazo González, Don Airam Pérez Chinea, Doña Margarita Eva Tendero Barroso, Don Manuel Alberto González Pestano, Doña María del Carmen Clemente Díaz, Don Olegario Francisco Alonso Bello y Don Reinaldo José Triviño Blanco. </w:t>
      </w:r>
    </w:p>
    <w:p w:rsidR="00B064CF" w:rsidRDefault="00E32F70">
      <w:pPr>
        <w:spacing w:after="0" w:line="259" w:lineRule="auto"/>
        <w:ind w:left="360" w:firstLine="0"/>
        <w:jc w:val="left"/>
      </w:pPr>
      <w:r>
        <w:t xml:space="preserve"> </w:t>
      </w:r>
    </w:p>
    <w:p w:rsidR="00B064CF" w:rsidRDefault="00E32F70">
      <w:pPr>
        <w:spacing w:after="11"/>
        <w:ind w:left="355" w:right="72"/>
      </w:pPr>
      <w:r>
        <w:t>Votos</w:t>
      </w:r>
      <w:r>
        <w:t xml:space="preserve"> en contra: 3 </w:t>
      </w:r>
    </w:p>
    <w:p w:rsidR="00B064CF" w:rsidRDefault="00E32F70">
      <w:pPr>
        <w:spacing w:after="114"/>
        <w:ind w:left="355" w:right="72"/>
      </w:pPr>
      <w:r>
        <w:t xml:space="preserve">3 concejales del Grupo Mixto: Don Antonio Delgado García y Lourdes del Carmen Mondéjar Rondón (SSP) y Doña Ángela Cruz Perera (CC-PNC).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Abstenciones: 0. </w:t>
      </w:r>
    </w:p>
    <w:p w:rsidR="00B064CF" w:rsidRDefault="00E32F70">
      <w:pPr>
        <w:spacing w:after="0" w:line="259" w:lineRule="auto"/>
        <w:ind w:left="360" w:firstLine="0"/>
        <w:jc w:val="left"/>
      </w:pPr>
      <w:r>
        <w:rPr>
          <w:b/>
        </w:rPr>
        <w:t xml:space="preserve"> </w:t>
      </w:r>
    </w:p>
    <w:p w:rsidR="00B064CF" w:rsidRDefault="00E32F70">
      <w:pPr>
        <w:spacing w:after="0" w:line="259" w:lineRule="auto"/>
        <w:ind w:left="360" w:firstLine="0"/>
        <w:jc w:val="left"/>
      </w:pPr>
      <w:r>
        <w:rPr>
          <w:b/>
        </w:rPr>
        <w:t xml:space="preserve"> </w:t>
      </w:r>
    </w:p>
    <w:p w:rsidR="00B064CF" w:rsidRDefault="00E32F70">
      <w:pPr>
        <w:spacing w:after="0" w:line="259" w:lineRule="auto"/>
        <w:ind w:left="360" w:firstLine="0"/>
        <w:jc w:val="left"/>
      </w:pPr>
      <w:r>
        <w:rPr>
          <w:b/>
        </w:rPr>
        <w:t xml:space="preserve"> </w:t>
      </w:r>
    </w:p>
    <w:p w:rsidR="00B064CF" w:rsidRDefault="00E32F70">
      <w:pPr>
        <w:spacing w:after="0" w:line="259" w:lineRule="auto"/>
        <w:ind w:left="360" w:firstLine="0"/>
        <w:jc w:val="left"/>
      </w:pPr>
      <w:r>
        <w:rPr>
          <w:b/>
        </w:rPr>
        <w:t xml:space="preserve"> </w:t>
      </w:r>
    </w:p>
    <w:p w:rsidR="00B064CF" w:rsidRDefault="00E32F70">
      <w:pPr>
        <w:spacing w:after="4"/>
        <w:ind w:left="1789" w:right="68"/>
      </w:pPr>
      <w:r>
        <w:rPr>
          <w:b/>
        </w:rPr>
        <w:t xml:space="preserve">ACUERDO DEL PLENO DE 27 DE MAYO DE 2021 </w:t>
      </w:r>
    </w:p>
    <w:p w:rsidR="00B064CF" w:rsidRDefault="00E32F70">
      <w:pPr>
        <w:spacing w:after="0" w:line="259" w:lineRule="auto"/>
        <w:ind w:left="360" w:firstLine="0"/>
        <w:jc w:val="left"/>
      </w:pPr>
      <w:r>
        <w:rPr>
          <w:b/>
        </w:rPr>
        <w:t xml:space="preserve"> </w:t>
      </w:r>
    </w:p>
    <w:p w:rsidR="00B064CF" w:rsidRDefault="00E32F70">
      <w:pPr>
        <w:spacing w:after="4"/>
        <w:ind w:left="355" w:right="143"/>
      </w:pPr>
      <w:r>
        <w:rPr>
          <w:b/>
        </w:rPr>
        <w:t>PRIMERO. - Desestimar las reclama</w:t>
      </w:r>
      <w:r>
        <w:rPr>
          <w:b/>
        </w:rPr>
        <w:t>ciones - alegaciones presentadas por los interesados, y en consecuencia aprobar definitivamente el Presupuesto General del ejercicio 2021, al que se incorpora Plantilla Orgánica y Plan Presupuestario, con el siguiente resumen:</w:t>
      </w:r>
      <w:r>
        <w:rPr>
          <w:rFonts w:ascii="Times New Roman" w:eastAsia="Times New Roman" w:hAnsi="Times New Roman" w:cs="Times New Roman"/>
          <w:sz w:val="24"/>
        </w:rPr>
        <w:t xml:space="preserve"> </w:t>
      </w:r>
    </w:p>
    <w:p w:rsidR="00B064CF" w:rsidRDefault="00E32F70">
      <w:pPr>
        <w:spacing w:after="100" w:line="259" w:lineRule="auto"/>
        <w:ind w:left="360" w:firstLine="0"/>
        <w:jc w:val="left"/>
      </w:pPr>
      <w:r>
        <w:rPr>
          <w:b/>
        </w:rPr>
        <w:t xml:space="preserve"> </w:t>
      </w:r>
    </w:p>
    <w:p w:rsidR="00B064CF" w:rsidRDefault="00E32F70">
      <w:pPr>
        <w:spacing w:after="4"/>
        <w:ind w:left="355" w:right="68"/>
      </w:pPr>
      <w:r>
        <w:rPr>
          <w:b/>
        </w:rPr>
        <w:t>I.-</w:t>
      </w:r>
      <w:r>
        <w:rPr>
          <w:b/>
        </w:rPr>
        <w:t xml:space="preserve">Estado de gastos e ingresos consolidados: </w:t>
      </w:r>
    </w:p>
    <w:tbl>
      <w:tblPr>
        <w:tblStyle w:val="TableGrid"/>
        <w:tblW w:w="8500" w:type="dxa"/>
        <w:tblInd w:w="360" w:type="dxa"/>
        <w:tblCellMar>
          <w:top w:w="5" w:type="dxa"/>
          <w:left w:w="68" w:type="dxa"/>
          <w:bottom w:w="0" w:type="dxa"/>
          <w:right w:w="12" w:type="dxa"/>
        </w:tblCellMar>
        <w:tblLook w:val="04A0" w:firstRow="1" w:lastRow="0" w:firstColumn="1" w:lastColumn="0" w:noHBand="0" w:noVBand="1"/>
      </w:tblPr>
      <w:tblGrid>
        <w:gridCol w:w="7"/>
        <w:gridCol w:w="507"/>
        <w:gridCol w:w="7"/>
        <w:gridCol w:w="1414"/>
        <w:gridCol w:w="7"/>
        <w:gridCol w:w="1134"/>
        <w:gridCol w:w="7"/>
        <w:gridCol w:w="1270"/>
        <w:gridCol w:w="7"/>
        <w:gridCol w:w="1414"/>
        <w:gridCol w:w="7"/>
        <w:gridCol w:w="1301"/>
        <w:gridCol w:w="7"/>
        <w:gridCol w:w="1412"/>
        <w:gridCol w:w="7"/>
      </w:tblGrid>
      <w:tr w:rsidR="00B064CF">
        <w:trPr>
          <w:gridAfter w:val="1"/>
          <w:wAfter w:w="7" w:type="dxa"/>
          <w:trHeight w:val="289"/>
        </w:trPr>
        <w:tc>
          <w:tcPr>
            <w:tcW w:w="514" w:type="dxa"/>
            <w:gridSpan w:val="2"/>
            <w:tcBorders>
              <w:top w:val="nil"/>
              <w:left w:val="nil"/>
              <w:bottom w:val="single" w:sz="4" w:space="0" w:color="000000"/>
              <w:right w:val="nil"/>
            </w:tcBorders>
            <w:shd w:val="clear" w:color="auto" w:fill="BFBFBF"/>
          </w:tcPr>
          <w:p w:rsidR="00B064CF" w:rsidRDefault="00B064CF">
            <w:pPr>
              <w:spacing w:after="160" w:line="259" w:lineRule="auto"/>
              <w:ind w:left="0" w:firstLine="0"/>
              <w:jc w:val="left"/>
            </w:pPr>
          </w:p>
        </w:tc>
        <w:tc>
          <w:tcPr>
            <w:tcW w:w="7986" w:type="dxa"/>
            <w:gridSpan w:val="12"/>
            <w:tcBorders>
              <w:top w:val="nil"/>
              <w:left w:val="nil"/>
              <w:bottom w:val="single" w:sz="4" w:space="0" w:color="000000"/>
              <w:right w:val="nil"/>
            </w:tcBorders>
            <w:shd w:val="clear" w:color="auto" w:fill="BFBFBF"/>
          </w:tcPr>
          <w:p w:rsidR="00B064CF" w:rsidRDefault="00E32F70">
            <w:pPr>
              <w:spacing w:after="0" w:line="259" w:lineRule="auto"/>
              <w:ind w:left="1598" w:firstLine="0"/>
              <w:jc w:val="left"/>
            </w:pPr>
            <w:r>
              <w:rPr>
                <w:b/>
                <w:sz w:val="20"/>
              </w:rPr>
              <w:t xml:space="preserve">ESTADO DE CONSOLIDACION DE GASTOS  </w:t>
            </w:r>
          </w:p>
        </w:tc>
      </w:tr>
      <w:tr w:rsidR="00B064CF">
        <w:trPr>
          <w:gridAfter w:val="1"/>
          <w:wAfter w:w="7" w:type="dxa"/>
          <w:trHeight w:val="930"/>
        </w:trPr>
        <w:tc>
          <w:tcPr>
            <w:tcW w:w="514"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41" w:lineRule="auto"/>
              <w:ind w:left="0" w:firstLine="0"/>
              <w:jc w:val="center"/>
            </w:pPr>
            <w:r>
              <w:rPr>
                <w:b/>
                <w:sz w:val="20"/>
              </w:rPr>
              <w:t>Capí-</w:t>
            </w:r>
          </w:p>
          <w:p w:rsidR="00B064CF" w:rsidRDefault="00E32F70">
            <w:pPr>
              <w:spacing w:after="0" w:line="259" w:lineRule="auto"/>
              <w:ind w:left="0" w:firstLine="0"/>
              <w:jc w:val="center"/>
            </w:pPr>
            <w:r>
              <w:rPr>
                <w:b/>
                <w:sz w:val="20"/>
              </w:rPr>
              <w:t xml:space="preserve">tulos </w:t>
            </w:r>
          </w:p>
        </w:tc>
        <w:tc>
          <w:tcPr>
            <w:tcW w:w="1421" w:type="dxa"/>
            <w:gridSpan w:val="2"/>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right="5" w:firstLine="0"/>
              <w:jc w:val="center"/>
            </w:pPr>
            <w:r>
              <w:rPr>
                <w:b/>
                <w:sz w:val="20"/>
              </w:rPr>
              <w:t xml:space="preserve">Ayuntamiento </w:t>
            </w:r>
          </w:p>
        </w:tc>
        <w:tc>
          <w:tcPr>
            <w:tcW w:w="1141" w:type="dxa"/>
            <w:gridSpan w:val="2"/>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22" w:firstLine="0"/>
            </w:pPr>
            <w:r>
              <w:rPr>
                <w:b/>
                <w:sz w:val="20"/>
              </w:rPr>
              <w:t xml:space="preserve">EPELCAN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17" w:hanging="17"/>
              <w:jc w:val="center"/>
            </w:pPr>
            <w:r>
              <w:rPr>
                <w:b/>
                <w:sz w:val="20"/>
              </w:rPr>
              <w:t xml:space="preserve">Sdad. Municipal Viviendas </w:t>
            </w:r>
          </w:p>
        </w:tc>
        <w:tc>
          <w:tcPr>
            <w:tcW w:w="1421" w:type="dxa"/>
            <w:gridSpan w:val="2"/>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right="58" w:firstLine="0"/>
              <w:jc w:val="center"/>
            </w:pPr>
            <w:r>
              <w:rPr>
                <w:b/>
                <w:sz w:val="20"/>
              </w:rPr>
              <w:t xml:space="preserve">Total </w:t>
            </w:r>
          </w:p>
        </w:tc>
        <w:tc>
          <w:tcPr>
            <w:tcW w:w="1308" w:type="dxa"/>
            <w:gridSpan w:val="2"/>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firstLine="0"/>
              <w:jc w:val="center"/>
            </w:pPr>
            <w:r>
              <w:rPr>
                <w:b/>
                <w:sz w:val="20"/>
              </w:rPr>
              <w:t xml:space="preserve">Eliminaciones </w:t>
            </w:r>
          </w:p>
        </w:tc>
        <w:tc>
          <w:tcPr>
            <w:tcW w:w="1419" w:type="dxa"/>
            <w:gridSpan w:val="2"/>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firstLine="0"/>
              <w:jc w:val="center"/>
            </w:pPr>
            <w:r>
              <w:rPr>
                <w:b/>
                <w:sz w:val="20"/>
              </w:rPr>
              <w:t xml:space="preserve">Pº Consolidado </w:t>
            </w:r>
          </w:p>
        </w:tc>
      </w:tr>
      <w:tr w:rsidR="00B064CF">
        <w:trPr>
          <w:gridAfter w:val="1"/>
          <w:wAfter w:w="7" w:type="dxa"/>
          <w:trHeight w:val="240"/>
        </w:trPr>
        <w:tc>
          <w:tcPr>
            <w:tcW w:w="514"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42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pPr>
            <w:r>
              <w:rPr>
                <w:sz w:val="20"/>
              </w:rPr>
              <w:t xml:space="preserve">10.024.256,50 </w:t>
            </w:r>
          </w:p>
        </w:tc>
        <w:tc>
          <w:tcPr>
            <w:tcW w:w="114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pPr>
            <w:r>
              <w:rPr>
                <w:sz w:val="20"/>
              </w:rPr>
              <w:t xml:space="preserve">544.872,84 </w:t>
            </w:r>
          </w:p>
        </w:tc>
        <w:tc>
          <w:tcPr>
            <w:tcW w:w="1277"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right"/>
            </w:pPr>
            <w:r>
              <w:rPr>
                <w:sz w:val="20"/>
              </w:rPr>
              <w:t xml:space="preserve">873.145,75 </w:t>
            </w:r>
          </w:p>
        </w:tc>
        <w:tc>
          <w:tcPr>
            <w:tcW w:w="142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4" w:firstLine="0"/>
            </w:pPr>
            <w:r>
              <w:rPr>
                <w:sz w:val="20"/>
              </w:rPr>
              <w:t xml:space="preserve">11.442.275,09 </w:t>
            </w:r>
          </w:p>
        </w:tc>
        <w:tc>
          <w:tcPr>
            <w:tcW w:w="1308"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right"/>
            </w:pPr>
            <w:r>
              <w:rPr>
                <w:sz w:val="20"/>
              </w:rPr>
              <w:t xml:space="preserve">  </w:t>
            </w:r>
          </w:p>
        </w:tc>
        <w:tc>
          <w:tcPr>
            <w:tcW w:w="1419"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4" w:firstLine="0"/>
            </w:pPr>
            <w:r>
              <w:rPr>
                <w:sz w:val="20"/>
              </w:rPr>
              <w:t>11.442.275,09</w:t>
            </w:r>
            <w:r>
              <w:rPr>
                <w:sz w:val="20"/>
              </w:rPr>
              <w:t xml:space="preserve"> </w:t>
            </w:r>
          </w:p>
        </w:tc>
      </w:tr>
      <w:tr w:rsidR="00B064CF">
        <w:trPr>
          <w:gridAfter w:val="1"/>
          <w:wAfter w:w="7" w:type="dxa"/>
          <w:trHeight w:val="240"/>
        </w:trPr>
        <w:tc>
          <w:tcPr>
            <w:tcW w:w="514"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2 </w:t>
            </w:r>
          </w:p>
        </w:tc>
        <w:tc>
          <w:tcPr>
            <w:tcW w:w="142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10" w:firstLine="0"/>
              <w:jc w:val="left"/>
            </w:pPr>
            <w:r>
              <w:rPr>
                <w:sz w:val="20"/>
              </w:rPr>
              <w:t xml:space="preserve">9.290.540,83 </w:t>
            </w:r>
          </w:p>
        </w:tc>
        <w:tc>
          <w:tcPr>
            <w:tcW w:w="114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pPr>
            <w:r>
              <w:rPr>
                <w:sz w:val="20"/>
              </w:rPr>
              <w:t xml:space="preserve">349.304,74 </w:t>
            </w:r>
          </w:p>
        </w:tc>
        <w:tc>
          <w:tcPr>
            <w:tcW w:w="1277"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1" w:firstLine="0"/>
              <w:jc w:val="right"/>
            </w:pPr>
            <w:r>
              <w:rPr>
                <w:sz w:val="20"/>
              </w:rPr>
              <w:t xml:space="preserve">25.504,30 </w:t>
            </w:r>
          </w:p>
        </w:tc>
        <w:tc>
          <w:tcPr>
            <w:tcW w:w="142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10" w:firstLine="0"/>
              <w:jc w:val="left"/>
            </w:pPr>
            <w:r>
              <w:rPr>
                <w:sz w:val="20"/>
              </w:rPr>
              <w:t xml:space="preserve">9.665.349,87 </w:t>
            </w:r>
          </w:p>
        </w:tc>
        <w:tc>
          <w:tcPr>
            <w:tcW w:w="1308"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8" w:firstLine="0"/>
              <w:jc w:val="right"/>
            </w:pPr>
            <w:r>
              <w:rPr>
                <w:sz w:val="20"/>
              </w:rPr>
              <w:t xml:space="preserve">0,00 </w:t>
            </w:r>
          </w:p>
        </w:tc>
        <w:tc>
          <w:tcPr>
            <w:tcW w:w="1419"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10" w:firstLine="0"/>
              <w:jc w:val="left"/>
            </w:pPr>
            <w:r>
              <w:rPr>
                <w:sz w:val="20"/>
              </w:rPr>
              <w:t xml:space="preserve">9.665.349,87 </w:t>
            </w:r>
          </w:p>
        </w:tc>
      </w:tr>
      <w:tr w:rsidR="00B064CF">
        <w:trPr>
          <w:gridAfter w:val="1"/>
          <w:wAfter w:w="7" w:type="dxa"/>
          <w:trHeight w:val="240"/>
        </w:trPr>
        <w:tc>
          <w:tcPr>
            <w:tcW w:w="514"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3 </w:t>
            </w:r>
          </w:p>
        </w:tc>
        <w:tc>
          <w:tcPr>
            <w:tcW w:w="142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right"/>
            </w:pPr>
            <w:r>
              <w:rPr>
                <w:sz w:val="20"/>
              </w:rPr>
              <w:t xml:space="preserve">150.000,00 </w:t>
            </w:r>
          </w:p>
        </w:tc>
        <w:tc>
          <w:tcPr>
            <w:tcW w:w="114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righ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2" w:firstLine="0"/>
              <w:jc w:val="right"/>
            </w:pPr>
            <w:r>
              <w:rPr>
                <w:sz w:val="20"/>
              </w:rPr>
              <w:t xml:space="preserve">  </w:t>
            </w:r>
          </w:p>
        </w:tc>
        <w:tc>
          <w:tcPr>
            <w:tcW w:w="142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1" w:firstLine="0"/>
              <w:jc w:val="right"/>
            </w:pPr>
            <w:r>
              <w:rPr>
                <w:sz w:val="20"/>
              </w:rPr>
              <w:t xml:space="preserve">150.000,00 </w:t>
            </w:r>
          </w:p>
        </w:tc>
        <w:tc>
          <w:tcPr>
            <w:tcW w:w="1308"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right"/>
            </w:pPr>
            <w:r>
              <w:rPr>
                <w:sz w:val="20"/>
              </w:rPr>
              <w:t xml:space="preserve">  </w:t>
            </w:r>
          </w:p>
        </w:tc>
        <w:tc>
          <w:tcPr>
            <w:tcW w:w="1419"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8" w:firstLine="0"/>
              <w:jc w:val="right"/>
            </w:pPr>
            <w:r>
              <w:rPr>
                <w:sz w:val="20"/>
              </w:rPr>
              <w:t xml:space="preserve">150.000,00 </w:t>
            </w:r>
          </w:p>
        </w:tc>
      </w:tr>
      <w:tr w:rsidR="00B064CF">
        <w:trPr>
          <w:gridAfter w:val="1"/>
          <w:wAfter w:w="7" w:type="dxa"/>
          <w:trHeight w:val="240"/>
        </w:trPr>
        <w:tc>
          <w:tcPr>
            <w:tcW w:w="514"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4 </w:t>
            </w:r>
          </w:p>
        </w:tc>
        <w:tc>
          <w:tcPr>
            <w:tcW w:w="142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10" w:firstLine="0"/>
              <w:jc w:val="left"/>
            </w:pPr>
            <w:r>
              <w:rPr>
                <w:sz w:val="20"/>
              </w:rPr>
              <w:t xml:space="preserve">3.053.859,31 </w:t>
            </w:r>
          </w:p>
        </w:tc>
        <w:tc>
          <w:tcPr>
            <w:tcW w:w="114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righ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2" w:firstLine="0"/>
              <w:jc w:val="right"/>
            </w:pPr>
            <w:r>
              <w:rPr>
                <w:sz w:val="20"/>
              </w:rPr>
              <w:t xml:space="preserve"> </w:t>
            </w:r>
          </w:p>
        </w:tc>
        <w:tc>
          <w:tcPr>
            <w:tcW w:w="142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10" w:firstLine="0"/>
              <w:jc w:val="left"/>
            </w:pPr>
            <w:r>
              <w:rPr>
                <w:sz w:val="20"/>
              </w:rPr>
              <w:t xml:space="preserve">3.053.859,31 </w:t>
            </w:r>
          </w:p>
        </w:tc>
        <w:tc>
          <w:tcPr>
            <w:tcW w:w="1308"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pPr>
            <w:r>
              <w:rPr>
                <w:sz w:val="20"/>
              </w:rPr>
              <w:t xml:space="preserve">1.074.088,19 </w:t>
            </w:r>
          </w:p>
        </w:tc>
        <w:tc>
          <w:tcPr>
            <w:tcW w:w="1419"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10" w:firstLine="0"/>
              <w:jc w:val="left"/>
            </w:pPr>
            <w:r>
              <w:rPr>
                <w:sz w:val="20"/>
              </w:rPr>
              <w:t xml:space="preserve">1.979.771,12 </w:t>
            </w:r>
          </w:p>
        </w:tc>
      </w:tr>
      <w:tr w:rsidR="00B064CF">
        <w:trPr>
          <w:gridAfter w:val="1"/>
          <w:wAfter w:w="7" w:type="dxa"/>
          <w:trHeight w:val="240"/>
        </w:trPr>
        <w:tc>
          <w:tcPr>
            <w:tcW w:w="514"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5 </w:t>
            </w:r>
          </w:p>
        </w:tc>
        <w:tc>
          <w:tcPr>
            <w:tcW w:w="142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2" w:firstLine="0"/>
              <w:jc w:val="right"/>
            </w:pPr>
            <w:r>
              <w:rPr>
                <w:sz w:val="20"/>
              </w:rPr>
              <w:t xml:space="preserve">  </w:t>
            </w:r>
          </w:p>
        </w:tc>
        <w:tc>
          <w:tcPr>
            <w:tcW w:w="114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righ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2" w:firstLine="0"/>
              <w:jc w:val="right"/>
            </w:pPr>
            <w:r>
              <w:rPr>
                <w:sz w:val="20"/>
              </w:rPr>
              <w:t xml:space="preserve">  </w:t>
            </w:r>
          </w:p>
        </w:tc>
        <w:tc>
          <w:tcPr>
            <w:tcW w:w="142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right"/>
            </w:pPr>
            <w:r>
              <w:rPr>
                <w:sz w:val="20"/>
              </w:rPr>
              <w:t xml:space="preserve">0,00 </w:t>
            </w:r>
          </w:p>
        </w:tc>
        <w:tc>
          <w:tcPr>
            <w:tcW w:w="1308"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right"/>
            </w:pPr>
            <w:r>
              <w:rPr>
                <w:sz w:val="20"/>
              </w:rPr>
              <w:t xml:space="preserve">  </w:t>
            </w:r>
          </w:p>
        </w:tc>
        <w:tc>
          <w:tcPr>
            <w:tcW w:w="1419"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7" w:firstLine="0"/>
              <w:jc w:val="right"/>
            </w:pPr>
            <w:r>
              <w:rPr>
                <w:sz w:val="20"/>
              </w:rPr>
              <w:t xml:space="preserve">0,00 </w:t>
            </w:r>
          </w:p>
        </w:tc>
      </w:tr>
      <w:tr w:rsidR="00B064CF">
        <w:trPr>
          <w:gridAfter w:val="1"/>
          <w:wAfter w:w="7" w:type="dxa"/>
          <w:trHeight w:val="240"/>
        </w:trPr>
        <w:tc>
          <w:tcPr>
            <w:tcW w:w="514"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6 </w:t>
            </w:r>
          </w:p>
        </w:tc>
        <w:tc>
          <w:tcPr>
            <w:tcW w:w="142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right"/>
            </w:pPr>
            <w:r>
              <w:rPr>
                <w:sz w:val="20"/>
              </w:rPr>
              <w:t xml:space="preserve">544.700,04 </w:t>
            </w:r>
          </w:p>
        </w:tc>
        <w:tc>
          <w:tcPr>
            <w:tcW w:w="114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righ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2" w:firstLine="0"/>
              <w:jc w:val="right"/>
            </w:pPr>
            <w:r>
              <w:rPr>
                <w:sz w:val="20"/>
              </w:rPr>
              <w:t xml:space="preserve">  </w:t>
            </w:r>
          </w:p>
        </w:tc>
        <w:tc>
          <w:tcPr>
            <w:tcW w:w="142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1" w:firstLine="0"/>
              <w:jc w:val="right"/>
            </w:pPr>
            <w:r>
              <w:rPr>
                <w:sz w:val="20"/>
              </w:rPr>
              <w:t xml:space="preserve">544.700,04 </w:t>
            </w:r>
          </w:p>
        </w:tc>
        <w:tc>
          <w:tcPr>
            <w:tcW w:w="1308"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right"/>
            </w:pPr>
            <w:r>
              <w:rPr>
                <w:sz w:val="20"/>
              </w:rPr>
              <w:t xml:space="preserve">  </w:t>
            </w:r>
          </w:p>
        </w:tc>
        <w:tc>
          <w:tcPr>
            <w:tcW w:w="1419"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8" w:firstLine="0"/>
              <w:jc w:val="right"/>
            </w:pPr>
            <w:r>
              <w:rPr>
                <w:sz w:val="20"/>
              </w:rPr>
              <w:t xml:space="preserve">544.700,04 </w:t>
            </w:r>
          </w:p>
        </w:tc>
      </w:tr>
      <w:tr w:rsidR="00B064CF">
        <w:trPr>
          <w:gridBefore w:val="1"/>
          <w:wBefore w:w="7" w:type="dxa"/>
          <w:trHeight w:val="235"/>
        </w:trPr>
        <w:tc>
          <w:tcPr>
            <w:tcW w:w="514" w:type="dxa"/>
            <w:gridSpan w:val="2"/>
            <w:tcBorders>
              <w:top w:val="nil"/>
              <w:left w:val="single" w:sz="4" w:space="0" w:color="000000"/>
              <w:bottom w:val="single" w:sz="4" w:space="0" w:color="000000"/>
              <w:right w:val="single" w:sz="4" w:space="0" w:color="000000"/>
            </w:tcBorders>
          </w:tcPr>
          <w:p w:rsidR="00B064CF" w:rsidRDefault="00E32F70">
            <w:pPr>
              <w:spacing w:after="0" w:line="259" w:lineRule="auto"/>
              <w:ind w:left="0" w:right="56" w:firstLine="0"/>
              <w:jc w:val="center"/>
            </w:pPr>
            <w:r>
              <w:rPr>
                <w:sz w:val="20"/>
              </w:rPr>
              <w:t xml:space="preserve">7 </w:t>
            </w:r>
          </w:p>
        </w:tc>
        <w:tc>
          <w:tcPr>
            <w:tcW w:w="1421" w:type="dxa"/>
            <w:gridSpan w:val="2"/>
            <w:tcBorders>
              <w:top w:val="nil"/>
              <w:left w:val="single" w:sz="4" w:space="0" w:color="000000"/>
              <w:bottom w:val="single" w:sz="4" w:space="0" w:color="000000"/>
              <w:right w:val="single" w:sz="4" w:space="0" w:color="000000"/>
            </w:tcBorders>
          </w:tcPr>
          <w:p w:rsidR="00B064CF" w:rsidRDefault="00E32F70">
            <w:pPr>
              <w:spacing w:after="0" w:line="259" w:lineRule="auto"/>
              <w:ind w:left="0" w:right="61" w:firstLine="0"/>
              <w:jc w:val="right"/>
            </w:pPr>
            <w:r>
              <w:rPr>
                <w:sz w:val="20"/>
              </w:rPr>
              <w:t xml:space="preserve">123.716,05 </w:t>
            </w:r>
          </w:p>
        </w:tc>
        <w:tc>
          <w:tcPr>
            <w:tcW w:w="1141" w:type="dxa"/>
            <w:gridSpan w:val="2"/>
            <w:tcBorders>
              <w:top w:val="nil"/>
              <w:left w:val="single" w:sz="4" w:space="0" w:color="000000"/>
              <w:bottom w:val="single" w:sz="4" w:space="0" w:color="000000"/>
              <w:right w:val="single" w:sz="4" w:space="0" w:color="000000"/>
            </w:tcBorders>
          </w:tcPr>
          <w:p w:rsidR="00B064CF" w:rsidRDefault="00E32F70">
            <w:pPr>
              <w:spacing w:after="0" w:line="259" w:lineRule="auto"/>
              <w:ind w:left="0" w:right="1" w:firstLine="0"/>
              <w:jc w:val="right"/>
            </w:pPr>
            <w:r>
              <w:rPr>
                <w:sz w:val="20"/>
              </w:rPr>
              <w:t xml:space="preserve">  </w:t>
            </w:r>
          </w:p>
        </w:tc>
        <w:tc>
          <w:tcPr>
            <w:tcW w:w="1277" w:type="dxa"/>
            <w:gridSpan w:val="2"/>
            <w:tcBorders>
              <w:top w:val="nil"/>
              <w:left w:val="single" w:sz="4" w:space="0" w:color="000000"/>
              <w:bottom w:val="single" w:sz="4" w:space="0" w:color="000000"/>
              <w:right w:val="single" w:sz="4" w:space="0" w:color="000000"/>
            </w:tcBorders>
          </w:tcPr>
          <w:p w:rsidR="00B064CF" w:rsidRDefault="00E32F70">
            <w:pPr>
              <w:spacing w:after="0" w:line="259" w:lineRule="auto"/>
              <w:ind w:left="0" w:right="4" w:firstLine="0"/>
              <w:jc w:val="right"/>
            </w:pPr>
            <w:r>
              <w:rPr>
                <w:sz w:val="20"/>
              </w:rPr>
              <w:t xml:space="preserve">  </w:t>
            </w:r>
          </w:p>
        </w:tc>
        <w:tc>
          <w:tcPr>
            <w:tcW w:w="1421" w:type="dxa"/>
            <w:gridSpan w:val="2"/>
            <w:tcBorders>
              <w:top w:val="nil"/>
              <w:left w:val="single" w:sz="4" w:space="0" w:color="000000"/>
              <w:bottom w:val="single" w:sz="4" w:space="0" w:color="000000"/>
              <w:right w:val="single" w:sz="4" w:space="0" w:color="000000"/>
            </w:tcBorders>
          </w:tcPr>
          <w:p w:rsidR="00B064CF" w:rsidRDefault="00E32F70">
            <w:pPr>
              <w:spacing w:after="0" w:line="259" w:lineRule="auto"/>
              <w:ind w:left="0" w:right="61" w:firstLine="0"/>
              <w:jc w:val="right"/>
            </w:pPr>
            <w:r>
              <w:rPr>
                <w:sz w:val="20"/>
              </w:rPr>
              <w:t xml:space="preserve">123.716,05 </w:t>
            </w:r>
          </w:p>
        </w:tc>
        <w:tc>
          <w:tcPr>
            <w:tcW w:w="1308" w:type="dxa"/>
            <w:gridSpan w:val="2"/>
            <w:tcBorders>
              <w:top w:val="nil"/>
              <w:left w:val="single" w:sz="4" w:space="0" w:color="000000"/>
              <w:bottom w:val="single" w:sz="4" w:space="0" w:color="000000"/>
              <w:right w:val="single" w:sz="4" w:space="0" w:color="000000"/>
            </w:tcBorders>
          </w:tcPr>
          <w:p w:rsidR="00B064CF" w:rsidRDefault="00E32F70">
            <w:pPr>
              <w:spacing w:after="0" w:line="259" w:lineRule="auto"/>
              <w:ind w:left="0" w:firstLine="0"/>
              <w:jc w:val="right"/>
            </w:pPr>
            <w:r>
              <w:rPr>
                <w:sz w:val="20"/>
              </w:rPr>
              <w:t xml:space="preserve">  </w:t>
            </w:r>
          </w:p>
        </w:tc>
        <w:tc>
          <w:tcPr>
            <w:tcW w:w="1419" w:type="dxa"/>
            <w:gridSpan w:val="2"/>
            <w:tcBorders>
              <w:top w:val="nil"/>
              <w:left w:val="single" w:sz="4" w:space="0" w:color="000000"/>
              <w:bottom w:val="single" w:sz="4" w:space="0" w:color="000000"/>
              <w:right w:val="single" w:sz="4" w:space="0" w:color="000000"/>
            </w:tcBorders>
          </w:tcPr>
          <w:p w:rsidR="00B064CF" w:rsidRDefault="00E32F70">
            <w:pPr>
              <w:spacing w:after="0" w:line="259" w:lineRule="auto"/>
              <w:ind w:left="0" w:right="59" w:firstLine="0"/>
              <w:jc w:val="right"/>
            </w:pPr>
            <w:r>
              <w:rPr>
                <w:sz w:val="20"/>
              </w:rPr>
              <w:t xml:space="preserve">123.716,05 </w:t>
            </w:r>
          </w:p>
        </w:tc>
      </w:tr>
      <w:tr w:rsidR="00B064CF">
        <w:trPr>
          <w:gridBefore w:val="1"/>
          <w:wBefore w:w="7" w:type="dxa"/>
          <w:trHeight w:val="240"/>
        </w:trPr>
        <w:tc>
          <w:tcPr>
            <w:tcW w:w="514"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6" w:firstLine="0"/>
              <w:jc w:val="center"/>
            </w:pPr>
            <w:r>
              <w:rPr>
                <w:sz w:val="20"/>
              </w:rPr>
              <w:t xml:space="preserve">8 </w:t>
            </w:r>
          </w:p>
        </w:tc>
        <w:tc>
          <w:tcPr>
            <w:tcW w:w="142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2" w:firstLine="0"/>
              <w:jc w:val="right"/>
            </w:pPr>
            <w:r>
              <w:rPr>
                <w:sz w:val="20"/>
              </w:rPr>
              <w:t xml:space="preserve">50.000,00 </w:t>
            </w:r>
          </w:p>
        </w:tc>
        <w:tc>
          <w:tcPr>
            <w:tcW w:w="114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 w:firstLine="0"/>
              <w:jc w:val="righ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 w:firstLine="0"/>
              <w:jc w:val="right"/>
            </w:pPr>
            <w:r>
              <w:rPr>
                <w:sz w:val="20"/>
              </w:rPr>
              <w:t xml:space="preserve">  </w:t>
            </w:r>
          </w:p>
        </w:tc>
        <w:tc>
          <w:tcPr>
            <w:tcW w:w="142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1" w:firstLine="0"/>
              <w:jc w:val="right"/>
            </w:pPr>
            <w:r>
              <w:rPr>
                <w:sz w:val="20"/>
              </w:rPr>
              <w:t xml:space="preserve">50.000,00 </w:t>
            </w:r>
          </w:p>
        </w:tc>
        <w:tc>
          <w:tcPr>
            <w:tcW w:w="1308"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right"/>
            </w:pPr>
            <w:r>
              <w:rPr>
                <w:sz w:val="20"/>
              </w:rPr>
              <w:t xml:space="preserve">  </w:t>
            </w:r>
          </w:p>
        </w:tc>
        <w:tc>
          <w:tcPr>
            <w:tcW w:w="1419"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right"/>
            </w:pPr>
            <w:r>
              <w:rPr>
                <w:sz w:val="20"/>
              </w:rPr>
              <w:t xml:space="preserve">50.000,00 </w:t>
            </w:r>
          </w:p>
        </w:tc>
      </w:tr>
      <w:tr w:rsidR="00B064CF">
        <w:trPr>
          <w:gridBefore w:val="1"/>
          <w:wBefore w:w="7" w:type="dxa"/>
          <w:trHeight w:val="241"/>
        </w:trPr>
        <w:tc>
          <w:tcPr>
            <w:tcW w:w="514"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6" w:firstLine="0"/>
              <w:jc w:val="center"/>
            </w:pPr>
            <w:r>
              <w:rPr>
                <w:sz w:val="20"/>
              </w:rPr>
              <w:t xml:space="preserve">9 </w:t>
            </w:r>
          </w:p>
        </w:tc>
        <w:tc>
          <w:tcPr>
            <w:tcW w:w="142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 w:firstLine="0"/>
              <w:jc w:val="right"/>
            </w:pPr>
            <w:r>
              <w:rPr>
                <w:sz w:val="20"/>
              </w:rPr>
              <w:t xml:space="preserve">  </w:t>
            </w:r>
          </w:p>
        </w:tc>
        <w:tc>
          <w:tcPr>
            <w:tcW w:w="114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 w:firstLine="0"/>
              <w:jc w:val="righ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 w:firstLine="0"/>
              <w:jc w:val="right"/>
            </w:pPr>
            <w:r>
              <w:rPr>
                <w:sz w:val="20"/>
              </w:rPr>
              <w:t xml:space="preserve">  </w:t>
            </w:r>
          </w:p>
        </w:tc>
        <w:tc>
          <w:tcPr>
            <w:tcW w:w="142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right"/>
            </w:pPr>
            <w:r>
              <w:rPr>
                <w:sz w:val="20"/>
              </w:rPr>
              <w:t xml:space="preserve">0,00 </w:t>
            </w:r>
          </w:p>
        </w:tc>
        <w:tc>
          <w:tcPr>
            <w:tcW w:w="1308"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right"/>
            </w:pPr>
            <w:r>
              <w:rPr>
                <w:sz w:val="20"/>
              </w:rPr>
              <w:t xml:space="preserve">  </w:t>
            </w:r>
          </w:p>
        </w:tc>
        <w:tc>
          <w:tcPr>
            <w:tcW w:w="1419"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right"/>
            </w:pPr>
            <w:r>
              <w:rPr>
                <w:sz w:val="20"/>
              </w:rPr>
              <w:t xml:space="preserve">0,00 </w:t>
            </w:r>
          </w:p>
        </w:tc>
      </w:tr>
      <w:tr w:rsidR="00B064CF">
        <w:trPr>
          <w:gridBefore w:val="1"/>
          <w:wBefore w:w="7" w:type="dxa"/>
          <w:trHeight w:val="468"/>
        </w:trPr>
        <w:tc>
          <w:tcPr>
            <w:tcW w:w="514" w:type="dxa"/>
            <w:gridSpan w:val="2"/>
            <w:tcBorders>
              <w:top w:val="single" w:sz="4" w:space="0" w:color="000000"/>
              <w:left w:val="single" w:sz="4" w:space="0" w:color="000000"/>
              <w:bottom w:val="single" w:sz="4" w:space="0" w:color="000000"/>
              <w:right w:val="single" w:sz="4" w:space="0" w:color="000000"/>
            </w:tcBorders>
            <w:shd w:val="clear" w:color="auto" w:fill="BFBFBF"/>
          </w:tcPr>
          <w:p w:rsidR="00B064CF" w:rsidRDefault="00E32F70">
            <w:pPr>
              <w:spacing w:after="0" w:line="259" w:lineRule="auto"/>
              <w:ind w:left="17" w:firstLine="0"/>
            </w:pPr>
            <w:r>
              <w:rPr>
                <w:b/>
                <w:sz w:val="20"/>
              </w:rPr>
              <w:t>TO-</w:t>
            </w:r>
          </w:p>
          <w:p w:rsidR="00B064CF" w:rsidRDefault="00E32F70">
            <w:pPr>
              <w:spacing w:after="0" w:line="259" w:lineRule="auto"/>
              <w:ind w:left="0" w:firstLine="0"/>
            </w:pPr>
            <w:r>
              <w:rPr>
                <w:b/>
                <w:sz w:val="20"/>
              </w:rPr>
              <w:t xml:space="preserve">TAL </w:t>
            </w:r>
          </w:p>
        </w:tc>
        <w:tc>
          <w:tcPr>
            <w:tcW w:w="1421"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B064CF" w:rsidRDefault="00E32F70">
            <w:pPr>
              <w:spacing w:after="0" w:line="259" w:lineRule="auto"/>
              <w:ind w:left="2" w:firstLine="0"/>
            </w:pPr>
            <w:r>
              <w:rPr>
                <w:b/>
                <w:sz w:val="20"/>
              </w:rPr>
              <w:t xml:space="preserve">23.237.072,73 </w:t>
            </w:r>
          </w:p>
        </w:tc>
        <w:tc>
          <w:tcPr>
            <w:tcW w:w="1141"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B064CF" w:rsidRDefault="00E32F70">
            <w:pPr>
              <w:spacing w:after="0" w:line="259" w:lineRule="auto"/>
              <w:ind w:left="2" w:firstLine="0"/>
            </w:pPr>
            <w:r>
              <w:rPr>
                <w:b/>
                <w:sz w:val="20"/>
              </w:rPr>
              <w:t xml:space="preserve">894.177,58 </w:t>
            </w:r>
          </w:p>
        </w:tc>
        <w:tc>
          <w:tcPr>
            <w:tcW w:w="1277"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B064CF" w:rsidRDefault="00E32F70">
            <w:pPr>
              <w:spacing w:after="0" w:line="259" w:lineRule="auto"/>
              <w:ind w:left="0" w:right="61" w:firstLine="0"/>
              <w:jc w:val="right"/>
            </w:pPr>
            <w:r>
              <w:rPr>
                <w:b/>
                <w:sz w:val="20"/>
              </w:rPr>
              <w:t xml:space="preserve">898.650,05 </w:t>
            </w:r>
          </w:p>
        </w:tc>
        <w:tc>
          <w:tcPr>
            <w:tcW w:w="1421"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B064CF" w:rsidRDefault="00E32F70">
            <w:pPr>
              <w:spacing w:after="0" w:line="259" w:lineRule="auto"/>
              <w:ind w:left="2" w:firstLine="0"/>
            </w:pPr>
            <w:r>
              <w:rPr>
                <w:b/>
                <w:sz w:val="20"/>
              </w:rPr>
              <w:t xml:space="preserve">25.029.900,36 </w:t>
            </w:r>
          </w:p>
        </w:tc>
        <w:tc>
          <w:tcPr>
            <w:tcW w:w="1308"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B064CF" w:rsidRDefault="00E32F70">
            <w:pPr>
              <w:spacing w:after="0" w:line="259" w:lineRule="auto"/>
              <w:ind w:left="4" w:firstLine="0"/>
            </w:pPr>
            <w:r>
              <w:rPr>
                <w:b/>
                <w:sz w:val="20"/>
              </w:rPr>
              <w:t xml:space="preserve">1.074.088,19 </w:t>
            </w:r>
          </w:p>
        </w:tc>
        <w:tc>
          <w:tcPr>
            <w:tcW w:w="1419"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B064CF" w:rsidRDefault="00E32F70">
            <w:pPr>
              <w:spacing w:after="0" w:line="259" w:lineRule="auto"/>
              <w:ind w:left="4" w:firstLine="0"/>
            </w:pPr>
            <w:r>
              <w:rPr>
                <w:b/>
                <w:sz w:val="20"/>
              </w:rPr>
              <w:t xml:space="preserve">23.955.812,17 </w:t>
            </w:r>
          </w:p>
        </w:tc>
      </w:tr>
    </w:tbl>
    <w:p w:rsidR="00B064CF" w:rsidRDefault="00E32F70">
      <w:pPr>
        <w:spacing w:after="0" w:line="259" w:lineRule="auto"/>
        <w:ind w:left="360" w:firstLine="0"/>
        <w:jc w:val="left"/>
      </w:pPr>
      <w:r>
        <w:rPr>
          <w:rFonts w:ascii="Calibri" w:eastAsia="Calibri" w:hAnsi="Calibri" w:cs="Calibri"/>
          <w:noProof/>
        </w:rPr>
        <mc:AlternateContent>
          <mc:Choice Requires="wpg">
            <w:drawing>
              <wp:anchor distT="0" distB="0" distL="114300" distR="114300" simplePos="0" relativeHeight="251712512" behindDoc="0" locked="0" layoutInCell="1" allowOverlap="1">
                <wp:simplePos x="0" y="0"/>
                <wp:positionH relativeFrom="page">
                  <wp:posOffset>8664935</wp:posOffset>
                </wp:positionH>
                <wp:positionV relativeFrom="page">
                  <wp:posOffset>6769227</wp:posOffset>
                </wp:positionV>
                <wp:extent cx="161330" cy="3542157"/>
                <wp:effectExtent l="0" t="0" r="0" b="0"/>
                <wp:wrapTopAndBottom/>
                <wp:docPr id="445878" name="Group 445878"/>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9665" name="Rectangle 9665"/>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9666" name="Rectangle 9666"/>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50 de 298 </w:t>
                              </w:r>
                            </w:p>
                          </w:txbxContent>
                        </wps:txbx>
                        <wps:bodyPr horzOverflow="overflow" vert="horz" lIns="0" tIns="0" rIns="0" bIns="0" rtlCol="0">
                          <a:noAutofit/>
                        </wps:bodyPr>
                      </wps:wsp>
                    </wpg:wgp>
                  </a:graphicData>
                </a:graphic>
              </wp:anchor>
            </w:drawing>
          </mc:Choice>
          <mc:Fallback xmlns:a="http://schemas.openxmlformats.org/drawingml/2006/main">
            <w:pict>
              <v:group id="Group 445878" style="width:12.7031pt;height:278.91pt;position:absolute;mso-position-horizontal-relative:page;mso-position-horizontal:absolute;margin-left:682.278pt;mso-position-vertical-relative:page;margin-top:533.01pt;" coordsize="1613,35421">
                <v:rect id="Rectangle 9665"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9666"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50 de 298 </w:t>
                        </w:r>
                      </w:p>
                    </w:txbxContent>
                  </v:textbox>
                </v:rect>
                <w10:wrap type="topAndBottom"/>
              </v:group>
            </w:pict>
          </mc:Fallback>
        </mc:AlternateContent>
      </w:r>
      <w:r>
        <w:rPr>
          <w:sz w:val="20"/>
        </w:rPr>
        <w:t xml:space="preserve"> </w:t>
      </w:r>
    </w:p>
    <w:tbl>
      <w:tblPr>
        <w:tblStyle w:val="TableGrid"/>
        <w:tblW w:w="8879" w:type="dxa"/>
        <w:tblInd w:w="362" w:type="dxa"/>
        <w:tblCellMar>
          <w:top w:w="8" w:type="dxa"/>
          <w:left w:w="71" w:type="dxa"/>
          <w:bottom w:w="0" w:type="dxa"/>
          <w:right w:w="13" w:type="dxa"/>
        </w:tblCellMar>
        <w:tblLook w:val="04A0" w:firstRow="1" w:lastRow="0" w:firstColumn="1" w:lastColumn="0" w:noHBand="0" w:noVBand="1"/>
      </w:tblPr>
      <w:tblGrid>
        <w:gridCol w:w="874"/>
        <w:gridCol w:w="1421"/>
        <w:gridCol w:w="1142"/>
        <w:gridCol w:w="1285"/>
        <w:gridCol w:w="1421"/>
        <w:gridCol w:w="1308"/>
        <w:gridCol w:w="1429"/>
      </w:tblGrid>
      <w:tr w:rsidR="00B064CF">
        <w:trPr>
          <w:trHeight w:val="292"/>
        </w:trPr>
        <w:tc>
          <w:tcPr>
            <w:tcW w:w="8879" w:type="dxa"/>
            <w:gridSpan w:val="7"/>
            <w:tcBorders>
              <w:top w:val="nil"/>
              <w:left w:val="nil"/>
              <w:bottom w:val="single" w:sz="4" w:space="0" w:color="000000"/>
              <w:right w:val="nil"/>
            </w:tcBorders>
            <w:shd w:val="clear" w:color="auto" w:fill="BFBFBF"/>
          </w:tcPr>
          <w:p w:rsidR="00B064CF" w:rsidRDefault="00E32F70">
            <w:pPr>
              <w:spacing w:after="0" w:line="259" w:lineRule="auto"/>
              <w:ind w:left="0" w:right="63" w:firstLine="0"/>
              <w:jc w:val="center"/>
            </w:pPr>
            <w:r>
              <w:rPr>
                <w:b/>
                <w:sz w:val="20"/>
              </w:rPr>
              <w:t xml:space="preserve">ESTADO DE CONSOLIDACION DE INGRESOS </w:t>
            </w:r>
          </w:p>
        </w:tc>
      </w:tr>
      <w:tr w:rsidR="00B064CF">
        <w:trPr>
          <w:trHeight w:val="703"/>
        </w:trPr>
        <w:tc>
          <w:tcPr>
            <w:tcW w:w="874" w:type="dxa"/>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firstLine="0"/>
              <w:jc w:val="center"/>
            </w:pPr>
            <w:r>
              <w:rPr>
                <w:b/>
                <w:sz w:val="20"/>
              </w:rPr>
              <w:t xml:space="preserve">Capítulos </w:t>
            </w:r>
          </w:p>
        </w:tc>
        <w:tc>
          <w:tcPr>
            <w:tcW w:w="1421" w:type="dxa"/>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right="5" w:firstLine="0"/>
              <w:jc w:val="center"/>
            </w:pPr>
            <w:r>
              <w:rPr>
                <w:b/>
                <w:sz w:val="20"/>
              </w:rPr>
              <w:t xml:space="preserve">Ayuntamiento </w:t>
            </w:r>
          </w:p>
        </w:tc>
        <w:tc>
          <w:tcPr>
            <w:tcW w:w="1142" w:type="dxa"/>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22" w:firstLine="0"/>
            </w:pPr>
            <w:r>
              <w:rPr>
                <w:b/>
                <w:sz w:val="20"/>
              </w:rPr>
              <w:t xml:space="preserve">EPELCAN </w:t>
            </w:r>
          </w:p>
        </w:tc>
        <w:tc>
          <w:tcPr>
            <w:tcW w:w="12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7" w:hanging="17"/>
              <w:jc w:val="center"/>
            </w:pPr>
            <w:r>
              <w:rPr>
                <w:b/>
                <w:sz w:val="20"/>
              </w:rPr>
              <w:t xml:space="preserve">Sdad. Municipal Viviendas </w:t>
            </w:r>
          </w:p>
        </w:tc>
        <w:tc>
          <w:tcPr>
            <w:tcW w:w="1421" w:type="dxa"/>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right="58" w:firstLine="0"/>
              <w:jc w:val="center"/>
            </w:pPr>
            <w:r>
              <w:rPr>
                <w:b/>
                <w:sz w:val="20"/>
              </w:rPr>
              <w:t xml:space="preserve">Total </w:t>
            </w:r>
          </w:p>
        </w:tc>
        <w:tc>
          <w:tcPr>
            <w:tcW w:w="1308" w:type="dxa"/>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firstLine="0"/>
              <w:jc w:val="center"/>
            </w:pPr>
            <w:r>
              <w:rPr>
                <w:b/>
                <w:sz w:val="20"/>
              </w:rPr>
              <w:t xml:space="preserve">Eliminaciones </w:t>
            </w:r>
          </w:p>
        </w:tc>
        <w:tc>
          <w:tcPr>
            <w:tcW w:w="1429" w:type="dxa"/>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firstLine="0"/>
              <w:jc w:val="center"/>
            </w:pPr>
            <w:r>
              <w:rPr>
                <w:b/>
                <w:sz w:val="20"/>
              </w:rPr>
              <w:t xml:space="preserve">Pº Consolidado </w:t>
            </w:r>
          </w:p>
        </w:tc>
      </w:tr>
      <w:tr w:rsidR="00B064CF">
        <w:trPr>
          <w:trHeight w:val="240"/>
        </w:trPr>
        <w:tc>
          <w:tcPr>
            <w:tcW w:w="87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center"/>
            </w:pPr>
            <w:r>
              <w:rPr>
                <w:sz w:val="20"/>
              </w:rPr>
              <w:t xml:space="preserve">1 </w:t>
            </w:r>
          </w:p>
        </w:tc>
        <w:tc>
          <w:tcPr>
            <w:tcW w:w="142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10" w:firstLine="0"/>
              <w:jc w:val="left"/>
            </w:pPr>
            <w:r>
              <w:rPr>
                <w:sz w:val="20"/>
              </w:rPr>
              <w:t xml:space="preserve">8.080.885,00 </w:t>
            </w:r>
          </w:p>
        </w:tc>
        <w:tc>
          <w:tcPr>
            <w:tcW w:w="1142"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 w:firstLine="0"/>
              <w:jc w:val="right"/>
            </w:pPr>
            <w:r>
              <w:rPr>
                <w:sz w:val="20"/>
              </w:rPr>
              <w:t xml:space="preserve">  </w:t>
            </w:r>
          </w:p>
        </w:tc>
        <w:tc>
          <w:tcPr>
            <w:tcW w:w="12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right"/>
            </w:pPr>
            <w:r>
              <w:rPr>
                <w:sz w:val="20"/>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10" w:firstLine="0"/>
              <w:jc w:val="left"/>
            </w:pPr>
            <w:r>
              <w:rPr>
                <w:sz w:val="20"/>
              </w:rPr>
              <w:t xml:space="preserve">8.080.885,00 </w:t>
            </w:r>
          </w:p>
        </w:tc>
        <w:tc>
          <w:tcPr>
            <w:tcW w:w="130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right"/>
            </w:pPr>
            <w:r>
              <w:rPr>
                <w:sz w:val="20"/>
              </w:rPr>
              <w:t xml:space="preserve">  </w:t>
            </w:r>
          </w:p>
        </w:tc>
        <w:tc>
          <w:tcPr>
            <w:tcW w:w="142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8" w:firstLine="0"/>
              <w:jc w:val="right"/>
            </w:pPr>
            <w:r>
              <w:rPr>
                <w:sz w:val="20"/>
              </w:rPr>
              <w:t xml:space="preserve">8.080.885,00 </w:t>
            </w:r>
          </w:p>
        </w:tc>
      </w:tr>
      <w:tr w:rsidR="00B064CF">
        <w:trPr>
          <w:trHeight w:val="238"/>
        </w:trPr>
        <w:tc>
          <w:tcPr>
            <w:tcW w:w="87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center"/>
            </w:pPr>
            <w:r>
              <w:rPr>
                <w:sz w:val="20"/>
              </w:rPr>
              <w:t xml:space="preserve">2 </w:t>
            </w:r>
          </w:p>
        </w:tc>
        <w:tc>
          <w:tcPr>
            <w:tcW w:w="142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10" w:firstLine="0"/>
              <w:jc w:val="left"/>
            </w:pPr>
            <w:r>
              <w:rPr>
                <w:sz w:val="20"/>
              </w:rPr>
              <w:t xml:space="preserve">3.989.577,65 </w:t>
            </w:r>
          </w:p>
        </w:tc>
        <w:tc>
          <w:tcPr>
            <w:tcW w:w="1142"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 w:firstLine="0"/>
              <w:jc w:val="right"/>
            </w:pPr>
            <w:r>
              <w:rPr>
                <w:sz w:val="20"/>
              </w:rPr>
              <w:t xml:space="preserve">  </w:t>
            </w:r>
          </w:p>
        </w:tc>
        <w:tc>
          <w:tcPr>
            <w:tcW w:w="12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right"/>
            </w:pPr>
            <w:r>
              <w:rPr>
                <w:sz w:val="20"/>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10" w:firstLine="0"/>
              <w:jc w:val="left"/>
            </w:pPr>
            <w:r>
              <w:rPr>
                <w:sz w:val="20"/>
              </w:rPr>
              <w:t xml:space="preserve">3.989.577,65 </w:t>
            </w:r>
          </w:p>
        </w:tc>
        <w:tc>
          <w:tcPr>
            <w:tcW w:w="130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right"/>
            </w:pPr>
            <w:r>
              <w:rPr>
                <w:sz w:val="20"/>
              </w:rPr>
              <w:t xml:space="preserve">  </w:t>
            </w:r>
          </w:p>
        </w:tc>
        <w:tc>
          <w:tcPr>
            <w:tcW w:w="142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8" w:firstLine="0"/>
              <w:jc w:val="right"/>
            </w:pPr>
            <w:r>
              <w:rPr>
                <w:sz w:val="20"/>
              </w:rPr>
              <w:t xml:space="preserve">3.989.577,65 </w:t>
            </w:r>
          </w:p>
        </w:tc>
      </w:tr>
      <w:tr w:rsidR="00B064CF">
        <w:trPr>
          <w:trHeight w:val="240"/>
        </w:trPr>
        <w:tc>
          <w:tcPr>
            <w:tcW w:w="87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center"/>
            </w:pPr>
            <w:r>
              <w:rPr>
                <w:sz w:val="20"/>
              </w:rPr>
              <w:t xml:space="preserve">3 </w:t>
            </w:r>
          </w:p>
        </w:tc>
        <w:tc>
          <w:tcPr>
            <w:tcW w:w="142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10" w:firstLine="0"/>
              <w:jc w:val="left"/>
            </w:pPr>
            <w:r>
              <w:rPr>
                <w:sz w:val="20"/>
              </w:rPr>
              <w:t xml:space="preserve">1.845.100,00 </w:t>
            </w:r>
          </w:p>
        </w:tc>
        <w:tc>
          <w:tcPr>
            <w:tcW w:w="1142"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pPr>
            <w:r>
              <w:rPr>
                <w:sz w:val="20"/>
              </w:rPr>
              <w:t xml:space="preserve">393.272,39 </w:t>
            </w:r>
          </w:p>
        </w:tc>
        <w:tc>
          <w:tcPr>
            <w:tcW w:w="12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8" w:firstLine="0"/>
              <w:jc w:val="right"/>
            </w:pPr>
            <w:r>
              <w:rPr>
                <w:sz w:val="20"/>
              </w:rPr>
              <w:t xml:space="preserve">5.000,00 </w:t>
            </w:r>
          </w:p>
        </w:tc>
        <w:tc>
          <w:tcPr>
            <w:tcW w:w="142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10" w:firstLine="0"/>
              <w:jc w:val="left"/>
            </w:pPr>
            <w:r>
              <w:rPr>
                <w:sz w:val="20"/>
              </w:rPr>
              <w:t xml:space="preserve">2.243.372,39 </w:t>
            </w:r>
          </w:p>
        </w:tc>
        <w:tc>
          <w:tcPr>
            <w:tcW w:w="130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right"/>
            </w:pPr>
            <w:r>
              <w:rPr>
                <w:sz w:val="20"/>
              </w:rPr>
              <w:t xml:space="preserve">  </w:t>
            </w:r>
          </w:p>
        </w:tc>
        <w:tc>
          <w:tcPr>
            <w:tcW w:w="142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right"/>
            </w:pPr>
            <w:r>
              <w:rPr>
                <w:sz w:val="20"/>
              </w:rPr>
              <w:t xml:space="preserve">2.243.372,39 </w:t>
            </w:r>
          </w:p>
        </w:tc>
      </w:tr>
      <w:tr w:rsidR="00B064CF">
        <w:trPr>
          <w:trHeight w:val="240"/>
        </w:trPr>
        <w:tc>
          <w:tcPr>
            <w:tcW w:w="87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center"/>
            </w:pPr>
            <w:r>
              <w:rPr>
                <w:sz w:val="20"/>
              </w:rPr>
              <w:t xml:space="preserve">4 </w:t>
            </w:r>
          </w:p>
        </w:tc>
        <w:tc>
          <w:tcPr>
            <w:tcW w:w="142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10" w:firstLine="0"/>
              <w:jc w:val="left"/>
            </w:pPr>
            <w:r>
              <w:rPr>
                <w:sz w:val="20"/>
              </w:rPr>
              <w:t xml:space="preserve">7.739.526,30 </w:t>
            </w:r>
          </w:p>
        </w:tc>
        <w:tc>
          <w:tcPr>
            <w:tcW w:w="1142"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pPr>
            <w:r>
              <w:rPr>
                <w:sz w:val="20"/>
              </w:rPr>
              <w:t xml:space="preserve">503.817,29 </w:t>
            </w:r>
          </w:p>
        </w:tc>
        <w:tc>
          <w:tcPr>
            <w:tcW w:w="12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8" w:firstLine="0"/>
              <w:jc w:val="right"/>
            </w:pPr>
            <w:r>
              <w:rPr>
                <w:sz w:val="20"/>
              </w:rPr>
              <w:t xml:space="preserve">893.650,05 </w:t>
            </w:r>
          </w:p>
        </w:tc>
        <w:tc>
          <w:tcPr>
            <w:tcW w:w="142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10" w:firstLine="0"/>
              <w:jc w:val="left"/>
            </w:pPr>
            <w:r>
              <w:rPr>
                <w:sz w:val="20"/>
              </w:rPr>
              <w:t xml:space="preserve">9.136.993,64 </w:t>
            </w:r>
          </w:p>
        </w:tc>
        <w:tc>
          <w:tcPr>
            <w:tcW w:w="130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pPr>
            <w:r>
              <w:rPr>
                <w:sz w:val="20"/>
              </w:rPr>
              <w:t xml:space="preserve">1.074.088,19 </w:t>
            </w:r>
          </w:p>
        </w:tc>
        <w:tc>
          <w:tcPr>
            <w:tcW w:w="142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8" w:firstLine="0"/>
              <w:jc w:val="right"/>
            </w:pPr>
            <w:r>
              <w:rPr>
                <w:sz w:val="20"/>
              </w:rPr>
              <w:t xml:space="preserve">8.062.905,45 </w:t>
            </w:r>
          </w:p>
        </w:tc>
      </w:tr>
      <w:tr w:rsidR="00B064CF">
        <w:trPr>
          <w:trHeight w:val="240"/>
        </w:trPr>
        <w:tc>
          <w:tcPr>
            <w:tcW w:w="87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center"/>
            </w:pPr>
            <w:r>
              <w:rPr>
                <w:sz w:val="20"/>
              </w:rPr>
              <w:t xml:space="preserve">5 </w:t>
            </w:r>
          </w:p>
        </w:tc>
        <w:tc>
          <w:tcPr>
            <w:tcW w:w="142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1" w:firstLine="0"/>
              <w:jc w:val="right"/>
            </w:pPr>
            <w:r>
              <w:rPr>
                <w:sz w:val="20"/>
              </w:rPr>
              <w:t xml:space="preserve">12.000,00 </w:t>
            </w:r>
          </w:p>
        </w:tc>
        <w:tc>
          <w:tcPr>
            <w:tcW w:w="1142"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 w:firstLine="0"/>
              <w:jc w:val="right"/>
            </w:pPr>
            <w:r>
              <w:rPr>
                <w:sz w:val="20"/>
              </w:rPr>
              <w:t xml:space="preserve">  </w:t>
            </w:r>
          </w:p>
        </w:tc>
        <w:tc>
          <w:tcPr>
            <w:tcW w:w="12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right"/>
            </w:pPr>
            <w:r>
              <w:rPr>
                <w:sz w:val="20"/>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1" w:firstLine="0"/>
              <w:jc w:val="right"/>
            </w:pPr>
            <w:r>
              <w:rPr>
                <w:sz w:val="20"/>
              </w:rPr>
              <w:t xml:space="preserve">12.000,00 </w:t>
            </w:r>
          </w:p>
        </w:tc>
        <w:tc>
          <w:tcPr>
            <w:tcW w:w="130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right"/>
            </w:pPr>
            <w:r>
              <w:rPr>
                <w:sz w:val="20"/>
              </w:rPr>
              <w:t xml:space="preserve">  </w:t>
            </w:r>
          </w:p>
        </w:tc>
        <w:tc>
          <w:tcPr>
            <w:tcW w:w="142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right"/>
            </w:pPr>
            <w:r>
              <w:rPr>
                <w:sz w:val="20"/>
              </w:rPr>
              <w:t xml:space="preserve">12.000,00 </w:t>
            </w:r>
          </w:p>
        </w:tc>
      </w:tr>
      <w:tr w:rsidR="00B064CF">
        <w:trPr>
          <w:trHeight w:val="240"/>
        </w:trPr>
        <w:tc>
          <w:tcPr>
            <w:tcW w:w="87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center"/>
            </w:pPr>
            <w:r>
              <w:rPr>
                <w:sz w:val="20"/>
              </w:rPr>
              <w:t xml:space="preserve">7 </w:t>
            </w:r>
          </w:p>
        </w:tc>
        <w:tc>
          <w:tcPr>
            <w:tcW w:w="142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10" w:firstLine="0"/>
              <w:jc w:val="left"/>
            </w:pPr>
            <w:r>
              <w:rPr>
                <w:sz w:val="20"/>
              </w:rPr>
              <w:t xml:space="preserve">1.569.983,78 </w:t>
            </w:r>
          </w:p>
        </w:tc>
        <w:tc>
          <w:tcPr>
            <w:tcW w:w="1142"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 w:firstLine="0"/>
              <w:jc w:val="right"/>
            </w:pPr>
            <w:r>
              <w:rPr>
                <w:sz w:val="20"/>
              </w:rPr>
              <w:t xml:space="preserve">  </w:t>
            </w:r>
          </w:p>
        </w:tc>
        <w:tc>
          <w:tcPr>
            <w:tcW w:w="12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right"/>
            </w:pPr>
            <w:r>
              <w:rPr>
                <w:sz w:val="20"/>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10" w:firstLine="0"/>
              <w:jc w:val="left"/>
            </w:pPr>
            <w:r>
              <w:rPr>
                <w:sz w:val="20"/>
              </w:rPr>
              <w:t xml:space="preserve">1.569.983,78 </w:t>
            </w:r>
          </w:p>
        </w:tc>
        <w:tc>
          <w:tcPr>
            <w:tcW w:w="130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right"/>
            </w:pPr>
            <w:r>
              <w:rPr>
                <w:sz w:val="20"/>
              </w:rPr>
              <w:t xml:space="preserve">  </w:t>
            </w:r>
          </w:p>
        </w:tc>
        <w:tc>
          <w:tcPr>
            <w:tcW w:w="142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8" w:firstLine="0"/>
              <w:jc w:val="right"/>
            </w:pPr>
            <w:r>
              <w:rPr>
                <w:sz w:val="20"/>
              </w:rPr>
              <w:t xml:space="preserve">1.569.983,78 </w:t>
            </w:r>
          </w:p>
        </w:tc>
      </w:tr>
      <w:tr w:rsidR="00B064CF">
        <w:trPr>
          <w:trHeight w:val="240"/>
        </w:trPr>
        <w:tc>
          <w:tcPr>
            <w:tcW w:w="87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center"/>
            </w:pPr>
            <w:r>
              <w:rPr>
                <w:sz w:val="20"/>
              </w:rPr>
              <w:t xml:space="preserve">8 </w:t>
            </w:r>
          </w:p>
        </w:tc>
        <w:tc>
          <w:tcPr>
            <w:tcW w:w="142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2" w:firstLine="0"/>
              <w:jc w:val="right"/>
            </w:pPr>
            <w:r>
              <w:rPr>
                <w:sz w:val="20"/>
              </w:rPr>
              <w:t xml:space="preserve">  </w:t>
            </w:r>
          </w:p>
        </w:tc>
        <w:tc>
          <w:tcPr>
            <w:tcW w:w="1142"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 w:firstLine="0"/>
              <w:jc w:val="right"/>
            </w:pPr>
            <w:r>
              <w:rPr>
                <w:sz w:val="20"/>
              </w:rPr>
              <w:t xml:space="preserve">  </w:t>
            </w:r>
          </w:p>
        </w:tc>
        <w:tc>
          <w:tcPr>
            <w:tcW w:w="12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right"/>
            </w:pPr>
            <w:r>
              <w:rPr>
                <w:sz w:val="20"/>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right"/>
            </w:pPr>
            <w:r>
              <w:rPr>
                <w:sz w:val="20"/>
              </w:rPr>
              <w:t xml:space="preserve">0,00 </w:t>
            </w:r>
          </w:p>
        </w:tc>
        <w:tc>
          <w:tcPr>
            <w:tcW w:w="130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right"/>
            </w:pPr>
            <w:r>
              <w:rPr>
                <w:sz w:val="20"/>
              </w:rPr>
              <w:t xml:space="preserve">  </w:t>
            </w:r>
          </w:p>
        </w:tc>
        <w:tc>
          <w:tcPr>
            <w:tcW w:w="142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8" w:firstLine="0"/>
              <w:jc w:val="right"/>
            </w:pPr>
            <w:r>
              <w:rPr>
                <w:sz w:val="20"/>
              </w:rPr>
              <w:t xml:space="preserve">0,00 </w:t>
            </w:r>
          </w:p>
        </w:tc>
      </w:tr>
      <w:tr w:rsidR="00B064CF">
        <w:trPr>
          <w:trHeight w:val="242"/>
        </w:trPr>
        <w:tc>
          <w:tcPr>
            <w:tcW w:w="87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center"/>
            </w:pPr>
            <w:r>
              <w:rPr>
                <w:sz w:val="20"/>
              </w:rPr>
              <w:t xml:space="preserve">9 </w:t>
            </w:r>
          </w:p>
        </w:tc>
        <w:tc>
          <w:tcPr>
            <w:tcW w:w="142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2" w:firstLine="0"/>
              <w:jc w:val="right"/>
            </w:pPr>
            <w:r>
              <w:rPr>
                <w:sz w:val="20"/>
              </w:rPr>
              <w:t xml:space="preserve">  </w:t>
            </w:r>
          </w:p>
        </w:tc>
        <w:tc>
          <w:tcPr>
            <w:tcW w:w="1142"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 w:firstLine="0"/>
              <w:jc w:val="right"/>
            </w:pPr>
            <w:r>
              <w:rPr>
                <w:sz w:val="20"/>
              </w:rPr>
              <w:t xml:space="preserve">  </w:t>
            </w:r>
          </w:p>
        </w:tc>
        <w:tc>
          <w:tcPr>
            <w:tcW w:w="12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right"/>
            </w:pPr>
            <w:r>
              <w:rPr>
                <w:sz w:val="20"/>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right"/>
            </w:pPr>
            <w:r>
              <w:rPr>
                <w:sz w:val="20"/>
              </w:rPr>
              <w:t xml:space="preserve">0,00 </w:t>
            </w:r>
          </w:p>
        </w:tc>
        <w:tc>
          <w:tcPr>
            <w:tcW w:w="130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right"/>
            </w:pPr>
            <w:r>
              <w:rPr>
                <w:sz w:val="20"/>
              </w:rPr>
              <w:t xml:space="preserve">  </w:t>
            </w:r>
          </w:p>
        </w:tc>
        <w:tc>
          <w:tcPr>
            <w:tcW w:w="142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8" w:firstLine="0"/>
              <w:jc w:val="right"/>
            </w:pPr>
            <w:r>
              <w:rPr>
                <w:sz w:val="20"/>
              </w:rPr>
              <w:t xml:space="preserve">0,00 </w:t>
            </w:r>
          </w:p>
        </w:tc>
      </w:tr>
      <w:tr w:rsidR="00B064CF">
        <w:trPr>
          <w:trHeight w:val="265"/>
        </w:trPr>
        <w:tc>
          <w:tcPr>
            <w:tcW w:w="874" w:type="dxa"/>
            <w:tcBorders>
              <w:top w:val="single" w:sz="4" w:space="0" w:color="000000"/>
              <w:left w:val="single" w:sz="4" w:space="0" w:color="000000"/>
              <w:bottom w:val="single" w:sz="4" w:space="0" w:color="000000"/>
              <w:right w:val="single" w:sz="4" w:space="0" w:color="000000"/>
            </w:tcBorders>
            <w:shd w:val="clear" w:color="auto" w:fill="BFBFBF"/>
          </w:tcPr>
          <w:p w:rsidR="00B064CF" w:rsidRDefault="00E32F70">
            <w:pPr>
              <w:spacing w:after="0" w:line="259" w:lineRule="auto"/>
              <w:ind w:left="41" w:firstLine="0"/>
            </w:pPr>
            <w:r>
              <w:rPr>
                <w:b/>
                <w:sz w:val="20"/>
              </w:rPr>
              <w:t xml:space="preserve">TOTAL </w:t>
            </w:r>
          </w:p>
        </w:tc>
        <w:tc>
          <w:tcPr>
            <w:tcW w:w="1421" w:type="dxa"/>
            <w:tcBorders>
              <w:top w:val="single" w:sz="4" w:space="0" w:color="000000"/>
              <w:left w:val="single" w:sz="4" w:space="0" w:color="000000"/>
              <w:bottom w:val="single" w:sz="4" w:space="0" w:color="000000"/>
              <w:right w:val="single" w:sz="4" w:space="0" w:color="000000"/>
            </w:tcBorders>
            <w:shd w:val="clear" w:color="auto" w:fill="BFBFBF"/>
          </w:tcPr>
          <w:p w:rsidR="00B064CF" w:rsidRDefault="00E32F70">
            <w:pPr>
              <w:spacing w:after="0" w:line="259" w:lineRule="auto"/>
              <w:ind w:left="0" w:firstLine="0"/>
            </w:pPr>
            <w:r>
              <w:rPr>
                <w:b/>
                <w:sz w:val="20"/>
              </w:rPr>
              <w:t xml:space="preserve">23.237.072,73 </w:t>
            </w:r>
          </w:p>
        </w:tc>
        <w:tc>
          <w:tcPr>
            <w:tcW w:w="1142" w:type="dxa"/>
            <w:tcBorders>
              <w:top w:val="single" w:sz="4" w:space="0" w:color="000000"/>
              <w:left w:val="single" w:sz="4" w:space="0" w:color="000000"/>
              <w:bottom w:val="single" w:sz="4" w:space="0" w:color="000000"/>
              <w:right w:val="single" w:sz="4" w:space="0" w:color="000000"/>
            </w:tcBorders>
            <w:shd w:val="clear" w:color="auto" w:fill="BFBFBF"/>
          </w:tcPr>
          <w:p w:rsidR="00B064CF" w:rsidRDefault="00E32F70">
            <w:pPr>
              <w:spacing w:after="0" w:line="259" w:lineRule="auto"/>
              <w:ind w:left="0" w:firstLine="0"/>
            </w:pPr>
            <w:r>
              <w:rPr>
                <w:b/>
                <w:sz w:val="20"/>
              </w:rPr>
              <w:t xml:space="preserve">897.089,68 </w:t>
            </w:r>
          </w:p>
        </w:tc>
        <w:tc>
          <w:tcPr>
            <w:tcW w:w="1285" w:type="dxa"/>
            <w:tcBorders>
              <w:top w:val="single" w:sz="4" w:space="0" w:color="000000"/>
              <w:left w:val="single" w:sz="4" w:space="0" w:color="000000"/>
              <w:bottom w:val="single" w:sz="4" w:space="0" w:color="000000"/>
              <w:right w:val="single" w:sz="4" w:space="0" w:color="000000"/>
            </w:tcBorders>
            <w:shd w:val="clear" w:color="auto" w:fill="BFBFBF"/>
          </w:tcPr>
          <w:p w:rsidR="00B064CF" w:rsidRDefault="00E32F70">
            <w:pPr>
              <w:spacing w:after="0" w:line="259" w:lineRule="auto"/>
              <w:ind w:left="0" w:right="57" w:firstLine="0"/>
              <w:jc w:val="right"/>
            </w:pPr>
            <w:r>
              <w:rPr>
                <w:b/>
                <w:sz w:val="20"/>
              </w:rPr>
              <w:t xml:space="preserve">898.650,05 </w:t>
            </w:r>
          </w:p>
        </w:tc>
        <w:tc>
          <w:tcPr>
            <w:tcW w:w="1421" w:type="dxa"/>
            <w:tcBorders>
              <w:top w:val="single" w:sz="4" w:space="0" w:color="000000"/>
              <w:left w:val="single" w:sz="4" w:space="0" w:color="000000"/>
              <w:bottom w:val="single" w:sz="4" w:space="0" w:color="000000"/>
              <w:right w:val="single" w:sz="4" w:space="0" w:color="000000"/>
            </w:tcBorders>
            <w:shd w:val="clear" w:color="auto" w:fill="BFBFBF"/>
          </w:tcPr>
          <w:p w:rsidR="00B064CF" w:rsidRDefault="00E32F70">
            <w:pPr>
              <w:spacing w:after="0" w:line="259" w:lineRule="auto"/>
              <w:ind w:left="0" w:firstLine="0"/>
            </w:pPr>
            <w:r>
              <w:rPr>
                <w:b/>
                <w:sz w:val="20"/>
              </w:rPr>
              <w:t xml:space="preserve">25.032.812,46 </w:t>
            </w:r>
          </w:p>
        </w:tc>
        <w:tc>
          <w:tcPr>
            <w:tcW w:w="1308" w:type="dxa"/>
            <w:tcBorders>
              <w:top w:val="single" w:sz="4" w:space="0" w:color="000000"/>
              <w:left w:val="single" w:sz="4" w:space="0" w:color="000000"/>
              <w:bottom w:val="single" w:sz="4" w:space="0" w:color="000000"/>
              <w:right w:val="single" w:sz="4" w:space="0" w:color="000000"/>
            </w:tcBorders>
            <w:shd w:val="clear" w:color="auto" w:fill="BFBFBF"/>
          </w:tcPr>
          <w:p w:rsidR="00B064CF" w:rsidRDefault="00E32F70">
            <w:pPr>
              <w:spacing w:after="0" w:line="259" w:lineRule="auto"/>
              <w:ind w:left="0" w:firstLine="0"/>
            </w:pPr>
            <w:r>
              <w:rPr>
                <w:b/>
                <w:sz w:val="20"/>
              </w:rPr>
              <w:t xml:space="preserve">1.074.088,19 </w:t>
            </w:r>
          </w:p>
        </w:tc>
        <w:tc>
          <w:tcPr>
            <w:tcW w:w="1429" w:type="dxa"/>
            <w:tcBorders>
              <w:top w:val="single" w:sz="4" w:space="0" w:color="000000"/>
              <w:left w:val="single" w:sz="4" w:space="0" w:color="000000"/>
              <w:bottom w:val="single" w:sz="4" w:space="0" w:color="000000"/>
              <w:right w:val="single" w:sz="4" w:space="0" w:color="000000"/>
            </w:tcBorders>
            <w:shd w:val="clear" w:color="auto" w:fill="BFBFBF"/>
          </w:tcPr>
          <w:p w:rsidR="00B064CF" w:rsidRDefault="00E32F70">
            <w:pPr>
              <w:spacing w:after="0" w:line="259" w:lineRule="auto"/>
              <w:ind w:firstLine="0"/>
            </w:pPr>
            <w:r>
              <w:rPr>
                <w:b/>
                <w:sz w:val="20"/>
              </w:rPr>
              <w:t xml:space="preserve">23.958.724,27 </w:t>
            </w:r>
          </w:p>
        </w:tc>
      </w:tr>
    </w:tbl>
    <w:p w:rsidR="00B064CF" w:rsidRDefault="00E32F70">
      <w:pPr>
        <w:spacing w:after="0" w:line="259" w:lineRule="auto"/>
        <w:ind w:left="0" w:right="2134" w:firstLine="0"/>
        <w:jc w:val="right"/>
      </w:pPr>
      <w:r>
        <w:rPr>
          <w:b/>
          <w:sz w:val="20"/>
        </w:rPr>
        <w:t xml:space="preserve"> </w:t>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tbl>
      <w:tblPr>
        <w:tblStyle w:val="TableGrid"/>
        <w:tblW w:w="8879" w:type="dxa"/>
        <w:tblInd w:w="362" w:type="dxa"/>
        <w:tblCellMar>
          <w:top w:w="6" w:type="dxa"/>
          <w:left w:w="115" w:type="dxa"/>
          <w:bottom w:w="0" w:type="dxa"/>
          <w:right w:w="13" w:type="dxa"/>
        </w:tblCellMar>
        <w:tblLook w:val="04A0" w:firstRow="1" w:lastRow="0" w:firstColumn="1" w:lastColumn="0" w:noHBand="0" w:noVBand="1"/>
      </w:tblPr>
      <w:tblGrid>
        <w:gridCol w:w="874"/>
        <w:gridCol w:w="1421"/>
        <w:gridCol w:w="1142"/>
        <w:gridCol w:w="1285"/>
        <w:gridCol w:w="1421"/>
        <w:gridCol w:w="1308"/>
        <w:gridCol w:w="1429"/>
      </w:tblGrid>
      <w:tr w:rsidR="00B064CF">
        <w:trPr>
          <w:trHeight w:val="468"/>
        </w:trPr>
        <w:tc>
          <w:tcPr>
            <w:tcW w:w="874" w:type="dxa"/>
            <w:tcBorders>
              <w:top w:val="single" w:sz="4" w:space="0" w:color="000000"/>
              <w:left w:val="single" w:sz="4" w:space="0" w:color="000000"/>
              <w:bottom w:val="single" w:sz="4" w:space="0" w:color="000000"/>
              <w:right w:val="single" w:sz="4" w:space="0" w:color="000000"/>
            </w:tcBorders>
            <w:shd w:val="clear" w:color="auto" w:fill="BFBFBF"/>
          </w:tcPr>
          <w:p w:rsidR="00B064CF" w:rsidRDefault="00E32F70">
            <w:pPr>
              <w:spacing w:after="0" w:line="259" w:lineRule="auto"/>
              <w:ind w:left="0" w:firstLine="0"/>
              <w:jc w:val="center"/>
            </w:pPr>
            <w:r>
              <w:rPr>
                <w:b/>
                <w:sz w:val="20"/>
              </w:rPr>
              <w:t xml:space="preserve">Superávit </w:t>
            </w:r>
          </w:p>
        </w:tc>
        <w:tc>
          <w:tcPr>
            <w:tcW w:w="142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064CF" w:rsidRDefault="00E32F70">
            <w:pPr>
              <w:spacing w:after="0" w:line="259" w:lineRule="auto"/>
              <w:ind w:left="0" w:right="60" w:firstLine="0"/>
              <w:jc w:val="right"/>
            </w:pPr>
            <w:r>
              <w:rPr>
                <w:b/>
                <w:sz w:val="20"/>
              </w:rPr>
              <w:t xml:space="preserve">0,00 </w:t>
            </w:r>
          </w:p>
        </w:tc>
        <w:tc>
          <w:tcPr>
            <w:tcW w:w="114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064CF" w:rsidRDefault="00E32F70">
            <w:pPr>
              <w:spacing w:after="0" w:line="259" w:lineRule="auto"/>
              <w:ind w:left="0" w:right="59" w:firstLine="0"/>
              <w:jc w:val="right"/>
            </w:pPr>
            <w:r>
              <w:rPr>
                <w:b/>
                <w:sz w:val="20"/>
              </w:rPr>
              <w:t xml:space="preserve">2.912,10 </w:t>
            </w:r>
          </w:p>
        </w:tc>
        <w:tc>
          <w:tcPr>
            <w:tcW w:w="128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064CF" w:rsidRDefault="00E32F70">
            <w:pPr>
              <w:spacing w:after="0" w:line="259" w:lineRule="auto"/>
              <w:ind w:left="0" w:right="58" w:firstLine="0"/>
              <w:jc w:val="right"/>
            </w:pPr>
            <w:r>
              <w:rPr>
                <w:b/>
                <w:sz w:val="20"/>
              </w:rPr>
              <w:t xml:space="preserve">0,00 </w:t>
            </w:r>
          </w:p>
        </w:tc>
        <w:tc>
          <w:tcPr>
            <w:tcW w:w="142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064CF" w:rsidRDefault="00E32F70">
            <w:pPr>
              <w:spacing w:after="0" w:line="259" w:lineRule="auto"/>
              <w:ind w:left="0" w:right="60" w:firstLine="0"/>
              <w:jc w:val="right"/>
            </w:pPr>
            <w:r>
              <w:rPr>
                <w:b/>
                <w:sz w:val="20"/>
              </w:rPr>
              <w:t xml:space="preserve">2.912,10 </w:t>
            </w:r>
          </w:p>
        </w:tc>
        <w:tc>
          <w:tcPr>
            <w:tcW w:w="13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064CF" w:rsidRDefault="00E32F70">
            <w:pPr>
              <w:spacing w:after="0" w:line="259" w:lineRule="auto"/>
              <w:ind w:left="0" w:right="58" w:firstLine="0"/>
              <w:jc w:val="right"/>
            </w:pPr>
            <w:r>
              <w:rPr>
                <w:b/>
                <w:sz w:val="20"/>
              </w:rPr>
              <w:t xml:space="preserve">0,00 </w:t>
            </w:r>
          </w:p>
        </w:tc>
        <w:tc>
          <w:tcPr>
            <w:tcW w:w="142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064CF" w:rsidRDefault="00E32F70">
            <w:pPr>
              <w:spacing w:after="0" w:line="259" w:lineRule="auto"/>
              <w:ind w:left="0" w:right="57" w:firstLine="0"/>
              <w:jc w:val="right"/>
            </w:pPr>
            <w:r>
              <w:rPr>
                <w:b/>
                <w:sz w:val="20"/>
              </w:rPr>
              <w:t xml:space="preserve">2.912,10 </w:t>
            </w:r>
          </w:p>
        </w:tc>
      </w:tr>
    </w:tbl>
    <w:p w:rsidR="00B064CF" w:rsidRDefault="00E32F70">
      <w:pPr>
        <w:spacing w:after="101" w:line="259" w:lineRule="auto"/>
        <w:ind w:left="360" w:firstLine="0"/>
        <w:jc w:val="left"/>
      </w:pPr>
      <w:r>
        <w:rPr>
          <w:sz w:val="20"/>
        </w:rPr>
        <w:t xml:space="preserve"> </w:t>
      </w:r>
    </w:p>
    <w:p w:rsidR="00B064CF" w:rsidRDefault="00E32F70">
      <w:pPr>
        <w:spacing w:after="103" w:line="259" w:lineRule="auto"/>
        <w:ind w:left="360" w:firstLine="0"/>
        <w:jc w:val="left"/>
      </w:pPr>
      <w:r>
        <w:rPr>
          <w:b/>
          <w:sz w:val="20"/>
        </w:rPr>
        <w:t xml:space="preserve"> </w:t>
      </w:r>
    </w:p>
    <w:p w:rsidR="00B064CF" w:rsidRDefault="00E32F70">
      <w:pPr>
        <w:spacing w:after="103" w:line="259" w:lineRule="auto"/>
        <w:ind w:left="360" w:firstLine="0"/>
        <w:jc w:val="left"/>
      </w:pPr>
      <w:r>
        <w:rPr>
          <w:b/>
          <w:sz w:val="20"/>
        </w:rPr>
        <w:t xml:space="preserve"> </w:t>
      </w:r>
    </w:p>
    <w:p w:rsidR="00B064CF" w:rsidRDefault="00E32F70">
      <w:pPr>
        <w:spacing w:after="138" w:line="259" w:lineRule="auto"/>
        <w:ind w:left="355"/>
        <w:jc w:val="left"/>
      </w:pPr>
      <w:r>
        <w:rPr>
          <w:b/>
          <w:sz w:val="20"/>
        </w:rPr>
        <w:t xml:space="preserve">II.-  Plantilla Orgánica </w:t>
      </w:r>
    </w:p>
    <w:p w:rsidR="00B064CF" w:rsidRDefault="00E32F70">
      <w:pPr>
        <w:numPr>
          <w:ilvl w:val="0"/>
          <w:numId w:val="9"/>
        </w:numPr>
        <w:spacing w:after="1" w:line="259" w:lineRule="auto"/>
        <w:ind w:hanging="708"/>
        <w:jc w:val="left"/>
      </w:pPr>
      <w:r>
        <w:rPr>
          <w:b/>
          <w:sz w:val="20"/>
        </w:rPr>
        <w:t>PLAZAS RESERVADAS A FUNCIONARIOS/AS</w:t>
      </w:r>
      <w:r>
        <w:t xml:space="preserve"> </w:t>
      </w:r>
    </w:p>
    <w:p w:rsidR="00B064CF" w:rsidRDefault="00E32F70">
      <w:pPr>
        <w:spacing w:after="0" w:line="259" w:lineRule="auto"/>
        <w:ind w:left="360" w:firstLine="0"/>
        <w:jc w:val="left"/>
      </w:pPr>
      <w:r>
        <w:rPr>
          <w:b/>
          <w:sz w:val="20"/>
        </w:rPr>
        <w:t xml:space="preserve"> </w:t>
      </w:r>
    </w:p>
    <w:tbl>
      <w:tblPr>
        <w:tblStyle w:val="TableGrid"/>
        <w:tblW w:w="8082" w:type="dxa"/>
        <w:tblInd w:w="366" w:type="dxa"/>
        <w:tblCellMar>
          <w:top w:w="6" w:type="dxa"/>
          <w:left w:w="107" w:type="dxa"/>
          <w:bottom w:w="0" w:type="dxa"/>
          <w:right w:w="51" w:type="dxa"/>
        </w:tblCellMar>
        <w:tblLook w:val="04A0" w:firstRow="1" w:lastRow="0" w:firstColumn="1" w:lastColumn="0" w:noHBand="0" w:noVBand="1"/>
      </w:tblPr>
      <w:tblGrid>
        <w:gridCol w:w="4779"/>
        <w:gridCol w:w="1044"/>
        <w:gridCol w:w="1175"/>
        <w:gridCol w:w="1084"/>
      </w:tblGrid>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20"/>
              </w:rPr>
              <w:t xml:space="preserve">Plazas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38" w:firstLine="0"/>
              <w:jc w:val="left"/>
            </w:pPr>
            <w:r>
              <w:rPr>
                <w:b/>
                <w:sz w:val="20"/>
              </w:rPr>
              <w:t xml:space="preserve">Número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firstLine="0"/>
              <w:jc w:val="left"/>
            </w:pPr>
            <w:r>
              <w:rPr>
                <w:b/>
                <w:sz w:val="20"/>
              </w:rPr>
              <w:t xml:space="preserve">Subgrupo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 w:firstLine="0"/>
              <w:jc w:val="left"/>
            </w:pPr>
            <w:r>
              <w:rPr>
                <w:b/>
                <w:sz w:val="20"/>
              </w:rPr>
              <w:t xml:space="preserve">Vacantes </w:t>
            </w:r>
          </w:p>
        </w:tc>
      </w:tr>
      <w:tr w:rsidR="00B064CF">
        <w:trPr>
          <w:trHeight w:val="59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20"/>
              </w:rPr>
              <w:t xml:space="preserve">I.- FUNCIONARIOS CON HABILITACIÓN NACIONAL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center"/>
            </w:pPr>
            <w:r>
              <w:rPr>
                <w:b/>
                <w:sz w:val="20"/>
              </w:rPr>
              <w:t xml:space="preserve">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 w:firstLine="0"/>
              <w:jc w:val="center"/>
            </w:pPr>
            <w:r>
              <w:rPr>
                <w:b/>
                <w:sz w:val="20"/>
              </w:rPr>
              <w:t xml:space="preserve">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 w:firstLine="0"/>
              <w:jc w:val="center"/>
            </w:pPr>
            <w:r>
              <w:rPr>
                <w:b/>
                <w:sz w:val="20"/>
              </w:rPr>
              <w:t xml:space="preserve"> </w:t>
            </w:r>
          </w:p>
        </w:tc>
      </w:tr>
      <w:tr w:rsidR="00B064CF">
        <w:trPr>
          <w:trHeight w:val="361"/>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Interventor/a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A1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0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Secretario/a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A1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0 </w:t>
            </w:r>
          </w:p>
        </w:tc>
      </w:tr>
      <w:tr w:rsidR="00B064CF">
        <w:trPr>
          <w:trHeight w:val="361"/>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Tesorero/a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A1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r w:rsidR="00B064CF">
        <w:trPr>
          <w:trHeight w:val="358"/>
        </w:trPr>
        <w:tc>
          <w:tcPr>
            <w:tcW w:w="4779" w:type="dxa"/>
            <w:tcBorders>
              <w:top w:val="single" w:sz="4" w:space="0" w:color="000000"/>
              <w:left w:val="single" w:sz="4" w:space="0" w:color="000000"/>
              <w:bottom w:val="single" w:sz="4" w:space="0" w:color="000000"/>
              <w:right w:val="single" w:sz="4" w:space="0" w:color="000000"/>
            </w:tcBorders>
            <w:shd w:val="clear" w:color="auto" w:fill="D9D9D9"/>
          </w:tcPr>
          <w:p w:rsidR="00B064CF" w:rsidRDefault="00E32F70">
            <w:pPr>
              <w:spacing w:after="0" w:line="259" w:lineRule="auto"/>
              <w:ind w:left="0" w:right="59" w:firstLine="0"/>
              <w:jc w:val="right"/>
            </w:pPr>
            <w:r>
              <w:rPr>
                <w:b/>
                <w:sz w:val="20"/>
              </w:rPr>
              <w:t xml:space="preserve">Total Habilitados Nacionales </w:t>
            </w:r>
          </w:p>
        </w:tc>
        <w:tc>
          <w:tcPr>
            <w:tcW w:w="1044" w:type="dxa"/>
            <w:tcBorders>
              <w:top w:val="single" w:sz="4" w:space="0" w:color="000000"/>
              <w:left w:val="single" w:sz="4" w:space="0" w:color="000000"/>
              <w:bottom w:val="single" w:sz="4" w:space="0" w:color="000000"/>
              <w:right w:val="single" w:sz="4" w:space="0" w:color="000000"/>
            </w:tcBorders>
            <w:shd w:val="clear" w:color="auto" w:fill="D9D9D9"/>
          </w:tcPr>
          <w:p w:rsidR="00B064CF" w:rsidRDefault="00E32F70">
            <w:pPr>
              <w:spacing w:after="0" w:line="259" w:lineRule="auto"/>
              <w:ind w:left="0" w:right="55" w:firstLine="0"/>
              <w:jc w:val="center"/>
            </w:pPr>
            <w:r>
              <w:rPr>
                <w:b/>
                <w:sz w:val="20"/>
              </w:rPr>
              <w:t xml:space="preserve">3 </w:t>
            </w:r>
          </w:p>
        </w:tc>
        <w:tc>
          <w:tcPr>
            <w:tcW w:w="1175" w:type="dxa"/>
            <w:tcBorders>
              <w:top w:val="single" w:sz="4" w:space="0" w:color="000000"/>
              <w:left w:val="single" w:sz="4" w:space="0" w:color="000000"/>
              <w:bottom w:val="single" w:sz="4" w:space="0" w:color="000000"/>
              <w:right w:val="single" w:sz="4" w:space="0" w:color="000000"/>
            </w:tcBorders>
            <w:shd w:val="clear" w:color="auto" w:fill="D9D9D9"/>
          </w:tcPr>
          <w:p w:rsidR="00B064CF" w:rsidRDefault="00E32F70">
            <w:pPr>
              <w:spacing w:after="0" w:line="259" w:lineRule="auto"/>
              <w:ind w:left="0" w:right="1" w:firstLine="0"/>
              <w:jc w:val="center"/>
            </w:pPr>
            <w:r>
              <w:rPr>
                <w:b/>
                <w:sz w:val="20"/>
              </w:rPr>
              <w:t xml:space="preserve"> </w:t>
            </w:r>
          </w:p>
        </w:tc>
        <w:tc>
          <w:tcPr>
            <w:tcW w:w="1084" w:type="dxa"/>
            <w:tcBorders>
              <w:top w:val="single" w:sz="4" w:space="0" w:color="000000"/>
              <w:left w:val="single" w:sz="4" w:space="0" w:color="000000"/>
              <w:bottom w:val="single" w:sz="4" w:space="0" w:color="000000"/>
              <w:right w:val="single" w:sz="4" w:space="0" w:color="000000"/>
            </w:tcBorders>
            <w:shd w:val="clear" w:color="auto" w:fill="D9D9D9"/>
          </w:tcPr>
          <w:p w:rsidR="00B064CF" w:rsidRDefault="00E32F70">
            <w:pPr>
              <w:spacing w:after="0" w:line="259" w:lineRule="auto"/>
              <w:ind w:left="0" w:right="54" w:firstLine="0"/>
              <w:jc w:val="center"/>
            </w:pPr>
            <w:r>
              <w:rPr>
                <w:b/>
                <w:sz w:val="20"/>
              </w:rPr>
              <w:t xml:space="preserve">1 </w:t>
            </w:r>
          </w:p>
        </w:tc>
      </w:tr>
      <w:tr w:rsidR="00B064CF">
        <w:trPr>
          <w:trHeight w:val="361"/>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20"/>
              </w:rPr>
              <w:t xml:space="preserve">II.- ADMINISTRACIÓN GENERAL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center"/>
            </w:pPr>
            <w:r>
              <w:rPr>
                <w:b/>
                <w:sz w:val="20"/>
              </w:rPr>
              <w:t xml:space="preserve">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 w:firstLine="0"/>
              <w:jc w:val="center"/>
            </w:pPr>
            <w:r>
              <w:rPr>
                <w:b/>
                <w:sz w:val="20"/>
              </w:rPr>
              <w:t xml:space="preserve">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 w:firstLine="0"/>
              <w:jc w:val="center"/>
            </w:pPr>
            <w:r>
              <w:rPr>
                <w:b/>
                <w:sz w:val="20"/>
              </w:rPr>
              <w:t xml:space="preserve">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360" w:firstLine="0"/>
              <w:jc w:val="left"/>
            </w:pPr>
            <w:r>
              <w:rPr>
                <w:b/>
                <w:sz w:val="20"/>
              </w:rPr>
              <w:t xml:space="preserve">D) SUBESCALA TÉCNICA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center"/>
            </w:pPr>
            <w:r>
              <w:rPr>
                <w:b/>
                <w:sz w:val="20"/>
              </w:rPr>
              <w:t xml:space="preserve">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 w:firstLine="0"/>
              <w:jc w:val="center"/>
            </w:pPr>
            <w:r>
              <w:rPr>
                <w:b/>
                <w:sz w:val="20"/>
              </w:rPr>
              <w:t xml:space="preserve">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 w:firstLine="0"/>
              <w:jc w:val="center"/>
            </w:pPr>
            <w:r>
              <w:rPr>
                <w:b/>
                <w:sz w:val="20"/>
              </w:rPr>
              <w:t xml:space="preserve">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Técnico/a Jurídico Alcaldía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A1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Técnico/a Jurídico Área Gobierno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6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A1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6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Técnico/a Gestión Presupuestaria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A1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Técnico/a Contratación, compras y patrimonio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A1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Técnico/a Jurídico Gestión Tributaria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A1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bl>
    <w:tbl>
      <w:tblPr>
        <w:tblStyle w:val="TableGrid"/>
        <w:tblpPr w:vertAnchor="text" w:tblpX="366"/>
        <w:tblOverlap w:val="never"/>
        <w:tblW w:w="8082" w:type="dxa"/>
        <w:tblInd w:w="0" w:type="dxa"/>
        <w:tblCellMar>
          <w:top w:w="6" w:type="dxa"/>
          <w:left w:w="107" w:type="dxa"/>
          <w:bottom w:w="0" w:type="dxa"/>
          <w:right w:w="51" w:type="dxa"/>
        </w:tblCellMar>
        <w:tblLook w:val="04A0" w:firstRow="1" w:lastRow="0" w:firstColumn="1" w:lastColumn="0" w:noHBand="0" w:noVBand="1"/>
      </w:tblPr>
      <w:tblGrid>
        <w:gridCol w:w="4779"/>
        <w:gridCol w:w="1044"/>
        <w:gridCol w:w="1175"/>
        <w:gridCol w:w="1084"/>
      </w:tblGrid>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360" w:firstLine="0"/>
              <w:jc w:val="left"/>
            </w:pPr>
            <w:r>
              <w:rPr>
                <w:b/>
                <w:sz w:val="20"/>
              </w:rPr>
              <w:t xml:space="preserve">E) </w:t>
            </w:r>
            <w:r>
              <w:rPr>
                <w:b/>
                <w:sz w:val="20"/>
              </w:rPr>
              <w:t xml:space="preserve">SUBESCALA ADMINISTRATIVA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center"/>
            </w:pPr>
            <w:r>
              <w:rPr>
                <w:b/>
                <w:sz w:val="20"/>
              </w:rPr>
              <w:t xml:space="preserve">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 w:firstLine="0"/>
              <w:jc w:val="center"/>
            </w:pPr>
            <w:r>
              <w:rPr>
                <w:b/>
                <w:sz w:val="20"/>
              </w:rPr>
              <w:t xml:space="preserve">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 w:firstLine="0"/>
              <w:jc w:val="center"/>
            </w:pPr>
            <w:r>
              <w:rPr>
                <w:b/>
                <w:sz w:val="20"/>
              </w:rPr>
              <w:t xml:space="preserve">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Administrativo/a Área de Gobierno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4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6" w:firstLine="0"/>
              <w:jc w:val="center"/>
            </w:pPr>
            <w:r>
              <w:rPr>
                <w:sz w:val="20"/>
              </w:rPr>
              <w:t xml:space="preserve">C1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4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360" w:firstLine="0"/>
              <w:jc w:val="left"/>
            </w:pPr>
            <w:r>
              <w:rPr>
                <w:b/>
                <w:sz w:val="20"/>
              </w:rPr>
              <w:t xml:space="preserve">F) SUBESCALA AUXILIAR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center"/>
            </w:pPr>
            <w:r>
              <w:rPr>
                <w:b/>
                <w:sz w:val="20"/>
              </w:rPr>
              <w:t xml:space="preserve">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 w:firstLine="0"/>
              <w:jc w:val="center"/>
            </w:pPr>
            <w:r>
              <w:rPr>
                <w:b/>
                <w:sz w:val="20"/>
              </w:rPr>
              <w:t xml:space="preserve">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 w:firstLine="0"/>
              <w:jc w:val="center"/>
            </w:pPr>
            <w:r>
              <w:rPr>
                <w:b/>
                <w:sz w:val="20"/>
              </w:rPr>
              <w:t xml:space="preserve">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Auxiliar Apoyo Servicios Informáticos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6" w:firstLine="0"/>
              <w:jc w:val="center"/>
            </w:pPr>
            <w:r>
              <w:rPr>
                <w:sz w:val="20"/>
              </w:rPr>
              <w:t xml:space="preserve">C2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Auxiliar Áreas de Gobierno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39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6" w:firstLine="0"/>
              <w:jc w:val="center"/>
            </w:pPr>
            <w:r>
              <w:rPr>
                <w:sz w:val="20"/>
              </w:rPr>
              <w:t xml:space="preserve">C2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32 </w:t>
            </w:r>
          </w:p>
        </w:tc>
      </w:tr>
      <w:tr w:rsidR="00B064CF">
        <w:trPr>
          <w:trHeight w:val="362"/>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Gestor/a de Información y atención ciudadana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5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6" w:firstLine="0"/>
              <w:jc w:val="center"/>
            </w:pPr>
            <w:r>
              <w:rPr>
                <w:sz w:val="20"/>
              </w:rPr>
              <w:t xml:space="preserve">C2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4 </w:t>
            </w:r>
          </w:p>
        </w:tc>
      </w:tr>
      <w:tr w:rsidR="00B064CF">
        <w:trPr>
          <w:trHeight w:val="358"/>
        </w:trPr>
        <w:tc>
          <w:tcPr>
            <w:tcW w:w="4779" w:type="dxa"/>
            <w:tcBorders>
              <w:top w:val="single" w:sz="4" w:space="0" w:color="000000"/>
              <w:left w:val="single" w:sz="4" w:space="0" w:color="000000"/>
              <w:bottom w:val="single" w:sz="4" w:space="0" w:color="000000"/>
              <w:right w:val="single" w:sz="4" w:space="0" w:color="000000"/>
            </w:tcBorders>
            <w:shd w:val="clear" w:color="auto" w:fill="D9D9D9"/>
          </w:tcPr>
          <w:p w:rsidR="00B064CF" w:rsidRDefault="00E32F70">
            <w:pPr>
              <w:spacing w:after="0" w:line="259" w:lineRule="auto"/>
              <w:ind w:left="0" w:right="60" w:firstLine="0"/>
              <w:jc w:val="right"/>
            </w:pPr>
            <w:r>
              <w:rPr>
                <w:b/>
                <w:sz w:val="20"/>
              </w:rPr>
              <w:t xml:space="preserve">Total Administración General </w:t>
            </w:r>
          </w:p>
        </w:tc>
        <w:tc>
          <w:tcPr>
            <w:tcW w:w="1044" w:type="dxa"/>
            <w:tcBorders>
              <w:top w:val="single" w:sz="4" w:space="0" w:color="000000"/>
              <w:left w:val="single" w:sz="4" w:space="0" w:color="000000"/>
              <w:bottom w:val="single" w:sz="4" w:space="0" w:color="000000"/>
              <w:right w:val="single" w:sz="4" w:space="0" w:color="000000"/>
            </w:tcBorders>
            <w:shd w:val="clear" w:color="auto" w:fill="D9D9D9"/>
          </w:tcPr>
          <w:p w:rsidR="00B064CF" w:rsidRDefault="00E32F70">
            <w:pPr>
              <w:spacing w:after="0" w:line="259" w:lineRule="auto"/>
              <w:ind w:left="0" w:right="55" w:firstLine="0"/>
              <w:jc w:val="center"/>
            </w:pPr>
            <w:r>
              <w:rPr>
                <w:b/>
                <w:sz w:val="20"/>
              </w:rPr>
              <w:t xml:space="preserve">59 </w:t>
            </w:r>
          </w:p>
        </w:tc>
        <w:tc>
          <w:tcPr>
            <w:tcW w:w="1175" w:type="dxa"/>
            <w:tcBorders>
              <w:top w:val="single" w:sz="4" w:space="0" w:color="000000"/>
              <w:left w:val="single" w:sz="4" w:space="0" w:color="000000"/>
              <w:bottom w:val="single" w:sz="4" w:space="0" w:color="000000"/>
              <w:right w:val="single" w:sz="4" w:space="0" w:color="000000"/>
            </w:tcBorders>
            <w:shd w:val="clear" w:color="auto" w:fill="D9D9D9"/>
          </w:tcPr>
          <w:p w:rsidR="00B064CF" w:rsidRDefault="00E32F70">
            <w:pPr>
              <w:spacing w:after="0" w:line="259" w:lineRule="auto"/>
              <w:ind w:left="0" w:right="1" w:firstLine="0"/>
              <w:jc w:val="center"/>
            </w:pPr>
            <w:r>
              <w:rPr>
                <w:b/>
                <w:sz w:val="20"/>
              </w:rPr>
              <w:t xml:space="preserve"> </w:t>
            </w:r>
          </w:p>
        </w:tc>
        <w:tc>
          <w:tcPr>
            <w:tcW w:w="1084" w:type="dxa"/>
            <w:tcBorders>
              <w:top w:val="single" w:sz="4" w:space="0" w:color="000000"/>
              <w:left w:val="single" w:sz="4" w:space="0" w:color="000000"/>
              <w:bottom w:val="single" w:sz="4" w:space="0" w:color="000000"/>
              <w:right w:val="single" w:sz="4" w:space="0" w:color="000000"/>
            </w:tcBorders>
            <w:shd w:val="clear" w:color="auto" w:fill="D9D9D9"/>
          </w:tcPr>
          <w:p w:rsidR="00B064CF" w:rsidRDefault="00E32F70">
            <w:pPr>
              <w:spacing w:after="0" w:line="259" w:lineRule="auto"/>
              <w:ind w:left="0" w:right="59" w:firstLine="0"/>
              <w:jc w:val="center"/>
            </w:pPr>
            <w:r>
              <w:rPr>
                <w:b/>
                <w:sz w:val="20"/>
              </w:rPr>
              <w:t xml:space="preserve">51 </w:t>
            </w:r>
          </w:p>
        </w:tc>
      </w:tr>
      <w:tr w:rsidR="00B064CF">
        <w:trPr>
          <w:trHeight w:val="361"/>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20"/>
              </w:rPr>
              <w:t xml:space="preserve">III.- ADMINISTRACIÓN ESPECIAL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center"/>
            </w:pPr>
            <w:r>
              <w:rPr>
                <w:b/>
                <w:sz w:val="20"/>
              </w:rPr>
              <w:t xml:space="preserve">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 w:firstLine="0"/>
              <w:jc w:val="center"/>
            </w:pPr>
            <w:r>
              <w:rPr>
                <w:b/>
                <w:sz w:val="20"/>
              </w:rPr>
              <w:t xml:space="preserve">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 w:firstLine="0"/>
              <w:jc w:val="center"/>
            </w:pPr>
            <w:r>
              <w:rPr>
                <w:b/>
                <w:sz w:val="20"/>
              </w:rPr>
              <w:t xml:space="preserve">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360" w:firstLine="0"/>
              <w:jc w:val="left"/>
            </w:pPr>
            <w:r>
              <w:rPr>
                <w:b/>
                <w:sz w:val="20"/>
              </w:rPr>
              <w:t xml:space="preserve">D) SUBESCALA TÉCNICA SUPERIOR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center"/>
            </w:pPr>
            <w:r>
              <w:rPr>
                <w:b/>
                <w:sz w:val="20"/>
              </w:rPr>
              <w:t xml:space="preserve">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 w:firstLine="0"/>
              <w:jc w:val="center"/>
            </w:pPr>
            <w:r>
              <w:rPr>
                <w:b/>
                <w:sz w:val="20"/>
              </w:rPr>
              <w:t xml:space="preserve">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 w:firstLine="0"/>
              <w:jc w:val="center"/>
            </w:pPr>
            <w:r>
              <w:rPr>
                <w:b/>
                <w:sz w:val="20"/>
              </w:rPr>
              <w:t xml:space="preserve">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Arquitecto/a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A1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Técnico/a de Accesibilidad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A1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Psicologo/a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A1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Pedagogo/a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A1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Logopeda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A1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Técnico/a de Sanidad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A1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r w:rsidR="00B064CF">
        <w:trPr>
          <w:trHeight w:val="59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Técnico/a de Identidad Canaria, Tradiciones y museo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A1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Técnico/a de Desarrollo y Medio Ambiente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A1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r w:rsidR="00B064CF">
        <w:trPr>
          <w:trHeight w:val="59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Técnico/a de Recursos patrimoniales, artesanía y etnografía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A1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Técnico/a en Participación ciudadana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A1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Agente de Desarrollo Local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3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A1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3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360" w:firstLine="0"/>
              <w:jc w:val="left"/>
            </w:pPr>
            <w:r>
              <w:rPr>
                <w:b/>
                <w:sz w:val="20"/>
              </w:rPr>
              <w:t xml:space="preserve">E) SUBESCALA TÉCNICA MEDIA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center"/>
            </w:pPr>
            <w:r>
              <w:rPr>
                <w:b/>
                <w:sz w:val="20"/>
              </w:rPr>
              <w:t xml:space="preserve">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 w:firstLine="0"/>
              <w:jc w:val="center"/>
            </w:pPr>
            <w:r>
              <w:rPr>
                <w:b/>
                <w:sz w:val="20"/>
              </w:rPr>
              <w:t xml:space="preserve">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 w:firstLine="0"/>
              <w:jc w:val="center"/>
            </w:pPr>
            <w:r>
              <w:rPr>
                <w:b/>
                <w:sz w:val="20"/>
              </w:rPr>
              <w:t xml:space="preserve">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Arquitecto Técnico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5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A2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5 </w:t>
            </w:r>
          </w:p>
        </w:tc>
      </w:tr>
      <w:tr w:rsidR="00B064CF">
        <w:trPr>
          <w:trHeight w:val="361"/>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Ingeniero/a Técnico/a Topógrafo/a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A2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Ingeniero/a Técnico/a Industrial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A2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Técnico/a Servicios de Igualdad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A2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Técnico/a de Menor y familia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A2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Técnico/a de Servicios Mayores y Discapacidad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A2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r w:rsidR="00B064CF">
        <w:trPr>
          <w:trHeight w:val="588"/>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Técnico/a Servicios de Información, Orientación y Valoración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A2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r w:rsidR="00B064CF">
        <w:trPr>
          <w:trHeight w:val="59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Técnico/a de Servicios Drogodependencias e Inserción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A2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Trabajador/a Social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5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A2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5 </w:t>
            </w:r>
          </w:p>
        </w:tc>
      </w:tr>
      <w:tr w:rsidR="00B064CF">
        <w:trPr>
          <w:trHeight w:val="360"/>
        </w:trPr>
        <w:tc>
          <w:tcPr>
            <w:tcW w:w="4779"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Educador/a-Maestro/a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5" w:firstLine="0"/>
              <w:jc w:val="center"/>
            </w:pPr>
            <w:r>
              <w:rPr>
                <w:sz w:val="20"/>
              </w:rPr>
              <w:t xml:space="preserve">1 </w:t>
            </w:r>
          </w:p>
        </w:tc>
        <w:tc>
          <w:tcPr>
            <w:tcW w:w="117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center"/>
            </w:pPr>
            <w:r>
              <w:rPr>
                <w:sz w:val="20"/>
              </w:rPr>
              <w:t xml:space="preserve">A2 </w:t>
            </w:r>
          </w:p>
        </w:tc>
        <w:tc>
          <w:tcPr>
            <w:tcW w:w="108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4" w:firstLine="0"/>
              <w:jc w:val="center"/>
            </w:pPr>
            <w:r>
              <w:rPr>
                <w:sz w:val="20"/>
              </w:rPr>
              <w:t xml:space="preserve">1 </w:t>
            </w:r>
          </w:p>
        </w:tc>
      </w:tr>
    </w:tbl>
    <w:p w:rsidR="00B064CF" w:rsidRDefault="00E32F70">
      <w:pPr>
        <w:spacing w:after="0" w:line="259" w:lineRule="auto"/>
        <w:ind w:left="-2192" w:right="1623" w:firstLine="0"/>
        <w:jc w:val="left"/>
      </w:pPr>
      <w:r>
        <w:rPr>
          <w:rFonts w:ascii="Calibri" w:eastAsia="Calibri" w:hAnsi="Calibri" w:cs="Calibri"/>
          <w:noProof/>
        </w:rPr>
        <mc:AlternateContent>
          <mc:Choice Requires="wpg">
            <w:drawing>
              <wp:anchor distT="0" distB="0" distL="114300" distR="114300" simplePos="0" relativeHeight="251713536" behindDoc="0" locked="0" layoutInCell="1" allowOverlap="1">
                <wp:simplePos x="0" y="0"/>
                <wp:positionH relativeFrom="page">
                  <wp:posOffset>8664935</wp:posOffset>
                </wp:positionH>
                <wp:positionV relativeFrom="page">
                  <wp:posOffset>6769227</wp:posOffset>
                </wp:positionV>
                <wp:extent cx="161330" cy="3542157"/>
                <wp:effectExtent l="0" t="0" r="0" b="0"/>
                <wp:wrapTopAndBottom/>
                <wp:docPr id="434295" name="Group 434295"/>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10425" name="Rectangle 10425"/>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10426" name="Rectangle 10426"/>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51 de 298 </w:t>
                              </w:r>
                            </w:p>
                          </w:txbxContent>
                        </wps:txbx>
                        <wps:bodyPr horzOverflow="overflow" vert="horz" lIns="0" tIns="0" rIns="0" bIns="0" rtlCol="0">
                          <a:noAutofit/>
                        </wps:bodyPr>
                      </wps:wsp>
                    </wpg:wgp>
                  </a:graphicData>
                </a:graphic>
              </wp:anchor>
            </w:drawing>
          </mc:Choice>
          <mc:Fallback xmlns:a="http://schemas.openxmlformats.org/drawingml/2006/main">
            <w:pict>
              <v:group id="Group 434295" style="width:12.7031pt;height:278.91pt;position:absolute;mso-position-horizontal-relative:page;mso-position-horizontal:absolute;margin-left:682.278pt;mso-position-vertical-relative:page;margin-top:533.01pt;" coordsize="1613,35421">
                <v:rect id="Rectangle 10425"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10426"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51 de 298 </w:t>
                        </w:r>
                      </w:p>
                    </w:txbxContent>
                  </v:textbox>
                </v:rect>
                <w10:wrap type="topAndBottom"/>
              </v:group>
            </w:pict>
          </mc:Fallback>
        </mc:AlternateContent>
      </w:r>
      <w:r>
        <w:br w:type="page"/>
      </w:r>
    </w:p>
    <w:tbl>
      <w:tblPr>
        <w:tblStyle w:val="TableGrid"/>
        <w:tblW w:w="8085" w:type="dxa"/>
        <w:tblInd w:w="365" w:type="dxa"/>
        <w:tblCellMar>
          <w:top w:w="7" w:type="dxa"/>
          <w:left w:w="108" w:type="dxa"/>
          <w:bottom w:w="0" w:type="dxa"/>
          <w:right w:w="53" w:type="dxa"/>
        </w:tblCellMar>
        <w:tblLook w:val="04A0" w:firstRow="1" w:lastRow="0" w:firstColumn="1" w:lastColumn="0" w:noHBand="0" w:noVBand="1"/>
      </w:tblPr>
      <w:tblGrid>
        <w:gridCol w:w="4781"/>
        <w:gridCol w:w="1044"/>
        <w:gridCol w:w="1174"/>
        <w:gridCol w:w="1085"/>
      </w:tblGrid>
      <w:tr w:rsidR="00B064CF">
        <w:trPr>
          <w:trHeight w:val="360"/>
        </w:trPr>
        <w:tc>
          <w:tcPr>
            <w:tcW w:w="478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Fisioterapeuta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8" w:firstLine="0"/>
              <w:jc w:val="center"/>
            </w:pPr>
            <w:r>
              <w:rPr>
                <w:sz w:val="20"/>
              </w:rPr>
              <w:t xml:space="preserve">1 </w:t>
            </w:r>
          </w:p>
        </w:tc>
        <w:tc>
          <w:tcPr>
            <w:tcW w:w="117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center"/>
            </w:pPr>
            <w:r>
              <w:rPr>
                <w:sz w:val="20"/>
              </w:rPr>
              <w:t xml:space="preserve">A2 </w:t>
            </w:r>
          </w:p>
        </w:tc>
        <w:tc>
          <w:tcPr>
            <w:tcW w:w="10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6" w:firstLine="0"/>
              <w:jc w:val="center"/>
            </w:pPr>
            <w:r>
              <w:rPr>
                <w:sz w:val="20"/>
              </w:rPr>
              <w:t xml:space="preserve">1 </w:t>
            </w:r>
          </w:p>
        </w:tc>
      </w:tr>
      <w:tr w:rsidR="00B064CF">
        <w:trPr>
          <w:trHeight w:val="360"/>
        </w:trPr>
        <w:tc>
          <w:tcPr>
            <w:tcW w:w="478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Archivero/a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8" w:firstLine="0"/>
              <w:jc w:val="center"/>
            </w:pPr>
            <w:r>
              <w:rPr>
                <w:sz w:val="20"/>
              </w:rPr>
              <w:t xml:space="preserve">1 </w:t>
            </w:r>
          </w:p>
        </w:tc>
        <w:tc>
          <w:tcPr>
            <w:tcW w:w="117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center"/>
            </w:pPr>
            <w:r>
              <w:rPr>
                <w:sz w:val="20"/>
              </w:rPr>
              <w:t xml:space="preserve">A2 </w:t>
            </w:r>
          </w:p>
        </w:tc>
        <w:tc>
          <w:tcPr>
            <w:tcW w:w="10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6" w:firstLine="0"/>
              <w:jc w:val="center"/>
            </w:pPr>
            <w:r>
              <w:rPr>
                <w:sz w:val="20"/>
              </w:rPr>
              <w:t xml:space="preserve">1 </w:t>
            </w:r>
          </w:p>
        </w:tc>
      </w:tr>
      <w:tr w:rsidR="00B064CF">
        <w:trPr>
          <w:trHeight w:val="360"/>
        </w:trPr>
        <w:tc>
          <w:tcPr>
            <w:tcW w:w="478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Técnico/a Comercio y Turismo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8" w:firstLine="0"/>
              <w:jc w:val="center"/>
            </w:pPr>
            <w:r>
              <w:rPr>
                <w:sz w:val="20"/>
              </w:rPr>
              <w:t xml:space="preserve">1 </w:t>
            </w:r>
          </w:p>
        </w:tc>
        <w:tc>
          <w:tcPr>
            <w:tcW w:w="117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center"/>
            </w:pPr>
            <w:r>
              <w:rPr>
                <w:sz w:val="20"/>
              </w:rPr>
              <w:t xml:space="preserve">A2 </w:t>
            </w:r>
          </w:p>
        </w:tc>
        <w:tc>
          <w:tcPr>
            <w:tcW w:w="10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6" w:firstLine="0"/>
              <w:jc w:val="center"/>
            </w:pPr>
            <w:r>
              <w:rPr>
                <w:sz w:val="20"/>
              </w:rPr>
              <w:t xml:space="preserve">1 </w:t>
            </w:r>
          </w:p>
        </w:tc>
      </w:tr>
      <w:tr w:rsidR="00B064CF">
        <w:trPr>
          <w:trHeight w:val="360"/>
        </w:trPr>
        <w:tc>
          <w:tcPr>
            <w:tcW w:w="478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Gestor de Recursos Humanos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8" w:firstLine="0"/>
              <w:jc w:val="center"/>
            </w:pPr>
            <w:r>
              <w:rPr>
                <w:sz w:val="20"/>
              </w:rPr>
              <w:t xml:space="preserve">1 </w:t>
            </w:r>
          </w:p>
        </w:tc>
        <w:tc>
          <w:tcPr>
            <w:tcW w:w="117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center"/>
            </w:pPr>
            <w:r>
              <w:rPr>
                <w:sz w:val="20"/>
              </w:rPr>
              <w:t xml:space="preserve">A2 </w:t>
            </w:r>
          </w:p>
        </w:tc>
        <w:tc>
          <w:tcPr>
            <w:tcW w:w="10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6" w:firstLine="0"/>
              <w:jc w:val="center"/>
            </w:pPr>
            <w:r>
              <w:rPr>
                <w:sz w:val="20"/>
              </w:rPr>
              <w:t xml:space="preserve">1 </w:t>
            </w:r>
          </w:p>
        </w:tc>
      </w:tr>
      <w:tr w:rsidR="00B064CF">
        <w:trPr>
          <w:trHeight w:val="360"/>
        </w:trPr>
        <w:tc>
          <w:tcPr>
            <w:tcW w:w="478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Informador/a Turístico/a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8" w:firstLine="0"/>
              <w:jc w:val="center"/>
            </w:pPr>
            <w:r>
              <w:rPr>
                <w:sz w:val="20"/>
              </w:rPr>
              <w:t xml:space="preserve">1 </w:t>
            </w:r>
          </w:p>
        </w:tc>
        <w:tc>
          <w:tcPr>
            <w:tcW w:w="117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center"/>
            </w:pPr>
            <w:r>
              <w:rPr>
                <w:sz w:val="20"/>
              </w:rPr>
              <w:t xml:space="preserve">A2 </w:t>
            </w:r>
          </w:p>
        </w:tc>
        <w:tc>
          <w:tcPr>
            <w:tcW w:w="10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6" w:firstLine="0"/>
              <w:jc w:val="center"/>
            </w:pPr>
            <w:r>
              <w:rPr>
                <w:sz w:val="20"/>
              </w:rPr>
              <w:t xml:space="preserve">1 </w:t>
            </w:r>
          </w:p>
        </w:tc>
      </w:tr>
      <w:tr w:rsidR="00B064CF">
        <w:trPr>
          <w:trHeight w:val="361"/>
        </w:trPr>
        <w:tc>
          <w:tcPr>
            <w:tcW w:w="478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360" w:firstLine="0"/>
              <w:jc w:val="left"/>
            </w:pPr>
            <w:r>
              <w:rPr>
                <w:b/>
                <w:sz w:val="20"/>
              </w:rPr>
              <w:t xml:space="preserve">F) SERVICIOS ESPECIALES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2" w:firstLine="0"/>
              <w:jc w:val="center"/>
            </w:pPr>
            <w:r>
              <w:rPr>
                <w:sz w:val="20"/>
              </w:rPr>
              <w:t xml:space="preserve"> </w:t>
            </w:r>
          </w:p>
        </w:tc>
        <w:tc>
          <w:tcPr>
            <w:tcW w:w="117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2" w:firstLine="0"/>
              <w:jc w:val="center"/>
            </w:pPr>
            <w:r>
              <w:rPr>
                <w:sz w:val="20"/>
              </w:rPr>
              <w:t xml:space="preserve"> </w:t>
            </w:r>
          </w:p>
        </w:tc>
        <w:tc>
          <w:tcPr>
            <w:tcW w:w="10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 w:firstLine="0"/>
              <w:jc w:val="center"/>
            </w:pPr>
            <w:r>
              <w:rPr>
                <w:sz w:val="20"/>
              </w:rPr>
              <w:t xml:space="preserve"> </w:t>
            </w:r>
          </w:p>
        </w:tc>
      </w:tr>
      <w:tr w:rsidR="00B064CF">
        <w:trPr>
          <w:trHeight w:val="360"/>
        </w:trPr>
        <w:tc>
          <w:tcPr>
            <w:tcW w:w="478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Inspector/a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8" w:firstLine="0"/>
              <w:jc w:val="center"/>
            </w:pPr>
            <w:r>
              <w:rPr>
                <w:sz w:val="20"/>
              </w:rPr>
              <w:t xml:space="preserve">1 </w:t>
            </w:r>
          </w:p>
        </w:tc>
        <w:tc>
          <w:tcPr>
            <w:tcW w:w="117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center"/>
            </w:pPr>
            <w:r>
              <w:rPr>
                <w:sz w:val="20"/>
              </w:rPr>
              <w:t xml:space="preserve">A2 </w:t>
            </w:r>
          </w:p>
        </w:tc>
        <w:tc>
          <w:tcPr>
            <w:tcW w:w="10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6" w:firstLine="0"/>
              <w:jc w:val="center"/>
            </w:pPr>
            <w:r>
              <w:rPr>
                <w:sz w:val="20"/>
              </w:rPr>
              <w:t xml:space="preserve">1 </w:t>
            </w:r>
          </w:p>
        </w:tc>
      </w:tr>
      <w:tr w:rsidR="00B064CF">
        <w:trPr>
          <w:trHeight w:val="360"/>
        </w:trPr>
        <w:tc>
          <w:tcPr>
            <w:tcW w:w="478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Subinspector/a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8" w:firstLine="0"/>
              <w:jc w:val="center"/>
            </w:pPr>
            <w:r>
              <w:rPr>
                <w:sz w:val="20"/>
              </w:rPr>
              <w:t xml:space="preserve">2 </w:t>
            </w:r>
          </w:p>
        </w:tc>
        <w:tc>
          <w:tcPr>
            <w:tcW w:w="117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center"/>
            </w:pPr>
            <w:r>
              <w:rPr>
                <w:sz w:val="20"/>
              </w:rPr>
              <w:t xml:space="preserve">A2 </w:t>
            </w:r>
          </w:p>
        </w:tc>
        <w:tc>
          <w:tcPr>
            <w:tcW w:w="10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6" w:firstLine="0"/>
              <w:jc w:val="center"/>
            </w:pPr>
            <w:r>
              <w:rPr>
                <w:sz w:val="20"/>
              </w:rPr>
              <w:t xml:space="preserve">1 </w:t>
            </w:r>
          </w:p>
        </w:tc>
      </w:tr>
      <w:tr w:rsidR="00B064CF">
        <w:trPr>
          <w:trHeight w:val="360"/>
        </w:trPr>
        <w:tc>
          <w:tcPr>
            <w:tcW w:w="478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Oficial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8" w:firstLine="0"/>
              <w:jc w:val="center"/>
            </w:pPr>
            <w:r>
              <w:rPr>
                <w:sz w:val="20"/>
              </w:rPr>
              <w:t xml:space="preserve">7 </w:t>
            </w:r>
          </w:p>
        </w:tc>
        <w:tc>
          <w:tcPr>
            <w:tcW w:w="117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7" w:firstLine="0"/>
              <w:jc w:val="center"/>
            </w:pPr>
            <w:r>
              <w:rPr>
                <w:sz w:val="20"/>
              </w:rPr>
              <w:t xml:space="preserve">C1 </w:t>
            </w:r>
          </w:p>
        </w:tc>
        <w:tc>
          <w:tcPr>
            <w:tcW w:w="10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6" w:firstLine="0"/>
              <w:jc w:val="center"/>
            </w:pPr>
            <w:r>
              <w:rPr>
                <w:sz w:val="20"/>
              </w:rPr>
              <w:t xml:space="preserve">5 </w:t>
            </w:r>
          </w:p>
        </w:tc>
      </w:tr>
      <w:tr w:rsidR="00B064CF">
        <w:trPr>
          <w:trHeight w:val="360"/>
        </w:trPr>
        <w:tc>
          <w:tcPr>
            <w:tcW w:w="478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Policía Local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8" w:firstLine="0"/>
              <w:jc w:val="center"/>
            </w:pPr>
            <w:r>
              <w:rPr>
                <w:sz w:val="20"/>
              </w:rPr>
              <w:t xml:space="preserve">27 </w:t>
            </w:r>
          </w:p>
        </w:tc>
        <w:tc>
          <w:tcPr>
            <w:tcW w:w="117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7" w:firstLine="0"/>
              <w:jc w:val="center"/>
            </w:pPr>
            <w:r>
              <w:rPr>
                <w:sz w:val="20"/>
              </w:rPr>
              <w:t xml:space="preserve">C1 </w:t>
            </w:r>
          </w:p>
        </w:tc>
        <w:tc>
          <w:tcPr>
            <w:tcW w:w="10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6" w:firstLine="0"/>
              <w:jc w:val="center"/>
            </w:pPr>
            <w:r>
              <w:rPr>
                <w:sz w:val="20"/>
              </w:rPr>
              <w:t xml:space="preserve">3 </w:t>
            </w:r>
          </w:p>
        </w:tc>
      </w:tr>
      <w:tr w:rsidR="00B064CF">
        <w:trPr>
          <w:trHeight w:val="360"/>
        </w:trPr>
        <w:tc>
          <w:tcPr>
            <w:tcW w:w="478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right"/>
            </w:pPr>
            <w:r>
              <w:rPr>
                <w:b/>
                <w:sz w:val="20"/>
              </w:rPr>
              <w:t xml:space="preserve">Administración Especial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8" w:firstLine="0"/>
              <w:jc w:val="center"/>
            </w:pPr>
            <w:r>
              <w:rPr>
                <w:b/>
                <w:sz w:val="20"/>
              </w:rPr>
              <w:t xml:space="preserve">73 </w:t>
            </w:r>
          </w:p>
        </w:tc>
        <w:tc>
          <w:tcPr>
            <w:tcW w:w="117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2" w:firstLine="0"/>
              <w:jc w:val="center"/>
            </w:pPr>
            <w:r>
              <w:rPr>
                <w:b/>
                <w:sz w:val="20"/>
              </w:rPr>
              <w:t xml:space="preserve"> </w:t>
            </w:r>
          </w:p>
        </w:tc>
        <w:tc>
          <w:tcPr>
            <w:tcW w:w="10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center"/>
            </w:pPr>
            <w:r>
              <w:rPr>
                <w:b/>
                <w:sz w:val="20"/>
              </w:rPr>
              <w:t xml:space="preserve">46 </w:t>
            </w:r>
          </w:p>
        </w:tc>
      </w:tr>
      <w:tr w:rsidR="00B064CF">
        <w:trPr>
          <w:trHeight w:val="360"/>
        </w:trPr>
        <w:tc>
          <w:tcPr>
            <w:tcW w:w="478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2" w:firstLine="0"/>
              <w:jc w:val="center"/>
            </w:pPr>
            <w:r>
              <w:rPr>
                <w:sz w:val="20"/>
              </w:rPr>
              <w:t xml:space="preserve"> </w:t>
            </w:r>
          </w:p>
        </w:tc>
        <w:tc>
          <w:tcPr>
            <w:tcW w:w="117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2" w:firstLine="0"/>
              <w:jc w:val="center"/>
            </w:pPr>
            <w:r>
              <w:rPr>
                <w:sz w:val="20"/>
              </w:rPr>
              <w:t xml:space="preserve"> </w:t>
            </w:r>
          </w:p>
        </w:tc>
        <w:tc>
          <w:tcPr>
            <w:tcW w:w="10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 w:firstLine="0"/>
              <w:jc w:val="center"/>
            </w:pPr>
            <w:r>
              <w:rPr>
                <w:sz w:val="20"/>
              </w:rPr>
              <w:t xml:space="preserve"> </w:t>
            </w:r>
          </w:p>
        </w:tc>
      </w:tr>
      <w:tr w:rsidR="00B064CF">
        <w:trPr>
          <w:trHeight w:val="360"/>
        </w:trPr>
        <w:tc>
          <w:tcPr>
            <w:tcW w:w="478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9" w:firstLine="0"/>
              <w:jc w:val="right"/>
            </w:pPr>
            <w:r>
              <w:rPr>
                <w:b/>
                <w:sz w:val="20"/>
              </w:rPr>
              <w:t xml:space="preserve">Total Funcionarios </w:t>
            </w:r>
          </w:p>
        </w:tc>
        <w:tc>
          <w:tcPr>
            <w:tcW w:w="104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58" w:firstLine="0"/>
              <w:jc w:val="center"/>
            </w:pPr>
            <w:r>
              <w:rPr>
                <w:b/>
                <w:sz w:val="20"/>
              </w:rPr>
              <w:t xml:space="preserve">132 </w:t>
            </w:r>
          </w:p>
        </w:tc>
        <w:tc>
          <w:tcPr>
            <w:tcW w:w="117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2" w:firstLine="0"/>
              <w:jc w:val="center"/>
            </w:pPr>
            <w:r>
              <w:rPr>
                <w:b/>
                <w:sz w:val="20"/>
              </w:rPr>
              <w:t xml:space="preserve"> </w:t>
            </w:r>
          </w:p>
        </w:tc>
        <w:tc>
          <w:tcPr>
            <w:tcW w:w="108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0" w:firstLine="0"/>
              <w:jc w:val="center"/>
            </w:pPr>
            <w:r>
              <w:rPr>
                <w:b/>
                <w:sz w:val="20"/>
              </w:rPr>
              <w:t xml:space="preserve">97 </w:t>
            </w:r>
          </w:p>
        </w:tc>
      </w:tr>
    </w:tbl>
    <w:p w:rsidR="00B064CF" w:rsidRDefault="00E32F70">
      <w:pPr>
        <w:spacing w:after="103" w:line="259" w:lineRule="auto"/>
        <w:ind w:left="360" w:firstLine="0"/>
        <w:jc w:val="left"/>
      </w:pPr>
      <w:r>
        <w:rPr>
          <w:b/>
          <w:sz w:val="20"/>
        </w:rPr>
        <w:t xml:space="preserve"> </w:t>
      </w:r>
    </w:p>
    <w:p w:rsidR="00B064CF" w:rsidRDefault="00E32F70">
      <w:pPr>
        <w:spacing w:after="103" w:line="259" w:lineRule="auto"/>
        <w:ind w:left="360" w:firstLine="0"/>
        <w:jc w:val="left"/>
      </w:pPr>
      <w:r>
        <w:rPr>
          <w:b/>
          <w:sz w:val="20"/>
        </w:rPr>
        <w:t xml:space="preserve"> </w:t>
      </w:r>
    </w:p>
    <w:p w:rsidR="00B064CF" w:rsidRDefault="00E32F70">
      <w:pPr>
        <w:spacing w:after="103" w:line="259" w:lineRule="auto"/>
        <w:ind w:left="360" w:firstLine="0"/>
        <w:jc w:val="left"/>
      </w:pPr>
      <w:r>
        <w:rPr>
          <w:b/>
          <w:sz w:val="20"/>
        </w:rPr>
        <w:t xml:space="preserve"> </w:t>
      </w:r>
    </w:p>
    <w:p w:rsidR="00B064CF" w:rsidRDefault="00E32F70">
      <w:pPr>
        <w:spacing w:after="103" w:line="259" w:lineRule="auto"/>
        <w:ind w:left="360" w:firstLine="0"/>
        <w:jc w:val="left"/>
      </w:pPr>
      <w:r>
        <w:rPr>
          <w:rFonts w:ascii="Calibri" w:eastAsia="Calibri" w:hAnsi="Calibri" w:cs="Calibri"/>
          <w:noProof/>
        </w:rPr>
        <mc:AlternateContent>
          <mc:Choice Requires="wpg">
            <w:drawing>
              <wp:anchor distT="0" distB="0" distL="114300" distR="114300" simplePos="0" relativeHeight="251714560" behindDoc="0" locked="0" layoutInCell="1" allowOverlap="1">
                <wp:simplePos x="0" y="0"/>
                <wp:positionH relativeFrom="page">
                  <wp:posOffset>8664935</wp:posOffset>
                </wp:positionH>
                <wp:positionV relativeFrom="page">
                  <wp:posOffset>6769227</wp:posOffset>
                </wp:positionV>
                <wp:extent cx="161330" cy="3542157"/>
                <wp:effectExtent l="0" t="0" r="0" b="0"/>
                <wp:wrapTopAndBottom/>
                <wp:docPr id="420906" name="Group 420906"/>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10986" name="Rectangle 10986"/>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10987" name="Rectangle 10987"/>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52 de 298 </w:t>
                              </w:r>
                            </w:p>
                          </w:txbxContent>
                        </wps:txbx>
                        <wps:bodyPr horzOverflow="overflow" vert="horz" lIns="0" tIns="0" rIns="0" bIns="0" rtlCol="0">
                          <a:noAutofit/>
                        </wps:bodyPr>
                      </wps:wsp>
                    </wpg:wgp>
                  </a:graphicData>
                </a:graphic>
              </wp:anchor>
            </w:drawing>
          </mc:Choice>
          <mc:Fallback xmlns:a="http://schemas.openxmlformats.org/drawingml/2006/main">
            <w:pict>
              <v:group id="Group 420906" style="width:12.7031pt;height:278.91pt;position:absolute;mso-position-horizontal-relative:page;mso-position-horizontal:absolute;margin-left:682.278pt;mso-position-vertical-relative:page;margin-top:533.01pt;" coordsize="1613,35421">
                <v:rect id="Rectangle 10986"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10987"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52 de 298 </w:t>
                        </w:r>
                      </w:p>
                    </w:txbxContent>
                  </v:textbox>
                </v:rect>
                <w10:wrap type="topAndBottom"/>
              </v:group>
            </w:pict>
          </mc:Fallback>
        </mc:AlternateContent>
      </w:r>
      <w:r>
        <w:rPr>
          <w:b/>
          <w:sz w:val="20"/>
        </w:rPr>
        <w:t xml:space="preserve"> </w:t>
      </w:r>
    </w:p>
    <w:p w:rsidR="00B064CF" w:rsidRDefault="00E32F70">
      <w:pPr>
        <w:spacing w:after="101" w:line="259" w:lineRule="auto"/>
        <w:ind w:left="360" w:firstLine="0"/>
        <w:jc w:val="left"/>
      </w:pPr>
      <w:r>
        <w:rPr>
          <w:b/>
          <w:sz w:val="20"/>
        </w:rPr>
        <w:t xml:space="preserve"> </w:t>
      </w:r>
    </w:p>
    <w:p w:rsidR="00B064CF" w:rsidRDefault="00E32F70">
      <w:pPr>
        <w:spacing w:after="140" w:line="259" w:lineRule="auto"/>
        <w:ind w:left="360" w:firstLine="0"/>
        <w:jc w:val="left"/>
      </w:pPr>
      <w:r>
        <w:rPr>
          <w:b/>
          <w:sz w:val="20"/>
        </w:rPr>
        <w:t xml:space="preserve"> </w:t>
      </w:r>
    </w:p>
    <w:p w:rsidR="00B064CF" w:rsidRDefault="00E32F70">
      <w:pPr>
        <w:numPr>
          <w:ilvl w:val="0"/>
          <w:numId w:val="9"/>
        </w:numPr>
        <w:spacing w:after="1" w:line="259" w:lineRule="auto"/>
        <w:ind w:hanging="708"/>
        <w:jc w:val="left"/>
      </w:pPr>
      <w:r>
        <w:rPr>
          <w:b/>
          <w:sz w:val="20"/>
        </w:rPr>
        <w:t>PLAZAS RESERVADAS A PERSONAL LABORAL</w:t>
      </w:r>
      <w:r>
        <w:t xml:space="preserve"> </w:t>
      </w:r>
    </w:p>
    <w:p w:rsidR="00B064CF" w:rsidRDefault="00E32F70">
      <w:pPr>
        <w:spacing w:after="0" w:line="259" w:lineRule="auto"/>
        <w:ind w:left="360" w:firstLine="0"/>
        <w:jc w:val="left"/>
      </w:pPr>
      <w:r>
        <w:rPr>
          <w:b/>
          <w:sz w:val="20"/>
        </w:rPr>
        <w:t xml:space="preserve"> </w:t>
      </w:r>
    </w:p>
    <w:tbl>
      <w:tblPr>
        <w:tblStyle w:val="TableGrid"/>
        <w:tblW w:w="6913" w:type="dxa"/>
        <w:tblInd w:w="365" w:type="dxa"/>
        <w:tblCellMar>
          <w:top w:w="7" w:type="dxa"/>
          <w:left w:w="0" w:type="dxa"/>
          <w:bottom w:w="0" w:type="dxa"/>
          <w:right w:w="53" w:type="dxa"/>
        </w:tblCellMar>
        <w:tblLook w:val="04A0" w:firstRow="1" w:lastRow="0" w:firstColumn="1" w:lastColumn="0" w:noHBand="0" w:noVBand="1"/>
      </w:tblPr>
      <w:tblGrid>
        <w:gridCol w:w="2431"/>
        <w:gridCol w:w="1505"/>
        <w:gridCol w:w="1"/>
        <w:gridCol w:w="990"/>
        <w:gridCol w:w="1"/>
        <w:gridCol w:w="1984"/>
        <w:gridCol w:w="1"/>
      </w:tblGrid>
      <w:tr w:rsidR="00B064CF">
        <w:trPr>
          <w:trHeight w:val="360"/>
        </w:trPr>
        <w:tc>
          <w:tcPr>
            <w:tcW w:w="3937" w:type="dxa"/>
            <w:gridSpan w:val="3"/>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Plaza </w:t>
            </w:r>
          </w:p>
        </w:tc>
        <w:tc>
          <w:tcPr>
            <w:tcW w:w="99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6" w:firstLine="0"/>
              <w:jc w:val="center"/>
            </w:pPr>
            <w:r>
              <w:rPr>
                <w:sz w:val="20"/>
              </w:rPr>
              <w:t xml:space="preserve">Nº </w:t>
            </w:r>
          </w:p>
        </w:tc>
        <w:tc>
          <w:tcPr>
            <w:tcW w:w="1985"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3" w:firstLine="0"/>
              <w:jc w:val="center"/>
            </w:pPr>
            <w:r>
              <w:rPr>
                <w:sz w:val="20"/>
              </w:rPr>
              <w:t xml:space="preserve">Vacante </w:t>
            </w:r>
          </w:p>
        </w:tc>
      </w:tr>
      <w:tr w:rsidR="00B064CF">
        <w:trPr>
          <w:trHeight w:val="360"/>
        </w:trPr>
        <w:tc>
          <w:tcPr>
            <w:tcW w:w="3937" w:type="dxa"/>
            <w:gridSpan w:val="3"/>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Fosero/a </w:t>
            </w:r>
          </w:p>
        </w:tc>
        <w:tc>
          <w:tcPr>
            <w:tcW w:w="99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5" w:firstLine="0"/>
              <w:jc w:val="center"/>
            </w:pPr>
            <w:r>
              <w:rPr>
                <w:sz w:val="20"/>
              </w:rPr>
              <w:t xml:space="preserve">1 </w:t>
            </w:r>
          </w:p>
        </w:tc>
        <w:tc>
          <w:tcPr>
            <w:tcW w:w="1985"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6" w:firstLine="0"/>
              <w:jc w:val="center"/>
            </w:pPr>
            <w:r>
              <w:rPr>
                <w:sz w:val="20"/>
              </w:rPr>
              <w:t xml:space="preserve">1 </w:t>
            </w:r>
          </w:p>
        </w:tc>
      </w:tr>
      <w:tr w:rsidR="00B064CF">
        <w:trPr>
          <w:trHeight w:val="361"/>
        </w:trPr>
        <w:tc>
          <w:tcPr>
            <w:tcW w:w="3937" w:type="dxa"/>
            <w:gridSpan w:val="3"/>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Encargado/a de obras y servicios </w:t>
            </w:r>
          </w:p>
        </w:tc>
        <w:tc>
          <w:tcPr>
            <w:tcW w:w="99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5" w:firstLine="0"/>
              <w:jc w:val="center"/>
            </w:pPr>
            <w:r>
              <w:rPr>
                <w:sz w:val="20"/>
              </w:rPr>
              <w:t xml:space="preserve">1 </w:t>
            </w:r>
          </w:p>
        </w:tc>
        <w:tc>
          <w:tcPr>
            <w:tcW w:w="1985"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6" w:firstLine="0"/>
              <w:jc w:val="center"/>
            </w:pPr>
            <w:r>
              <w:rPr>
                <w:sz w:val="20"/>
              </w:rPr>
              <w:t xml:space="preserve">1 </w:t>
            </w:r>
          </w:p>
        </w:tc>
      </w:tr>
      <w:tr w:rsidR="00B064CF">
        <w:trPr>
          <w:trHeight w:val="360"/>
        </w:trPr>
        <w:tc>
          <w:tcPr>
            <w:tcW w:w="3937" w:type="dxa"/>
            <w:gridSpan w:val="3"/>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Jefe/a de equipo de electricidad </w:t>
            </w:r>
          </w:p>
        </w:tc>
        <w:tc>
          <w:tcPr>
            <w:tcW w:w="99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5" w:firstLine="0"/>
              <w:jc w:val="center"/>
            </w:pPr>
            <w:r>
              <w:rPr>
                <w:sz w:val="20"/>
              </w:rPr>
              <w:t xml:space="preserve">1 </w:t>
            </w:r>
          </w:p>
        </w:tc>
        <w:tc>
          <w:tcPr>
            <w:tcW w:w="1985"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6" w:firstLine="0"/>
              <w:jc w:val="center"/>
            </w:pPr>
            <w:r>
              <w:rPr>
                <w:sz w:val="20"/>
              </w:rPr>
              <w:t xml:space="preserve">1 </w:t>
            </w:r>
          </w:p>
        </w:tc>
      </w:tr>
      <w:tr w:rsidR="00B064CF">
        <w:trPr>
          <w:trHeight w:val="360"/>
        </w:trPr>
        <w:tc>
          <w:tcPr>
            <w:tcW w:w="3937" w:type="dxa"/>
            <w:gridSpan w:val="3"/>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Oficial de primera </w:t>
            </w:r>
          </w:p>
        </w:tc>
        <w:tc>
          <w:tcPr>
            <w:tcW w:w="99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5" w:firstLine="0"/>
              <w:jc w:val="center"/>
            </w:pPr>
            <w:r>
              <w:rPr>
                <w:sz w:val="20"/>
              </w:rPr>
              <w:t xml:space="preserve">9 </w:t>
            </w:r>
          </w:p>
        </w:tc>
        <w:tc>
          <w:tcPr>
            <w:tcW w:w="1985"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6" w:firstLine="0"/>
              <w:jc w:val="center"/>
            </w:pPr>
            <w:r>
              <w:rPr>
                <w:sz w:val="20"/>
              </w:rPr>
              <w:t xml:space="preserve">9 </w:t>
            </w:r>
          </w:p>
        </w:tc>
      </w:tr>
      <w:tr w:rsidR="00B064CF">
        <w:trPr>
          <w:trHeight w:val="360"/>
        </w:trPr>
        <w:tc>
          <w:tcPr>
            <w:tcW w:w="3937" w:type="dxa"/>
            <w:gridSpan w:val="3"/>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Oficial de segunda </w:t>
            </w:r>
          </w:p>
        </w:tc>
        <w:tc>
          <w:tcPr>
            <w:tcW w:w="99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5" w:firstLine="0"/>
              <w:jc w:val="center"/>
            </w:pPr>
            <w:r>
              <w:rPr>
                <w:sz w:val="20"/>
              </w:rPr>
              <w:t xml:space="preserve">8 </w:t>
            </w:r>
          </w:p>
        </w:tc>
        <w:tc>
          <w:tcPr>
            <w:tcW w:w="1985"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6" w:firstLine="0"/>
              <w:jc w:val="center"/>
            </w:pPr>
            <w:r>
              <w:rPr>
                <w:sz w:val="20"/>
              </w:rPr>
              <w:t xml:space="preserve">8 </w:t>
            </w:r>
          </w:p>
        </w:tc>
      </w:tr>
      <w:tr w:rsidR="00B064CF">
        <w:trPr>
          <w:trHeight w:val="360"/>
        </w:trPr>
        <w:tc>
          <w:tcPr>
            <w:tcW w:w="3937" w:type="dxa"/>
            <w:gridSpan w:val="3"/>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Conductor/a </w:t>
            </w:r>
          </w:p>
        </w:tc>
        <w:tc>
          <w:tcPr>
            <w:tcW w:w="99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5" w:firstLine="0"/>
              <w:jc w:val="center"/>
            </w:pPr>
            <w:r>
              <w:rPr>
                <w:sz w:val="20"/>
              </w:rPr>
              <w:t xml:space="preserve">4 </w:t>
            </w:r>
          </w:p>
        </w:tc>
        <w:tc>
          <w:tcPr>
            <w:tcW w:w="1985"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6" w:firstLine="0"/>
              <w:jc w:val="center"/>
            </w:pPr>
            <w:r>
              <w:rPr>
                <w:sz w:val="20"/>
              </w:rPr>
              <w:t xml:space="preserve">4 </w:t>
            </w:r>
          </w:p>
        </w:tc>
      </w:tr>
      <w:tr w:rsidR="00B064CF">
        <w:trPr>
          <w:trHeight w:val="360"/>
        </w:trPr>
        <w:tc>
          <w:tcPr>
            <w:tcW w:w="3937" w:type="dxa"/>
            <w:gridSpan w:val="3"/>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Operario/a </w:t>
            </w:r>
          </w:p>
        </w:tc>
        <w:tc>
          <w:tcPr>
            <w:tcW w:w="99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5" w:firstLine="0"/>
              <w:jc w:val="center"/>
            </w:pPr>
            <w:r>
              <w:rPr>
                <w:sz w:val="20"/>
              </w:rPr>
              <w:t xml:space="preserve">21 </w:t>
            </w:r>
          </w:p>
        </w:tc>
        <w:tc>
          <w:tcPr>
            <w:tcW w:w="1985"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6" w:firstLine="0"/>
              <w:jc w:val="center"/>
            </w:pPr>
            <w:r>
              <w:rPr>
                <w:sz w:val="20"/>
              </w:rPr>
              <w:t xml:space="preserve">21 </w:t>
            </w:r>
          </w:p>
        </w:tc>
      </w:tr>
      <w:tr w:rsidR="00B064CF">
        <w:trPr>
          <w:trHeight w:val="360"/>
        </w:trPr>
        <w:tc>
          <w:tcPr>
            <w:tcW w:w="3937" w:type="dxa"/>
            <w:gridSpan w:val="3"/>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Encargado/a jardines </w:t>
            </w:r>
          </w:p>
        </w:tc>
        <w:tc>
          <w:tcPr>
            <w:tcW w:w="99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5" w:firstLine="0"/>
              <w:jc w:val="center"/>
            </w:pPr>
            <w:r>
              <w:rPr>
                <w:sz w:val="20"/>
              </w:rPr>
              <w:t xml:space="preserve">1 </w:t>
            </w:r>
          </w:p>
        </w:tc>
        <w:tc>
          <w:tcPr>
            <w:tcW w:w="1985"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6" w:firstLine="0"/>
              <w:jc w:val="center"/>
            </w:pPr>
            <w:r>
              <w:rPr>
                <w:sz w:val="20"/>
              </w:rPr>
              <w:t xml:space="preserve">1 </w:t>
            </w:r>
          </w:p>
        </w:tc>
      </w:tr>
      <w:tr w:rsidR="00B064CF">
        <w:trPr>
          <w:trHeight w:val="360"/>
        </w:trPr>
        <w:tc>
          <w:tcPr>
            <w:tcW w:w="3937" w:type="dxa"/>
            <w:gridSpan w:val="3"/>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Jefe/a de equpo de jardines </w:t>
            </w:r>
          </w:p>
        </w:tc>
        <w:tc>
          <w:tcPr>
            <w:tcW w:w="99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5" w:firstLine="0"/>
              <w:jc w:val="center"/>
            </w:pPr>
            <w:r>
              <w:rPr>
                <w:sz w:val="20"/>
              </w:rPr>
              <w:t xml:space="preserve">1 </w:t>
            </w:r>
          </w:p>
        </w:tc>
        <w:tc>
          <w:tcPr>
            <w:tcW w:w="1985"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6" w:firstLine="0"/>
              <w:jc w:val="center"/>
            </w:pPr>
            <w:r>
              <w:rPr>
                <w:sz w:val="20"/>
              </w:rPr>
              <w:t xml:space="preserve">1 </w:t>
            </w:r>
          </w:p>
        </w:tc>
      </w:tr>
      <w:tr w:rsidR="00B064CF">
        <w:trPr>
          <w:trHeight w:val="360"/>
        </w:trPr>
        <w:tc>
          <w:tcPr>
            <w:tcW w:w="3937" w:type="dxa"/>
            <w:gridSpan w:val="3"/>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Auxiliar de Ayuda a domicilio </w:t>
            </w:r>
          </w:p>
        </w:tc>
        <w:tc>
          <w:tcPr>
            <w:tcW w:w="99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5" w:firstLine="0"/>
              <w:jc w:val="center"/>
            </w:pPr>
            <w:r>
              <w:rPr>
                <w:sz w:val="20"/>
              </w:rPr>
              <w:t xml:space="preserve">3 </w:t>
            </w:r>
          </w:p>
        </w:tc>
        <w:tc>
          <w:tcPr>
            <w:tcW w:w="1985"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6" w:firstLine="0"/>
              <w:jc w:val="center"/>
            </w:pPr>
            <w:r>
              <w:rPr>
                <w:sz w:val="20"/>
              </w:rPr>
              <w:t xml:space="preserve">3 </w:t>
            </w:r>
          </w:p>
        </w:tc>
      </w:tr>
      <w:tr w:rsidR="00B064CF">
        <w:trPr>
          <w:trHeight w:val="360"/>
        </w:trPr>
        <w:tc>
          <w:tcPr>
            <w:tcW w:w="3937" w:type="dxa"/>
            <w:gridSpan w:val="3"/>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Conserje-Notificador </w:t>
            </w:r>
          </w:p>
        </w:tc>
        <w:tc>
          <w:tcPr>
            <w:tcW w:w="99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5" w:firstLine="0"/>
              <w:jc w:val="center"/>
            </w:pPr>
            <w:r>
              <w:rPr>
                <w:sz w:val="20"/>
              </w:rPr>
              <w:t xml:space="preserve">1 </w:t>
            </w:r>
          </w:p>
        </w:tc>
        <w:tc>
          <w:tcPr>
            <w:tcW w:w="1985"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6" w:firstLine="0"/>
              <w:jc w:val="center"/>
            </w:pPr>
            <w:r>
              <w:rPr>
                <w:sz w:val="20"/>
              </w:rPr>
              <w:t xml:space="preserve">1 </w:t>
            </w:r>
          </w:p>
        </w:tc>
      </w:tr>
      <w:tr w:rsidR="00B064CF">
        <w:trPr>
          <w:trHeight w:val="360"/>
        </w:trPr>
        <w:tc>
          <w:tcPr>
            <w:tcW w:w="3937" w:type="dxa"/>
            <w:gridSpan w:val="3"/>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Conserje Edificios Municipales </w:t>
            </w:r>
          </w:p>
        </w:tc>
        <w:tc>
          <w:tcPr>
            <w:tcW w:w="99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5" w:firstLine="0"/>
              <w:jc w:val="center"/>
            </w:pPr>
            <w:r>
              <w:rPr>
                <w:sz w:val="20"/>
              </w:rPr>
              <w:t xml:space="preserve">8 </w:t>
            </w:r>
          </w:p>
        </w:tc>
        <w:tc>
          <w:tcPr>
            <w:tcW w:w="1985"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6" w:firstLine="0"/>
              <w:jc w:val="center"/>
            </w:pPr>
            <w:r>
              <w:rPr>
                <w:sz w:val="20"/>
              </w:rPr>
              <w:t xml:space="preserve">8 </w:t>
            </w:r>
          </w:p>
        </w:tc>
      </w:tr>
      <w:tr w:rsidR="00B064CF">
        <w:trPr>
          <w:gridAfter w:val="1"/>
          <w:trHeight w:val="360"/>
        </w:trPr>
        <w:tc>
          <w:tcPr>
            <w:tcW w:w="2431" w:type="dxa"/>
            <w:tcBorders>
              <w:top w:val="single" w:sz="4" w:space="0" w:color="000000"/>
              <w:left w:val="single" w:sz="4" w:space="0" w:color="000000"/>
              <w:bottom w:val="single" w:sz="4" w:space="0" w:color="000000"/>
              <w:right w:val="nil"/>
            </w:tcBorders>
          </w:tcPr>
          <w:p w:rsidR="00B064CF" w:rsidRDefault="00E32F70">
            <w:pPr>
              <w:spacing w:after="0" w:line="259" w:lineRule="auto"/>
              <w:ind w:left="108" w:firstLine="0"/>
              <w:jc w:val="left"/>
            </w:pPr>
            <w:r>
              <w:rPr>
                <w:sz w:val="20"/>
              </w:rPr>
              <w:t xml:space="preserve">Decorador/a </w:t>
            </w:r>
          </w:p>
        </w:tc>
        <w:tc>
          <w:tcPr>
            <w:tcW w:w="1505" w:type="dxa"/>
            <w:tcBorders>
              <w:top w:val="single" w:sz="4" w:space="0" w:color="000000"/>
              <w:left w:val="nil"/>
              <w:bottom w:val="single" w:sz="4" w:space="0" w:color="000000"/>
              <w:right w:val="single" w:sz="4" w:space="0" w:color="000000"/>
            </w:tcBorders>
          </w:tcPr>
          <w:p w:rsidR="00B064CF" w:rsidRDefault="00B064CF">
            <w:pPr>
              <w:spacing w:after="160" w:line="259" w:lineRule="auto"/>
              <w:ind w:left="0" w:firstLine="0"/>
              <w:jc w:val="left"/>
            </w:pPr>
          </w:p>
        </w:tc>
        <w:tc>
          <w:tcPr>
            <w:tcW w:w="99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51" w:firstLine="0"/>
              <w:jc w:val="center"/>
            </w:pPr>
            <w:r>
              <w:rPr>
                <w:sz w:val="20"/>
              </w:rPr>
              <w:t xml:space="preserve">1 </w:t>
            </w:r>
          </w:p>
        </w:tc>
        <w:tc>
          <w:tcPr>
            <w:tcW w:w="1985"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51" w:firstLine="0"/>
              <w:jc w:val="center"/>
            </w:pPr>
            <w:r>
              <w:rPr>
                <w:sz w:val="20"/>
              </w:rPr>
              <w:t xml:space="preserve">1 </w:t>
            </w:r>
          </w:p>
        </w:tc>
      </w:tr>
      <w:tr w:rsidR="00B064CF">
        <w:trPr>
          <w:gridAfter w:val="1"/>
          <w:trHeight w:val="360"/>
        </w:trPr>
        <w:tc>
          <w:tcPr>
            <w:tcW w:w="2431" w:type="dxa"/>
            <w:tcBorders>
              <w:top w:val="single" w:sz="4" w:space="0" w:color="000000"/>
              <w:left w:val="single" w:sz="4" w:space="0" w:color="000000"/>
              <w:bottom w:val="single" w:sz="4" w:space="0" w:color="000000"/>
              <w:right w:val="nil"/>
            </w:tcBorders>
          </w:tcPr>
          <w:p w:rsidR="00B064CF" w:rsidRDefault="00B064CF">
            <w:pPr>
              <w:spacing w:after="160" w:line="259" w:lineRule="auto"/>
              <w:ind w:left="0" w:firstLine="0"/>
              <w:jc w:val="left"/>
            </w:pPr>
          </w:p>
        </w:tc>
        <w:tc>
          <w:tcPr>
            <w:tcW w:w="1505" w:type="dxa"/>
            <w:tcBorders>
              <w:top w:val="single" w:sz="4" w:space="0" w:color="000000"/>
              <w:left w:val="nil"/>
              <w:bottom w:val="single" w:sz="4" w:space="0" w:color="000000"/>
              <w:right w:val="single" w:sz="4" w:space="0" w:color="000000"/>
            </w:tcBorders>
          </w:tcPr>
          <w:p w:rsidR="00B064CF" w:rsidRDefault="00E32F70">
            <w:pPr>
              <w:spacing w:after="0" w:line="259" w:lineRule="auto"/>
              <w:ind w:left="0" w:firstLine="0"/>
            </w:pPr>
            <w:r>
              <w:rPr>
                <w:b/>
                <w:sz w:val="20"/>
              </w:rPr>
              <w:t xml:space="preserve">Total laborales </w:t>
            </w:r>
          </w:p>
        </w:tc>
        <w:tc>
          <w:tcPr>
            <w:tcW w:w="991"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51" w:firstLine="0"/>
              <w:jc w:val="center"/>
            </w:pPr>
            <w:r>
              <w:rPr>
                <w:b/>
                <w:sz w:val="20"/>
              </w:rPr>
              <w:t xml:space="preserve">60 </w:t>
            </w:r>
          </w:p>
        </w:tc>
        <w:tc>
          <w:tcPr>
            <w:tcW w:w="1985" w:type="dxa"/>
            <w:gridSpan w:val="2"/>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51" w:firstLine="0"/>
              <w:jc w:val="center"/>
            </w:pPr>
            <w:r>
              <w:rPr>
                <w:b/>
                <w:sz w:val="20"/>
              </w:rPr>
              <w:t xml:space="preserve">60 </w:t>
            </w:r>
          </w:p>
        </w:tc>
      </w:tr>
    </w:tbl>
    <w:p w:rsidR="00B064CF" w:rsidRDefault="00E32F70">
      <w:pPr>
        <w:spacing w:after="137" w:line="259" w:lineRule="auto"/>
        <w:ind w:left="360" w:firstLine="0"/>
        <w:jc w:val="left"/>
      </w:pPr>
      <w:r>
        <w:rPr>
          <w:sz w:val="20"/>
        </w:rPr>
        <w:t xml:space="preserve"> </w:t>
      </w:r>
    </w:p>
    <w:p w:rsidR="00B064CF" w:rsidRDefault="00E32F70">
      <w:pPr>
        <w:numPr>
          <w:ilvl w:val="0"/>
          <w:numId w:val="9"/>
        </w:numPr>
        <w:spacing w:after="1" w:line="259" w:lineRule="auto"/>
        <w:ind w:hanging="708"/>
        <w:jc w:val="left"/>
      </w:pPr>
      <w:r>
        <w:rPr>
          <w:b/>
          <w:sz w:val="20"/>
        </w:rPr>
        <w:t>PERSONAL EVENTUAL</w:t>
      </w:r>
      <w:r>
        <w:rPr>
          <w:sz w:val="20"/>
        </w:rPr>
        <w:t xml:space="preserve"> </w:t>
      </w:r>
      <w:r>
        <w:rPr>
          <w:sz w:val="20"/>
        </w:rPr>
        <w:tab/>
      </w:r>
      <w:r>
        <w:t xml:space="preserve"> </w:t>
      </w:r>
    </w:p>
    <w:tbl>
      <w:tblPr>
        <w:tblStyle w:val="TableGrid"/>
        <w:tblW w:w="6908" w:type="dxa"/>
        <w:tblInd w:w="365" w:type="dxa"/>
        <w:tblCellMar>
          <w:top w:w="7" w:type="dxa"/>
          <w:left w:w="108" w:type="dxa"/>
          <w:bottom w:w="0" w:type="dxa"/>
          <w:right w:w="115" w:type="dxa"/>
        </w:tblCellMar>
        <w:tblLook w:val="04A0" w:firstRow="1" w:lastRow="0" w:firstColumn="1" w:lastColumn="0" w:noHBand="0" w:noVBand="1"/>
      </w:tblPr>
      <w:tblGrid>
        <w:gridCol w:w="4933"/>
        <w:gridCol w:w="1976"/>
      </w:tblGrid>
      <w:tr w:rsidR="00B064CF">
        <w:trPr>
          <w:trHeight w:val="360"/>
        </w:trPr>
        <w:tc>
          <w:tcPr>
            <w:tcW w:w="493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20"/>
              </w:rPr>
              <w:t xml:space="preserve">Personal eventual </w:t>
            </w:r>
          </w:p>
        </w:tc>
        <w:tc>
          <w:tcPr>
            <w:tcW w:w="1976"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 w:firstLine="0"/>
              <w:jc w:val="center"/>
            </w:pPr>
            <w:r>
              <w:rPr>
                <w:b/>
                <w:sz w:val="20"/>
              </w:rPr>
              <w:t xml:space="preserve">Nº </w:t>
            </w:r>
          </w:p>
        </w:tc>
      </w:tr>
      <w:tr w:rsidR="00B064CF">
        <w:trPr>
          <w:trHeight w:val="361"/>
        </w:trPr>
        <w:tc>
          <w:tcPr>
            <w:tcW w:w="493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Asesor/a Cultura y Fiestas</w:t>
            </w:r>
            <w:r>
              <w:rPr>
                <w:rFonts w:ascii="Times New Roman" w:eastAsia="Times New Roman" w:hAnsi="Times New Roman" w:cs="Times New Roman"/>
                <w:sz w:val="24"/>
              </w:rPr>
              <w:t xml:space="preserve"> </w:t>
            </w:r>
          </w:p>
        </w:tc>
        <w:tc>
          <w:tcPr>
            <w:tcW w:w="1976"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6" w:firstLine="0"/>
              <w:jc w:val="center"/>
            </w:pPr>
            <w:r>
              <w:rPr>
                <w:sz w:val="20"/>
              </w:rPr>
              <w:t xml:space="preserve">1 </w:t>
            </w:r>
          </w:p>
        </w:tc>
      </w:tr>
      <w:tr w:rsidR="00B064CF">
        <w:trPr>
          <w:trHeight w:val="360"/>
        </w:trPr>
        <w:tc>
          <w:tcPr>
            <w:tcW w:w="493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Asesor/a Comunicación y Prensa </w:t>
            </w:r>
          </w:p>
        </w:tc>
        <w:tc>
          <w:tcPr>
            <w:tcW w:w="1976"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6" w:firstLine="0"/>
              <w:jc w:val="center"/>
            </w:pPr>
            <w:r>
              <w:rPr>
                <w:sz w:val="20"/>
              </w:rPr>
              <w:t xml:space="preserve">1 </w:t>
            </w:r>
          </w:p>
        </w:tc>
      </w:tr>
      <w:tr w:rsidR="00B064CF">
        <w:trPr>
          <w:trHeight w:val="360"/>
        </w:trPr>
        <w:tc>
          <w:tcPr>
            <w:tcW w:w="493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Asesor/a Alcaldía Presidencia </w:t>
            </w:r>
          </w:p>
        </w:tc>
        <w:tc>
          <w:tcPr>
            <w:tcW w:w="1976"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6" w:firstLine="0"/>
              <w:jc w:val="center"/>
            </w:pPr>
            <w:r>
              <w:rPr>
                <w:sz w:val="20"/>
              </w:rPr>
              <w:t xml:space="preserve">1 </w:t>
            </w:r>
          </w:p>
        </w:tc>
      </w:tr>
      <w:tr w:rsidR="00B064CF">
        <w:trPr>
          <w:trHeight w:val="360"/>
        </w:trPr>
        <w:tc>
          <w:tcPr>
            <w:tcW w:w="493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Asesor/a Alcaldía Pres./Concejales/as delegados/as </w:t>
            </w:r>
          </w:p>
        </w:tc>
        <w:tc>
          <w:tcPr>
            <w:tcW w:w="1976"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6" w:firstLine="0"/>
              <w:jc w:val="center"/>
            </w:pPr>
            <w:r>
              <w:rPr>
                <w:sz w:val="20"/>
              </w:rPr>
              <w:t xml:space="preserve">1 </w:t>
            </w:r>
          </w:p>
        </w:tc>
      </w:tr>
      <w:tr w:rsidR="00B064CF">
        <w:trPr>
          <w:trHeight w:val="360"/>
        </w:trPr>
        <w:tc>
          <w:tcPr>
            <w:tcW w:w="493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Asesor/a Concejales/as delegados/as </w:t>
            </w:r>
          </w:p>
        </w:tc>
        <w:tc>
          <w:tcPr>
            <w:tcW w:w="1976"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6" w:firstLine="0"/>
              <w:jc w:val="center"/>
            </w:pPr>
            <w:r>
              <w:rPr>
                <w:sz w:val="20"/>
              </w:rPr>
              <w:t xml:space="preserve">3 </w:t>
            </w:r>
          </w:p>
        </w:tc>
      </w:tr>
      <w:tr w:rsidR="00B064CF">
        <w:trPr>
          <w:trHeight w:val="360"/>
        </w:trPr>
        <w:tc>
          <w:tcPr>
            <w:tcW w:w="493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1" w:firstLine="0"/>
              <w:jc w:val="center"/>
            </w:pPr>
            <w:r>
              <w:rPr>
                <w:b/>
                <w:sz w:val="20"/>
              </w:rPr>
              <w:t xml:space="preserve">TOTAL </w:t>
            </w:r>
          </w:p>
        </w:tc>
        <w:tc>
          <w:tcPr>
            <w:tcW w:w="1976"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6" w:firstLine="0"/>
              <w:jc w:val="center"/>
            </w:pPr>
            <w:r>
              <w:rPr>
                <w:b/>
                <w:sz w:val="20"/>
              </w:rPr>
              <w:t xml:space="preserve">7 </w:t>
            </w:r>
          </w:p>
        </w:tc>
      </w:tr>
    </w:tbl>
    <w:p w:rsidR="00B064CF" w:rsidRDefault="00E32F70">
      <w:pPr>
        <w:spacing w:after="122" w:line="259" w:lineRule="auto"/>
        <w:ind w:left="360" w:firstLine="0"/>
        <w:jc w:val="left"/>
      </w:pPr>
      <w:r>
        <w:rPr>
          <w:b/>
          <w:sz w:val="20"/>
        </w:rPr>
        <w:t xml:space="preserve"> </w:t>
      </w:r>
    </w:p>
    <w:p w:rsidR="00B064CF" w:rsidRDefault="00E32F70">
      <w:pPr>
        <w:spacing w:after="4"/>
        <w:ind w:left="355" w:right="68"/>
      </w:pPr>
      <w:r>
        <w:rPr>
          <w:rFonts w:ascii="Calibri" w:eastAsia="Calibri" w:hAnsi="Calibri" w:cs="Calibri"/>
          <w:noProof/>
        </w:rPr>
        <mc:AlternateContent>
          <mc:Choice Requires="wpg">
            <w:drawing>
              <wp:anchor distT="0" distB="0" distL="114300" distR="114300" simplePos="0" relativeHeight="251715584" behindDoc="0" locked="0" layoutInCell="1" allowOverlap="1">
                <wp:simplePos x="0" y="0"/>
                <wp:positionH relativeFrom="page">
                  <wp:posOffset>8664935</wp:posOffset>
                </wp:positionH>
                <wp:positionV relativeFrom="page">
                  <wp:posOffset>6769227</wp:posOffset>
                </wp:positionV>
                <wp:extent cx="161330" cy="3542157"/>
                <wp:effectExtent l="0" t="0" r="0" b="0"/>
                <wp:wrapTopAndBottom/>
                <wp:docPr id="444952" name="Group 444952"/>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11587" name="Rectangle 11587"/>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11588" name="Rectangle 11588"/>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53 de 298 </w:t>
                              </w:r>
                            </w:p>
                          </w:txbxContent>
                        </wps:txbx>
                        <wps:bodyPr horzOverflow="overflow" vert="horz" lIns="0" tIns="0" rIns="0" bIns="0" rtlCol="0">
                          <a:noAutofit/>
                        </wps:bodyPr>
                      </wps:wsp>
                    </wpg:wgp>
                  </a:graphicData>
                </a:graphic>
              </wp:anchor>
            </w:drawing>
          </mc:Choice>
          <mc:Fallback xmlns:a="http://schemas.openxmlformats.org/drawingml/2006/main">
            <w:pict>
              <v:group id="Group 444952" style="width:12.7031pt;height:278.91pt;position:absolute;mso-position-horizontal-relative:page;mso-position-horizontal:absolute;margin-left:682.278pt;mso-position-vertical-relative:page;margin-top:533.01pt;" coordsize="1613,35421">
                <v:rect id="Rectangle 11587"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11588"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53 de 298 </w:t>
                        </w:r>
                      </w:p>
                    </w:txbxContent>
                  </v:textbox>
                </v:rect>
                <w10:wrap type="topAndBottom"/>
              </v:group>
            </w:pict>
          </mc:Fallback>
        </mc:AlternateContent>
      </w:r>
      <w:r>
        <w:rPr>
          <w:b/>
        </w:rPr>
        <w:t xml:space="preserve">III.- Plan Presupuestario 2022-2024 </w:t>
      </w:r>
    </w:p>
    <w:tbl>
      <w:tblPr>
        <w:tblStyle w:val="TableGrid"/>
        <w:tblW w:w="8452" w:type="dxa"/>
        <w:tblInd w:w="917" w:type="dxa"/>
        <w:tblCellMar>
          <w:top w:w="56" w:type="dxa"/>
          <w:left w:w="55" w:type="dxa"/>
          <w:bottom w:w="0" w:type="dxa"/>
          <w:right w:w="0" w:type="dxa"/>
        </w:tblCellMar>
        <w:tblLook w:val="04A0" w:firstRow="1" w:lastRow="0" w:firstColumn="1" w:lastColumn="0" w:noHBand="0" w:noVBand="1"/>
      </w:tblPr>
      <w:tblGrid>
        <w:gridCol w:w="2552"/>
        <w:gridCol w:w="1560"/>
        <w:gridCol w:w="1419"/>
        <w:gridCol w:w="1416"/>
        <w:gridCol w:w="1505"/>
      </w:tblGrid>
      <w:tr w:rsidR="00B064CF">
        <w:trPr>
          <w:trHeight w:val="576"/>
        </w:trPr>
        <w:tc>
          <w:tcPr>
            <w:tcW w:w="2552"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right="60" w:firstLine="0"/>
              <w:jc w:val="center"/>
            </w:pPr>
            <w:r>
              <w:rPr>
                <w:b/>
                <w:sz w:val="20"/>
              </w:rPr>
              <w:t xml:space="preserve">INGRESOS </w:t>
            </w:r>
          </w:p>
        </w:tc>
        <w:tc>
          <w:tcPr>
            <w:tcW w:w="156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46" w:firstLine="0"/>
            </w:pPr>
            <w:r>
              <w:rPr>
                <w:b/>
                <w:sz w:val="20"/>
              </w:rPr>
              <w:t>PRESUPUEST</w:t>
            </w:r>
          </w:p>
          <w:p w:rsidR="00B064CF" w:rsidRDefault="00E32F70">
            <w:pPr>
              <w:spacing w:after="0" w:line="259" w:lineRule="auto"/>
              <w:ind w:left="0" w:right="59" w:firstLine="0"/>
              <w:jc w:val="center"/>
            </w:pPr>
            <w:r>
              <w:rPr>
                <w:b/>
                <w:sz w:val="20"/>
              </w:rPr>
              <w:t>O 20</w:t>
            </w:r>
            <w:r>
              <w:rPr>
                <w:b/>
                <w:sz w:val="20"/>
              </w:rPr>
              <w:t xml:space="preserve">21 </w:t>
            </w:r>
          </w:p>
        </w:tc>
        <w:tc>
          <w:tcPr>
            <w:tcW w:w="141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8" w:right="9" w:firstLine="0"/>
              <w:jc w:val="center"/>
            </w:pPr>
            <w:r>
              <w:rPr>
                <w:b/>
                <w:sz w:val="20"/>
              </w:rPr>
              <w:t xml:space="preserve">PREVISIÓN Pº 2022 </w:t>
            </w:r>
          </w:p>
        </w:tc>
        <w:tc>
          <w:tcPr>
            <w:tcW w:w="1416"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8" w:right="6" w:firstLine="0"/>
              <w:jc w:val="center"/>
            </w:pPr>
            <w:r>
              <w:rPr>
                <w:b/>
                <w:sz w:val="20"/>
              </w:rPr>
              <w:t xml:space="preserve">PREVISIÓN Pº 2023 </w:t>
            </w:r>
          </w:p>
        </w:tc>
        <w:tc>
          <w:tcPr>
            <w:tcW w:w="150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center"/>
            </w:pPr>
            <w:r>
              <w:rPr>
                <w:b/>
                <w:sz w:val="20"/>
              </w:rPr>
              <w:t>PREVISIÓN Pº 2024</w:t>
            </w:r>
            <w:r>
              <w:rPr>
                <w:rFonts w:ascii="Times New Roman" w:eastAsia="Times New Roman" w:hAnsi="Times New Roman" w:cs="Times New Roman"/>
                <w:sz w:val="24"/>
              </w:rPr>
              <w:t xml:space="preserve"> </w:t>
            </w:r>
          </w:p>
        </w:tc>
      </w:tr>
      <w:tr w:rsidR="00B064CF">
        <w:trPr>
          <w:trHeight w:val="569"/>
        </w:trPr>
        <w:tc>
          <w:tcPr>
            <w:tcW w:w="2552"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IMPUESTOS DIRECTOS </w:t>
            </w:r>
          </w:p>
        </w:tc>
        <w:tc>
          <w:tcPr>
            <w:tcW w:w="156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115" w:firstLine="0"/>
              <w:jc w:val="left"/>
            </w:pPr>
            <w:r>
              <w:rPr>
                <w:sz w:val="20"/>
              </w:rPr>
              <w:t xml:space="preserve">8.080.885,00 € </w:t>
            </w:r>
          </w:p>
        </w:tc>
        <w:tc>
          <w:tcPr>
            <w:tcW w:w="141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31" w:right="55" w:firstLine="0"/>
              <w:jc w:val="right"/>
            </w:pPr>
            <w:r>
              <w:rPr>
                <w:sz w:val="20"/>
              </w:rPr>
              <w:t xml:space="preserve">8.224.929,25 € </w:t>
            </w:r>
          </w:p>
        </w:tc>
        <w:tc>
          <w:tcPr>
            <w:tcW w:w="1416"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31" w:right="52" w:firstLine="0"/>
              <w:jc w:val="right"/>
            </w:pPr>
            <w:r>
              <w:rPr>
                <w:sz w:val="20"/>
              </w:rPr>
              <w:t xml:space="preserve">8.309.175,71 € </w:t>
            </w:r>
          </w:p>
        </w:tc>
        <w:tc>
          <w:tcPr>
            <w:tcW w:w="150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60" w:firstLine="0"/>
              <w:jc w:val="left"/>
            </w:pPr>
            <w:r>
              <w:rPr>
                <w:sz w:val="20"/>
              </w:rPr>
              <w:t xml:space="preserve">8.490.408,78 € </w:t>
            </w:r>
          </w:p>
        </w:tc>
      </w:tr>
      <w:tr w:rsidR="00B064CF">
        <w:trPr>
          <w:trHeight w:val="571"/>
        </w:trPr>
        <w:tc>
          <w:tcPr>
            <w:tcW w:w="2552"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30" w:firstLine="0"/>
              <w:jc w:val="left"/>
            </w:pPr>
            <w:r>
              <w:rPr>
                <w:sz w:val="20"/>
              </w:rPr>
              <w:t xml:space="preserve">IMPUESTOS INDIRECTOS </w:t>
            </w:r>
          </w:p>
        </w:tc>
        <w:tc>
          <w:tcPr>
            <w:tcW w:w="156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115" w:firstLine="0"/>
              <w:jc w:val="left"/>
            </w:pPr>
            <w:r>
              <w:rPr>
                <w:sz w:val="20"/>
              </w:rPr>
              <w:t xml:space="preserve">3.989.577,65 € </w:t>
            </w:r>
          </w:p>
        </w:tc>
        <w:tc>
          <w:tcPr>
            <w:tcW w:w="141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31" w:right="55" w:firstLine="0"/>
              <w:jc w:val="right"/>
            </w:pPr>
            <w:r>
              <w:rPr>
                <w:sz w:val="20"/>
              </w:rPr>
              <w:t xml:space="preserve">4.056.893,12 € </w:t>
            </w:r>
          </w:p>
        </w:tc>
        <w:tc>
          <w:tcPr>
            <w:tcW w:w="1416"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31" w:right="52" w:firstLine="0"/>
              <w:jc w:val="right"/>
            </w:pPr>
            <w:r>
              <w:rPr>
                <w:sz w:val="20"/>
              </w:rPr>
              <w:t xml:space="preserve">4.310.506,41 € </w:t>
            </w:r>
          </w:p>
        </w:tc>
        <w:tc>
          <w:tcPr>
            <w:tcW w:w="150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60" w:firstLine="0"/>
              <w:jc w:val="left"/>
            </w:pPr>
            <w:r>
              <w:rPr>
                <w:sz w:val="20"/>
              </w:rPr>
              <w:t xml:space="preserve">4.416.405,61 € </w:t>
            </w:r>
          </w:p>
        </w:tc>
      </w:tr>
      <w:tr w:rsidR="00B064CF">
        <w:trPr>
          <w:trHeight w:val="569"/>
        </w:trPr>
        <w:tc>
          <w:tcPr>
            <w:tcW w:w="2552"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20"/>
              </w:rPr>
              <w:t>TASAS Y OTROS INGRESOS</w:t>
            </w:r>
            <w:r>
              <w:rPr>
                <w:sz w:val="20"/>
              </w:rPr>
              <w:t xml:space="preserve"> </w:t>
            </w:r>
          </w:p>
        </w:tc>
        <w:tc>
          <w:tcPr>
            <w:tcW w:w="156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115" w:firstLine="0"/>
              <w:jc w:val="left"/>
            </w:pPr>
            <w:r>
              <w:rPr>
                <w:sz w:val="20"/>
              </w:rPr>
              <w:t xml:space="preserve">2.243.372,39 € </w:t>
            </w:r>
          </w:p>
        </w:tc>
        <w:tc>
          <w:tcPr>
            <w:tcW w:w="141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31" w:right="55" w:firstLine="0"/>
              <w:jc w:val="right"/>
            </w:pPr>
            <w:r>
              <w:rPr>
                <w:sz w:val="20"/>
              </w:rPr>
              <w:t xml:space="preserve">2.256.446,12 € </w:t>
            </w:r>
          </w:p>
        </w:tc>
        <w:tc>
          <w:tcPr>
            <w:tcW w:w="1416"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31" w:right="52" w:firstLine="0"/>
              <w:jc w:val="right"/>
            </w:pPr>
            <w:r>
              <w:rPr>
                <w:sz w:val="20"/>
              </w:rPr>
              <w:t xml:space="preserve">2.298.629,22 € </w:t>
            </w:r>
          </w:p>
        </w:tc>
        <w:tc>
          <w:tcPr>
            <w:tcW w:w="150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60" w:firstLine="0"/>
              <w:jc w:val="left"/>
            </w:pPr>
            <w:r>
              <w:rPr>
                <w:sz w:val="20"/>
              </w:rPr>
              <w:t xml:space="preserve">2.326.809,33 € </w:t>
            </w:r>
          </w:p>
        </w:tc>
      </w:tr>
      <w:tr w:rsidR="00B064CF">
        <w:trPr>
          <w:trHeight w:val="571"/>
        </w:trPr>
        <w:tc>
          <w:tcPr>
            <w:tcW w:w="2552"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20"/>
              </w:rPr>
              <w:t xml:space="preserve">TRANSFERENCIAS CORRIENTES </w:t>
            </w:r>
          </w:p>
        </w:tc>
        <w:tc>
          <w:tcPr>
            <w:tcW w:w="156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115" w:firstLine="0"/>
              <w:jc w:val="left"/>
            </w:pPr>
            <w:r>
              <w:rPr>
                <w:sz w:val="20"/>
              </w:rPr>
              <w:t xml:space="preserve">8.062.905,45 € </w:t>
            </w:r>
          </w:p>
        </w:tc>
        <w:tc>
          <w:tcPr>
            <w:tcW w:w="141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31" w:right="55" w:firstLine="0"/>
              <w:jc w:val="right"/>
            </w:pPr>
            <w:r>
              <w:rPr>
                <w:sz w:val="20"/>
              </w:rPr>
              <w:t xml:space="preserve">8.208.353,43 € </w:t>
            </w:r>
          </w:p>
        </w:tc>
        <w:tc>
          <w:tcPr>
            <w:tcW w:w="1416"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31" w:right="52" w:firstLine="0"/>
              <w:jc w:val="right"/>
            </w:pPr>
            <w:r>
              <w:rPr>
                <w:sz w:val="20"/>
              </w:rPr>
              <w:t xml:space="preserve">8.372.411,07 € </w:t>
            </w:r>
          </w:p>
        </w:tc>
        <w:tc>
          <w:tcPr>
            <w:tcW w:w="150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60" w:firstLine="0"/>
              <w:jc w:val="left"/>
            </w:pPr>
            <w:r>
              <w:rPr>
                <w:sz w:val="20"/>
              </w:rPr>
              <w:t xml:space="preserve">8.501.608,77 € </w:t>
            </w:r>
          </w:p>
        </w:tc>
      </w:tr>
      <w:tr w:rsidR="00B064CF">
        <w:trPr>
          <w:trHeight w:val="569"/>
        </w:trPr>
        <w:tc>
          <w:tcPr>
            <w:tcW w:w="2552" w:type="dxa"/>
            <w:tcBorders>
              <w:top w:val="single" w:sz="2" w:space="0" w:color="000000"/>
              <w:left w:val="single" w:sz="2" w:space="0" w:color="000000"/>
              <w:bottom w:val="single" w:sz="2" w:space="0" w:color="000000"/>
              <w:right w:val="single" w:sz="2" w:space="0" w:color="000000"/>
            </w:tcBorders>
          </w:tcPr>
          <w:p w:rsidR="00B064CF" w:rsidRDefault="00E32F70">
            <w:pPr>
              <w:spacing w:after="13" w:line="259" w:lineRule="auto"/>
              <w:ind w:left="0" w:firstLine="0"/>
              <w:jc w:val="left"/>
            </w:pPr>
            <w:r>
              <w:rPr>
                <w:sz w:val="20"/>
              </w:rPr>
              <w:t xml:space="preserve">INGRESOS </w:t>
            </w:r>
          </w:p>
          <w:p w:rsidR="00B064CF" w:rsidRDefault="00E32F70">
            <w:pPr>
              <w:spacing w:after="0" w:line="259" w:lineRule="auto"/>
              <w:ind w:left="0" w:firstLine="0"/>
              <w:jc w:val="left"/>
            </w:pPr>
            <w:r>
              <w:rPr>
                <w:sz w:val="20"/>
              </w:rPr>
              <w:t>PATRIMONIALES</w:t>
            </w:r>
            <w:r>
              <w:rPr>
                <w:rFonts w:ascii="Times New Roman" w:eastAsia="Times New Roman" w:hAnsi="Times New Roman" w:cs="Times New Roman"/>
                <w:sz w:val="24"/>
              </w:rPr>
              <w:t xml:space="preserve"> </w:t>
            </w:r>
          </w:p>
        </w:tc>
        <w:tc>
          <w:tcPr>
            <w:tcW w:w="156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right="57" w:firstLine="0"/>
              <w:jc w:val="right"/>
            </w:pPr>
            <w:r>
              <w:rPr>
                <w:sz w:val="20"/>
              </w:rPr>
              <w:t xml:space="preserve">12.000,00 € </w:t>
            </w:r>
          </w:p>
        </w:tc>
        <w:tc>
          <w:tcPr>
            <w:tcW w:w="1419"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right="58" w:firstLine="0"/>
              <w:jc w:val="right"/>
            </w:pPr>
            <w:r>
              <w:rPr>
                <w:sz w:val="20"/>
              </w:rPr>
              <w:t xml:space="preserve">29.000,00 € </w:t>
            </w:r>
          </w:p>
        </w:tc>
        <w:tc>
          <w:tcPr>
            <w:tcW w:w="1416"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right="55" w:firstLine="0"/>
              <w:jc w:val="right"/>
            </w:pPr>
            <w:r>
              <w:rPr>
                <w:sz w:val="20"/>
              </w:rPr>
              <w:t xml:space="preserve">29.000,00 € </w:t>
            </w:r>
          </w:p>
        </w:tc>
        <w:tc>
          <w:tcPr>
            <w:tcW w:w="150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right="58" w:firstLine="0"/>
              <w:jc w:val="right"/>
            </w:pPr>
            <w:r>
              <w:rPr>
                <w:sz w:val="20"/>
              </w:rPr>
              <w:t xml:space="preserve">29.000,00 € </w:t>
            </w:r>
          </w:p>
        </w:tc>
      </w:tr>
      <w:tr w:rsidR="00B064CF">
        <w:trPr>
          <w:trHeight w:val="572"/>
        </w:trPr>
        <w:tc>
          <w:tcPr>
            <w:tcW w:w="2552"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20"/>
              </w:rPr>
              <w:t>TRANSFERENCIAS DE CAPITAL</w:t>
            </w:r>
            <w:r>
              <w:rPr>
                <w:rFonts w:ascii="Times New Roman" w:eastAsia="Times New Roman" w:hAnsi="Times New Roman" w:cs="Times New Roman"/>
                <w:sz w:val="24"/>
              </w:rPr>
              <w:t xml:space="preserve"> </w:t>
            </w:r>
          </w:p>
        </w:tc>
        <w:tc>
          <w:tcPr>
            <w:tcW w:w="156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115" w:firstLine="0"/>
              <w:jc w:val="left"/>
            </w:pPr>
            <w:r>
              <w:rPr>
                <w:sz w:val="20"/>
              </w:rPr>
              <w:t xml:space="preserve">1.569.983,78 € </w:t>
            </w:r>
          </w:p>
        </w:tc>
        <w:tc>
          <w:tcPr>
            <w:tcW w:w="141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31" w:right="55" w:firstLine="0"/>
              <w:jc w:val="right"/>
            </w:pPr>
            <w:r>
              <w:rPr>
                <w:sz w:val="20"/>
              </w:rPr>
              <w:t xml:space="preserve">1.651.529,53 € </w:t>
            </w:r>
          </w:p>
        </w:tc>
        <w:tc>
          <w:tcPr>
            <w:tcW w:w="1416"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31" w:right="52" w:firstLine="0"/>
              <w:jc w:val="right"/>
            </w:pPr>
            <w:r>
              <w:rPr>
                <w:sz w:val="20"/>
              </w:rPr>
              <w:t xml:space="preserve">1.726.609,41 € </w:t>
            </w:r>
          </w:p>
        </w:tc>
        <w:tc>
          <w:tcPr>
            <w:tcW w:w="150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60" w:firstLine="0"/>
              <w:jc w:val="left"/>
            </w:pPr>
            <w:r>
              <w:rPr>
                <w:sz w:val="20"/>
              </w:rPr>
              <w:t xml:space="preserve">1.762.490,22 € </w:t>
            </w:r>
          </w:p>
        </w:tc>
      </w:tr>
      <w:tr w:rsidR="00B064CF">
        <w:trPr>
          <w:trHeight w:val="338"/>
        </w:trPr>
        <w:tc>
          <w:tcPr>
            <w:tcW w:w="2552"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20"/>
              </w:rPr>
              <w:t>ACTIVOS FINANCIEROS</w:t>
            </w:r>
            <w:r>
              <w:rPr>
                <w:rFonts w:ascii="Times New Roman" w:eastAsia="Times New Roman" w:hAnsi="Times New Roman" w:cs="Times New Roman"/>
                <w:sz w:val="24"/>
              </w:rPr>
              <w:t xml:space="preserve"> </w:t>
            </w:r>
          </w:p>
        </w:tc>
        <w:tc>
          <w:tcPr>
            <w:tcW w:w="156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7" w:firstLine="0"/>
              <w:jc w:val="right"/>
            </w:pPr>
            <w:r>
              <w:rPr>
                <w:sz w:val="20"/>
              </w:rPr>
              <w:t xml:space="preserve">0,00 € </w:t>
            </w:r>
          </w:p>
        </w:tc>
        <w:tc>
          <w:tcPr>
            <w:tcW w:w="141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7" w:firstLine="0"/>
              <w:jc w:val="right"/>
            </w:pPr>
            <w:r>
              <w:rPr>
                <w:sz w:val="20"/>
              </w:rPr>
              <w:t xml:space="preserve">0,00 € </w:t>
            </w:r>
          </w:p>
        </w:tc>
        <w:tc>
          <w:tcPr>
            <w:tcW w:w="1416"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5" w:firstLine="0"/>
              <w:jc w:val="right"/>
            </w:pPr>
            <w:r>
              <w:rPr>
                <w:sz w:val="20"/>
              </w:rPr>
              <w:t xml:space="preserve">0,00 € </w:t>
            </w:r>
          </w:p>
        </w:tc>
        <w:tc>
          <w:tcPr>
            <w:tcW w:w="150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7" w:firstLine="0"/>
              <w:jc w:val="right"/>
            </w:pPr>
            <w:r>
              <w:rPr>
                <w:sz w:val="20"/>
              </w:rPr>
              <w:t xml:space="preserve">0,00 € </w:t>
            </w:r>
          </w:p>
        </w:tc>
      </w:tr>
      <w:tr w:rsidR="00B064CF">
        <w:trPr>
          <w:trHeight w:val="341"/>
        </w:trPr>
        <w:tc>
          <w:tcPr>
            <w:tcW w:w="2552"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20"/>
              </w:rPr>
              <w:t xml:space="preserve">PASIVOS FINANCIEROS </w:t>
            </w:r>
          </w:p>
        </w:tc>
        <w:tc>
          <w:tcPr>
            <w:tcW w:w="156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7" w:firstLine="0"/>
              <w:jc w:val="right"/>
            </w:pPr>
            <w:r>
              <w:rPr>
                <w:sz w:val="20"/>
              </w:rPr>
              <w:t xml:space="preserve">0,00 € </w:t>
            </w:r>
          </w:p>
        </w:tc>
        <w:tc>
          <w:tcPr>
            <w:tcW w:w="141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7" w:firstLine="0"/>
              <w:jc w:val="right"/>
            </w:pPr>
            <w:r>
              <w:rPr>
                <w:sz w:val="20"/>
              </w:rPr>
              <w:t xml:space="preserve">0,00 € </w:t>
            </w:r>
          </w:p>
        </w:tc>
        <w:tc>
          <w:tcPr>
            <w:tcW w:w="1416"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5" w:firstLine="0"/>
              <w:jc w:val="right"/>
            </w:pPr>
            <w:r>
              <w:rPr>
                <w:sz w:val="20"/>
              </w:rPr>
              <w:t xml:space="preserve">0,00 € </w:t>
            </w:r>
          </w:p>
        </w:tc>
        <w:tc>
          <w:tcPr>
            <w:tcW w:w="150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7" w:firstLine="0"/>
              <w:jc w:val="right"/>
            </w:pPr>
            <w:r>
              <w:rPr>
                <w:sz w:val="20"/>
              </w:rPr>
              <w:t xml:space="preserve">0,00 € </w:t>
            </w:r>
          </w:p>
        </w:tc>
      </w:tr>
      <w:tr w:rsidR="00B064CF">
        <w:trPr>
          <w:trHeight w:val="571"/>
        </w:trPr>
        <w:tc>
          <w:tcPr>
            <w:tcW w:w="2552"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right="3" w:firstLine="0"/>
              <w:jc w:val="center"/>
            </w:pPr>
            <w:r>
              <w:rPr>
                <w:sz w:val="20"/>
              </w:rPr>
              <w:t xml:space="preserve"> </w:t>
            </w:r>
          </w:p>
        </w:tc>
        <w:tc>
          <w:tcPr>
            <w:tcW w:w="156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5" w:firstLine="0"/>
            </w:pPr>
            <w:r>
              <w:rPr>
                <w:sz w:val="20"/>
              </w:rPr>
              <w:t xml:space="preserve">23.958.724,27 € </w:t>
            </w:r>
          </w:p>
        </w:tc>
        <w:tc>
          <w:tcPr>
            <w:tcW w:w="141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5" w:firstLine="0"/>
              <w:jc w:val="right"/>
            </w:pPr>
            <w:r>
              <w:rPr>
                <w:sz w:val="20"/>
              </w:rPr>
              <w:t xml:space="preserve">24.427.151,45 € </w:t>
            </w:r>
          </w:p>
        </w:tc>
        <w:tc>
          <w:tcPr>
            <w:tcW w:w="1416"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2" w:firstLine="0"/>
              <w:jc w:val="right"/>
            </w:pPr>
            <w:r>
              <w:rPr>
                <w:sz w:val="20"/>
              </w:rPr>
              <w:t xml:space="preserve">25.046.331,82 € </w:t>
            </w:r>
          </w:p>
        </w:tc>
        <w:tc>
          <w:tcPr>
            <w:tcW w:w="150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7" w:right="55" w:firstLine="0"/>
              <w:jc w:val="right"/>
            </w:pPr>
            <w:r>
              <w:rPr>
                <w:sz w:val="20"/>
              </w:rPr>
              <w:t xml:space="preserve">25.526.722,71 € </w:t>
            </w:r>
          </w:p>
        </w:tc>
      </w:tr>
    </w:tbl>
    <w:p w:rsidR="00B064CF" w:rsidRDefault="00E32F70">
      <w:pPr>
        <w:spacing w:after="0" w:line="259" w:lineRule="auto"/>
        <w:ind w:left="360" w:firstLine="0"/>
        <w:jc w:val="left"/>
      </w:pPr>
      <w:r>
        <w:rPr>
          <w:b/>
          <w:sz w:val="20"/>
        </w:rPr>
        <w:t xml:space="preserve"> </w:t>
      </w:r>
    </w:p>
    <w:tbl>
      <w:tblPr>
        <w:tblStyle w:val="TableGrid"/>
        <w:tblW w:w="8452" w:type="dxa"/>
        <w:tblInd w:w="917" w:type="dxa"/>
        <w:tblCellMar>
          <w:top w:w="56" w:type="dxa"/>
          <w:left w:w="55" w:type="dxa"/>
          <w:bottom w:w="0" w:type="dxa"/>
          <w:right w:w="0" w:type="dxa"/>
        </w:tblCellMar>
        <w:tblLook w:val="04A0" w:firstRow="1" w:lastRow="0" w:firstColumn="1" w:lastColumn="0" w:noHBand="0" w:noVBand="1"/>
      </w:tblPr>
      <w:tblGrid>
        <w:gridCol w:w="2552"/>
        <w:gridCol w:w="1560"/>
        <w:gridCol w:w="1419"/>
        <w:gridCol w:w="1416"/>
        <w:gridCol w:w="1505"/>
      </w:tblGrid>
      <w:tr w:rsidR="00B064CF">
        <w:trPr>
          <w:trHeight w:val="576"/>
        </w:trPr>
        <w:tc>
          <w:tcPr>
            <w:tcW w:w="2552"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right="60" w:firstLine="0"/>
              <w:jc w:val="center"/>
            </w:pPr>
            <w:r>
              <w:rPr>
                <w:b/>
                <w:sz w:val="20"/>
              </w:rPr>
              <w:t xml:space="preserve">GASTOS </w:t>
            </w:r>
          </w:p>
        </w:tc>
        <w:tc>
          <w:tcPr>
            <w:tcW w:w="156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46" w:firstLine="0"/>
            </w:pPr>
            <w:r>
              <w:rPr>
                <w:b/>
                <w:sz w:val="20"/>
              </w:rPr>
              <w:t>PRESUPUEST</w:t>
            </w:r>
          </w:p>
          <w:p w:rsidR="00B064CF" w:rsidRDefault="00E32F70">
            <w:pPr>
              <w:spacing w:after="0" w:line="259" w:lineRule="auto"/>
              <w:ind w:left="0" w:right="59" w:firstLine="0"/>
              <w:jc w:val="center"/>
            </w:pPr>
            <w:r>
              <w:rPr>
                <w:b/>
                <w:sz w:val="20"/>
              </w:rPr>
              <w:t xml:space="preserve">O 2021 </w:t>
            </w:r>
          </w:p>
        </w:tc>
        <w:tc>
          <w:tcPr>
            <w:tcW w:w="141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8" w:right="9" w:firstLine="0"/>
              <w:jc w:val="center"/>
            </w:pPr>
            <w:r>
              <w:rPr>
                <w:b/>
                <w:sz w:val="20"/>
              </w:rPr>
              <w:t xml:space="preserve">PREVISIÓN Pº 2022 </w:t>
            </w:r>
          </w:p>
        </w:tc>
        <w:tc>
          <w:tcPr>
            <w:tcW w:w="1416"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8" w:right="6" w:firstLine="0"/>
              <w:jc w:val="center"/>
            </w:pPr>
            <w:r>
              <w:rPr>
                <w:b/>
                <w:sz w:val="20"/>
              </w:rPr>
              <w:t xml:space="preserve">PREVISIÓN Pº 2023 </w:t>
            </w:r>
          </w:p>
        </w:tc>
        <w:tc>
          <w:tcPr>
            <w:tcW w:w="150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center"/>
            </w:pPr>
            <w:r>
              <w:rPr>
                <w:b/>
                <w:sz w:val="20"/>
              </w:rPr>
              <w:t>PREVISIÓN Pº 2024</w:t>
            </w:r>
            <w:r>
              <w:rPr>
                <w:rFonts w:ascii="Times New Roman" w:eastAsia="Times New Roman" w:hAnsi="Times New Roman" w:cs="Times New Roman"/>
                <w:sz w:val="24"/>
              </w:rPr>
              <w:t xml:space="preserve"> </w:t>
            </w:r>
          </w:p>
        </w:tc>
      </w:tr>
      <w:tr w:rsidR="00B064CF">
        <w:trPr>
          <w:trHeight w:val="569"/>
        </w:trPr>
        <w:tc>
          <w:tcPr>
            <w:tcW w:w="2552"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GASTOS DE PERSONAL </w:t>
            </w:r>
          </w:p>
        </w:tc>
        <w:tc>
          <w:tcPr>
            <w:tcW w:w="156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19" w:firstLine="0"/>
            </w:pPr>
            <w:r>
              <w:rPr>
                <w:sz w:val="20"/>
              </w:rPr>
              <w:t xml:space="preserve">11.442.275,09 € </w:t>
            </w:r>
          </w:p>
        </w:tc>
        <w:tc>
          <w:tcPr>
            <w:tcW w:w="141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5" w:firstLine="0"/>
              <w:jc w:val="right"/>
            </w:pPr>
            <w:r>
              <w:rPr>
                <w:sz w:val="20"/>
              </w:rPr>
              <w:t xml:space="preserve">11.656.697,84 € </w:t>
            </w:r>
          </w:p>
        </w:tc>
        <w:tc>
          <w:tcPr>
            <w:tcW w:w="1416"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2" w:firstLine="0"/>
              <w:jc w:val="right"/>
            </w:pPr>
            <w:r>
              <w:rPr>
                <w:sz w:val="20"/>
              </w:rPr>
              <w:t xml:space="preserve">11.887.831,80 € </w:t>
            </w:r>
          </w:p>
        </w:tc>
        <w:tc>
          <w:tcPr>
            <w:tcW w:w="150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7" w:right="55" w:firstLine="0"/>
              <w:jc w:val="right"/>
            </w:pPr>
            <w:r>
              <w:rPr>
                <w:sz w:val="20"/>
              </w:rPr>
              <w:t xml:space="preserve">12.023.588,43 € </w:t>
            </w:r>
          </w:p>
        </w:tc>
      </w:tr>
      <w:tr w:rsidR="00B064CF">
        <w:trPr>
          <w:trHeight w:val="802"/>
        </w:trPr>
        <w:tc>
          <w:tcPr>
            <w:tcW w:w="2552"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20"/>
              </w:rPr>
              <w:t xml:space="preserve">GASTOS EN BIENES </w:t>
            </w:r>
          </w:p>
          <w:p w:rsidR="00B064CF" w:rsidRDefault="00E32F70">
            <w:pPr>
              <w:spacing w:after="0" w:line="259" w:lineRule="auto"/>
              <w:ind w:left="0" w:firstLine="0"/>
              <w:jc w:val="left"/>
            </w:pPr>
            <w:r>
              <w:rPr>
                <w:sz w:val="20"/>
              </w:rPr>
              <w:t xml:space="preserve">CORRIENTES Y </w:t>
            </w:r>
          </w:p>
          <w:p w:rsidR="00B064CF" w:rsidRDefault="00E32F70">
            <w:pPr>
              <w:spacing w:after="0" w:line="259" w:lineRule="auto"/>
              <w:ind w:left="0" w:firstLine="0"/>
              <w:jc w:val="left"/>
            </w:pPr>
            <w:r>
              <w:rPr>
                <w:sz w:val="20"/>
              </w:rPr>
              <w:t xml:space="preserve">SERVICIOS </w:t>
            </w:r>
          </w:p>
        </w:tc>
        <w:tc>
          <w:tcPr>
            <w:tcW w:w="156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115" w:firstLine="0"/>
              <w:jc w:val="left"/>
            </w:pPr>
            <w:r>
              <w:rPr>
                <w:sz w:val="20"/>
              </w:rPr>
              <w:t xml:space="preserve">9.665.349,87 € </w:t>
            </w:r>
          </w:p>
        </w:tc>
        <w:tc>
          <w:tcPr>
            <w:tcW w:w="1419"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right="55" w:firstLine="0"/>
              <w:jc w:val="right"/>
            </w:pPr>
            <w:r>
              <w:rPr>
                <w:sz w:val="20"/>
              </w:rPr>
              <w:t xml:space="preserve">10.273.866,00 € </w:t>
            </w:r>
          </w:p>
        </w:tc>
        <w:tc>
          <w:tcPr>
            <w:tcW w:w="1416"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right="52" w:firstLine="0"/>
              <w:jc w:val="right"/>
            </w:pPr>
            <w:r>
              <w:rPr>
                <w:sz w:val="20"/>
              </w:rPr>
              <w:t xml:space="preserve">10.753.812,43 € </w:t>
            </w:r>
          </w:p>
        </w:tc>
        <w:tc>
          <w:tcPr>
            <w:tcW w:w="150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1" w:right="55" w:firstLine="0"/>
              <w:jc w:val="right"/>
            </w:pPr>
            <w:r>
              <w:rPr>
                <w:sz w:val="20"/>
              </w:rPr>
              <w:t xml:space="preserve">11.120.944,52 € </w:t>
            </w:r>
          </w:p>
        </w:tc>
      </w:tr>
      <w:tr w:rsidR="00B064CF">
        <w:trPr>
          <w:trHeight w:val="343"/>
        </w:trPr>
        <w:tc>
          <w:tcPr>
            <w:tcW w:w="2552" w:type="dxa"/>
            <w:tcBorders>
              <w:top w:val="nil"/>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20"/>
              </w:rPr>
              <w:t xml:space="preserve">GASTOS FINANCIEROS </w:t>
            </w:r>
          </w:p>
        </w:tc>
        <w:tc>
          <w:tcPr>
            <w:tcW w:w="1560" w:type="dxa"/>
            <w:tcBorders>
              <w:top w:val="nil"/>
              <w:left w:val="single" w:sz="2" w:space="0" w:color="000000"/>
              <w:bottom w:val="single" w:sz="2" w:space="0" w:color="000000"/>
              <w:right w:val="single" w:sz="2" w:space="0" w:color="000000"/>
            </w:tcBorders>
          </w:tcPr>
          <w:p w:rsidR="00B064CF" w:rsidRDefault="00E32F70">
            <w:pPr>
              <w:spacing w:after="0" w:line="259" w:lineRule="auto"/>
              <w:ind w:left="0" w:right="58" w:firstLine="0"/>
              <w:jc w:val="right"/>
            </w:pPr>
            <w:r>
              <w:rPr>
                <w:sz w:val="20"/>
              </w:rPr>
              <w:t xml:space="preserve">150.000,00 € </w:t>
            </w:r>
          </w:p>
        </w:tc>
        <w:tc>
          <w:tcPr>
            <w:tcW w:w="1419" w:type="dxa"/>
            <w:tcBorders>
              <w:top w:val="nil"/>
              <w:left w:val="single" w:sz="2" w:space="0" w:color="000000"/>
              <w:bottom w:val="single" w:sz="2" w:space="0" w:color="000000"/>
              <w:right w:val="single" w:sz="2" w:space="0" w:color="000000"/>
            </w:tcBorders>
          </w:tcPr>
          <w:p w:rsidR="00B064CF" w:rsidRDefault="00E32F70">
            <w:pPr>
              <w:spacing w:after="0" w:line="259" w:lineRule="auto"/>
              <w:ind w:left="0" w:right="59" w:firstLine="0"/>
              <w:jc w:val="right"/>
            </w:pPr>
            <w:r>
              <w:rPr>
                <w:sz w:val="20"/>
              </w:rPr>
              <w:t xml:space="preserve">150.000,00 € </w:t>
            </w:r>
          </w:p>
        </w:tc>
        <w:tc>
          <w:tcPr>
            <w:tcW w:w="1416" w:type="dxa"/>
            <w:tcBorders>
              <w:top w:val="nil"/>
              <w:left w:val="single" w:sz="2" w:space="0" w:color="000000"/>
              <w:bottom w:val="single" w:sz="2" w:space="0" w:color="000000"/>
              <w:right w:val="single" w:sz="2" w:space="0" w:color="000000"/>
            </w:tcBorders>
          </w:tcPr>
          <w:p w:rsidR="00B064CF" w:rsidRDefault="00E32F70">
            <w:pPr>
              <w:spacing w:after="0" w:line="259" w:lineRule="auto"/>
              <w:ind w:left="0" w:right="56" w:firstLine="0"/>
              <w:jc w:val="right"/>
            </w:pPr>
            <w:r>
              <w:rPr>
                <w:sz w:val="20"/>
              </w:rPr>
              <w:t xml:space="preserve">150.000,00 € </w:t>
            </w:r>
          </w:p>
        </w:tc>
        <w:tc>
          <w:tcPr>
            <w:tcW w:w="1505" w:type="dxa"/>
            <w:tcBorders>
              <w:top w:val="nil"/>
              <w:left w:val="single" w:sz="2" w:space="0" w:color="000000"/>
              <w:bottom w:val="single" w:sz="2" w:space="0" w:color="000000"/>
              <w:right w:val="single" w:sz="2" w:space="0" w:color="000000"/>
            </w:tcBorders>
          </w:tcPr>
          <w:p w:rsidR="00B064CF" w:rsidRDefault="00E32F70">
            <w:pPr>
              <w:spacing w:after="0" w:line="259" w:lineRule="auto"/>
              <w:ind w:left="0" w:right="59" w:firstLine="0"/>
              <w:jc w:val="right"/>
            </w:pPr>
            <w:r>
              <w:rPr>
                <w:sz w:val="20"/>
              </w:rPr>
              <w:t xml:space="preserve">150.000,00 € </w:t>
            </w:r>
          </w:p>
        </w:tc>
      </w:tr>
      <w:tr w:rsidR="00B064CF">
        <w:trPr>
          <w:trHeight w:val="569"/>
        </w:trPr>
        <w:tc>
          <w:tcPr>
            <w:tcW w:w="2552"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20"/>
              </w:rPr>
              <w:t xml:space="preserve">TRANSFERENCIAS CORRIENTES </w:t>
            </w:r>
          </w:p>
        </w:tc>
        <w:tc>
          <w:tcPr>
            <w:tcW w:w="156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115" w:firstLine="0"/>
              <w:jc w:val="left"/>
            </w:pPr>
            <w:r>
              <w:rPr>
                <w:sz w:val="20"/>
              </w:rPr>
              <w:t xml:space="preserve">1.979.771,12 € </w:t>
            </w:r>
          </w:p>
        </w:tc>
        <w:tc>
          <w:tcPr>
            <w:tcW w:w="141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31" w:right="55" w:firstLine="0"/>
              <w:jc w:val="right"/>
            </w:pPr>
            <w:r>
              <w:rPr>
                <w:sz w:val="20"/>
              </w:rPr>
              <w:t xml:space="preserve">1.979.771,12 € </w:t>
            </w:r>
          </w:p>
        </w:tc>
        <w:tc>
          <w:tcPr>
            <w:tcW w:w="1416"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31" w:right="52" w:firstLine="0"/>
              <w:jc w:val="right"/>
            </w:pPr>
            <w:r>
              <w:rPr>
                <w:sz w:val="20"/>
              </w:rPr>
              <w:t xml:space="preserve">1.979.771,12 € </w:t>
            </w:r>
          </w:p>
        </w:tc>
        <w:tc>
          <w:tcPr>
            <w:tcW w:w="150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60" w:firstLine="0"/>
              <w:jc w:val="left"/>
            </w:pPr>
            <w:r>
              <w:rPr>
                <w:sz w:val="20"/>
              </w:rPr>
              <w:t xml:space="preserve">1.979.771,12 € </w:t>
            </w:r>
          </w:p>
        </w:tc>
      </w:tr>
      <w:tr w:rsidR="00B064CF">
        <w:trPr>
          <w:trHeight w:val="341"/>
        </w:trPr>
        <w:tc>
          <w:tcPr>
            <w:tcW w:w="2552"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20"/>
              </w:rPr>
              <w:t xml:space="preserve">INVERSIONES REALES </w:t>
            </w:r>
          </w:p>
        </w:tc>
        <w:tc>
          <w:tcPr>
            <w:tcW w:w="156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8" w:firstLine="0"/>
              <w:jc w:val="right"/>
            </w:pPr>
            <w:r>
              <w:rPr>
                <w:sz w:val="20"/>
              </w:rPr>
              <w:t xml:space="preserve">544.700,04 € </w:t>
            </w:r>
          </w:p>
        </w:tc>
        <w:tc>
          <w:tcPr>
            <w:tcW w:w="141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84" w:firstLine="0"/>
              <w:jc w:val="left"/>
            </w:pPr>
            <w:r>
              <w:rPr>
                <w:sz w:val="20"/>
              </w:rPr>
              <w:t xml:space="preserve">185.609,41  € </w:t>
            </w:r>
          </w:p>
        </w:tc>
        <w:tc>
          <w:tcPr>
            <w:tcW w:w="1416"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6" w:firstLine="0"/>
              <w:jc w:val="right"/>
            </w:pPr>
            <w:r>
              <w:rPr>
                <w:sz w:val="20"/>
              </w:rPr>
              <w:t xml:space="preserve">162.306,75 € </w:t>
            </w:r>
          </w:p>
        </w:tc>
        <w:tc>
          <w:tcPr>
            <w:tcW w:w="150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9" w:firstLine="0"/>
              <w:jc w:val="right"/>
            </w:pPr>
            <w:r>
              <w:rPr>
                <w:sz w:val="20"/>
              </w:rPr>
              <w:t xml:space="preserve">146.809,41 € </w:t>
            </w:r>
          </w:p>
        </w:tc>
      </w:tr>
      <w:tr w:rsidR="00B064CF">
        <w:trPr>
          <w:trHeight w:val="571"/>
        </w:trPr>
        <w:tc>
          <w:tcPr>
            <w:tcW w:w="2552"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20"/>
              </w:rPr>
              <w:t xml:space="preserve">TRANSFERENCIAS DE CAPITAL </w:t>
            </w:r>
          </w:p>
        </w:tc>
        <w:tc>
          <w:tcPr>
            <w:tcW w:w="156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right="58" w:firstLine="0"/>
              <w:jc w:val="right"/>
            </w:pPr>
            <w:r>
              <w:rPr>
                <w:sz w:val="20"/>
              </w:rPr>
              <w:t xml:space="preserve">123.716,05 € </w:t>
            </w:r>
          </w:p>
        </w:tc>
        <w:tc>
          <w:tcPr>
            <w:tcW w:w="1419"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right="59" w:firstLine="0"/>
              <w:jc w:val="right"/>
            </w:pPr>
            <w:r>
              <w:rPr>
                <w:sz w:val="20"/>
              </w:rPr>
              <w:t xml:space="preserve">131.206,86 € </w:t>
            </w:r>
          </w:p>
        </w:tc>
        <w:tc>
          <w:tcPr>
            <w:tcW w:w="1416"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right="55" w:firstLine="0"/>
              <w:jc w:val="right"/>
            </w:pPr>
            <w:r>
              <w:rPr>
                <w:sz w:val="20"/>
              </w:rPr>
              <w:t xml:space="preserve">62.609,72 € </w:t>
            </w:r>
          </w:p>
        </w:tc>
        <w:tc>
          <w:tcPr>
            <w:tcW w:w="150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right="58" w:firstLine="0"/>
              <w:jc w:val="right"/>
            </w:pPr>
            <w:r>
              <w:rPr>
                <w:sz w:val="20"/>
              </w:rPr>
              <w:t xml:space="preserve">55.609,23 € </w:t>
            </w:r>
          </w:p>
        </w:tc>
      </w:tr>
      <w:tr w:rsidR="00B064CF">
        <w:trPr>
          <w:trHeight w:val="339"/>
        </w:trPr>
        <w:tc>
          <w:tcPr>
            <w:tcW w:w="2552"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20"/>
              </w:rPr>
              <w:t xml:space="preserve">ACTIVOS FINANCIEROS </w:t>
            </w:r>
          </w:p>
        </w:tc>
        <w:tc>
          <w:tcPr>
            <w:tcW w:w="156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7" w:firstLine="0"/>
              <w:jc w:val="right"/>
            </w:pPr>
            <w:r>
              <w:rPr>
                <w:sz w:val="20"/>
              </w:rPr>
              <w:t xml:space="preserve">50.000,00 € </w:t>
            </w:r>
          </w:p>
        </w:tc>
        <w:tc>
          <w:tcPr>
            <w:tcW w:w="141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8" w:firstLine="0"/>
              <w:jc w:val="right"/>
            </w:pPr>
            <w:r>
              <w:rPr>
                <w:sz w:val="20"/>
              </w:rPr>
              <w:t xml:space="preserve">50.000,00 € </w:t>
            </w:r>
          </w:p>
        </w:tc>
        <w:tc>
          <w:tcPr>
            <w:tcW w:w="1416"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5" w:firstLine="0"/>
              <w:jc w:val="right"/>
            </w:pPr>
            <w:r>
              <w:rPr>
                <w:sz w:val="20"/>
              </w:rPr>
              <w:t xml:space="preserve">50.000,00 € </w:t>
            </w:r>
          </w:p>
        </w:tc>
        <w:tc>
          <w:tcPr>
            <w:tcW w:w="150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7" w:firstLine="0"/>
              <w:jc w:val="right"/>
            </w:pPr>
            <w:r>
              <w:rPr>
                <w:sz w:val="20"/>
              </w:rPr>
              <w:t xml:space="preserve">50.000,00 € </w:t>
            </w:r>
          </w:p>
        </w:tc>
      </w:tr>
      <w:tr w:rsidR="00B064CF">
        <w:trPr>
          <w:trHeight w:val="341"/>
        </w:trPr>
        <w:tc>
          <w:tcPr>
            <w:tcW w:w="2552"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20"/>
              </w:rPr>
              <w:t xml:space="preserve">PASIVOS FINANCIEROS </w:t>
            </w:r>
          </w:p>
        </w:tc>
        <w:tc>
          <w:tcPr>
            <w:tcW w:w="156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7" w:firstLine="0"/>
              <w:jc w:val="right"/>
            </w:pPr>
            <w:r>
              <w:rPr>
                <w:sz w:val="20"/>
              </w:rPr>
              <w:t xml:space="preserve">0,00 € </w:t>
            </w:r>
          </w:p>
        </w:tc>
        <w:tc>
          <w:tcPr>
            <w:tcW w:w="141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7" w:firstLine="0"/>
              <w:jc w:val="right"/>
            </w:pPr>
            <w:r>
              <w:rPr>
                <w:sz w:val="20"/>
              </w:rPr>
              <w:t xml:space="preserve">0,00 € </w:t>
            </w:r>
          </w:p>
        </w:tc>
        <w:tc>
          <w:tcPr>
            <w:tcW w:w="1416"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5" w:firstLine="0"/>
              <w:jc w:val="right"/>
            </w:pPr>
            <w:r>
              <w:rPr>
                <w:sz w:val="20"/>
              </w:rPr>
              <w:t xml:space="preserve">0,00 € </w:t>
            </w:r>
          </w:p>
        </w:tc>
        <w:tc>
          <w:tcPr>
            <w:tcW w:w="150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7" w:firstLine="0"/>
              <w:jc w:val="right"/>
            </w:pPr>
            <w:r>
              <w:rPr>
                <w:sz w:val="20"/>
              </w:rPr>
              <w:t xml:space="preserve">0,00 € </w:t>
            </w:r>
          </w:p>
        </w:tc>
      </w:tr>
      <w:tr w:rsidR="00B064CF">
        <w:trPr>
          <w:trHeight w:val="569"/>
        </w:trPr>
        <w:tc>
          <w:tcPr>
            <w:tcW w:w="2552"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 </w:t>
            </w:r>
          </w:p>
        </w:tc>
        <w:tc>
          <w:tcPr>
            <w:tcW w:w="156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5" w:firstLine="0"/>
            </w:pPr>
            <w:r>
              <w:rPr>
                <w:sz w:val="20"/>
              </w:rPr>
              <w:t xml:space="preserve">23.955.812,17 € </w:t>
            </w:r>
          </w:p>
        </w:tc>
        <w:tc>
          <w:tcPr>
            <w:tcW w:w="141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5" w:firstLine="0"/>
              <w:jc w:val="right"/>
            </w:pPr>
            <w:r>
              <w:rPr>
                <w:sz w:val="20"/>
              </w:rPr>
              <w:t xml:space="preserve">24.427.151,45 € </w:t>
            </w:r>
          </w:p>
        </w:tc>
        <w:tc>
          <w:tcPr>
            <w:tcW w:w="1416"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52" w:firstLine="0"/>
              <w:jc w:val="right"/>
            </w:pPr>
            <w:r>
              <w:rPr>
                <w:sz w:val="20"/>
              </w:rPr>
              <w:t xml:space="preserve">25.046.331,82 € </w:t>
            </w:r>
          </w:p>
        </w:tc>
        <w:tc>
          <w:tcPr>
            <w:tcW w:w="150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7" w:right="55" w:firstLine="0"/>
              <w:jc w:val="right"/>
            </w:pPr>
            <w:r>
              <w:rPr>
                <w:sz w:val="20"/>
              </w:rPr>
              <w:t xml:space="preserve">25.526.722,71 € </w:t>
            </w:r>
          </w:p>
        </w:tc>
      </w:tr>
    </w:tbl>
    <w:p w:rsidR="00B064CF" w:rsidRDefault="00E32F70">
      <w:pPr>
        <w:spacing w:after="100" w:line="259" w:lineRule="auto"/>
        <w:ind w:left="360" w:firstLine="0"/>
        <w:jc w:val="left"/>
      </w:pPr>
      <w:r>
        <w:rPr>
          <w:b/>
        </w:rPr>
        <w:t xml:space="preserve"> </w:t>
      </w:r>
    </w:p>
    <w:p w:rsidR="00B064CF" w:rsidRDefault="00E32F70">
      <w:pPr>
        <w:spacing w:after="0"/>
        <w:ind w:left="355" w:right="146"/>
      </w:pPr>
      <w:r>
        <w:rPr>
          <w:b/>
        </w:rPr>
        <w:t xml:space="preserve">SEGUNDO. - </w:t>
      </w:r>
      <w:r>
        <w:t>El Presupuesto General definitivamente aprobados será insertado en el Boletín Oficial de la Provincia resumido por capítulos, además de la Plantilla Orgánica y resumen del Plan Presupuestario, y las Bases de Ejecución íntegramente.</w:t>
      </w:r>
      <w:r>
        <w:rPr>
          <w:rFonts w:ascii="Times New Roman" w:eastAsia="Times New Roman" w:hAnsi="Times New Roman" w:cs="Times New Roman"/>
          <w:sz w:val="24"/>
        </w:rPr>
        <w:t xml:space="preserve"> </w:t>
      </w:r>
    </w:p>
    <w:p w:rsidR="00B064CF" w:rsidRDefault="00E32F70">
      <w:pPr>
        <w:spacing w:after="95" w:line="259" w:lineRule="auto"/>
        <w:ind w:left="360" w:firstLine="0"/>
        <w:jc w:val="left"/>
      </w:pPr>
      <w:r>
        <w:t xml:space="preserve"> </w:t>
      </w:r>
    </w:p>
    <w:p w:rsidR="00B064CF" w:rsidRDefault="00E32F70">
      <w:pPr>
        <w:spacing w:after="94"/>
        <w:ind w:left="355" w:right="146"/>
      </w:pPr>
      <w:r>
        <w:rPr>
          <w:b/>
        </w:rPr>
        <w:t xml:space="preserve">TERCERO. - </w:t>
      </w:r>
      <w:r>
        <w:t>Del Presupuesto General definitivamente aprobado se remitirá copia a la Administración del Estado y a la Comunidad Autónoma. La remisión será simultánea al envío al Boletín Oficial de la Provincia.</w:t>
      </w:r>
      <w:r>
        <w:rPr>
          <w:rFonts w:ascii="Times New Roman" w:eastAsia="Times New Roman" w:hAnsi="Times New Roman" w:cs="Times New Roman"/>
          <w:sz w:val="24"/>
        </w:rPr>
        <w:t xml:space="preserve"> </w:t>
      </w:r>
    </w:p>
    <w:p w:rsidR="00B064CF" w:rsidRDefault="00E32F70">
      <w:pPr>
        <w:spacing w:after="17"/>
        <w:ind w:left="355" w:right="146"/>
      </w:pPr>
      <w:r>
        <w:rPr>
          <w:b/>
        </w:rPr>
        <w:t xml:space="preserve">CUARTO. - </w:t>
      </w:r>
      <w:r>
        <w:t>Anular las Modificaciones por transferencias de</w:t>
      </w:r>
      <w:r>
        <w:t xml:space="preserve"> crédito del ejercicio 2021 que se detallan a continuación, al estar los importes contemplados en los créditos iniciales al amparo del artículo 21 del Real Decreto 500/1990, de 20 de abril por el que se desarrolla el capítulo primero del título sexto de la</w:t>
      </w:r>
      <w:r>
        <w:t xml:space="preserve"> Ley 39/1988, de 28 de diciembre, reguladora de las Haciendas Locales, en materia de presupuestos.</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rPr>
          <w:rFonts w:ascii="Calibri" w:eastAsia="Calibri" w:hAnsi="Calibri" w:cs="Calibri"/>
          <w:noProof/>
        </w:rPr>
        <mc:AlternateContent>
          <mc:Choice Requires="wpg">
            <w:drawing>
              <wp:anchor distT="0" distB="0" distL="114300" distR="114300" simplePos="0" relativeHeight="25171660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82259" name="Group 382259"/>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12042" name="Rectangle 12042"/>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12043" name="Rectangle 12043"/>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Documento firmado electrónicamente desde la plataform</w:t>
                              </w:r>
                              <w:r>
                                <w:rPr>
                                  <w:sz w:val="12"/>
                                </w:rPr>
                                <w:t xml:space="preserve">a esPublico Gestiona | Página 54 de 298 </w:t>
                              </w:r>
                            </w:p>
                          </w:txbxContent>
                        </wps:txbx>
                        <wps:bodyPr horzOverflow="overflow" vert="horz" lIns="0" tIns="0" rIns="0" bIns="0" rtlCol="0">
                          <a:noAutofit/>
                        </wps:bodyPr>
                      </wps:wsp>
                    </wpg:wgp>
                  </a:graphicData>
                </a:graphic>
              </wp:anchor>
            </w:drawing>
          </mc:Choice>
          <mc:Fallback xmlns:a="http://schemas.openxmlformats.org/drawingml/2006/main">
            <w:pict>
              <v:group id="Group 382259" style="width:12.7031pt;height:278.91pt;position:absolute;mso-position-horizontal-relative:page;mso-position-horizontal:absolute;margin-left:682.278pt;mso-position-vertical-relative:page;margin-top:533.01pt;" coordsize="1613,35421">
                <v:rect id="Rectangle 12042"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12043"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54 de 298 </w:t>
                        </w:r>
                      </w:p>
                    </w:txbxContent>
                  </v:textbox>
                </v:rect>
                <w10:wrap type="square"/>
              </v:group>
            </w:pict>
          </mc:Fallback>
        </mc:AlternateContent>
      </w:r>
      <w:r>
        <w:rPr>
          <w:sz w:val="20"/>
        </w:rPr>
        <w:t xml:space="preserve"> </w:t>
      </w:r>
    </w:p>
    <w:tbl>
      <w:tblPr>
        <w:tblStyle w:val="TableGrid"/>
        <w:tblW w:w="3601" w:type="dxa"/>
        <w:tblInd w:w="2813" w:type="dxa"/>
        <w:tblCellMar>
          <w:top w:w="7" w:type="dxa"/>
          <w:left w:w="127" w:type="dxa"/>
          <w:bottom w:w="0" w:type="dxa"/>
          <w:right w:w="14" w:type="dxa"/>
        </w:tblCellMar>
        <w:tblLook w:val="04A0" w:firstRow="1" w:lastRow="0" w:firstColumn="1" w:lastColumn="0" w:noHBand="0" w:noVBand="1"/>
      </w:tblPr>
      <w:tblGrid>
        <w:gridCol w:w="1201"/>
        <w:gridCol w:w="1198"/>
        <w:gridCol w:w="1203"/>
      </w:tblGrid>
      <w:tr w:rsidR="00B064CF">
        <w:trPr>
          <w:trHeight w:val="468"/>
        </w:trPr>
        <w:tc>
          <w:tcPr>
            <w:tcW w:w="120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24" w:firstLine="0"/>
              <w:jc w:val="center"/>
            </w:pPr>
            <w:r>
              <w:rPr>
                <w:b/>
                <w:sz w:val="20"/>
              </w:rPr>
              <w:t xml:space="preserve">Expediente </w:t>
            </w:r>
          </w:p>
        </w:tc>
        <w:tc>
          <w:tcPr>
            <w:tcW w:w="1198" w:type="dxa"/>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right="117" w:firstLine="0"/>
              <w:jc w:val="center"/>
            </w:pPr>
            <w:r>
              <w:rPr>
                <w:b/>
                <w:sz w:val="20"/>
              </w:rPr>
              <w:t xml:space="preserve">Decreto </w:t>
            </w:r>
          </w:p>
        </w:tc>
        <w:tc>
          <w:tcPr>
            <w:tcW w:w="1203" w:type="dxa"/>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right="116" w:firstLine="0"/>
              <w:jc w:val="center"/>
            </w:pPr>
            <w:r>
              <w:rPr>
                <w:b/>
                <w:sz w:val="20"/>
              </w:rPr>
              <w:t xml:space="preserve">Fecha </w:t>
            </w:r>
          </w:p>
        </w:tc>
      </w:tr>
      <w:tr w:rsidR="00B064CF">
        <w:trPr>
          <w:trHeight w:val="312"/>
        </w:trPr>
        <w:tc>
          <w:tcPr>
            <w:tcW w:w="120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1029/2021 </w:t>
            </w:r>
          </w:p>
        </w:tc>
        <w:tc>
          <w:tcPr>
            <w:tcW w:w="119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53" w:firstLine="0"/>
              <w:jc w:val="left"/>
            </w:pPr>
            <w:r>
              <w:rPr>
                <w:sz w:val="20"/>
              </w:rPr>
              <w:t xml:space="preserve">225/2021 </w:t>
            </w:r>
          </w:p>
        </w:tc>
        <w:tc>
          <w:tcPr>
            <w:tcW w:w="120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5" w:firstLine="0"/>
              <w:jc w:val="left"/>
            </w:pPr>
            <w:r>
              <w:rPr>
                <w:sz w:val="20"/>
              </w:rPr>
              <w:t xml:space="preserve">08/02/2021 </w:t>
            </w:r>
          </w:p>
        </w:tc>
      </w:tr>
      <w:tr w:rsidR="00B064CF">
        <w:trPr>
          <w:trHeight w:val="310"/>
        </w:trPr>
        <w:tc>
          <w:tcPr>
            <w:tcW w:w="120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1230/2021 </w:t>
            </w:r>
          </w:p>
        </w:tc>
        <w:tc>
          <w:tcPr>
            <w:tcW w:w="119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53" w:firstLine="0"/>
              <w:jc w:val="left"/>
            </w:pPr>
            <w:r>
              <w:rPr>
                <w:sz w:val="20"/>
              </w:rPr>
              <w:t xml:space="preserve">306/2021 </w:t>
            </w:r>
          </w:p>
        </w:tc>
        <w:tc>
          <w:tcPr>
            <w:tcW w:w="120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5" w:firstLine="0"/>
              <w:jc w:val="left"/>
            </w:pPr>
            <w:r>
              <w:rPr>
                <w:sz w:val="20"/>
              </w:rPr>
              <w:t xml:space="preserve">12/02/2021 </w:t>
            </w:r>
          </w:p>
        </w:tc>
      </w:tr>
      <w:tr w:rsidR="00B064CF">
        <w:trPr>
          <w:trHeight w:val="310"/>
        </w:trPr>
        <w:tc>
          <w:tcPr>
            <w:tcW w:w="120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2493/2021 </w:t>
            </w:r>
          </w:p>
        </w:tc>
        <w:tc>
          <w:tcPr>
            <w:tcW w:w="119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53" w:firstLine="0"/>
              <w:jc w:val="left"/>
            </w:pPr>
            <w:r>
              <w:rPr>
                <w:sz w:val="20"/>
              </w:rPr>
              <w:t xml:space="preserve">765/2021 </w:t>
            </w:r>
          </w:p>
        </w:tc>
        <w:tc>
          <w:tcPr>
            <w:tcW w:w="120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5" w:firstLine="0"/>
              <w:jc w:val="left"/>
            </w:pPr>
            <w:r>
              <w:rPr>
                <w:sz w:val="20"/>
              </w:rPr>
              <w:t xml:space="preserve">22/03/2021 </w:t>
            </w:r>
          </w:p>
        </w:tc>
      </w:tr>
      <w:tr w:rsidR="00B064CF">
        <w:trPr>
          <w:trHeight w:val="310"/>
        </w:trPr>
        <w:tc>
          <w:tcPr>
            <w:tcW w:w="120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2496/2021 </w:t>
            </w:r>
          </w:p>
        </w:tc>
        <w:tc>
          <w:tcPr>
            <w:tcW w:w="119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53" w:firstLine="0"/>
              <w:jc w:val="left"/>
            </w:pPr>
            <w:r>
              <w:rPr>
                <w:sz w:val="20"/>
              </w:rPr>
              <w:t xml:space="preserve">763/2021 </w:t>
            </w:r>
          </w:p>
        </w:tc>
        <w:tc>
          <w:tcPr>
            <w:tcW w:w="120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5" w:firstLine="0"/>
              <w:jc w:val="left"/>
            </w:pPr>
            <w:r>
              <w:rPr>
                <w:sz w:val="20"/>
              </w:rPr>
              <w:t xml:space="preserve">22/03/2021 </w:t>
            </w:r>
          </w:p>
        </w:tc>
      </w:tr>
    </w:tbl>
    <w:p w:rsidR="00B064CF" w:rsidRDefault="00E32F70">
      <w:pPr>
        <w:spacing w:after="1" w:line="259" w:lineRule="auto"/>
        <w:ind w:left="355"/>
        <w:jc w:val="left"/>
      </w:pPr>
      <w:r>
        <w:rPr>
          <w:b/>
          <w:sz w:val="20"/>
        </w:rPr>
        <w:t xml:space="preserve">“ </w:t>
      </w:r>
    </w:p>
    <w:p w:rsidR="00B064CF" w:rsidRDefault="00E32F70">
      <w:pPr>
        <w:spacing w:after="0" w:line="259" w:lineRule="auto"/>
        <w:ind w:left="360" w:firstLine="0"/>
        <w:jc w:val="left"/>
      </w:pPr>
      <w:r>
        <w:rPr>
          <w:b/>
        </w:rPr>
        <w:t xml:space="preserve"> </w:t>
      </w:r>
    </w:p>
    <w:p w:rsidR="00B064CF" w:rsidRDefault="00E32F70">
      <w:pPr>
        <w:spacing w:after="0" w:line="259" w:lineRule="auto"/>
        <w:ind w:left="360" w:firstLine="0"/>
        <w:jc w:val="left"/>
      </w:pPr>
      <w:r>
        <w:rPr>
          <w:b/>
        </w:rPr>
        <w:t xml:space="preserve"> </w:t>
      </w:r>
    </w:p>
    <w:p w:rsidR="00B064CF" w:rsidRDefault="00E32F70">
      <w:pPr>
        <w:spacing w:after="0" w:line="259" w:lineRule="auto"/>
        <w:ind w:left="360" w:firstLine="0"/>
        <w:jc w:val="left"/>
      </w:pPr>
      <w:r>
        <w:rPr>
          <w:b/>
        </w:rPr>
        <w:t xml:space="preserve"> </w:t>
      </w:r>
    </w:p>
    <w:p w:rsidR="00B064CF" w:rsidRDefault="00E32F70">
      <w:pPr>
        <w:spacing w:after="0" w:line="259" w:lineRule="auto"/>
        <w:ind w:left="1068" w:firstLine="0"/>
        <w:jc w:val="left"/>
      </w:pPr>
      <w:r>
        <w:t xml:space="preserve"> </w:t>
      </w:r>
    </w:p>
    <w:p w:rsidR="00B064CF" w:rsidRDefault="00E32F70">
      <w:pPr>
        <w:spacing w:after="0" w:line="259" w:lineRule="auto"/>
        <w:ind w:left="1068" w:firstLine="0"/>
        <w:jc w:val="left"/>
      </w:pPr>
      <w:r>
        <w:t xml:space="preserve"> </w:t>
      </w:r>
    </w:p>
    <w:p w:rsidR="00B064CF" w:rsidRDefault="00E32F70">
      <w:pPr>
        <w:spacing w:after="0" w:line="259" w:lineRule="auto"/>
        <w:ind w:left="1068" w:firstLine="0"/>
        <w:jc w:val="left"/>
      </w:pPr>
      <w:r>
        <w:t xml:space="preserve"> </w:t>
      </w:r>
    </w:p>
    <w:p w:rsidR="00B064CF" w:rsidRDefault="00E32F70">
      <w:pPr>
        <w:spacing w:after="0" w:line="259" w:lineRule="auto"/>
        <w:ind w:left="1068" w:firstLine="0"/>
        <w:jc w:val="left"/>
      </w:pPr>
      <w:r>
        <w:t xml:space="preserve"> </w:t>
      </w:r>
    </w:p>
    <w:p w:rsidR="00B064CF" w:rsidRDefault="00E32F70">
      <w:pPr>
        <w:spacing w:after="0" w:line="259" w:lineRule="auto"/>
        <w:ind w:left="1068" w:firstLine="0"/>
        <w:jc w:val="left"/>
      </w:pPr>
      <w:r>
        <w:t xml:space="preserve"> </w:t>
      </w:r>
    </w:p>
    <w:p w:rsidR="00B064CF" w:rsidRDefault="00E32F70">
      <w:pPr>
        <w:spacing w:after="0" w:line="259" w:lineRule="auto"/>
        <w:ind w:left="1068" w:firstLine="0"/>
        <w:jc w:val="left"/>
      </w:pPr>
      <w:r>
        <w:t xml:space="preserve"> </w:t>
      </w:r>
    </w:p>
    <w:p w:rsidR="00B064CF" w:rsidRDefault="00E32F70">
      <w:pPr>
        <w:spacing w:after="98"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117" w:line="259" w:lineRule="auto"/>
        <w:ind w:left="360" w:firstLine="0"/>
        <w:jc w:val="left"/>
      </w:pPr>
      <w:r>
        <w:t xml:space="preserve"> </w:t>
      </w:r>
    </w:p>
    <w:p w:rsidR="00B064CF" w:rsidRDefault="00E32F70">
      <w:pPr>
        <w:spacing w:after="120" w:line="240" w:lineRule="auto"/>
        <w:ind w:left="355" w:right="135"/>
      </w:pPr>
      <w:r>
        <w:rPr>
          <w:b/>
          <w:sz w:val="24"/>
        </w:rPr>
        <w:t>2.-</w:t>
      </w:r>
      <w:r>
        <w:rPr>
          <w:sz w:val="24"/>
        </w:rPr>
        <w:t xml:space="preserve"> </w:t>
      </w:r>
      <w:r>
        <w:rPr>
          <w:b/>
          <w:sz w:val="24"/>
        </w:rPr>
        <w:t>Expediente 319/2021. Propuesta de la Alcaldesa-Presidenta de fecha 14 de mayo de 2021 al Pleno para la modificación del Plan Anual Normativo 2021.</w:t>
      </w:r>
      <w:r>
        <w:t xml:space="preserve"> </w:t>
      </w:r>
    </w:p>
    <w:p w:rsidR="00B064CF" w:rsidRDefault="00E32F70">
      <w:pPr>
        <w:spacing w:after="79" w:line="259" w:lineRule="auto"/>
        <w:ind w:left="360" w:firstLine="0"/>
        <w:jc w:val="left"/>
      </w:pPr>
      <w:r>
        <w:rPr>
          <w:b/>
          <w:sz w:val="24"/>
        </w:rPr>
        <w:t xml:space="preserve"> </w:t>
      </w:r>
    </w:p>
    <w:p w:rsidR="00B064CF" w:rsidRDefault="00E32F70">
      <w:pPr>
        <w:spacing w:after="112"/>
        <w:ind w:left="345" w:right="141" w:firstLine="708"/>
      </w:pPr>
      <w:r>
        <w:rPr>
          <w:b/>
        </w:rPr>
        <w:t xml:space="preserve">Consta en el expediente Informe Jurídico emitido por Doña Rosa Edelmira González Sabina, </w:t>
      </w:r>
      <w:r>
        <w:rPr>
          <w:b/>
        </w:rPr>
        <w:t>que desempeña el puesto de Jurista, de 9 de febrero de 2021, debidamente conformado por Dª María del Pilar Chico Delgado, Técnico de Administración General, de 9 de febrero de 2021, del siguiente tenor literal:</w:t>
      </w:r>
      <w:r>
        <w:t xml:space="preserve"> </w:t>
      </w:r>
    </w:p>
    <w:p w:rsidR="00B064CF" w:rsidRDefault="00E32F70">
      <w:pPr>
        <w:spacing w:after="129" w:line="259" w:lineRule="auto"/>
        <w:ind w:left="360" w:firstLine="0"/>
        <w:jc w:val="left"/>
      </w:pPr>
      <w:r>
        <w:rPr>
          <w:b/>
        </w:rPr>
        <w:t xml:space="preserve">   </w:t>
      </w:r>
    </w:p>
    <w:p w:rsidR="00B064CF" w:rsidRDefault="00E32F70">
      <w:pPr>
        <w:spacing w:after="109"/>
        <w:ind w:left="3208" w:right="68"/>
      </w:pPr>
      <w:r>
        <w:rPr>
          <w:b/>
        </w:rPr>
        <w:t xml:space="preserve">            “INFORME JURÍDICO </w:t>
      </w:r>
    </w:p>
    <w:p w:rsidR="00B064CF" w:rsidRDefault="00E32F70">
      <w:pPr>
        <w:spacing w:after="114"/>
        <w:ind w:left="355" w:right="146"/>
      </w:pPr>
      <w:r>
        <w:rPr>
          <w:b/>
        </w:rPr>
        <w:t xml:space="preserve">Visto el </w:t>
      </w:r>
      <w:r>
        <w:rPr>
          <w:b/>
        </w:rPr>
        <w:t xml:space="preserve">expediente referenciado, la técnica jurista Dña Rosa Edelmira González Sabina, y debidamente conformado por la funcionaria Dña María del Pilar Chico Delgado emite el siguiente informe: </w:t>
      </w:r>
    </w:p>
    <w:p w:rsidR="00B064CF" w:rsidRDefault="00E32F70">
      <w:pPr>
        <w:spacing w:after="98" w:line="259" w:lineRule="auto"/>
        <w:ind w:left="360" w:firstLine="0"/>
        <w:jc w:val="left"/>
      </w:pPr>
      <w:r>
        <w:t xml:space="preserve">  </w:t>
      </w:r>
    </w:p>
    <w:p w:rsidR="00B064CF" w:rsidRDefault="00E32F70">
      <w:pPr>
        <w:pStyle w:val="Ttulo1"/>
        <w:spacing w:after="109" w:line="249" w:lineRule="auto"/>
        <w:ind w:left="290" w:right="66"/>
        <w:jc w:val="center"/>
      </w:pPr>
      <w:r>
        <w:rPr>
          <w:rFonts w:ascii="Calibri" w:eastAsia="Calibri" w:hAnsi="Calibri" w:cs="Calibri"/>
          <w:noProof/>
        </w:rPr>
        <mc:AlternateContent>
          <mc:Choice Requires="wpg">
            <w:drawing>
              <wp:anchor distT="0" distB="0" distL="114300" distR="114300" simplePos="0" relativeHeight="25171763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74552" name="Group 374552"/>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12282" name="Rectangle 12282"/>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64SKSNYNJRFPNN5DLPPAAC3GS | Verificación: https</w:t>
                              </w:r>
                              <w:r>
                                <w:rPr>
                                  <w:sz w:val="12"/>
                                </w:rPr>
                                <w:t xml:space="preserve">://candelaria.sedelectronica.es/ </w:t>
                              </w:r>
                            </w:p>
                          </w:txbxContent>
                        </wps:txbx>
                        <wps:bodyPr horzOverflow="overflow" vert="horz" lIns="0" tIns="0" rIns="0" bIns="0" rtlCol="0">
                          <a:noAutofit/>
                        </wps:bodyPr>
                      </wps:wsp>
                      <wps:wsp>
                        <wps:cNvPr id="12283" name="Rectangle 12283"/>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55 de 298 </w:t>
                              </w:r>
                            </w:p>
                          </w:txbxContent>
                        </wps:txbx>
                        <wps:bodyPr horzOverflow="overflow" vert="horz" lIns="0" tIns="0" rIns="0" bIns="0" rtlCol="0">
                          <a:noAutofit/>
                        </wps:bodyPr>
                      </wps:wsp>
                    </wpg:wgp>
                  </a:graphicData>
                </a:graphic>
              </wp:anchor>
            </w:drawing>
          </mc:Choice>
          <mc:Fallback xmlns:a="http://schemas.openxmlformats.org/drawingml/2006/main">
            <w:pict>
              <v:group id="Group 374552" style="width:12.7031pt;height:278.91pt;position:absolute;mso-position-horizontal-relative:page;mso-position-horizontal:absolute;margin-left:682.278pt;mso-position-vertical-relative:page;margin-top:533.01pt;" coordsize="1613,35421">
                <v:rect id="Rectangle 12282"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12283"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55 de 298 </w:t>
                        </w:r>
                      </w:p>
                    </w:txbxContent>
                  </v:textbox>
                </v:rect>
                <w10:wrap type="square"/>
              </v:group>
            </w:pict>
          </mc:Fallback>
        </mc:AlternateContent>
      </w:r>
      <w:r>
        <w:rPr>
          <w:u w:val="none"/>
        </w:rPr>
        <w:t xml:space="preserve">Antecedentes de hecho </w:t>
      </w:r>
      <w:r>
        <w:rPr>
          <w:b w:val="0"/>
          <w:u w:val="none"/>
        </w:rPr>
        <w:t xml:space="preserve"> </w:t>
      </w:r>
    </w:p>
    <w:p w:rsidR="00B064CF" w:rsidRDefault="00E32F70">
      <w:pPr>
        <w:spacing w:after="101" w:line="259" w:lineRule="auto"/>
        <w:ind w:left="360" w:firstLine="0"/>
        <w:jc w:val="left"/>
      </w:pPr>
      <w:r>
        <w:t xml:space="preserve"> </w:t>
      </w:r>
    </w:p>
    <w:p w:rsidR="00B064CF" w:rsidRDefault="00E32F70">
      <w:pPr>
        <w:ind w:left="355" w:right="72"/>
      </w:pPr>
      <w:r>
        <w:t xml:space="preserve">Único.-  </w:t>
      </w:r>
      <w:r>
        <w:t xml:space="preserve">Consta en el expediente Propuesta de fecha 14 de mayo de 2021, en el que se propone la modificación del Plan normativo anual de 2021 incluyendo las siguientes normas: </w:t>
      </w:r>
    </w:p>
    <w:p w:rsidR="00B064CF" w:rsidRDefault="00E32F70">
      <w:pPr>
        <w:numPr>
          <w:ilvl w:val="0"/>
          <w:numId w:val="10"/>
        </w:numPr>
        <w:spacing w:after="161"/>
        <w:ind w:right="72" w:hanging="360"/>
      </w:pPr>
      <w:r>
        <w:rPr>
          <w:b/>
        </w:rPr>
        <w:t xml:space="preserve">Modificación del Reglamento de Ordenación del Callejero Municipal de Candelaria. </w:t>
      </w:r>
      <w:r>
        <w:rPr>
          <w:sz w:val="24"/>
        </w:rPr>
        <w:t xml:space="preserve"> </w:t>
      </w:r>
    </w:p>
    <w:p w:rsidR="00B064CF" w:rsidRDefault="00E32F70">
      <w:pPr>
        <w:numPr>
          <w:ilvl w:val="0"/>
          <w:numId w:val="10"/>
        </w:numPr>
        <w:ind w:right="72" w:hanging="360"/>
      </w:pPr>
      <w:r>
        <w:rPr>
          <w:b/>
        </w:rPr>
        <w:t>Aprob</w:t>
      </w:r>
      <w:r>
        <w:rPr>
          <w:b/>
        </w:rPr>
        <w:t>ación de la Ordenanza Reguladora de Administración Electrónica</w:t>
      </w:r>
      <w:r>
        <w:t xml:space="preserve"> del Ayuntamiento de Candelaria, para regular la gestión administrativa y la tramitación de procedimientos por vía electrónica, en aplicación de las Leyes 39/2015, de 1 de octubre, del Procedimi</w:t>
      </w:r>
      <w:r>
        <w:t>ento Administrativo Común de las Administraciones Públicas, y 40/2015, de 1 de octubre, del Régimen Jurídico del Sector Público</w:t>
      </w:r>
      <w:r>
        <w:rPr>
          <w:sz w:val="24"/>
        </w:rPr>
        <w:t xml:space="preserve"> </w:t>
      </w:r>
    </w:p>
    <w:p w:rsidR="00B064CF" w:rsidRDefault="00E32F70">
      <w:pPr>
        <w:numPr>
          <w:ilvl w:val="0"/>
          <w:numId w:val="10"/>
        </w:numPr>
        <w:spacing w:after="23"/>
        <w:ind w:right="72" w:hanging="360"/>
      </w:pPr>
      <w:r>
        <w:rPr>
          <w:b/>
        </w:rPr>
        <w:t>Aprobación del Reglamento de Teletrabajo,</w:t>
      </w:r>
      <w:r>
        <w:t xml:space="preserve"> que regula la prestación del servicio en modalidad de teletrabajo.</w:t>
      </w:r>
      <w:r>
        <w:rPr>
          <w:sz w:val="24"/>
        </w:rPr>
        <w:t xml:space="preserve"> </w:t>
      </w:r>
    </w:p>
    <w:p w:rsidR="00B064CF" w:rsidRDefault="00E32F70">
      <w:pPr>
        <w:spacing w:after="139" w:line="259" w:lineRule="auto"/>
        <w:ind w:left="708" w:firstLine="0"/>
        <w:jc w:val="left"/>
      </w:pPr>
      <w:r>
        <w:t xml:space="preserve"> </w:t>
      </w:r>
    </w:p>
    <w:p w:rsidR="00B064CF" w:rsidRDefault="00E32F70">
      <w:pPr>
        <w:spacing w:after="11"/>
        <w:ind w:left="718" w:right="72"/>
      </w:pPr>
      <w:r>
        <w:t>Por tanto, el P</w:t>
      </w:r>
      <w:r>
        <w:t xml:space="preserve">lan Anual Normativo 2021 quedaría distribuido de la siguiente manera: </w:t>
      </w:r>
    </w:p>
    <w:tbl>
      <w:tblPr>
        <w:tblStyle w:val="TableGrid"/>
        <w:tblW w:w="8282" w:type="dxa"/>
        <w:tblInd w:w="788" w:type="dxa"/>
        <w:tblCellMar>
          <w:top w:w="0" w:type="dxa"/>
          <w:left w:w="55" w:type="dxa"/>
          <w:bottom w:w="0" w:type="dxa"/>
          <w:right w:w="115" w:type="dxa"/>
        </w:tblCellMar>
        <w:tblLook w:val="04A0" w:firstRow="1" w:lastRow="0" w:firstColumn="1" w:lastColumn="0" w:noHBand="0" w:noVBand="1"/>
      </w:tblPr>
      <w:tblGrid>
        <w:gridCol w:w="1555"/>
        <w:gridCol w:w="5310"/>
        <w:gridCol w:w="1417"/>
      </w:tblGrid>
      <w:tr w:rsidR="00B064CF">
        <w:trPr>
          <w:trHeight w:val="773"/>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RECURSOS HUMANOS</w:t>
            </w:r>
            <w:r>
              <w:rPr>
                <w:rFonts w:ascii="Times New Roman" w:eastAsia="Times New Roman" w:hAnsi="Times New Roman" w:cs="Times New Roman"/>
                <w:sz w:val="24"/>
              </w:rPr>
              <w:t xml:space="preserve">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sz w:val="20"/>
              </w:rPr>
              <w:t xml:space="preserve">Reglamento de funcionamiento del control de presencia.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r w:rsidR="00B064CF">
        <w:trPr>
          <w:trHeight w:val="511"/>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URBANISMO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sz w:val="20"/>
              </w:rPr>
              <w:t xml:space="preserve">Ordenanza Reguladora del dominio público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r w:rsidR="00B064CF">
        <w:trPr>
          <w:trHeight w:val="511"/>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URBANISMO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sz w:val="20"/>
              </w:rPr>
              <w:t xml:space="preserve">Ordenanza de inspección técnica de edificios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r w:rsidR="00B064CF">
        <w:trPr>
          <w:trHeight w:val="773"/>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URBANISMO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sz w:val="20"/>
              </w:rPr>
              <w:t xml:space="preserve">Ordenanza reguladora de los regímenes de intervención en materia urbanística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bl>
    <w:tbl>
      <w:tblPr>
        <w:tblStyle w:val="TableGrid"/>
        <w:tblpPr w:vertAnchor="text" w:tblpX="788"/>
        <w:tblOverlap w:val="never"/>
        <w:tblW w:w="8282" w:type="dxa"/>
        <w:tblInd w:w="0" w:type="dxa"/>
        <w:tblCellMar>
          <w:top w:w="7" w:type="dxa"/>
          <w:left w:w="55" w:type="dxa"/>
          <w:bottom w:w="0" w:type="dxa"/>
          <w:right w:w="45" w:type="dxa"/>
        </w:tblCellMar>
        <w:tblLook w:val="04A0" w:firstRow="1" w:lastRow="0" w:firstColumn="1" w:lastColumn="0" w:noHBand="0" w:noVBand="1"/>
      </w:tblPr>
      <w:tblGrid>
        <w:gridCol w:w="1555"/>
        <w:gridCol w:w="5310"/>
        <w:gridCol w:w="1417"/>
      </w:tblGrid>
      <w:tr w:rsidR="00B064CF">
        <w:trPr>
          <w:trHeight w:val="775"/>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URBANISMO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sz w:val="20"/>
              </w:rPr>
              <w:t>Ordenanza fiscal reguladora del impuesto sobre construcciones, instalaciones y obras</w:t>
            </w:r>
            <w:r>
              <w:rPr>
                <w:sz w:val="20"/>
              </w:rPr>
              <w:t xml:space="preserve">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Modificación </w:t>
            </w:r>
          </w:p>
        </w:tc>
      </w:tr>
      <w:tr w:rsidR="00B064CF">
        <w:trPr>
          <w:trHeight w:val="511"/>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URBANISMO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sz w:val="20"/>
              </w:rPr>
              <w:t xml:space="preserve">Impuesto sobre bienes inmuebles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Modificación </w:t>
            </w:r>
          </w:p>
        </w:tc>
      </w:tr>
      <w:tr w:rsidR="00B064CF">
        <w:trPr>
          <w:trHeight w:val="776"/>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URBANISMO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sz w:val="20"/>
              </w:rPr>
              <w:t xml:space="preserve">Ordenanza fiscal reguladora de la tasa por prestación de servicios urbanísticos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Modificación </w:t>
            </w:r>
          </w:p>
        </w:tc>
      </w:tr>
      <w:tr w:rsidR="00B064CF">
        <w:trPr>
          <w:trHeight w:val="1037"/>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URBANISMO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sz w:val="20"/>
              </w:rPr>
              <w:t xml:space="preserve">Ordenanza fiscal reguladora de la tasa por prestación de servicios de intervención y control en la implantación de instalaciones y actividades o servicios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Modificación </w:t>
            </w:r>
          </w:p>
        </w:tc>
      </w:tr>
      <w:tr w:rsidR="00B064CF">
        <w:trPr>
          <w:trHeight w:val="1039"/>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HACIENDA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sz w:val="20"/>
              </w:rPr>
              <w:t xml:space="preserve">Tasas por prestación de un servicio público o la realización de una actividad administrativa. Tasa por expedición de documentos.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Modificación </w:t>
            </w:r>
          </w:p>
        </w:tc>
      </w:tr>
      <w:tr w:rsidR="00B064CF">
        <w:trPr>
          <w:trHeight w:val="773"/>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HACIENDA </w:t>
            </w:r>
          </w:p>
        </w:tc>
        <w:tc>
          <w:tcPr>
            <w:tcW w:w="531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2" w:firstLine="0"/>
              <w:jc w:val="left"/>
            </w:pPr>
            <w:r>
              <w:rPr>
                <w:sz w:val="20"/>
              </w:rPr>
              <w:t xml:space="preserve">Ordenanza de la prestación patrimonial pública no tributaria de abastecimiento y saneamiento de agua potable.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r w:rsidR="00B064CF">
        <w:trPr>
          <w:trHeight w:val="896"/>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HACIENDA </w:t>
            </w:r>
          </w:p>
        </w:tc>
        <w:tc>
          <w:tcPr>
            <w:tcW w:w="531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2" w:right="10" w:firstLine="0"/>
              <w:jc w:val="left"/>
            </w:pPr>
            <w:r>
              <w:rPr>
                <w:sz w:val="20"/>
              </w:rPr>
              <w:t xml:space="preserve">Ordenanza de la prestación patrimonial pública no tributaria de del servicio de retirada y depósito de vehículos de la vía pública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r w:rsidR="00B064CF">
        <w:trPr>
          <w:trHeight w:val="737"/>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HACIENDA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sz w:val="20"/>
              </w:rPr>
              <w:t xml:space="preserve">Reglamento de Control Interno de la actividad económicofinanciera del Ayuntamiento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r w:rsidR="00B064CF">
        <w:trPr>
          <w:trHeight w:val="773"/>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PARTICIPACIÓ N CIUDADANA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sz w:val="20"/>
              </w:rPr>
              <w:t>Ordenanza reguladora de la convivencia ciudadana en el término municipal de Candelaria.</w:t>
            </w:r>
            <w:r>
              <w:rPr>
                <w:rFonts w:ascii="Times New Roman" w:eastAsia="Times New Roman" w:hAnsi="Times New Roman" w:cs="Times New Roman"/>
                <w:sz w:val="24"/>
              </w:rPr>
              <w:t xml:space="preserve">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r w:rsidR="00B064CF">
        <w:trPr>
          <w:trHeight w:val="775"/>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SERVICIOS SOCIALES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sz w:val="20"/>
              </w:rPr>
              <w:t>Aprobación definitiva de la Prestación de Servicio de Ayuda a Domicilio</w:t>
            </w:r>
            <w:r>
              <w:rPr>
                <w:rFonts w:ascii="Times New Roman" w:eastAsia="Times New Roman" w:hAnsi="Times New Roman" w:cs="Times New Roman"/>
                <w:sz w:val="24"/>
              </w:rPr>
              <w:t xml:space="preserve">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r w:rsidR="00B064CF">
        <w:trPr>
          <w:trHeight w:val="857"/>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SERVICIOS SOCIALES </w:t>
            </w:r>
          </w:p>
        </w:tc>
        <w:tc>
          <w:tcPr>
            <w:tcW w:w="531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2" w:firstLine="0"/>
              <w:jc w:val="left"/>
            </w:pPr>
            <w:r>
              <w:rPr>
                <w:sz w:val="20"/>
              </w:rPr>
              <w:t xml:space="preserve">Ordenanza Reguladora de las Prestaciones Económicas del Sistema Municipal de Servicios Sociales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r w:rsidR="00B064CF">
        <w:trPr>
          <w:trHeight w:val="1303"/>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COMERCIO </w:t>
            </w:r>
          </w:p>
        </w:tc>
        <w:tc>
          <w:tcPr>
            <w:tcW w:w="531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2" w:firstLine="0"/>
              <w:jc w:val="left"/>
            </w:pPr>
            <w:r>
              <w:rPr>
                <w:sz w:val="20"/>
              </w:rPr>
              <w:t xml:space="preserve">Ordenanza reguladora de venta no sedentaria y otras actividades y espectáculos temporales con finalidad mercantil o comercial en la vía pública en el término municipal de candelaria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r w:rsidR="00B064CF">
        <w:trPr>
          <w:trHeight w:val="773"/>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DESARROLLO RURAL </w:t>
            </w:r>
          </w:p>
        </w:tc>
        <w:tc>
          <w:tcPr>
            <w:tcW w:w="531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2" w:firstLine="0"/>
            </w:pPr>
            <w:r>
              <w:rPr>
                <w:sz w:val="20"/>
              </w:rPr>
              <w:t>Ordenanza reguladora del Mercado de Producción Local de Candelaria</w:t>
            </w:r>
            <w:r>
              <w:rPr>
                <w:rFonts w:ascii="Times New Roman" w:eastAsia="Times New Roman" w:hAnsi="Times New Roman" w:cs="Times New Roman"/>
                <w:sz w:val="24"/>
              </w:rPr>
              <w:t xml:space="preserve">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r w:rsidR="00B064CF">
        <w:trPr>
          <w:trHeight w:val="776"/>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DESARROLLO RURAL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sz w:val="20"/>
              </w:rPr>
              <w:t>Ordenanza Reguladora de uso de los Senderos de la Red de Senderos Locales de Candelaria.</w:t>
            </w:r>
            <w:r>
              <w:rPr>
                <w:rFonts w:ascii="Times New Roman" w:eastAsia="Times New Roman" w:hAnsi="Times New Roman" w:cs="Times New Roman"/>
                <w:sz w:val="24"/>
              </w:rPr>
              <w:t xml:space="preserve">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r w:rsidR="00B064CF">
        <w:trPr>
          <w:trHeight w:val="509"/>
        </w:trPr>
        <w:tc>
          <w:tcPr>
            <w:tcW w:w="155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pPr>
            <w:r>
              <w:rPr>
                <w:sz w:val="20"/>
              </w:rPr>
              <w:t xml:space="preserve">DESARROLLO </w:t>
            </w:r>
          </w:p>
        </w:tc>
        <w:tc>
          <w:tcPr>
            <w:tcW w:w="531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2" w:firstLine="0"/>
              <w:jc w:val="left"/>
            </w:pPr>
            <w:r>
              <w:rPr>
                <w:sz w:val="20"/>
              </w:rPr>
              <w:t>Ordenanza portuaria por la que se establecen los usos y gestión del Puerto Pesquero de Candelaria.</w:t>
            </w:r>
            <w:r>
              <w:rPr>
                <w:rFonts w:ascii="Times New Roman" w:eastAsia="Times New Roman" w:hAnsi="Times New Roman" w:cs="Times New Roman"/>
                <w:sz w:val="24"/>
              </w:rPr>
              <w:t xml:space="preserve">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bl>
    <w:p w:rsidR="00B064CF" w:rsidRDefault="00E32F70">
      <w:pPr>
        <w:spacing w:after="0" w:line="259" w:lineRule="auto"/>
        <w:ind w:left="-2192" w:right="1003" w:firstLine="0"/>
        <w:jc w:val="left"/>
      </w:pPr>
      <w:r>
        <w:rPr>
          <w:rFonts w:ascii="Calibri" w:eastAsia="Calibri" w:hAnsi="Calibri" w:cs="Calibri"/>
          <w:noProof/>
        </w:rPr>
        <mc:AlternateContent>
          <mc:Choice Requires="wpg">
            <w:drawing>
              <wp:anchor distT="0" distB="0" distL="114300" distR="114300" simplePos="0" relativeHeight="251718656" behindDoc="0" locked="0" layoutInCell="1" allowOverlap="1">
                <wp:simplePos x="0" y="0"/>
                <wp:positionH relativeFrom="page">
                  <wp:posOffset>8664935</wp:posOffset>
                </wp:positionH>
                <wp:positionV relativeFrom="page">
                  <wp:posOffset>6769227</wp:posOffset>
                </wp:positionV>
                <wp:extent cx="161330" cy="3542157"/>
                <wp:effectExtent l="0" t="0" r="0" b="0"/>
                <wp:wrapTopAndBottom/>
                <wp:docPr id="445540" name="Group 445540"/>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12611" name="Rectangle 12611"/>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12612" name="Rectangle 12612"/>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56 de 298 </w:t>
                              </w:r>
                            </w:p>
                          </w:txbxContent>
                        </wps:txbx>
                        <wps:bodyPr horzOverflow="overflow" vert="horz" lIns="0" tIns="0" rIns="0" bIns="0" rtlCol="0">
                          <a:noAutofit/>
                        </wps:bodyPr>
                      </wps:wsp>
                    </wpg:wgp>
                  </a:graphicData>
                </a:graphic>
              </wp:anchor>
            </w:drawing>
          </mc:Choice>
          <mc:Fallback xmlns:a="http://schemas.openxmlformats.org/drawingml/2006/main">
            <w:pict>
              <v:group id="Group 445540" style="width:12.7031pt;height:278.91pt;position:absolute;mso-position-horizontal-relative:page;mso-position-horizontal:absolute;margin-left:682.278pt;mso-position-vertical-relative:page;margin-top:533.01pt;" coordsize="1613,35421">
                <v:rect id="Rectangle 12611"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12612"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56 de 298 </w:t>
                        </w:r>
                      </w:p>
                    </w:txbxContent>
                  </v:textbox>
                </v:rect>
                <w10:wrap type="topAndBottom"/>
              </v:group>
            </w:pict>
          </mc:Fallback>
        </mc:AlternateContent>
      </w:r>
      <w:r>
        <w:br w:type="page"/>
      </w:r>
    </w:p>
    <w:tbl>
      <w:tblPr>
        <w:tblStyle w:val="TableGrid"/>
        <w:tblW w:w="8282" w:type="dxa"/>
        <w:tblInd w:w="788" w:type="dxa"/>
        <w:tblCellMar>
          <w:top w:w="7" w:type="dxa"/>
          <w:left w:w="55" w:type="dxa"/>
          <w:bottom w:w="0" w:type="dxa"/>
          <w:right w:w="62" w:type="dxa"/>
        </w:tblCellMar>
        <w:tblLook w:val="04A0" w:firstRow="1" w:lastRow="0" w:firstColumn="1" w:lastColumn="0" w:noHBand="0" w:noVBand="1"/>
      </w:tblPr>
      <w:tblGrid>
        <w:gridCol w:w="1555"/>
        <w:gridCol w:w="5310"/>
        <w:gridCol w:w="1417"/>
      </w:tblGrid>
      <w:tr w:rsidR="00B064CF">
        <w:trPr>
          <w:trHeight w:val="391"/>
        </w:trPr>
        <w:tc>
          <w:tcPr>
            <w:tcW w:w="155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20"/>
              </w:rPr>
              <w:t xml:space="preserve">RURAL </w:t>
            </w:r>
          </w:p>
        </w:tc>
        <w:tc>
          <w:tcPr>
            <w:tcW w:w="5310" w:type="dxa"/>
            <w:tcBorders>
              <w:top w:val="single" w:sz="2" w:space="0" w:color="000000"/>
              <w:left w:val="single" w:sz="2" w:space="0" w:color="000000"/>
              <w:bottom w:val="single" w:sz="2" w:space="0" w:color="000000"/>
              <w:right w:val="single" w:sz="2" w:space="0" w:color="000000"/>
            </w:tcBorders>
          </w:tcPr>
          <w:p w:rsidR="00B064CF" w:rsidRDefault="00B064CF">
            <w:pPr>
              <w:spacing w:after="160" w:line="259" w:lineRule="auto"/>
              <w:ind w:left="0" w:firstLine="0"/>
              <w:jc w:val="left"/>
            </w:pPr>
          </w:p>
        </w:tc>
        <w:tc>
          <w:tcPr>
            <w:tcW w:w="1417" w:type="dxa"/>
            <w:tcBorders>
              <w:top w:val="single" w:sz="2" w:space="0" w:color="000000"/>
              <w:left w:val="single" w:sz="2" w:space="0" w:color="000000"/>
              <w:bottom w:val="single" w:sz="2" w:space="0" w:color="000000"/>
              <w:right w:val="single" w:sz="2" w:space="0" w:color="000000"/>
            </w:tcBorders>
          </w:tcPr>
          <w:p w:rsidR="00B064CF" w:rsidRDefault="00B064CF">
            <w:pPr>
              <w:spacing w:after="160" w:line="259" w:lineRule="auto"/>
              <w:ind w:left="0" w:firstLine="0"/>
              <w:jc w:val="left"/>
            </w:pPr>
          </w:p>
        </w:tc>
      </w:tr>
      <w:tr w:rsidR="00B064CF">
        <w:trPr>
          <w:trHeight w:val="509"/>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CULTURA </w:t>
            </w:r>
          </w:p>
        </w:tc>
        <w:tc>
          <w:tcPr>
            <w:tcW w:w="531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2" w:firstLine="0"/>
              <w:jc w:val="left"/>
            </w:pPr>
            <w:r>
              <w:rPr>
                <w:sz w:val="20"/>
              </w:rPr>
              <w:t xml:space="preserve">Reglamento de la red de espacios para la cultura de Candelaria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r w:rsidR="00B064CF">
        <w:trPr>
          <w:trHeight w:val="1385"/>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17" w:line="259" w:lineRule="auto"/>
              <w:ind w:left="0" w:firstLine="0"/>
              <w:jc w:val="left"/>
            </w:pPr>
            <w:r>
              <w:rPr>
                <w:sz w:val="20"/>
              </w:rPr>
              <w:t xml:space="preserve">DEPORTES Y </w:t>
            </w:r>
          </w:p>
          <w:p w:rsidR="00B064CF" w:rsidRDefault="00E32F70">
            <w:pPr>
              <w:spacing w:after="17" w:line="259" w:lineRule="auto"/>
              <w:ind w:left="0" w:firstLine="0"/>
            </w:pPr>
            <w:r>
              <w:rPr>
                <w:sz w:val="20"/>
              </w:rPr>
              <w:t xml:space="preserve">ACTIVIDADES </w:t>
            </w:r>
          </w:p>
          <w:p w:rsidR="00B064CF" w:rsidRDefault="00E32F70">
            <w:pPr>
              <w:spacing w:after="0" w:line="259" w:lineRule="auto"/>
              <w:ind w:left="0" w:firstLine="0"/>
            </w:pPr>
            <w:r>
              <w:rPr>
                <w:sz w:val="20"/>
              </w:rPr>
              <w:t xml:space="preserve">RECREATIVAS </w:t>
            </w:r>
          </w:p>
        </w:tc>
        <w:tc>
          <w:tcPr>
            <w:tcW w:w="531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2" w:firstLine="0"/>
              <w:jc w:val="left"/>
            </w:pPr>
            <w:r>
              <w:rPr>
                <w:sz w:val="20"/>
              </w:rPr>
              <w:t>Ordenanza Fiscal reguladora de la tasa por la inscripción en actividades deportivas municipales y de prestación de servicios de piscinas e instalaciones deportivas, usos de espacios publicitarios en instalaciones deportivas municipales, inscripción de acti</w:t>
            </w:r>
            <w:r>
              <w:rPr>
                <w:sz w:val="20"/>
              </w:rPr>
              <w:t>vidades sanitarias y en rutas guiadas organizadas.</w:t>
            </w:r>
            <w:r>
              <w:rPr>
                <w:rFonts w:ascii="Times New Roman" w:eastAsia="Times New Roman" w:hAnsi="Times New Roman" w:cs="Times New Roman"/>
                <w:sz w:val="24"/>
              </w:rPr>
              <w:t xml:space="preserve">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Modificación </w:t>
            </w:r>
          </w:p>
        </w:tc>
      </w:tr>
      <w:tr w:rsidR="00B064CF">
        <w:trPr>
          <w:trHeight w:val="509"/>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URBANISMO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sz w:val="20"/>
              </w:rPr>
              <w:t>Reglamento de Ordenación del Callejero Municipal</w:t>
            </w:r>
            <w:r>
              <w:rPr>
                <w:rFonts w:ascii="Times New Roman" w:eastAsia="Times New Roman" w:hAnsi="Times New Roman" w:cs="Times New Roman"/>
                <w:sz w:val="24"/>
              </w:rPr>
              <w:t xml:space="preserve">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Modificación </w:t>
            </w:r>
          </w:p>
        </w:tc>
      </w:tr>
      <w:tr w:rsidR="00B064CF">
        <w:trPr>
          <w:trHeight w:val="653"/>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RRHH </w:t>
            </w:r>
          </w:p>
        </w:tc>
        <w:tc>
          <w:tcPr>
            <w:tcW w:w="531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2" w:firstLine="0"/>
              <w:jc w:val="left"/>
            </w:pPr>
            <w:r>
              <w:rPr>
                <w:sz w:val="20"/>
              </w:rPr>
              <w:t xml:space="preserve">Ordenanza reguladora de la Administración Electrónica del Ayuntamiento de Candelaria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r w:rsidR="00B064CF">
        <w:trPr>
          <w:trHeight w:val="511"/>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RRHH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sz w:val="20"/>
              </w:rPr>
              <w:t xml:space="preserve">Reglamento de Teletrabajo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bl>
    <w:p w:rsidR="00B064CF" w:rsidRDefault="00E32F70">
      <w:pPr>
        <w:spacing w:after="137" w:line="259" w:lineRule="auto"/>
        <w:ind w:left="360" w:firstLine="0"/>
        <w:jc w:val="left"/>
      </w:pPr>
      <w:r>
        <w:rPr>
          <w:sz w:val="20"/>
        </w:rPr>
        <w:t xml:space="preserve"> </w:t>
      </w:r>
    </w:p>
    <w:p w:rsidR="00B064CF" w:rsidRDefault="00E32F70">
      <w:pPr>
        <w:spacing w:after="151" w:line="259" w:lineRule="auto"/>
        <w:ind w:left="360" w:firstLine="0"/>
        <w:jc w:val="left"/>
      </w:pPr>
      <w:r>
        <w:rPr>
          <w:sz w:val="20"/>
        </w:rPr>
        <w:t xml:space="preserve"> </w:t>
      </w:r>
    </w:p>
    <w:p w:rsidR="00B064CF" w:rsidRDefault="00E32F70">
      <w:pPr>
        <w:pStyle w:val="Ttulo1"/>
        <w:spacing w:after="148" w:line="249" w:lineRule="auto"/>
        <w:ind w:left="290" w:right="68"/>
        <w:jc w:val="center"/>
      </w:pPr>
      <w:r>
        <w:rPr>
          <w:u w:val="none"/>
        </w:rPr>
        <w:t>Fundamentos de derecho</w:t>
      </w:r>
      <w:r>
        <w:rPr>
          <w:b w:val="0"/>
          <w:u w:val="none"/>
        </w:rPr>
        <w:t xml:space="preserve"> </w:t>
      </w:r>
    </w:p>
    <w:p w:rsidR="00B064CF" w:rsidRDefault="00E32F70">
      <w:pPr>
        <w:spacing w:after="98" w:line="259" w:lineRule="auto"/>
        <w:ind w:left="273" w:firstLine="0"/>
        <w:jc w:val="center"/>
      </w:pPr>
      <w:r>
        <w:t xml:space="preserve"> </w:t>
      </w:r>
    </w:p>
    <w:p w:rsidR="00B064CF" w:rsidRDefault="00E32F70">
      <w:pPr>
        <w:spacing w:after="276"/>
        <w:ind w:left="345" w:right="142" w:firstLine="708"/>
      </w:pPr>
      <w:r>
        <w:t xml:space="preserve">Primero.- </w:t>
      </w:r>
      <w:r>
        <w:t xml:space="preserve">Es de aplicación los artículos 128 al 133 de la ley 39/2015, de 1 de octubre que regulan el procedimiento general de elaboración de los reglamentos donde se contempla la planificación normativa (objeto de este expediente a través del Plan Normativo anual) </w:t>
      </w:r>
      <w:r>
        <w:t xml:space="preserve">la consulta pública a los ciudadanos y todo ello con carácter previo a la tramitación del procedimiento de elaboración de los reglamentos del artículo 49 de la LBRL. </w:t>
      </w:r>
    </w:p>
    <w:p w:rsidR="00B064CF" w:rsidRDefault="00E32F70">
      <w:pPr>
        <w:spacing w:after="122"/>
        <w:ind w:left="355" w:right="144"/>
      </w:pPr>
      <w:r>
        <w:rPr>
          <w:i/>
        </w:rPr>
        <w:t>Artículo 132. Planificación normativa.</w:t>
      </w:r>
      <w:r>
        <w:rPr>
          <w:rFonts w:ascii="Times New Roman" w:eastAsia="Times New Roman" w:hAnsi="Times New Roman" w:cs="Times New Roman"/>
          <w:sz w:val="24"/>
        </w:rPr>
        <w:t xml:space="preserve"> </w:t>
      </w:r>
    </w:p>
    <w:p w:rsidR="00B064CF" w:rsidRDefault="00E32F70">
      <w:pPr>
        <w:spacing w:after="101"/>
        <w:ind w:left="355" w:right="144"/>
      </w:pPr>
      <w:r>
        <w:rPr>
          <w:rFonts w:ascii="Calibri" w:eastAsia="Calibri" w:hAnsi="Calibri" w:cs="Calibri"/>
          <w:noProof/>
        </w:rPr>
        <mc:AlternateContent>
          <mc:Choice Requires="wpg">
            <w:drawing>
              <wp:anchor distT="0" distB="0" distL="114300" distR="114300" simplePos="0" relativeHeight="25171968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19641" name="Group 419641"/>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12809" name="Rectangle 12809"/>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12810" name="Rectangle 12810"/>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57 de 298 </w:t>
                              </w:r>
                            </w:p>
                          </w:txbxContent>
                        </wps:txbx>
                        <wps:bodyPr horzOverflow="overflow" vert="horz" lIns="0" tIns="0" rIns="0" bIns="0" rtlCol="0">
                          <a:noAutofit/>
                        </wps:bodyPr>
                      </wps:wsp>
                    </wpg:wgp>
                  </a:graphicData>
                </a:graphic>
              </wp:anchor>
            </w:drawing>
          </mc:Choice>
          <mc:Fallback xmlns:a="http://schemas.openxmlformats.org/drawingml/2006/main">
            <w:pict>
              <v:group id="Group 419641" style="width:12.7031pt;height:278.91pt;position:absolute;mso-position-horizontal-relative:page;mso-position-horizontal:absolute;margin-left:682.278pt;mso-position-vertical-relative:page;margin-top:533.01pt;" coordsize="1613,35421">
                <v:rect id="Rectangle 12809"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12810"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57 de 298 </w:t>
                        </w:r>
                      </w:p>
                    </w:txbxContent>
                  </v:textbox>
                </v:rect>
                <w10:wrap type="square"/>
              </v:group>
            </w:pict>
          </mc:Fallback>
        </mc:AlternateContent>
      </w:r>
      <w:r>
        <w:rPr>
          <w:i/>
        </w:rPr>
        <w:t xml:space="preserve">1. Anualmente, las Administraciones Públicas harán público un </w:t>
      </w:r>
      <w:r>
        <w:rPr>
          <w:i/>
        </w:rPr>
        <w:t>Plan Normativo que contendrá las iniciativas legales o reglamentarias que vayan a ser elevadas para su aprobación en el año siguiente.</w:t>
      </w:r>
      <w:r>
        <w:rPr>
          <w:rFonts w:ascii="Times New Roman" w:eastAsia="Times New Roman" w:hAnsi="Times New Roman" w:cs="Times New Roman"/>
          <w:sz w:val="24"/>
        </w:rPr>
        <w:t xml:space="preserve"> </w:t>
      </w:r>
    </w:p>
    <w:p w:rsidR="00B064CF" w:rsidRDefault="00E32F70">
      <w:pPr>
        <w:spacing w:after="104"/>
        <w:ind w:left="355" w:right="144"/>
      </w:pPr>
      <w:r>
        <w:rPr>
          <w:i/>
        </w:rPr>
        <w:t>2.- Una vez aprobado, el Plan Anual Normativo se publicará en el Portal de la Transparencia de la Administración Pública</w:t>
      </w:r>
      <w:r>
        <w:rPr>
          <w:i/>
        </w:rPr>
        <w:t xml:space="preserve"> correspondiente.</w:t>
      </w:r>
      <w:r>
        <w:rPr>
          <w:rFonts w:ascii="Times New Roman" w:eastAsia="Times New Roman" w:hAnsi="Times New Roman" w:cs="Times New Roman"/>
          <w:sz w:val="24"/>
        </w:rPr>
        <w:t xml:space="preserve"> </w:t>
      </w:r>
    </w:p>
    <w:p w:rsidR="00B064CF" w:rsidRDefault="00E32F70">
      <w:pPr>
        <w:spacing w:after="4"/>
        <w:ind w:left="355" w:right="144"/>
      </w:pPr>
      <w:r>
        <w:rPr>
          <w:i/>
        </w:rPr>
        <w:t>Artículo 133. Participación de los ciudadanos en el procedimiento de elaboración de normas con rango de Ley y reglamentos.</w:t>
      </w:r>
      <w:r>
        <w:rPr>
          <w:rFonts w:ascii="Times New Roman" w:eastAsia="Times New Roman" w:hAnsi="Times New Roman" w:cs="Times New Roman"/>
          <w:sz w:val="24"/>
        </w:rPr>
        <w:t xml:space="preserve"> </w:t>
      </w:r>
    </w:p>
    <w:p w:rsidR="00B064CF" w:rsidRDefault="00E32F70">
      <w:pPr>
        <w:spacing w:after="102"/>
        <w:ind w:left="355" w:right="144"/>
      </w:pPr>
      <w:r>
        <w:rPr>
          <w:i/>
        </w:rPr>
        <w:t>1. Con carácter previo a la elaboración del proyecto o anteproyecto de ley o de reglamento, se sustanciará una co</w:t>
      </w:r>
      <w:r>
        <w:rPr>
          <w:i/>
        </w:rPr>
        <w:t>nsulta pública, a través del portal web de la Administración competente en la que se recabará la opinión de los sujetos y de las organizaciones más representativas potencialmente afectados por la futura norma acerca de:</w:t>
      </w:r>
      <w:r>
        <w:rPr>
          <w:rFonts w:ascii="Times New Roman" w:eastAsia="Times New Roman" w:hAnsi="Times New Roman" w:cs="Times New Roman"/>
          <w:sz w:val="24"/>
        </w:rPr>
        <w:t xml:space="preserve"> </w:t>
      </w:r>
    </w:p>
    <w:p w:rsidR="00B064CF" w:rsidRDefault="00E32F70">
      <w:pPr>
        <w:numPr>
          <w:ilvl w:val="0"/>
          <w:numId w:val="11"/>
        </w:numPr>
        <w:spacing w:after="97"/>
        <w:ind w:right="144" w:hanging="257"/>
      </w:pPr>
      <w:r>
        <w:rPr>
          <w:i/>
        </w:rPr>
        <w:t>Los problemas que se pretenden solu</w:t>
      </w:r>
      <w:r>
        <w:rPr>
          <w:i/>
        </w:rPr>
        <w:t>cionar con la iniciativa.</w:t>
      </w:r>
      <w:r>
        <w:rPr>
          <w:rFonts w:ascii="Times New Roman" w:eastAsia="Times New Roman" w:hAnsi="Times New Roman" w:cs="Times New Roman"/>
          <w:sz w:val="24"/>
        </w:rPr>
        <w:t xml:space="preserve"> </w:t>
      </w:r>
    </w:p>
    <w:p w:rsidR="00B064CF" w:rsidRDefault="00E32F70">
      <w:pPr>
        <w:numPr>
          <w:ilvl w:val="0"/>
          <w:numId w:val="11"/>
        </w:numPr>
        <w:spacing w:after="98"/>
        <w:ind w:right="144" w:hanging="257"/>
      </w:pPr>
      <w:r>
        <w:rPr>
          <w:i/>
        </w:rPr>
        <w:t>La necesidad y oportunidad de su aprobación.</w:t>
      </w:r>
      <w:r>
        <w:rPr>
          <w:rFonts w:ascii="Times New Roman" w:eastAsia="Times New Roman" w:hAnsi="Times New Roman" w:cs="Times New Roman"/>
          <w:sz w:val="24"/>
        </w:rPr>
        <w:t xml:space="preserve"> </w:t>
      </w:r>
    </w:p>
    <w:p w:rsidR="00B064CF" w:rsidRDefault="00E32F70">
      <w:pPr>
        <w:numPr>
          <w:ilvl w:val="0"/>
          <w:numId w:val="11"/>
        </w:numPr>
        <w:spacing w:after="97"/>
        <w:ind w:right="144" w:hanging="257"/>
      </w:pPr>
      <w:r>
        <w:rPr>
          <w:i/>
        </w:rPr>
        <w:t>Los objetivos de la norma.</w:t>
      </w:r>
      <w:r>
        <w:rPr>
          <w:rFonts w:ascii="Times New Roman" w:eastAsia="Times New Roman" w:hAnsi="Times New Roman" w:cs="Times New Roman"/>
          <w:sz w:val="24"/>
        </w:rPr>
        <w:t xml:space="preserve"> </w:t>
      </w:r>
    </w:p>
    <w:p w:rsidR="00B064CF" w:rsidRDefault="00E32F70">
      <w:pPr>
        <w:numPr>
          <w:ilvl w:val="0"/>
          <w:numId w:val="11"/>
        </w:numPr>
        <w:spacing w:after="4"/>
        <w:ind w:right="144" w:hanging="257"/>
      </w:pPr>
      <w:r>
        <w:rPr>
          <w:i/>
        </w:rPr>
        <w:t>Las posibles soluciones alternativas regulatorias y no regulatorias.</w:t>
      </w:r>
      <w:r>
        <w:rPr>
          <w:rFonts w:ascii="Times New Roman" w:eastAsia="Times New Roman" w:hAnsi="Times New Roman" w:cs="Times New Roman"/>
          <w:sz w:val="24"/>
        </w:rPr>
        <w:t xml:space="preserve"> </w:t>
      </w:r>
    </w:p>
    <w:p w:rsidR="00B064CF" w:rsidRDefault="00E32F70">
      <w:pPr>
        <w:numPr>
          <w:ilvl w:val="0"/>
          <w:numId w:val="12"/>
        </w:numPr>
        <w:spacing w:after="91"/>
        <w:ind w:right="144"/>
      </w:pPr>
      <w:r>
        <w:rPr>
          <w:i/>
        </w:rPr>
        <w:t>Sin perjuicio de la consulta previa a la redacción del texto de la iniciativa, cuando</w:t>
      </w:r>
      <w:r>
        <w:rPr>
          <w:i/>
        </w:rPr>
        <w:t xml:space="preserve"> la norma afecte a los derechos e intereses legítimos de las personas, el centro directivo competente publicará el texto en el portal web correspondiente, con el objeto de dar audiencia a los ciudadanos afectados y recabar cuantas aportaciones adicionales </w:t>
      </w:r>
      <w:r>
        <w:rPr>
          <w:i/>
        </w:rPr>
        <w:t>puedan hacerse por otras personas o entidades. Asimismo, podrá también recabarse directamente la opinión de las organizaciones o asociaciones reconocidas por ley que agrupen o representen a las personas cuyos derechos o intereses legítimos se vieren afecta</w:t>
      </w:r>
      <w:r>
        <w:rPr>
          <w:i/>
        </w:rPr>
        <w:t>dos por la norma y cuyos fines guarden relación directa con su objeto.</w:t>
      </w:r>
      <w:r>
        <w:rPr>
          <w:rFonts w:ascii="Times New Roman" w:eastAsia="Times New Roman" w:hAnsi="Times New Roman" w:cs="Times New Roman"/>
          <w:sz w:val="24"/>
        </w:rPr>
        <w:t xml:space="preserve"> </w:t>
      </w:r>
    </w:p>
    <w:p w:rsidR="00B064CF" w:rsidRDefault="00E32F70">
      <w:pPr>
        <w:numPr>
          <w:ilvl w:val="0"/>
          <w:numId w:val="12"/>
        </w:numPr>
        <w:spacing w:after="90"/>
        <w:ind w:right="144"/>
      </w:pPr>
      <w:r>
        <w:rPr>
          <w:i/>
        </w:rPr>
        <w:t xml:space="preserve">La consulta, audiencia e información públicas reguladas en este artículo deberán realizarse de forma </w:t>
      </w:r>
      <w:r>
        <w:rPr>
          <w:i/>
        </w:rPr>
        <w:t>tal que los potenciales destinatarios de la norma y quienes realicen aportaciones sobre ella tengan la posibilidad de emitir su opinión, para lo cual deberán ponerse a su disposición los documentos necesarios, que serán claros, concisos y reunir toda la in</w:t>
      </w:r>
      <w:r>
        <w:rPr>
          <w:i/>
        </w:rPr>
        <w:t>formación precisa para poder pronunciarse sobre la materia.</w:t>
      </w:r>
      <w:r>
        <w:rPr>
          <w:rFonts w:ascii="Times New Roman" w:eastAsia="Times New Roman" w:hAnsi="Times New Roman" w:cs="Times New Roman"/>
          <w:sz w:val="24"/>
        </w:rPr>
        <w:t xml:space="preserve"> </w:t>
      </w:r>
    </w:p>
    <w:p w:rsidR="00B064CF" w:rsidRDefault="00E32F70">
      <w:pPr>
        <w:numPr>
          <w:ilvl w:val="0"/>
          <w:numId w:val="12"/>
        </w:numPr>
        <w:spacing w:after="90"/>
        <w:ind w:right="144"/>
      </w:pPr>
      <w:r>
        <w:rPr>
          <w:i/>
        </w:rPr>
        <w:t>Podrá prescindirse de los trámites de consulta, audiencia e información públicas previstos en este artículo en el caso de normas presupuestarias u organizativas de la Administración General del E</w:t>
      </w:r>
      <w:r>
        <w:rPr>
          <w:i/>
        </w:rPr>
        <w:t>stado, la Administración autonómica, la Administración local o de las organizaciones dependientes o vinculadas a éstas, o cuando concurran razones graves de interés público que lo justifiquen.</w:t>
      </w:r>
      <w:r>
        <w:rPr>
          <w:rFonts w:ascii="Times New Roman" w:eastAsia="Times New Roman" w:hAnsi="Times New Roman" w:cs="Times New Roman"/>
          <w:sz w:val="24"/>
        </w:rPr>
        <w:t xml:space="preserve"> </w:t>
      </w:r>
    </w:p>
    <w:p w:rsidR="00B064CF" w:rsidRDefault="00E32F70">
      <w:pPr>
        <w:spacing w:after="483"/>
        <w:ind w:left="355" w:right="144"/>
      </w:pPr>
      <w:r>
        <w:rPr>
          <w:rFonts w:ascii="Calibri" w:eastAsia="Calibri" w:hAnsi="Calibri" w:cs="Calibri"/>
          <w:noProof/>
        </w:rPr>
        <mc:AlternateContent>
          <mc:Choice Requires="wpg">
            <w:drawing>
              <wp:anchor distT="0" distB="0" distL="114300" distR="114300" simplePos="0" relativeHeight="25172070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77000" name="Group 377000"/>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12916" name="Rectangle 12916"/>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w:t>
                              </w:r>
                              <w:r>
                                <w:rPr>
                                  <w:sz w:val="12"/>
                                </w:rPr>
                                <w:t xml:space="preserve">https://candelaria.sedelectronica.es/ </w:t>
                              </w:r>
                            </w:p>
                          </w:txbxContent>
                        </wps:txbx>
                        <wps:bodyPr horzOverflow="overflow" vert="horz" lIns="0" tIns="0" rIns="0" bIns="0" rtlCol="0">
                          <a:noAutofit/>
                        </wps:bodyPr>
                      </wps:wsp>
                      <wps:wsp>
                        <wps:cNvPr id="12917" name="Rectangle 12917"/>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58 de 298 </w:t>
                              </w:r>
                            </w:p>
                          </w:txbxContent>
                        </wps:txbx>
                        <wps:bodyPr horzOverflow="overflow" vert="horz" lIns="0" tIns="0" rIns="0" bIns="0" rtlCol="0">
                          <a:noAutofit/>
                        </wps:bodyPr>
                      </wps:wsp>
                    </wpg:wgp>
                  </a:graphicData>
                </a:graphic>
              </wp:anchor>
            </w:drawing>
          </mc:Choice>
          <mc:Fallback xmlns:a="http://schemas.openxmlformats.org/drawingml/2006/main">
            <w:pict>
              <v:group id="Group 377000" style="width:12.7031pt;height:278.91pt;position:absolute;mso-position-horizontal-relative:page;mso-position-horizontal:absolute;margin-left:682.278pt;mso-position-vertical-relative:page;margin-top:533.01pt;" coordsize="1613,35421">
                <v:rect id="Rectangle 12916"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12917"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58 de 298 </w:t>
                        </w:r>
                      </w:p>
                    </w:txbxContent>
                  </v:textbox>
                </v:rect>
                <w10:wrap type="square"/>
              </v:group>
            </w:pict>
          </mc:Fallback>
        </mc:AlternateContent>
      </w:r>
      <w:r>
        <w:rPr>
          <w:i/>
        </w:rPr>
        <w:t>Cuando la propuesta normativa no tenga un impacto significativo en la actividad económica, no imponga obligaciones releva</w:t>
      </w:r>
      <w:r>
        <w:rPr>
          <w:i/>
        </w:rPr>
        <w:t>ntes a los destinatarios o regule aspectos parciales de una materia, podrá omitirse la consulta pública regulada en el apartado primero. Si la normativa reguladora del ejercicio de la iniciativa legislativa o de la potestad reglamentaria por una Administra</w:t>
      </w:r>
      <w:r>
        <w:rPr>
          <w:i/>
        </w:rPr>
        <w:t xml:space="preserve">ción prevé la tramitación urgente de estos procedimientos, la eventual excepción del trámite por esta circunstancia se ajustará a lo previsto en aquella. </w:t>
      </w:r>
    </w:p>
    <w:p w:rsidR="00B064CF" w:rsidRDefault="00E32F70">
      <w:pPr>
        <w:spacing w:after="464"/>
        <w:ind w:left="355" w:right="72"/>
      </w:pPr>
      <w:r>
        <w:t>Segundo. - Es de aplicación el artículo 49 de la Ley de Bases del Régimen Local que establece el proc</w:t>
      </w:r>
      <w:r>
        <w:t>edimiento de aprobación de los reglamentos en el régimen local:</w:t>
      </w:r>
      <w:r>
        <w:rPr>
          <w:rFonts w:ascii="Times New Roman" w:eastAsia="Times New Roman" w:hAnsi="Times New Roman" w:cs="Times New Roman"/>
          <w:sz w:val="24"/>
        </w:rPr>
        <w:t xml:space="preserve"> </w:t>
      </w:r>
    </w:p>
    <w:p w:rsidR="00B064CF" w:rsidRDefault="00E32F70">
      <w:pPr>
        <w:spacing w:after="4" w:line="364" w:lineRule="auto"/>
        <w:ind w:left="355" w:right="144"/>
      </w:pPr>
      <w:r>
        <w:rPr>
          <w:i/>
        </w:rPr>
        <w:t>La aprobación de las Ordenanzas locales se ajustará al siguiente procedimiento: a) Aprobación inicial por el Pleno.</w:t>
      </w:r>
      <w:r>
        <w:rPr>
          <w:rFonts w:ascii="Times New Roman" w:eastAsia="Times New Roman" w:hAnsi="Times New Roman" w:cs="Times New Roman"/>
          <w:sz w:val="24"/>
        </w:rPr>
        <w:t xml:space="preserve"> </w:t>
      </w:r>
    </w:p>
    <w:p w:rsidR="00B064CF" w:rsidRDefault="00E32F70">
      <w:pPr>
        <w:numPr>
          <w:ilvl w:val="0"/>
          <w:numId w:val="13"/>
        </w:numPr>
        <w:spacing w:after="93"/>
        <w:ind w:right="144"/>
      </w:pPr>
      <w:r>
        <w:rPr>
          <w:i/>
        </w:rPr>
        <w:t>Información pública y audiencia a los interesados por el plazo mínimo de t</w:t>
      </w:r>
      <w:r>
        <w:rPr>
          <w:i/>
        </w:rPr>
        <w:t>reintadías para la presentación de reclamaciones y sugerencias.</w:t>
      </w:r>
      <w:r>
        <w:rPr>
          <w:rFonts w:ascii="Times New Roman" w:eastAsia="Times New Roman" w:hAnsi="Times New Roman" w:cs="Times New Roman"/>
          <w:sz w:val="24"/>
        </w:rPr>
        <w:t xml:space="preserve"> </w:t>
      </w:r>
    </w:p>
    <w:p w:rsidR="00B064CF" w:rsidRDefault="00E32F70">
      <w:pPr>
        <w:numPr>
          <w:ilvl w:val="0"/>
          <w:numId w:val="13"/>
        </w:numPr>
        <w:spacing w:after="93"/>
        <w:ind w:right="144"/>
      </w:pPr>
      <w:r>
        <w:rPr>
          <w:i/>
        </w:rPr>
        <w:t>Resolución de todas las reclamaciones y sugerencias presentadas dentro del plazo y aprobación definitiva por el Pleno.</w:t>
      </w:r>
      <w:r>
        <w:rPr>
          <w:rFonts w:ascii="Times New Roman" w:eastAsia="Times New Roman" w:hAnsi="Times New Roman" w:cs="Times New Roman"/>
          <w:sz w:val="24"/>
        </w:rPr>
        <w:t xml:space="preserve"> </w:t>
      </w:r>
    </w:p>
    <w:p w:rsidR="00B064CF" w:rsidRDefault="00E32F70">
      <w:pPr>
        <w:spacing w:after="396"/>
        <w:ind w:left="355" w:right="144"/>
      </w:pPr>
      <w:r>
        <w:rPr>
          <w:i/>
        </w:rPr>
        <w:t>En el caso de que no se hubiera presentado ninguna reclamación o sugere</w:t>
      </w:r>
      <w:r>
        <w:rPr>
          <w:i/>
        </w:rPr>
        <w:t xml:space="preserve">ncia, se entenderá definitivamente adoptado el acuerdo hasta entonces provisional. </w:t>
      </w:r>
    </w:p>
    <w:p w:rsidR="00B064CF" w:rsidRDefault="00E32F70">
      <w:pPr>
        <w:spacing w:after="378"/>
        <w:ind w:left="355" w:right="72"/>
      </w:pPr>
      <w:r>
        <w:t>Tercero. - La Ley 7/1985, de 2 de abril, Reguladora de las Bases del Régimen Local, establece en el artículo 22 las atribuciones del Pleno de la Corporación en materia de a</w:t>
      </w:r>
      <w:r>
        <w:t>probación de planes.</w:t>
      </w:r>
      <w:r>
        <w:rPr>
          <w:rFonts w:ascii="Times New Roman" w:eastAsia="Times New Roman" w:hAnsi="Times New Roman" w:cs="Times New Roman"/>
          <w:sz w:val="24"/>
        </w:rPr>
        <w:t xml:space="preserve"> </w:t>
      </w:r>
    </w:p>
    <w:p w:rsidR="00B064CF" w:rsidRDefault="00E32F70">
      <w:pPr>
        <w:spacing w:after="100" w:line="259" w:lineRule="auto"/>
        <w:ind w:left="273" w:firstLine="0"/>
        <w:jc w:val="center"/>
      </w:pPr>
      <w:r>
        <w:rPr>
          <w:b/>
        </w:rPr>
        <w:t xml:space="preserve"> </w:t>
      </w:r>
    </w:p>
    <w:p w:rsidR="00B064CF" w:rsidRDefault="00E32F70">
      <w:pPr>
        <w:spacing w:after="0" w:line="259" w:lineRule="auto"/>
        <w:ind w:left="273" w:firstLine="0"/>
        <w:jc w:val="center"/>
      </w:pPr>
      <w:r>
        <w:rPr>
          <w:b/>
        </w:rPr>
        <w:t xml:space="preserve"> </w:t>
      </w:r>
    </w:p>
    <w:p w:rsidR="00B064CF" w:rsidRDefault="00E32F70">
      <w:pPr>
        <w:pStyle w:val="Ttulo1"/>
        <w:spacing w:after="109" w:line="249" w:lineRule="auto"/>
        <w:ind w:left="290" w:right="189"/>
        <w:jc w:val="center"/>
      </w:pPr>
      <w:r>
        <w:rPr>
          <w:u w:val="none"/>
        </w:rPr>
        <w:t xml:space="preserve">PROPUESTA DE RESOLUCIÓN </w:t>
      </w:r>
      <w:r>
        <w:rPr>
          <w:b w:val="0"/>
          <w:u w:val="none"/>
        </w:rPr>
        <w:t xml:space="preserve">  </w:t>
      </w:r>
    </w:p>
    <w:p w:rsidR="00B064CF" w:rsidRDefault="00E32F70">
      <w:pPr>
        <w:spacing w:after="95" w:line="259" w:lineRule="auto"/>
        <w:ind w:left="273" w:firstLine="0"/>
        <w:jc w:val="center"/>
      </w:pPr>
      <w:r>
        <w:t xml:space="preserve"> </w:t>
      </w:r>
    </w:p>
    <w:p w:rsidR="00B064CF" w:rsidRDefault="00E32F70">
      <w:pPr>
        <w:ind w:left="355" w:right="72"/>
      </w:pPr>
      <w:r>
        <w:t>PRIMERO</w:t>
      </w:r>
      <w:r>
        <w:rPr>
          <w:b/>
        </w:rPr>
        <w:t xml:space="preserve">.- </w:t>
      </w:r>
      <w:r>
        <w:t xml:space="preserve"> Aprobar la modificación del Plan normativo anual 2021 para la inclusión de las siguientes iniciativas de ordenanzas y reglamentos: </w:t>
      </w:r>
      <w:r>
        <w:rPr>
          <w:sz w:val="24"/>
        </w:rPr>
        <w:t xml:space="preserve"> </w:t>
      </w:r>
    </w:p>
    <w:p w:rsidR="00B064CF" w:rsidRDefault="00E32F70">
      <w:pPr>
        <w:numPr>
          <w:ilvl w:val="0"/>
          <w:numId w:val="14"/>
        </w:numPr>
        <w:spacing w:after="160" w:line="249" w:lineRule="auto"/>
        <w:ind w:right="126" w:hanging="360"/>
      </w:pPr>
      <w:r>
        <w:rPr>
          <w:u w:val="single" w:color="000000"/>
        </w:rPr>
        <w:t>Modificación del Reglamento de Ordenación del Callejero Municipal</w:t>
      </w:r>
      <w:r>
        <w:t xml:space="preserve"> de Candelaria, </w:t>
      </w:r>
      <w:r>
        <w:rPr>
          <w:sz w:val="24"/>
        </w:rPr>
        <w:t xml:space="preserve"> </w:t>
      </w:r>
    </w:p>
    <w:p w:rsidR="00B064CF" w:rsidRDefault="00E32F70">
      <w:pPr>
        <w:numPr>
          <w:ilvl w:val="0"/>
          <w:numId w:val="14"/>
        </w:numPr>
        <w:ind w:right="126" w:hanging="360"/>
      </w:pPr>
      <w:r>
        <w:rPr>
          <w:rFonts w:ascii="Calibri" w:eastAsia="Calibri" w:hAnsi="Calibri" w:cs="Calibri"/>
          <w:noProof/>
        </w:rPr>
        <mc:AlternateContent>
          <mc:Choice Requires="wpg">
            <w:drawing>
              <wp:anchor distT="0" distB="0" distL="114300" distR="114300" simplePos="0" relativeHeight="251721728" behindDoc="0" locked="0" layoutInCell="1" allowOverlap="1">
                <wp:simplePos x="0" y="0"/>
                <wp:positionH relativeFrom="page">
                  <wp:posOffset>8664935</wp:posOffset>
                </wp:positionH>
                <wp:positionV relativeFrom="page">
                  <wp:posOffset>6769227</wp:posOffset>
                </wp:positionV>
                <wp:extent cx="161330" cy="3542157"/>
                <wp:effectExtent l="0" t="0" r="0" b="0"/>
                <wp:wrapTopAndBottom/>
                <wp:docPr id="437073" name="Group 437073"/>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13177" name="Rectangle 13177"/>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13178" name="Rectangle 13178"/>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Documento firmado electrónicamente desde la plataforma esPublico Gesti</w:t>
                              </w:r>
                              <w:r>
                                <w:rPr>
                                  <w:sz w:val="12"/>
                                </w:rPr>
                                <w:t xml:space="preserve">ona | Página 59 de 298 </w:t>
                              </w:r>
                            </w:p>
                          </w:txbxContent>
                        </wps:txbx>
                        <wps:bodyPr horzOverflow="overflow" vert="horz" lIns="0" tIns="0" rIns="0" bIns="0" rtlCol="0">
                          <a:noAutofit/>
                        </wps:bodyPr>
                      </wps:wsp>
                    </wpg:wgp>
                  </a:graphicData>
                </a:graphic>
              </wp:anchor>
            </w:drawing>
          </mc:Choice>
          <mc:Fallback xmlns:a="http://schemas.openxmlformats.org/drawingml/2006/main">
            <w:pict>
              <v:group id="Group 437073" style="width:12.7031pt;height:278.91pt;position:absolute;mso-position-horizontal-relative:page;mso-position-horizontal:absolute;margin-left:682.278pt;mso-position-vertical-relative:page;margin-top:533.01pt;" coordsize="1613,35421">
                <v:rect id="Rectangle 13177"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13178"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59 de 298 </w:t>
                        </w:r>
                      </w:p>
                    </w:txbxContent>
                  </v:textbox>
                </v:rect>
                <w10:wrap type="topAndBottom"/>
              </v:group>
            </w:pict>
          </mc:Fallback>
        </mc:AlternateContent>
      </w:r>
      <w:r>
        <w:rPr>
          <w:u w:val="single" w:color="000000"/>
        </w:rPr>
        <w:t>Aprobación de la Ordenanza Reguladora de Administración Electrónica del Ayuntamiento</w:t>
      </w:r>
      <w:r>
        <w:t xml:space="preserve"> </w:t>
      </w:r>
      <w:r>
        <w:rPr>
          <w:u w:val="single" w:color="000000"/>
        </w:rPr>
        <w:t>de Candelaria</w:t>
      </w:r>
      <w:r>
        <w:t>, para regular la gestión administrativa y la tramitación de procedimientos por vía electrónica, en aplicación de las Leyes 39/2015, d</w:t>
      </w:r>
      <w:r>
        <w:t>e 1 de octubre, del Procedimiento Administrativo Común de las Administraciones Públicas, y 40/2015, de 1 de octubre, del Régimen Jurídico del Sector Público</w:t>
      </w:r>
      <w:r>
        <w:rPr>
          <w:rFonts w:ascii="Times New Roman" w:eastAsia="Times New Roman" w:hAnsi="Times New Roman" w:cs="Times New Roman"/>
          <w:sz w:val="24"/>
        </w:rPr>
        <w:t xml:space="preserve"> </w:t>
      </w:r>
    </w:p>
    <w:p w:rsidR="00B064CF" w:rsidRDefault="00E32F70">
      <w:pPr>
        <w:numPr>
          <w:ilvl w:val="0"/>
          <w:numId w:val="14"/>
        </w:numPr>
        <w:spacing w:after="20"/>
        <w:ind w:right="126" w:hanging="360"/>
      </w:pPr>
      <w:r>
        <w:rPr>
          <w:u w:val="single" w:color="000000"/>
        </w:rPr>
        <w:t>Aprobación del Reglamento de Teletrabajo</w:t>
      </w:r>
      <w:r>
        <w:t xml:space="preserve">, que regula </w:t>
      </w:r>
      <w:r>
        <w:t>la prestación del servicio en modalidad de teletrabajo.</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rPr>
          <w:sz w:val="20"/>
        </w:rPr>
        <w:t xml:space="preserve"> </w:t>
      </w:r>
    </w:p>
    <w:tbl>
      <w:tblPr>
        <w:tblStyle w:val="TableGrid"/>
        <w:tblW w:w="8282" w:type="dxa"/>
        <w:tblInd w:w="788" w:type="dxa"/>
        <w:tblCellMar>
          <w:top w:w="7" w:type="dxa"/>
          <w:left w:w="55" w:type="dxa"/>
          <w:bottom w:w="0" w:type="dxa"/>
          <w:right w:w="42" w:type="dxa"/>
        </w:tblCellMar>
        <w:tblLook w:val="04A0" w:firstRow="1" w:lastRow="0" w:firstColumn="1" w:lastColumn="0" w:noHBand="0" w:noVBand="1"/>
      </w:tblPr>
      <w:tblGrid>
        <w:gridCol w:w="1555"/>
        <w:gridCol w:w="5310"/>
        <w:gridCol w:w="1417"/>
      </w:tblGrid>
      <w:tr w:rsidR="00B064CF">
        <w:trPr>
          <w:trHeight w:val="776"/>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RECURSOS HUMANOS</w:t>
            </w:r>
            <w:r>
              <w:rPr>
                <w:rFonts w:ascii="Times New Roman" w:eastAsia="Times New Roman" w:hAnsi="Times New Roman" w:cs="Times New Roman"/>
                <w:sz w:val="24"/>
              </w:rPr>
              <w:t xml:space="preserve">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sz w:val="20"/>
              </w:rPr>
              <w:t xml:space="preserve">Reglamento de funcionamiento del control de presencia.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r w:rsidR="00B064CF">
        <w:trPr>
          <w:trHeight w:val="509"/>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URBANISMO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sz w:val="20"/>
              </w:rPr>
              <w:t xml:space="preserve">Ordenanza Reguladora del dominio público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r w:rsidR="00B064CF">
        <w:trPr>
          <w:trHeight w:val="511"/>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URBANISMO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sz w:val="20"/>
              </w:rPr>
              <w:t xml:space="preserve">Ordenanza de inspección técnica de edificios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r w:rsidR="00B064CF">
        <w:trPr>
          <w:trHeight w:val="775"/>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URBANISMO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sz w:val="20"/>
              </w:rPr>
              <w:t xml:space="preserve">Ordenanza reguladora de los regímenes de intervención en materia urbanística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r w:rsidR="00B064CF">
        <w:trPr>
          <w:trHeight w:val="773"/>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URBANISMO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sz w:val="20"/>
              </w:rPr>
              <w:t>Ordenanza fiscal reguladora del impuesto sobre construcciones, instalaciones y obras</w:t>
            </w:r>
            <w:r>
              <w:rPr>
                <w:sz w:val="20"/>
              </w:rPr>
              <w:t xml:space="preserve">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Modificación </w:t>
            </w:r>
          </w:p>
        </w:tc>
      </w:tr>
      <w:tr w:rsidR="00B064CF">
        <w:trPr>
          <w:trHeight w:val="511"/>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URBANISMO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sz w:val="20"/>
              </w:rPr>
              <w:t xml:space="preserve">Impuesto sobre bienes inmuebles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Modificación </w:t>
            </w:r>
          </w:p>
        </w:tc>
      </w:tr>
      <w:tr w:rsidR="00B064CF">
        <w:trPr>
          <w:trHeight w:val="776"/>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URBANISMO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sz w:val="20"/>
              </w:rPr>
              <w:t xml:space="preserve">Ordenanza fiscal reguladora de la tasa por prestación de servicios urbanísticos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Modificación </w:t>
            </w:r>
          </w:p>
        </w:tc>
      </w:tr>
      <w:tr w:rsidR="00B064CF">
        <w:trPr>
          <w:trHeight w:val="1039"/>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URBANISMO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sz w:val="20"/>
              </w:rPr>
              <w:t xml:space="preserve">Ordenanza fiscal reguladora de la tasa por prestación de servicios de intervención y control en la implantación de instalaciones y actividades o servicios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Modificación </w:t>
            </w:r>
          </w:p>
        </w:tc>
      </w:tr>
      <w:tr w:rsidR="00B064CF">
        <w:trPr>
          <w:trHeight w:val="1037"/>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HACIENDA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sz w:val="20"/>
              </w:rPr>
              <w:t xml:space="preserve">Tasas por prestación de un servicio público o la realización de una actividad administrativa. Tasa por expedición de documentos.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Modificación </w:t>
            </w:r>
          </w:p>
        </w:tc>
      </w:tr>
      <w:tr w:rsidR="00B064CF">
        <w:trPr>
          <w:trHeight w:val="776"/>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HACIENDA </w:t>
            </w:r>
          </w:p>
        </w:tc>
        <w:tc>
          <w:tcPr>
            <w:tcW w:w="531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2" w:firstLine="0"/>
              <w:jc w:val="left"/>
            </w:pPr>
            <w:r>
              <w:rPr>
                <w:sz w:val="20"/>
              </w:rPr>
              <w:t xml:space="preserve">Ordenanza de la prestación patrimonial pública no tributaria de abastecimiento y saneamiento de agua potable.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r w:rsidR="00B064CF">
        <w:trPr>
          <w:trHeight w:val="895"/>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HACIENDA </w:t>
            </w:r>
          </w:p>
        </w:tc>
        <w:tc>
          <w:tcPr>
            <w:tcW w:w="531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2" w:right="15" w:firstLine="0"/>
              <w:jc w:val="left"/>
            </w:pPr>
            <w:r>
              <w:rPr>
                <w:sz w:val="20"/>
              </w:rPr>
              <w:t>Ordenanza de la prestación patrimonial pública no tributaria de del servicio de retirada y depósito de vehículos de la vía</w:t>
            </w:r>
            <w:r>
              <w:rPr>
                <w:sz w:val="20"/>
              </w:rPr>
              <w:t xml:space="preserve"> pública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r w:rsidR="00B064CF">
        <w:trPr>
          <w:trHeight w:val="734"/>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HACIENDA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sz w:val="20"/>
              </w:rPr>
              <w:t xml:space="preserve">Reglamento de Control Interno de la actividad económicofinanciera del Ayuntamiento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r w:rsidR="00B064CF">
        <w:trPr>
          <w:trHeight w:val="776"/>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PARTICIPACIÓ N CIUDADANA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sz w:val="20"/>
              </w:rPr>
              <w:t>Ordenanza reguladora de la convivencia ciudadana en el término municipal de Candelaria.</w:t>
            </w:r>
            <w:r>
              <w:rPr>
                <w:rFonts w:ascii="Times New Roman" w:eastAsia="Times New Roman" w:hAnsi="Times New Roman" w:cs="Times New Roman"/>
                <w:sz w:val="24"/>
              </w:rPr>
              <w:t xml:space="preserve">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r w:rsidR="00B064CF">
        <w:trPr>
          <w:trHeight w:val="773"/>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SERVICIOS SOCIALES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sz w:val="20"/>
              </w:rPr>
              <w:t>Aprobación definitiva de la Prestación de Servicio de Ayuda a Domicilio</w:t>
            </w:r>
            <w:r>
              <w:rPr>
                <w:rFonts w:ascii="Times New Roman" w:eastAsia="Times New Roman" w:hAnsi="Times New Roman" w:cs="Times New Roman"/>
                <w:sz w:val="24"/>
              </w:rPr>
              <w:t xml:space="preserve">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r w:rsidR="00B064CF">
        <w:trPr>
          <w:trHeight w:val="859"/>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SERVICIOS SOCIALES </w:t>
            </w:r>
          </w:p>
        </w:tc>
        <w:tc>
          <w:tcPr>
            <w:tcW w:w="531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2" w:firstLine="0"/>
              <w:jc w:val="left"/>
            </w:pPr>
            <w:r>
              <w:rPr>
                <w:sz w:val="20"/>
              </w:rPr>
              <w:t xml:space="preserve">Ordenanza Reguladora de las Prestaciones Económicas del Sistema Municipal de Servicios Sociales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r w:rsidR="00B064CF">
        <w:trPr>
          <w:trHeight w:val="1304"/>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COMERCIO </w:t>
            </w:r>
          </w:p>
        </w:tc>
        <w:tc>
          <w:tcPr>
            <w:tcW w:w="531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2" w:firstLine="0"/>
              <w:jc w:val="left"/>
            </w:pPr>
            <w:r>
              <w:rPr>
                <w:sz w:val="20"/>
              </w:rPr>
              <w:t xml:space="preserve">Ordenanza reguladora de venta no sedentaria y otras actividades y espectáculos temporales con finalidad mercantil o comercial en la vía pública en el término municipal de candelaria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r w:rsidR="00B064CF">
        <w:trPr>
          <w:trHeight w:val="773"/>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DESARROLLO RURAL </w:t>
            </w:r>
          </w:p>
        </w:tc>
        <w:tc>
          <w:tcPr>
            <w:tcW w:w="531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2" w:firstLine="0"/>
              <w:jc w:val="left"/>
            </w:pPr>
            <w:r>
              <w:rPr>
                <w:sz w:val="20"/>
              </w:rPr>
              <w:t>Ordenanza reguladora del Mercado de Producción Local de Candelaria</w:t>
            </w:r>
            <w:r>
              <w:rPr>
                <w:rFonts w:ascii="Times New Roman" w:eastAsia="Times New Roman" w:hAnsi="Times New Roman" w:cs="Times New Roman"/>
                <w:sz w:val="24"/>
              </w:rPr>
              <w:t xml:space="preserve">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r w:rsidR="00B064CF">
        <w:trPr>
          <w:trHeight w:val="775"/>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DESARROLLO RURAL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sz w:val="20"/>
              </w:rPr>
              <w:t>Ordenanza Reguladora de uso de los Senderos de la Red de Senderos Locales de Candelaria.</w:t>
            </w:r>
            <w:r>
              <w:rPr>
                <w:rFonts w:ascii="Times New Roman" w:eastAsia="Times New Roman" w:hAnsi="Times New Roman" w:cs="Times New Roman"/>
                <w:sz w:val="24"/>
              </w:rPr>
              <w:t xml:space="preserve">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r w:rsidR="00B064CF">
        <w:trPr>
          <w:trHeight w:val="773"/>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DESARROLLO RURAL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sz w:val="20"/>
              </w:rPr>
              <w:t>Ordenanza portuaria por la que se establecen los usos y gestión del Puerto Pesquero de Candelaria.</w:t>
            </w:r>
            <w:r>
              <w:rPr>
                <w:rFonts w:ascii="Times New Roman" w:eastAsia="Times New Roman" w:hAnsi="Times New Roman" w:cs="Times New Roman"/>
                <w:sz w:val="24"/>
              </w:rPr>
              <w:t xml:space="preserve">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r w:rsidR="00B064CF">
        <w:trPr>
          <w:trHeight w:val="511"/>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CULTURA </w:t>
            </w:r>
          </w:p>
        </w:tc>
        <w:tc>
          <w:tcPr>
            <w:tcW w:w="531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2" w:firstLine="0"/>
              <w:jc w:val="left"/>
            </w:pPr>
            <w:r>
              <w:rPr>
                <w:sz w:val="20"/>
              </w:rPr>
              <w:t xml:space="preserve">Reglamento de la red de espacios para la cultura de Candelaria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r w:rsidR="00B064CF">
        <w:trPr>
          <w:trHeight w:val="1385"/>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17" w:line="259" w:lineRule="auto"/>
              <w:ind w:left="0" w:firstLine="0"/>
              <w:jc w:val="left"/>
            </w:pPr>
            <w:r>
              <w:rPr>
                <w:sz w:val="20"/>
              </w:rPr>
              <w:t xml:space="preserve">DEPORTES Y </w:t>
            </w:r>
          </w:p>
          <w:p w:rsidR="00B064CF" w:rsidRDefault="00E32F70">
            <w:pPr>
              <w:spacing w:after="17" w:line="259" w:lineRule="auto"/>
              <w:ind w:left="0" w:firstLine="0"/>
            </w:pPr>
            <w:r>
              <w:rPr>
                <w:sz w:val="20"/>
              </w:rPr>
              <w:t xml:space="preserve">ACTIVIDADES </w:t>
            </w:r>
          </w:p>
          <w:p w:rsidR="00B064CF" w:rsidRDefault="00E32F70">
            <w:pPr>
              <w:spacing w:after="0" w:line="259" w:lineRule="auto"/>
              <w:ind w:left="0" w:firstLine="0"/>
            </w:pPr>
            <w:r>
              <w:rPr>
                <w:sz w:val="20"/>
              </w:rPr>
              <w:t xml:space="preserve">RECREATIVAS </w:t>
            </w:r>
          </w:p>
        </w:tc>
        <w:tc>
          <w:tcPr>
            <w:tcW w:w="531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2" w:firstLine="0"/>
              <w:jc w:val="left"/>
            </w:pPr>
            <w:r>
              <w:rPr>
                <w:sz w:val="20"/>
              </w:rPr>
              <w:t>Ordenanza Fiscal reguladora de la tasa por la inscripción en actividades deportivas municipales y de prestación de servicios de piscinas e instalaciones deportivas, usos de espacios publicitarios en instalaciones deportivas municipales, inscripción de acti</w:t>
            </w:r>
            <w:r>
              <w:rPr>
                <w:sz w:val="20"/>
              </w:rPr>
              <w:t>vidades sanitarias y en rutas guiadas organizadas.</w:t>
            </w:r>
            <w:r>
              <w:rPr>
                <w:rFonts w:ascii="Times New Roman" w:eastAsia="Times New Roman" w:hAnsi="Times New Roman" w:cs="Times New Roman"/>
                <w:sz w:val="24"/>
              </w:rPr>
              <w:t xml:space="preserve">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Modificación </w:t>
            </w:r>
          </w:p>
        </w:tc>
      </w:tr>
      <w:tr w:rsidR="00B064CF">
        <w:trPr>
          <w:trHeight w:val="509"/>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URBANISMO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sz w:val="20"/>
              </w:rPr>
              <w:t>Reglamento de Ordenación del Callejero Municipal</w:t>
            </w:r>
            <w:r>
              <w:rPr>
                <w:rFonts w:ascii="Times New Roman" w:eastAsia="Times New Roman" w:hAnsi="Times New Roman" w:cs="Times New Roman"/>
                <w:sz w:val="24"/>
              </w:rPr>
              <w:t xml:space="preserve">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Modificación </w:t>
            </w:r>
          </w:p>
        </w:tc>
      </w:tr>
      <w:tr w:rsidR="00B064CF">
        <w:trPr>
          <w:trHeight w:val="653"/>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RRHH </w:t>
            </w:r>
          </w:p>
        </w:tc>
        <w:tc>
          <w:tcPr>
            <w:tcW w:w="531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2" w:right="3" w:firstLine="0"/>
              <w:jc w:val="left"/>
            </w:pPr>
            <w:r>
              <w:rPr>
                <w:sz w:val="20"/>
              </w:rPr>
              <w:t xml:space="preserve">Ordenanza reguladora de la Administración Electrónica del Ayuntamiento de Candelaria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r w:rsidR="00B064CF">
        <w:trPr>
          <w:trHeight w:val="509"/>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RRHH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sz w:val="20"/>
              </w:rPr>
              <w:t xml:space="preserve">Reglamento de Teletrabajo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bl>
    <w:p w:rsidR="00B064CF" w:rsidRDefault="00E32F70">
      <w:pPr>
        <w:spacing w:after="0" w:line="404" w:lineRule="auto"/>
        <w:ind w:left="360" w:right="9650" w:firstLine="0"/>
      </w:pPr>
      <w:r>
        <w:rPr>
          <w:rFonts w:ascii="Calibri" w:eastAsia="Calibri" w:hAnsi="Calibri" w:cs="Calibri"/>
          <w:noProof/>
        </w:rPr>
        <mc:AlternateContent>
          <mc:Choice Requires="wpg">
            <w:drawing>
              <wp:anchor distT="0" distB="0" distL="114300" distR="114300" simplePos="0" relativeHeight="251722752" behindDoc="0" locked="0" layoutInCell="1" allowOverlap="1">
                <wp:simplePos x="0" y="0"/>
                <wp:positionH relativeFrom="page">
                  <wp:posOffset>8664935</wp:posOffset>
                </wp:positionH>
                <wp:positionV relativeFrom="page">
                  <wp:posOffset>6769227</wp:posOffset>
                </wp:positionV>
                <wp:extent cx="161330" cy="3542157"/>
                <wp:effectExtent l="0" t="0" r="0" b="0"/>
                <wp:wrapTopAndBottom/>
                <wp:docPr id="445705" name="Group 445705"/>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13495" name="Rectangle 13495"/>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13496" name="Rectangle 13496"/>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60 de 298 </w:t>
                              </w:r>
                            </w:p>
                          </w:txbxContent>
                        </wps:txbx>
                        <wps:bodyPr horzOverflow="overflow" vert="horz" lIns="0" tIns="0" rIns="0" bIns="0" rtlCol="0">
                          <a:noAutofit/>
                        </wps:bodyPr>
                      </wps:wsp>
                    </wpg:wgp>
                  </a:graphicData>
                </a:graphic>
              </wp:anchor>
            </w:drawing>
          </mc:Choice>
          <mc:Fallback xmlns:a="http://schemas.openxmlformats.org/drawingml/2006/main">
            <w:pict>
              <v:group id="Group 445705" style="width:12.7031pt;height:278.91pt;position:absolute;mso-position-horizontal-relative:page;mso-position-horizontal:absolute;margin-left:682.278pt;mso-position-vertical-relative:page;margin-top:533.01pt;" coordsize="1613,35421">
                <v:rect id="Rectangle 13495"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13496"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60 de 298 </w:t>
                        </w:r>
                      </w:p>
                    </w:txbxContent>
                  </v:textbox>
                </v:rect>
                <w10:wrap type="topAndBottom"/>
              </v:group>
            </w:pict>
          </mc:Fallback>
        </mc:AlternateContent>
      </w:r>
      <w:r>
        <w:rPr>
          <w:rFonts w:ascii="Calibri" w:eastAsia="Calibri" w:hAnsi="Calibri" w:cs="Calibri"/>
        </w:rPr>
        <w:t xml:space="preserve"> </w:t>
      </w:r>
      <w:r>
        <w:t xml:space="preserve"> </w:t>
      </w:r>
    </w:p>
    <w:p w:rsidR="00B064CF" w:rsidRDefault="00E32F70">
      <w:pPr>
        <w:spacing w:after="0" w:line="259" w:lineRule="auto"/>
        <w:ind w:left="360" w:firstLine="0"/>
      </w:pPr>
      <w:r>
        <w:t xml:space="preserve"> </w:t>
      </w:r>
    </w:p>
    <w:p w:rsidR="00B064CF" w:rsidRDefault="00E32F70">
      <w:pPr>
        <w:spacing w:after="145"/>
        <w:ind w:left="355" w:right="146"/>
      </w:pPr>
      <w:r>
        <w:t>SEGUNDO: Comunicar a los Concejales Delegados de los que dependen el reglamento u ordenanza a los efectos de su debida elaboración y aprobación o modificación prevista para el año 2021, en cumplimiento de la obligación legal establecida en el art. 132 de l</w:t>
      </w:r>
      <w:r>
        <w:t xml:space="preserve">a Ley 39/2015 5, de 1 de octubre, del Procedimiento Administrativo Común de las Administraciones Públicas. </w:t>
      </w:r>
    </w:p>
    <w:p w:rsidR="00B064CF" w:rsidRDefault="00E32F70">
      <w:pPr>
        <w:spacing w:after="136" w:line="259" w:lineRule="auto"/>
        <w:ind w:left="360" w:firstLine="0"/>
        <w:jc w:val="left"/>
      </w:pPr>
      <w:r>
        <w:t xml:space="preserve"> </w:t>
      </w:r>
    </w:p>
    <w:p w:rsidR="00B064CF" w:rsidRDefault="00E32F70">
      <w:pPr>
        <w:spacing w:after="145"/>
        <w:ind w:left="355" w:right="72"/>
      </w:pPr>
      <w:r>
        <w:t xml:space="preserve">TERCERO: Publicar el Plan normativo en el Portal de Transparencia y en la sede electrónica del Ayuntamiento de Candelaria una vez aprobada la modificación. </w:t>
      </w:r>
    </w:p>
    <w:p w:rsidR="00B064CF" w:rsidRDefault="00E32F70">
      <w:pPr>
        <w:spacing w:after="136" w:line="259" w:lineRule="auto"/>
        <w:ind w:left="360" w:firstLine="0"/>
        <w:jc w:val="left"/>
      </w:pPr>
      <w:r>
        <w:t xml:space="preserve"> </w:t>
      </w:r>
    </w:p>
    <w:p w:rsidR="00B064CF" w:rsidRDefault="00E32F70">
      <w:pPr>
        <w:spacing w:after="143"/>
        <w:ind w:left="355" w:right="143"/>
      </w:pPr>
      <w:r>
        <w:t>CUARTO: El procedimiento de aprobación de los reglamentos y ordenanzas municipales incluidos en e</w:t>
      </w:r>
      <w:r>
        <w:t>ste Plan Normativo Anual que se deben aprobar en este presente año 2021 es el establecido en el artículo 133 de la ley 39/2015, de 1 de octubre, en el artículo 49 de la Ley 7/1985, de 2 de abril reguladora de las Bases del Régimen local y el resto de leyes</w:t>
      </w:r>
      <w:r>
        <w:t xml:space="preserve"> y reglamentos aplicables.” </w:t>
      </w:r>
    </w:p>
    <w:p w:rsidR="00B064CF" w:rsidRDefault="00E32F70">
      <w:pPr>
        <w:spacing w:after="134" w:line="259" w:lineRule="auto"/>
        <w:ind w:left="360" w:firstLine="0"/>
        <w:jc w:val="left"/>
      </w:pPr>
      <w:r>
        <w:t xml:space="preserve"> </w:t>
      </w:r>
    </w:p>
    <w:p w:rsidR="00B064CF" w:rsidRDefault="00E32F70">
      <w:pPr>
        <w:spacing w:after="4"/>
        <w:ind w:left="355" w:right="68"/>
      </w:pPr>
      <w:r>
        <w:rPr>
          <w:b/>
        </w:rPr>
        <w:t xml:space="preserve">Consta en el expediente propuesta de la Alcaldesa-Presidenta, de fecha 9 de febrero de 2021, cuyo tenor literal es el siguiente: </w:t>
      </w:r>
    </w:p>
    <w:p w:rsidR="00B064CF" w:rsidRDefault="00E32F70">
      <w:pPr>
        <w:spacing w:after="101" w:line="259" w:lineRule="auto"/>
        <w:ind w:left="360" w:firstLine="0"/>
        <w:jc w:val="left"/>
      </w:pPr>
      <w:r>
        <w:rPr>
          <w:b/>
        </w:rPr>
        <w:t xml:space="preserve"> </w:t>
      </w:r>
    </w:p>
    <w:p w:rsidR="00B064CF" w:rsidRDefault="00E32F70">
      <w:pPr>
        <w:spacing w:after="145"/>
        <w:ind w:left="355" w:right="280"/>
      </w:pPr>
      <w:r>
        <w:rPr>
          <w:rFonts w:ascii="Calibri" w:eastAsia="Calibri" w:hAnsi="Calibri" w:cs="Calibri"/>
          <w:noProof/>
        </w:rPr>
        <mc:AlternateContent>
          <mc:Choice Requires="wpg">
            <w:drawing>
              <wp:anchor distT="0" distB="0" distL="114300" distR="114300" simplePos="0" relativeHeight="25172377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77661" name="Group 377661"/>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13588" name="Rectangle 13588"/>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64SKSNYNJRFPNN5DLPPAAC3GS | Verificación: https://candelaria.sedelectroni</w:t>
                              </w:r>
                              <w:r>
                                <w:rPr>
                                  <w:sz w:val="12"/>
                                </w:rPr>
                                <w:t xml:space="preserve">ca.es/ </w:t>
                              </w:r>
                            </w:p>
                          </w:txbxContent>
                        </wps:txbx>
                        <wps:bodyPr horzOverflow="overflow" vert="horz" lIns="0" tIns="0" rIns="0" bIns="0" rtlCol="0">
                          <a:noAutofit/>
                        </wps:bodyPr>
                      </wps:wsp>
                      <wps:wsp>
                        <wps:cNvPr id="13589" name="Rectangle 13589"/>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61 de 298 </w:t>
                              </w:r>
                            </w:p>
                          </w:txbxContent>
                        </wps:txbx>
                        <wps:bodyPr horzOverflow="overflow" vert="horz" lIns="0" tIns="0" rIns="0" bIns="0" rtlCol="0">
                          <a:noAutofit/>
                        </wps:bodyPr>
                      </wps:wsp>
                    </wpg:wgp>
                  </a:graphicData>
                </a:graphic>
              </wp:anchor>
            </w:drawing>
          </mc:Choice>
          <mc:Fallback xmlns:a="http://schemas.openxmlformats.org/drawingml/2006/main">
            <w:pict>
              <v:group id="Group 377661" style="width:12.7031pt;height:278.91pt;position:absolute;mso-position-horizontal-relative:page;mso-position-horizontal:absolute;margin-left:682.278pt;mso-position-vertical-relative:page;margin-top:533.01pt;" coordsize="1613,35421">
                <v:rect id="Rectangle 13588"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13589"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61 de 298 </w:t>
                        </w:r>
                      </w:p>
                    </w:txbxContent>
                  </v:textbox>
                </v:rect>
                <w10:wrap type="square"/>
              </v:group>
            </w:pict>
          </mc:Fallback>
        </mc:AlternateContent>
      </w:r>
      <w:r>
        <w:t>Doña María Concepción Brito Núñez, en calidad de Alcaldesa Presidenta, al amparo de lo dispuesto en el Reglamento de Organización, Funcionamiento y Régi</w:t>
      </w:r>
      <w:r>
        <w:t xml:space="preserve">men Jurídico de las Entidades Locales, así como en la Ley 7/1985, de 2 de abril, Reguladora de las Bases de Régimen Local, formula al Pleno de la Corporación la siguiente propuesta:  </w:t>
      </w:r>
    </w:p>
    <w:p w:rsidR="00B064CF" w:rsidRDefault="00E32F70">
      <w:pPr>
        <w:spacing w:after="145"/>
        <w:ind w:left="355" w:right="276"/>
      </w:pPr>
      <w:r>
        <w:t>Mediante Acuerdo del Pleno de fecha 25 de febrero de 2021, se aprobó el Plan Anual Normativo de 2021 en cumplimiento de lo dispuesto en el artículo 132 de la Ley 39/2015 de 1 de octubre del Procedimiento Administrativo Común de las Administraciones Pública</w:t>
      </w:r>
      <w:r>
        <w:t xml:space="preserve">s.  </w:t>
      </w:r>
    </w:p>
    <w:p w:rsidR="00B064CF" w:rsidRDefault="00E32F70">
      <w:pPr>
        <w:ind w:left="355" w:right="72"/>
      </w:pPr>
      <w:r>
        <w:t xml:space="preserve">En el referido Plan Normativo no se incluyó: </w:t>
      </w:r>
    </w:p>
    <w:p w:rsidR="00B064CF" w:rsidRDefault="00E32F70">
      <w:pPr>
        <w:numPr>
          <w:ilvl w:val="0"/>
          <w:numId w:val="15"/>
        </w:numPr>
        <w:spacing w:after="162" w:line="249" w:lineRule="auto"/>
        <w:ind w:right="72" w:hanging="360"/>
      </w:pPr>
      <w:r>
        <w:rPr>
          <w:b/>
        </w:rPr>
        <w:t xml:space="preserve">Modificación del Reglamento de Ordenación del Callejero Municipal de Candelaria. </w:t>
      </w:r>
      <w:r>
        <w:rPr>
          <w:sz w:val="24"/>
        </w:rPr>
        <w:t xml:space="preserve"> </w:t>
      </w:r>
    </w:p>
    <w:p w:rsidR="00B064CF" w:rsidRDefault="00E32F70">
      <w:pPr>
        <w:numPr>
          <w:ilvl w:val="0"/>
          <w:numId w:val="15"/>
        </w:numPr>
        <w:ind w:right="72" w:hanging="360"/>
      </w:pPr>
      <w:r>
        <w:rPr>
          <w:b/>
        </w:rPr>
        <w:t>Aprobación de la Ordenanza Reguladora de Administración Electrónica</w:t>
      </w:r>
      <w:r>
        <w:t xml:space="preserve"> </w:t>
      </w:r>
      <w:r>
        <w:t>del Ayuntamiento de Candelaria, para regular la gestión administrativa y la tramitación de procedimientos por vía electrónica, en aplicación de las Leyes 39/2015, de 1 de octubre, del Procedimiento Administrativo Común de las Administraciones Públicas, y 4</w:t>
      </w:r>
      <w:r>
        <w:t>0/2015, de 1 de octubre, del Régimen Jurídico del Sector Público</w:t>
      </w:r>
      <w:r>
        <w:rPr>
          <w:sz w:val="24"/>
        </w:rPr>
        <w:t xml:space="preserve"> </w:t>
      </w:r>
    </w:p>
    <w:p w:rsidR="00B064CF" w:rsidRDefault="00E32F70">
      <w:pPr>
        <w:numPr>
          <w:ilvl w:val="0"/>
          <w:numId w:val="15"/>
        </w:numPr>
        <w:spacing w:after="124"/>
        <w:ind w:right="72" w:hanging="360"/>
      </w:pPr>
      <w:r>
        <w:rPr>
          <w:b/>
        </w:rPr>
        <w:t>Aprobación del Reglamento de Teletrabajo,</w:t>
      </w:r>
      <w:r>
        <w:t xml:space="preserve"> que regula la prestación del servicio en modalidad de teletrabajo.</w:t>
      </w:r>
      <w:r>
        <w:rPr>
          <w:sz w:val="24"/>
        </w:rPr>
        <w:t xml:space="preserve"> </w:t>
      </w:r>
    </w:p>
    <w:p w:rsidR="00B064CF" w:rsidRDefault="00E32F70">
      <w:pPr>
        <w:spacing w:after="139" w:line="259" w:lineRule="auto"/>
        <w:ind w:left="360" w:firstLine="0"/>
        <w:jc w:val="left"/>
      </w:pPr>
      <w:r>
        <w:t xml:space="preserve"> </w:t>
      </w:r>
    </w:p>
    <w:p w:rsidR="00B064CF" w:rsidRDefault="00E32F70">
      <w:pPr>
        <w:ind w:left="355" w:right="275"/>
      </w:pPr>
      <w:r>
        <w:t>Considerando que la Ley 7/1985, de 2 de abril, Reguladora de las Bases del Rég</w:t>
      </w:r>
      <w:r>
        <w:t xml:space="preserve">imen Local, establece en el artículo 22 las atribuciones del Pleno de la Corporación en materia de aprobación de planes.  </w:t>
      </w:r>
    </w:p>
    <w:p w:rsidR="00B064CF" w:rsidRDefault="00E32F70">
      <w:pPr>
        <w:spacing w:after="136" w:line="259" w:lineRule="auto"/>
        <w:ind w:left="360" w:firstLine="0"/>
        <w:jc w:val="left"/>
      </w:pPr>
      <w:r>
        <w:t xml:space="preserve"> </w:t>
      </w:r>
    </w:p>
    <w:p w:rsidR="00B064CF" w:rsidRDefault="00E32F70">
      <w:pPr>
        <w:spacing w:after="145"/>
        <w:ind w:left="355" w:right="72"/>
      </w:pPr>
      <w:r>
        <w:t>En consecuencia, esta Alcaldía propone al Pleno, previo dictamen de la Comisión informativa correspondiente, la adopción del siguie</w:t>
      </w:r>
      <w:r>
        <w:t xml:space="preserve">nte acuerdo: </w:t>
      </w:r>
    </w:p>
    <w:p w:rsidR="00B064CF" w:rsidRDefault="00E32F70">
      <w:pPr>
        <w:spacing w:after="134" w:line="259" w:lineRule="auto"/>
        <w:ind w:left="360" w:firstLine="0"/>
        <w:jc w:val="left"/>
      </w:pPr>
      <w:r>
        <w:t xml:space="preserve"> </w:t>
      </w:r>
    </w:p>
    <w:p w:rsidR="00B064CF" w:rsidRDefault="00E32F70">
      <w:pPr>
        <w:ind w:left="355" w:right="72"/>
      </w:pPr>
      <w:r>
        <w:rPr>
          <w:b/>
        </w:rPr>
        <w:t>PRIMERO. -</w:t>
      </w:r>
      <w:r>
        <w:t xml:space="preserve"> Realizar la modificación del Plan Anual Normativo 2021 para incluir la aprobación de las siguientes normas:</w:t>
      </w:r>
      <w:r>
        <w:rPr>
          <w:sz w:val="24"/>
        </w:rPr>
        <w:t xml:space="preserve"> </w:t>
      </w:r>
    </w:p>
    <w:p w:rsidR="00B064CF" w:rsidRDefault="00E32F70">
      <w:pPr>
        <w:pStyle w:val="Ttulo1"/>
        <w:spacing w:after="161" w:line="249" w:lineRule="auto"/>
        <w:ind w:left="290" w:right="50"/>
        <w:jc w:val="center"/>
      </w:pPr>
      <w:r>
        <w:rPr>
          <w:b w:val="0"/>
          <w:sz w:val="24"/>
          <w:u w:val="none"/>
        </w:rPr>
        <w:t xml:space="preserve">4. </w:t>
      </w:r>
      <w:r>
        <w:rPr>
          <w:u w:val="none"/>
        </w:rPr>
        <w:t xml:space="preserve">Modificación del Reglamento de Ordenación del Callejero Municipal de Candelaria, </w:t>
      </w:r>
      <w:r>
        <w:rPr>
          <w:b w:val="0"/>
          <w:sz w:val="24"/>
          <w:u w:val="none"/>
        </w:rPr>
        <w:t xml:space="preserve"> </w:t>
      </w:r>
    </w:p>
    <w:p w:rsidR="00B064CF" w:rsidRDefault="00E32F70">
      <w:pPr>
        <w:numPr>
          <w:ilvl w:val="0"/>
          <w:numId w:val="16"/>
        </w:numPr>
        <w:ind w:right="173" w:hanging="360"/>
      </w:pPr>
      <w:r>
        <w:rPr>
          <w:rFonts w:ascii="Calibri" w:eastAsia="Calibri" w:hAnsi="Calibri" w:cs="Calibri"/>
          <w:noProof/>
        </w:rPr>
        <mc:AlternateContent>
          <mc:Choice Requires="wpg">
            <w:drawing>
              <wp:anchor distT="0" distB="0" distL="114300" distR="114300" simplePos="0" relativeHeight="251724800" behindDoc="0" locked="0" layoutInCell="1" allowOverlap="1">
                <wp:simplePos x="0" y="0"/>
                <wp:positionH relativeFrom="page">
                  <wp:posOffset>8664935</wp:posOffset>
                </wp:positionH>
                <wp:positionV relativeFrom="page">
                  <wp:posOffset>6769227</wp:posOffset>
                </wp:positionV>
                <wp:extent cx="161330" cy="3542157"/>
                <wp:effectExtent l="0" t="0" r="0" b="0"/>
                <wp:wrapTopAndBottom/>
                <wp:docPr id="432950" name="Group 432950"/>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13820" name="Rectangle 13820"/>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13821" name="Rectangle 13821"/>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62 de 298 </w:t>
                              </w:r>
                            </w:p>
                          </w:txbxContent>
                        </wps:txbx>
                        <wps:bodyPr horzOverflow="overflow" vert="horz" lIns="0" tIns="0" rIns="0" bIns="0" rtlCol="0">
                          <a:noAutofit/>
                        </wps:bodyPr>
                      </wps:wsp>
                    </wpg:wgp>
                  </a:graphicData>
                </a:graphic>
              </wp:anchor>
            </w:drawing>
          </mc:Choice>
          <mc:Fallback xmlns:a="http://schemas.openxmlformats.org/drawingml/2006/main">
            <w:pict>
              <v:group id="Group 432950" style="width:12.7031pt;height:278.91pt;position:absolute;mso-position-horizontal-relative:page;mso-position-horizontal:absolute;margin-left:682.278pt;mso-position-vertical-relative:page;margin-top:533.01pt;" coordsize="1613,35421">
                <v:rect id="Rectangle 13820"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13821"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62 de 298 </w:t>
                        </w:r>
                      </w:p>
                    </w:txbxContent>
                  </v:textbox>
                </v:rect>
                <w10:wrap type="topAndBottom"/>
              </v:group>
            </w:pict>
          </mc:Fallback>
        </mc:AlternateContent>
      </w:r>
      <w:r>
        <w:rPr>
          <w:b/>
        </w:rPr>
        <w:t>Aprobación de la Ordenanza Reguladora de Administración Electr</w:t>
      </w:r>
      <w:r>
        <w:rPr>
          <w:b/>
        </w:rPr>
        <w:t>ónica</w:t>
      </w:r>
      <w:r>
        <w:t xml:space="preserve"> del Ayuntamiento de Candelaria, para regular la gestión administrativa y la tramitación de procedimientos por vía electrónica, en aplicación de las Leyes 39/2015, de 1 de octubre, del Procedimiento Administrativo Común de las Administraciones Pública</w:t>
      </w:r>
      <w:r>
        <w:t>s, y 40/2015, de 1 de octubre, del Régimen Jurídico del Sector Público</w:t>
      </w:r>
      <w:r>
        <w:rPr>
          <w:sz w:val="24"/>
        </w:rPr>
        <w:t xml:space="preserve"> </w:t>
      </w:r>
    </w:p>
    <w:p w:rsidR="00B064CF" w:rsidRDefault="00E32F70">
      <w:pPr>
        <w:numPr>
          <w:ilvl w:val="0"/>
          <w:numId w:val="16"/>
        </w:numPr>
        <w:spacing w:after="122"/>
        <w:ind w:right="173" w:hanging="360"/>
      </w:pPr>
      <w:r>
        <w:rPr>
          <w:b/>
        </w:rPr>
        <w:t>Aprobación del Reglamento de Teletrabajo,</w:t>
      </w:r>
      <w:r>
        <w:t xml:space="preserve"> que regula la prestación del servicio en modalidad de teletrabajo.</w:t>
      </w:r>
      <w:r>
        <w:rPr>
          <w:sz w:val="24"/>
        </w:rPr>
        <w:t xml:space="preserve"> </w:t>
      </w:r>
    </w:p>
    <w:p w:rsidR="00B064CF" w:rsidRDefault="00E32F70">
      <w:pPr>
        <w:spacing w:after="137" w:line="259" w:lineRule="auto"/>
        <w:ind w:left="360" w:firstLine="0"/>
        <w:jc w:val="left"/>
      </w:pPr>
      <w:r>
        <w:rPr>
          <w:b/>
        </w:rPr>
        <w:t xml:space="preserve"> </w:t>
      </w:r>
    </w:p>
    <w:p w:rsidR="00B064CF" w:rsidRDefault="00E32F70">
      <w:pPr>
        <w:spacing w:after="20"/>
        <w:ind w:left="355" w:right="72"/>
      </w:pPr>
      <w:r>
        <w:rPr>
          <w:b/>
        </w:rPr>
        <w:t>SEGUNDO</w:t>
      </w:r>
      <w:r>
        <w:t>. - El Plan Anual Normativo 2021, con las modificaciones que se p</w:t>
      </w:r>
      <w:r>
        <w:t>roponen, quedaría distribuido de la siguiente manera:</w:t>
      </w:r>
      <w:r>
        <w:rPr>
          <w:sz w:val="24"/>
        </w:rPr>
        <w:t xml:space="preserve"> </w:t>
      </w:r>
    </w:p>
    <w:p w:rsidR="00B064CF" w:rsidRDefault="00E32F70">
      <w:pPr>
        <w:spacing w:after="0" w:line="259" w:lineRule="auto"/>
        <w:ind w:left="360" w:firstLine="0"/>
        <w:jc w:val="left"/>
      </w:pPr>
      <w:r>
        <w:t xml:space="preserve">  </w:t>
      </w:r>
    </w:p>
    <w:tbl>
      <w:tblPr>
        <w:tblStyle w:val="TableGrid"/>
        <w:tblW w:w="8282" w:type="dxa"/>
        <w:tblInd w:w="788" w:type="dxa"/>
        <w:tblCellMar>
          <w:top w:w="0" w:type="dxa"/>
          <w:left w:w="55" w:type="dxa"/>
          <w:bottom w:w="0" w:type="dxa"/>
          <w:right w:w="115" w:type="dxa"/>
        </w:tblCellMar>
        <w:tblLook w:val="04A0" w:firstRow="1" w:lastRow="0" w:firstColumn="1" w:lastColumn="0" w:noHBand="0" w:noVBand="1"/>
      </w:tblPr>
      <w:tblGrid>
        <w:gridCol w:w="1555"/>
        <w:gridCol w:w="5310"/>
        <w:gridCol w:w="1417"/>
      </w:tblGrid>
      <w:tr w:rsidR="00B064CF">
        <w:trPr>
          <w:trHeight w:val="773"/>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RECURSOS HUMANOS</w:t>
            </w:r>
            <w:r>
              <w:rPr>
                <w:rFonts w:ascii="Times New Roman" w:eastAsia="Times New Roman" w:hAnsi="Times New Roman" w:cs="Times New Roman"/>
                <w:sz w:val="24"/>
              </w:rPr>
              <w:t xml:space="preserve">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sz w:val="20"/>
              </w:rPr>
              <w:t xml:space="preserve">Reglamento de funcionamiento del control de presencia.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r w:rsidR="00B064CF">
        <w:trPr>
          <w:trHeight w:val="511"/>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URBANISMO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sz w:val="20"/>
              </w:rPr>
              <w:t xml:space="preserve">Ordenanza Reguladora del dominio público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r w:rsidR="00B064CF">
        <w:trPr>
          <w:trHeight w:val="511"/>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URBANISMO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sz w:val="20"/>
              </w:rPr>
              <w:t xml:space="preserve">Ordenanza de inspección técnica de edificios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r w:rsidR="00B064CF">
        <w:trPr>
          <w:trHeight w:val="773"/>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URBANISMO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sz w:val="20"/>
              </w:rPr>
              <w:t xml:space="preserve">Ordenanza reguladora de los regímenes de intervención en materia urbanística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r w:rsidR="00B064CF">
        <w:trPr>
          <w:trHeight w:val="775"/>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URBANISMO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sz w:val="20"/>
              </w:rPr>
              <w:t>Ordenanza fiscal reguladora del impuesto sobre construcciones, instalaciones y obras</w:t>
            </w:r>
            <w:r>
              <w:rPr>
                <w:sz w:val="20"/>
              </w:rPr>
              <w:t xml:space="preserve">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Modificación </w:t>
            </w:r>
          </w:p>
        </w:tc>
      </w:tr>
      <w:tr w:rsidR="00B064CF">
        <w:trPr>
          <w:trHeight w:val="511"/>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URBANISMO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sz w:val="20"/>
              </w:rPr>
              <w:t xml:space="preserve">Impuesto sobre bienes inmuebles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Modificación </w:t>
            </w:r>
          </w:p>
        </w:tc>
      </w:tr>
      <w:tr w:rsidR="00B064CF">
        <w:trPr>
          <w:trHeight w:val="775"/>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URBANISMO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sz w:val="20"/>
              </w:rPr>
              <w:t xml:space="preserve">Ordenanza fiscal reguladora de la tasa por prestación de servicios urbanísticos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Modificación </w:t>
            </w:r>
          </w:p>
        </w:tc>
      </w:tr>
      <w:tr w:rsidR="00B064CF">
        <w:trPr>
          <w:trHeight w:val="1037"/>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URBANISMO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sz w:val="20"/>
              </w:rPr>
              <w:t xml:space="preserve">Ordenanza fiscal reguladora de la tasa por prestación de servicios de intervención y control en la implantación de instalaciones y actividades o servicios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Modificación </w:t>
            </w:r>
          </w:p>
        </w:tc>
      </w:tr>
    </w:tbl>
    <w:tbl>
      <w:tblPr>
        <w:tblStyle w:val="TableGrid"/>
        <w:tblpPr w:vertAnchor="text" w:tblpX="788"/>
        <w:tblOverlap w:val="never"/>
        <w:tblW w:w="8282" w:type="dxa"/>
        <w:tblInd w:w="0" w:type="dxa"/>
        <w:tblCellMar>
          <w:top w:w="7" w:type="dxa"/>
          <w:left w:w="55" w:type="dxa"/>
          <w:bottom w:w="0" w:type="dxa"/>
          <w:right w:w="45" w:type="dxa"/>
        </w:tblCellMar>
        <w:tblLook w:val="04A0" w:firstRow="1" w:lastRow="0" w:firstColumn="1" w:lastColumn="0" w:noHBand="0" w:noVBand="1"/>
      </w:tblPr>
      <w:tblGrid>
        <w:gridCol w:w="1555"/>
        <w:gridCol w:w="5310"/>
        <w:gridCol w:w="1417"/>
      </w:tblGrid>
      <w:tr w:rsidR="00B064CF">
        <w:trPr>
          <w:trHeight w:val="1039"/>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HACIENDA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sz w:val="20"/>
              </w:rPr>
              <w:t xml:space="preserve">Tasas por prestación de un servicio público o la realización de una actividad administrativa. Tasa por expedición de documentos.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Modificación </w:t>
            </w:r>
          </w:p>
        </w:tc>
      </w:tr>
      <w:tr w:rsidR="00B064CF">
        <w:trPr>
          <w:trHeight w:val="773"/>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HACIENDA </w:t>
            </w:r>
          </w:p>
        </w:tc>
        <w:tc>
          <w:tcPr>
            <w:tcW w:w="531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2" w:firstLine="0"/>
              <w:jc w:val="left"/>
            </w:pPr>
            <w:r>
              <w:rPr>
                <w:sz w:val="20"/>
              </w:rPr>
              <w:t xml:space="preserve">Ordenanza de la prestación patrimonial pública no tributaria de abastecimiento y saneamiento de agua </w:t>
            </w:r>
            <w:r>
              <w:rPr>
                <w:sz w:val="20"/>
              </w:rPr>
              <w:t xml:space="preserve">potable.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r w:rsidR="00B064CF">
        <w:trPr>
          <w:trHeight w:val="896"/>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HACIENDA </w:t>
            </w:r>
          </w:p>
        </w:tc>
        <w:tc>
          <w:tcPr>
            <w:tcW w:w="531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2" w:right="13" w:firstLine="0"/>
              <w:jc w:val="left"/>
            </w:pPr>
            <w:r>
              <w:rPr>
                <w:sz w:val="20"/>
              </w:rPr>
              <w:t xml:space="preserve">Ordenanza de la prestación patrimonial pública no tributaria de del servicio de retirada y depósito de vehículos de la vía pública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r w:rsidR="00B064CF">
        <w:trPr>
          <w:trHeight w:val="737"/>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HACIENDA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sz w:val="20"/>
              </w:rPr>
              <w:t>Reglamento de Control Interno de la actividad económico</w:t>
            </w:r>
            <w:r>
              <w:rPr>
                <w:sz w:val="20"/>
              </w:rPr>
              <w:t xml:space="preserve">financiera del Ayuntamiento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r w:rsidR="00B064CF">
        <w:trPr>
          <w:trHeight w:val="773"/>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PARTICIPACIÓ N CIUDADANA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sz w:val="20"/>
              </w:rPr>
              <w:t>Ordenanza reguladora de la convivencia ciudadana en el término municipal de Candelaria.</w:t>
            </w:r>
            <w:r>
              <w:rPr>
                <w:rFonts w:ascii="Times New Roman" w:eastAsia="Times New Roman" w:hAnsi="Times New Roman" w:cs="Times New Roman"/>
                <w:sz w:val="24"/>
              </w:rPr>
              <w:t xml:space="preserve">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r w:rsidR="00B064CF">
        <w:trPr>
          <w:trHeight w:val="775"/>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SERVICIOS SOCIALES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sz w:val="20"/>
              </w:rPr>
              <w:t xml:space="preserve">Aprobación definitiva </w:t>
            </w:r>
            <w:r>
              <w:rPr>
                <w:sz w:val="20"/>
              </w:rPr>
              <w:t>de la Prestación de Servicio de Ayuda a Domicilio</w:t>
            </w:r>
            <w:r>
              <w:rPr>
                <w:rFonts w:ascii="Times New Roman" w:eastAsia="Times New Roman" w:hAnsi="Times New Roman" w:cs="Times New Roman"/>
                <w:sz w:val="24"/>
              </w:rPr>
              <w:t xml:space="preserve">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r w:rsidR="00B064CF">
        <w:trPr>
          <w:trHeight w:val="857"/>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SERVICIOS SOCIALES </w:t>
            </w:r>
          </w:p>
        </w:tc>
        <w:tc>
          <w:tcPr>
            <w:tcW w:w="531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2" w:firstLine="0"/>
              <w:jc w:val="left"/>
            </w:pPr>
            <w:r>
              <w:rPr>
                <w:sz w:val="20"/>
              </w:rPr>
              <w:t xml:space="preserve">Ordenanza Reguladora de las Prestaciones Económicas del Sistema Municipal de Servicios Sociales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r w:rsidR="00B064CF">
        <w:trPr>
          <w:trHeight w:val="1303"/>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COMERCIO </w:t>
            </w:r>
          </w:p>
        </w:tc>
        <w:tc>
          <w:tcPr>
            <w:tcW w:w="531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2" w:firstLine="0"/>
              <w:jc w:val="left"/>
            </w:pPr>
            <w:r>
              <w:rPr>
                <w:sz w:val="20"/>
              </w:rPr>
              <w:t xml:space="preserve">Ordenanza reguladora de venta no sedentaria y otras actividades y espectáculos temporales con finalidad mercantil o comercial en la vía pública en el término municipal de candelaria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r w:rsidR="00B064CF">
        <w:trPr>
          <w:trHeight w:val="773"/>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DESARROLLO RURAL </w:t>
            </w:r>
          </w:p>
        </w:tc>
        <w:tc>
          <w:tcPr>
            <w:tcW w:w="531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2" w:firstLine="0"/>
            </w:pPr>
            <w:r>
              <w:rPr>
                <w:sz w:val="20"/>
              </w:rPr>
              <w:t>Ordenanza reguladora del Mercado de Producción Local de Candelaria</w:t>
            </w:r>
            <w:r>
              <w:rPr>
                <w:rFonts w:ascii="Times New Roman" w:eastAsia="Times New Roman" w:hAnsi="Times New Roman" w:cs="Times New Roman"/>
                <w:sz w:val="24"/>
              </w:rPr>
              <w:t xml:space="preserve">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r w:rsidR="00B064CF">
        <w:trPr>
          <w:trHeight w:val="776"/>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DESARROLLO RURAL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sz w:val="20"/>
              </w:rPr>
              <w:t>Ordenanza Reguladora de uso de los Senderos de la Red de Senderos Locales de Candelaria.</w:t>
            </w:r>
            <w:r>
              <w:rPr>
                <w:rFonts w:ascii="Times New Roman" w:eastAsia="Times New Roman" w:hAnsi="Times New Roman" w:cs="Times New Roman"/>
                <w:sz w:val="24"/>
              </w:rPr>
              <w:t xml:space="preserve">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r w:rsidR="00B064CF">
        <w:trPr>
          <w:trHeight w:val="773"/>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DESARROLLO RURAL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sz w:val="20"/>
              </w:rPr>
              <w:t>Ordenanza portuaria por la que se establecen los usos y gestión del Puerto Pesquero de Candelaria.</w:t>
            </w:r>
            <w:r>
              <w:rPr>
                <w:rFonts w:ascii="Times New Roman" w:eastAsia="Times New Roman" w:hAnsi="Times New Roman" w:cs="Times New Roman"/>
                <w:sz w:val="24"/>
              </w:rPr>
              <w:t xml:space="preserve">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r w:rsidR="00B064CF">
        <w:trPr>
          <w:trHeight w:val="511"/>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CULTURA </w:t>
            </w:r>
          </w:p>
        </w:tc>
        <w:tc>
          <w:tcPr>
            <w:tcW w:w="531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2" w:firstLine="0"/>
              <w:jc w:val="left"/>
            </w:pPr>
            <w:r>
              <w:rPr>
                <w:sz w:val="20"/>
              </w:rPr>
              <w:t xml:space="preserve">Reglamento de la red de espacios para la cultura de Candelaria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Aprobación </w:t>
            </w:r>
          </w:p>
        </w:tc>
      </w:tr>
      <w:tr w:rsidR="00B064CF">
        <w:trPr>
          <w:trHeight w:val="1385"/>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17" w:line="259" w:lineRule="auto"/>
              <w:ind w:left="0" w:firstLine="0"/>
              <w:jc w:val="left"/>
            </w:pPr>
            <w:r>
              <w:rPr>
                <w:sz w:val="20"/>
              </w:rPr>
              <w:t xml:space="preserve">DEPORTES Y </w:t>
            </w:r>
          </w:p>
          <w:p w:rsidR="00B064CF" w:rsidRDefault="00E32F70">
            <w:pPr>
              <w:spacing w:after="17" w:line="259" w:lineRule="auto"/>
              <w:ind w:left="0" w:firstLine="0"/>
            </w:pPr>
            <w:r>
              <w:rPr>
                <w:sz w:val="20"/>
              </w:rPr>
              <w:t xml:space="preserve">ACTIVIDADES </w:t>
            </w:r>
          </w:p>
          <w:p w:rsidR="00B064CF" w:rsidRDefault="00E32F70">
            <w:pPr>
              <w:spacing w:after="0" w:line="259" w:lineRule="auto"/>
              <w:ind w:left="0" w:firstLine="0"/>
            </w:pPr>
            <w:r>
              <w:rPr>
                <w:sz w:val="20"/>
              </w:rPr>
              <w:t xml:space="preserve">RECREATIVAS </w:t>
            </w:r>
          </w:p>
        </w:tc>
        <w:tc>
          <w:tcPr>
            <w:tcW w:w="531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2" w:firstLine="0"/>
              <w:jc w:val="left"/>
            </w:pPr>
            <w:r>
              <w:rPr>
                <w:sz w:val="20"/>
              </w:rPr>
              <w:t>Ordenanza Fiscal reguladora de la tasa por la inscripción en actividades deportivas municipales y de prestación de servicios de piscinas e instalaciones deportivas, usos de espacios publicitarios en instalaciones deportivas municipales, inscripción de acti</w:t>
            </w:r>
            <w:r>
              <w:rPr>
                <w:sz w:val="20"/>
              </w:rPr>
              <w:t>vidades sanitarias y en rutas guiadas organizadas.</w:t>
            </w:r>
            <w:r>
              <w:rPr>
                <w:rFonts w:ascii="Times New Roman" w:eastAsia="Times New Roman" w:hAnsi="Times New Roman" w:cs="Times New Roman"/>
                <w:sz w:val="24"/>
              </w:rPr>
              <w:t xml:space="preserve">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sz w:val="20"/>
              </w:rPr>
              <w:t xml:space="preserve">Modificación </w:t>
            </w:r>
          </w:p>
        </w:tc>
      </w:tr>
      <w:tr w:rsidR="00B064CF">
        <w:trPr>
          <w:trHeight w:val="509"/>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b/>
                <w:sz w:val="20"/>
              </w:rPr>
              <w:t xml:space="preserve">URBANISMO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b/>
                <w:sz w:val="20"/>
              </w:rPr>
              <w:t>Reglamento de Ordenación del Callejero Municipal</w:t>
            </w:r>
            <w:r>
              <w:rPr>
                <w:rFonts w:ascii="Times New Roman" w:eastAsia="Times New Roman" w:hAnsi="Times New Roman" w:cs="Times New Roman"/>
                <w:sz w:val="24"/>
              </w:rPr>
              <w:t xml:space="preserve">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pPr>
            <w:r>
              <w:rPr>
                <w:b/>
                <w:sz w:val="20"/>
              </w:rPr>
              <w:t xml:space="preserve">Modificación </w:t>
            </w:r>
          </w:p>
        </w:tc>
      </w:tr>
    </w:tbl>
    <w:p w:rsidR="00B064CF" w:rsidRDefault="00E32F70">
      <w:pPr>
        <w:spacing w:after="0" w:line="259" w:lineRule="auto"/>
        <w:ind w:left="-2192" w:right="1003" w:firstLine="0"/>
        <w:jc w:val="left"/>
      </w:pPr>
      <w:r>
        <w:rPr>
          <w:rFonts w:ascii="Calibri" w:eastAsia="Calibri" w:hAnsi="Calibri" w:cs="Calibri"/>
          <w:noProof/>
        </w:rPr>
        <mc:AlternateContent>
          <mc:Choice Requires="wpg">
            <w:drawing>
              <wp:anchor distT="0" distB="0" distL="114300" distR="114300" simplePos="0" relativeHeight="251725824" behindDoc="0" locked="0" layoutInCell="1" allowOverlap="1">
                <wp:simplePos x="0" y="0"/>
                <wp:positionH relativeFrom="page">
                  <wp:posOffset>8664935</wp:posOffset>
                </wp:positionH>
                <wp:positionV relativeFrom="page">
                  <wp:posOffset>6769227</wp:posOffset>
                </wp:positionV>
                <wp:extent cx="161330" cy="3542157"/>
                <wp:effectExtent l="0" t="0" r="0" b="0"/>
                <wp:wrapTopAndBottom/>
                <wp:docPr id="445678" name="Group 445678"/>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14140" name="Rectangle 14140"/>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14141" name="Rectangle 14141"/>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63 de 298 </w:t>
                              </w:r>
                            </w:p>
                          </w:txbxContent>
                        </wps:txbx>
                        <wps:bodyPr horzOverflow="overflow" vert="horz" lIns="0" tIns="0" rIns="0" bIns="0" rtlCol="0">
                          <a:noAutofit/>
                        </wps:bodyPr>
                      </wps:wsp>
                    </wpg:wgp>
                  </a:graphicData>
                </a:graphic>
              </wp:anchor>
            </w:drawing>
          </mc:Choice>
          <mc:Fallback xmlns:a="http://schemas.openxmlformats.org/drawingml/2006/main">
            <w:pict>
              <v:group id="Group 445678" style="width:12.7031pt;height:278.91pt;position:absolute;mso-position-horizontal-relative:page;mso-position-horizontal:absolute;margin-left:682.278pt;mso-position-vertical-relative:page;margin-top:533.01pt;" coordsize="1613,35421">
                <v:rect id="Rectangle 14140"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14141"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63 de 298 </w:t>
                        </w:r>
                      </w:p>
                    </w:txbxContent>
                  </v:textbox>
                </v:rect>
                <w10:wrap type="topAndBottom"/>
              </v:group>
            </w:pict>
          </mc:Fallback>
        </mc:AlternateContent>
      </w:r>
      <w:r>
        <w:br w:type="page"/>
      </w:r>
    </w:p>
    <w:tbl>
      <w:tblPr>
        <w:tblStyle w:val="TableGrid"/>
        <w:tblW w:w="8282" w:type="dxa"/>
        <w:tblInd w:w="788" w:type="dxa"/>
        <w:tblCellMar>
          <w:top w:w="0" w:type="dxa"/>
          <w:left w:w="55" w:type="dxa"/>
          <w:bottom w:w="0" w:type="dxa"/>
          <w:right w:w="115" w:type="dxa"/>
        </w:tblCellMar>
        <w:tblLook w:val="04A0" w:firstRow="1" w:lastRow="0" w:firstColumn="1" w:lastColumn="0" w:noHBand="0" w:noVBand="1"/>
      </w:tblPr>
      <w:tblGrid>
        <w:gridCol w:w="1555"/>
        <w:gridCol w:w="5310"/>
        <w:gridCol w:w="1417"/>
      </w:tblGrid>
      <w:tr w:rsidR="00B064CF">
        <w:trPr>
          <w:trHeight w:val="653"/>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b/>
                <w:sz w:val="20"/>
              </w:rPr>
              <w:t xml:space="preserve">RRHH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b/>
                <w:sz w:val="20"/>
              </w:rPr>
              <w:t xml:space="preserve">Ordenanza reguladora de la Administración Electrónica del Ayuntamiento de Candelaria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b/>
                <w:sz w:val="20"/>
              </w:rPr>
              <w:t xml:space="preserve">Aprobación </w:t>
            </w:r>
          </w:p>
        </w:tc>
      </w:tr>
      <w:tr w:rsidR="00B064CF">
        <w:trPr>
          <w:trHeight w:val="511"/>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b/>
                <w:sz w:val="20"/>
              </w:rPr>
              <w:t xml:space="preserve">RRHH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b/>
                <w:sz w:val="20"/>
              </w:rPr>
              <w:t xml:space="preserve">Reglamento de Teletrabajo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b/>
                <w:sz w:val="20"/>
              </w:rPr>
              <w:t xml:space="preserve">Aprobación  </w:t>
            </w:r>
          </w:p>
        </w:tc>
      </w:tr>
    </w:tbl>
    <w:p w:rsidR="00B064CF" w:rsidRDefault="00E32F70">
      <w:pPr>
        <w:spacing w:after="98" w:line="259" w:lineRule="auto"/>
        <w:ind w:left="273" w:firstLine="0"/>
        <w:jc w:val="center"/>
      </w:pPr>
      <w:r>
        <w:rPr>
          <w:b/>
        </w:rPr>
        <w:t xml:space="preserve"> </w:t>
      </w:r>
    </w:p>
    <w:p w:rsidR="00B064CF" w:rsidRDefault="00E32F70">
      <w:pPr>
        <w:spacing w:after="101" w:line="259" w:lineRule="auto"/>
        <w:ind w:left="273" w:firstLine="0"/>
        <w:jc w:val="center"/>
      </w:pPr>
      <w:r>
        <w:rPr>
          <w:b/>
        </w:rPr>
        <w:t xml:space="preserve"> </w:t>
      </w:r>
    </w:p>
    <w:p w:rsidR="00B064CF" w:rsidRDefault="00E32F70">
      <w:pPr>
        <w:spacing w:after="4"/>
        <w:ind w:left="355" w:right="146"/>
      </w:pPr>
      <w:r>
        <w:rPr>
          <w:b/>
        </w:rPr>
        <w:t>TERCERO. Enviar una instrucción o circular a los Concejales delegados de las que depende la aprobación de cada reglamento u ordenanza a los efectos del debido impulso de las citadas normas para que se puedan aprobar durante el año para cumplir con la plani</w:t>
      </w:r>
      <w:r>
        <w:rPr>
          <w:b/>
        </w:rPr>
        <w:t>ficación normativa prevista para el año 2021</w:t>
      </w:r>
      <w:r>
        <w:t>.</w:t>
      </w:r>
      <w:r>
        <w:rPr>
          <w:rFonts w:ascii="Times New Roman" w:eastAsia="Times New Roman" w:hAnsi="Times New Roman" w:cs="Times New Roman"/>
          <w:sz w:val="24"/>
        </w:rPr>
        <w:t xml:space="preserve"> </w:t>
      </w:r>
    </w:p>
    <w:p w:rsidR="00B064CF" w:rsidRDefault="00E32F70">
      <w:pPr>
        <w:spacing w:after="16" w:line="259" w:lineRule="auto"/>
        <w:ind w:left="360" w:firstLine="0"/>
        <w:jc w:val="left"/>
      </w:pPr>
      <w:r>
        <w:t xml:space="preserve"> </w:t>
      </w:r>
    </w:p>
    <w:p w:rsidR="00B064CF" w:rsidRDefault="00E32F70">
      <w:pPr>
        <w:spacing w:after="4"/>
        <w:ind w:left="355" w:right="68"/>
      </w:pPr>
      <w:r>
        <w:rPr>
          <w:b/>
        </w:rPr>
        <w:t>CUARTO</w:t>
      </w:r>
      <w:r>
        <w:t xml:space="preserve">. </w:t>
      </w:r>
      <w:r>
        <w:rPr>
          <w:b/>
        </w:rPr>
        <w:t>Publicar el Plan en el Portal de Transparencia y en la sede electrónica del Ayuntamiento de Candelaria una vez aprobada la modificación</w:t>
      </w:r>
      <w:r>
        <w:t>.</w:t>
      </w:r>
      <w:r>
        <w:rPr>
          <w:rFonts w:ascii="Times New Roman" w:eastAsia="Times New Roman" w:hAnsi="Times New Roman" w:cs="Times New Roman"/>
          <w:sz w:val="24"/>
        </w:rPr>
        <w:t xml:space="preserve"> </w:t>
      </w:r>
    </w:p>
    <w:p w:rsidR="00B064CF" w:rsidRDefault="00E32F70">
      <w:pPr>
        <w:spacing w:after="14" w:line="259" w:lineRule="auto"/>
        <w:ind w:left="360" w:firstLine="0"/>
        <w:jc w:val="left"/>
      </w:pPr>
      <w:r>
        <w:t xml:space="preserve"> </w:t>
      </w:r>
    </w:p>
    <w:p w:rsidR="00B064CF" w:rsidRDefault="00E32F70">
      <w:pPr>
        <w:spacing w:after="4"/>
        <w:ind w:left="355" w:right="141"/>
      </w:pPr>
      <w:r>
        <w:rPr>
          <w:b/>
        </w:rPr>
        <w:t>QUINTO</w:t>
      </w:r>
      <w:r>
        <w:t xml:space="preserve">. </w:t>
      </w:r>
      <w:r>
        <w:rPr>
          <w:b/>
        </w:rPr>
        <w:t>Notificar a cada Concejalía delegada de la que depe</w:t>
      </w:r>
      <w:r>
        <w:rPr>
          <w:b/>
        </w:rPr>
        <w:t>nda el Reglamento u Ordenanza correspondiente a los efectos de su debida elaboración y aprobación o modificación durante el año 2021.</w:t>
      </w:r>
      <w:r>
        <w:rPr>
          <w:rFonts w:ascii="Times New Roman" w:eastAsia="Times New Roman" w:hAnsi="Times New Roman" w:cs="Times New Roman"/>
          <w:sz w:val="24"/>
        </w:rPr>
        <w:t xml:space="preserve"> </w:t>
      </w:r>
    </w:p>
    <w:p w:rsidR="00B064CF" w:rsidRDefault="00E32F70">
      <w:pPr>
        <w:spacing w:after="14" w:line="259" w:lineRule="auto"/>
        <w:ind w:left="360" w:firstLine="0"/>
        <w:jc w:val="left"/>
      </w:pPr>
      <w:r>
        <w:t xml:space="preserve"> </w:t>
      </w:r>
    </w:p>
    <w:p w:rsidR="00B064CF" w:rsidRDefault="00E32F70">
      <w:pPr>
        <w:spacing w:after="43"/>
        <w:ind w:left="355" w:right="144"/>
      </w:pPr>
      <w:r>
        <w:rPr>
          <w:rFonts w:ascii="Calibri" w:eastAsia="Calibri" w:hAnsi="Calibri" w:cs="Calibri"/>
          <w:noProof/>
        </w:rPr>
        <mc:AlternateContent>
          <mc:Choice Requires="wpg">
            <w:drawing>
              <wp:anchor distT="0" distB="0" distL="114300" distR="114300" simplePos="0" relativeHeight="25172684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2117" name="Group 392117"/>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14279" name="Rectangle 14279"/>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14280" name="Rectangle 14280"/>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64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2117" style="width:12.7031pt;height:278.91pt;position:absolute;mso-position-horizontal-relative:page;mso-position-horizontal:absolute;margin-left:682.278pt;mso-position-vertical-relative:page;margin-top:533.01pt;" coordsize="1613,35421">
                <v:rect id="Rectangle 14279"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14280"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64 de 298 </w:t>
                        </w:r>
                      </w:p>
                    </w:txbxContent>
                  </v:textbox>
                </v:rect>
                <w10:wrap type="square"/>
              </v:group>
            </w:pict>
          </mc:Fallback>
        </mc:AlternateContent>
      </w:r>
      <w:r>
        <w:rPr>
          <w:b/>
        </w:rPr>
        <w:t>SEXTO. El procedimiento de aprobación de los reglamentos y ordenanzas municipales incluidos en este Plan Normativo Anual que se deben aprobar en este presente año</w:t>
      </w:r>
      <w:r>
        <w:rPr>
          <w:b/>
        </w:rPr>
        <w:t xml:space="preserve"> 2021 es el establecido en el artículo 133 de la ley 30/2015, de 1 de octubre, en el artículo 49 de la Ley 7/1985, de 2 de abril reguladora de las Bases del Régimen local y el resto de leyes y reglamentos aplicables.” </w:t>
      </w:r>
    </w:p>
    <w:p w:rsidR="00B064CF" w:rsidRDefault="00E32F70">
      <w:pPr>
        <w:spacing w:after="0" w:line="259" w:lineRule="auto"/>
        <w:ind w:left="360" w:firstLine="0"/>
        <w:jc w:val="left"/>
      </w:pPr>
      <w:r>
        <w:rPr>
          <w:rFonts w:ascii="Times New Roman" w:eastAsia="Times New Roman" w:hAnsi="Times New Roman" w:cs="Times New Roman"/>
          <w:b/>
          <w:sz w:val="24"/>
        </w:rPr>
        <w:t xml:space="preserve"> </w:t>
      </w:r>
    </w:p>
    <w:p w:rsidR="00B064CF" w:rsidRDefault="00E32F70">
      <w:pPr>
        <w:spacing w:after="0" w:line="259" w:lineRule="auto"/>
        <w:ind w:left="360" w:firstLine="0"/>
        <w:jc w:val="left"/>
      </w:pPr>
      <w:r>
        <w:rPr>
          <w:rFonts w:ascii="Times New Roman" w:eastAsia="Times New Roman" w:hAnsi="Times New Roman" w:cs="Times New Roman"/>
          <w:b/>
          <w:sz w:val="24"/>
        </w:rPr>
        <w:t xml:space="preserve"> </w:t>
      </w:r>
    </w:p>
    <w:p w:rsidR="00B064CF" w:rsidRDefault="00E32F70">
      <w:pPr>
        <w:spacing w:after="4"/>
        <w:ind w:left="355" w:right="68"/>
      </w:pPr>
      <w:r>
        <w:rPr>
          <w:b/>
        </w:rPr>
        <w:t>DICTAMEN FAVORABLE DE LA COMISIÓN</w:t>
      </w:r>
      <w:r>
        <w:rPr>
          <w:b/>
        </w:rPr>
        <w:t xml:space="preserve"> INFORMATIVA DE HACIENDA, RECURSOS HUMANOS Y SERVICIOS GENERALES DE 24 DE MAYO DE 2021. </w:t>
      </w:r>
    </w:p>
    <w:p w:rsidR="00B064CF" w:rsidRDefault="00E32F70">
      <w:pPr>
        <w:spacing w:after="0" w:line="259" w:lineRule="auto"/>
        <w:ind w:left="360" w:firstLine="0"/>
        <w:jc w:val="left"/>
      </w:pPr>
      <w:r>
        <w:rPr>
          <w:b/>
        </w:rPr>
        <w:t xml:space="preserve"> </w:t>
      </w:r>
    </w:p>
    <w:p w:rsidR="00B064CF" w:rsidRDefault="00E32F70">
      <w:pPr>
        <w:spacing w:after="11"/>
        <w:ind w:left="355" w:right="72"/>
      </w:pPr>
      <w:r>
        <w:t xml:space="preserve">Votos a favor: 4. </w:t>
      </w:r>
    </w:p>
    <w:p w:rsidR="00B064CF" w:rsidRDefault="00E32F70">
      <w:pPr>
        <w:spacing w:after="0"/>
        <w:ind w:left="355" w:right="72"/>
      </w:pPr>
      <w:r>
        <w:t>Los 4 concejales del Grupo Socialista: Don Airam Pérez Chinea, Don José Francisco Pinto Ramos, Don Olegario Francisco Alonso Bello y Don Jorge Bau</w:t>
      </w:r>
      <w:r>
        <w:t xml:space="preserve">te Delgado.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Votos en contra: 0.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Abstenciones: 3. </w:t>
      </w:r>
    </w:p>
    <w:p w:rsidR="00B064CF" w:rsidRDefault="00E32F70">
      <w:pPr>
        <w:spacing w:after="11"/>
        <w:ind w:left="355" w:right="72"/>
      </w:pPr>
      <w:r>
        <w:t xml:space="preserve">1 del concejal del Grupo Popular, Don Juan Miguel Olivera González. </w:t>
      </w:r>
    </w:p>
    <w:p w:rsidR="00B064CF" w:rsidRDefault="00E32F70">
      <w:pPr>
        <w:spacing w:after="11"/>
        <w:ind w:left="355" w:right="72"/>
      </w:pPr>
      <w:r>
        <w:t xml:space="preserve">1 de la concejal del Grupo Mixto (CC-PNC), Doña Ángela Cruz Perera. </w:t>
      </w:r>
    </w:p>
    <w:p w:rsidR="00B064CF" w:rsidRDefault="00E32F70">
      <w:pPr>
        <w:spacing w:after="11"/>
        <w:ind w:left="355" w:right="72"/>
      </w:pPr>
      <w:r>
        <w:t xml:space="preserve">1 de la concejal del Grupo Mixto (SSP), Doña Lourdes del Carmen Mondéjar Rondón. </w:t>
      </w:r>
    </w:p>
    <w:p w:rsidR="00B064CF" w:rsidRDefault="00E32F70">
      <w:pPr>
        <w:spacing w:after="0" w:line="259" w:lineRule="auto"/>
        <w:ind w:left="360" w:firstLine="0"/>
        <w:jc w:val="left"/>
      </w:pPr>
      <w:r>
        <w:rPr>
          <w:b/>
        </w:rPr>
        <w:t xml:space="preserve"> </w:t>
      </w:r>
    </w:p>
    <w:p w:rsidR="00B064CF" w:rsidRDefault="00E32F70">
      <w:pPr>
        <w:spacing w:after="4"/>
        <w:ind w:left="355" w:right="68"/>
      </w:pPr>
      <w:r>
        <w:rPr>
          <w:b/>
        </w:rPr>
        <w:t xml:space="preserve">JUNTA DE PORTAVOCES DE  24 DE MAYO DE 2021.  </w:t>
      </w:r>
    </w:p>
    <w:p w:rsidR="00B064CF" w:rsidRDefault="00E32F70">
      <w:pPr>
        <w:spacing w:after="11"/>
        <w:ind w:left="355" w:right="72"/>
      </w:pPr>
      <w:r>
        <w:t>Quedó oída.</w:t>
      </w:r>
      <w:r>
        <w:rPr>
          <w:b/>
        </w:rPr>
        <w:t xml:space="preserve"> </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rPr>
          <w:b/>
        </w:rPr>
        <w:t xml:space="preserve"> </w:t>
      </w:r>
    </w:p>
    <w:p w:rsidR="00B064CF" w:rsidRDefault="00E32F70">
      <w:pPr>
        <w:spacing w:after="0" w:line="259" w:lineRule="auto"/>
        <w:ind w:left="360" w:firstLine="0"/>
        <w:jc w:val="left"/>
      </w:pPr>
      <w:r>
        <w:rPr>
          <w:b/>
        </w:rPr>
        <w:t xml:space="preserve"> </w:t>
      </w:r>
    </w:p>
    <w:p w:rsidR="00B064CF" w:rsidRDefault="00E32F70">
      <w:pPr>
        <w:spacing w:after="0" w:line="259" w:lineRule="auto"/>
        <w:ind w:left="360" w:firstLine="0"/>
        <w:jc w:val="left"/>
      </w:pPr>
      <w:r>
        <w:rPr>
          <w:b/>
        </w:rPr>
        <w:t xml:space="preserve"> </w:t>
      </w:r>
    </w:p>
    <w:p w:rsidR="00B064CF" w:rsidRDefault="00E32F70">
      <w:pPr>
        <w:spacing w:after="0" w:line="259" w:lineRule="auto"/>
        <w:ind w:left="360" w:firstLine="0"/>
        <w:jc w:val="left"/>
      </w:pPr>
      <w:r>
        <w:rPr>
          <w:b/>
        </w:rPr>
        <w:t xml:space="preserve"> </w:t>
      </w:r>
    </w:p>
    <w:p w:rsidR="00B064CF" w:rsidRDefault="00E32F70">
      <w:pPr>
        <w:spacing w:after="4"/>
        <w:ind w:left="355" w:right="68"/>
      </w:pPr>
      <w:r>
        <w:rPr>
          <w:b/>
        </w:rPr>
        <w:t xml:space="preserve">VOTACIÓN EN EL PLENO DE 27 DE MAYO DE 2021.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Votos a favor: 12. </w:t>
      </w:r>
    </w:p>
    <w:p w:rsidR="00B064CF" w:rsidRDefault="00E32F70">
      <w:pPr>
        <w:spacing w:after="11"/>
        <w:ind w:left="355" w:right="72"/>
      </w:pPr>
      <w:r>
        <w:t xml:space="preserve">11 concejales del Grupo Socialista: </w:t>
      </w:r>
      <w:r>
        <w:t xml:space="preserve">Doña María Concepción Brito Núñez, Don Jorge Baute Delgado, </w:t>
      </w:r>
    </w:p>
    <w:p w:rsidR="00B064CF" w:rsidRDefault="00E32F70">
      <w:pPr>
        <w:spacing w:after="111"/>
        <w:ind w:left="355" w:right="146"/>
      </w:pPr>
      <w:r>
        <w:t>Doña Olivia Concepción Pérez Díaz, Don José Francisco Pinto Ramos, Doña Hilaria Cecilia Otazo González, Don Airam Pérez Chinea, Doña Margarita Eva Tendero Barroso, Don Manuel Alberto González Pes</w:t>
      </w:r>
      <w:r>
        <w:t xml:space="preserve">tano, Doña María del Carmen Clemente Díaz, Don Olegario Francisco Alonso Bello y Don Reinaldo José Triviño Blanco. </w:t>
      </w:r>
    </w:p>
    <w:p w:rsidR="00B064CF" w:rsidRDefault="00E32F70">
      <w:pPr>
        <w:numPr>
          <w:ilvl w:val="0"/>
          <w:numId w:val="17"/>
        </w:numPr>
        <w:spacing w:after="109"/>
        <w:ind w:left="529" w:right="72" w:hanging="184"/>
      </w:pPr>
      <w:r>
        <w:t xml:space="preserve">de la concejal del Grupo Mixto, Doña Ángela Cruz Perera (CC-PNC).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Votos en contra: 2 </w:t>
      </w:r>
    </w:p>
    <w:p w:rsidR="00B064CF" w:rsidRDefault="00E32F70">
      <w:pPr>
        <w:numPr>
          <w:ilvl w:val="0"/>
          <w:numId w:val="17"/>
        </w:numPr>
        <w:spacing w:after="111"/>
        <w:ind w:left="529" w:right="72" w:hanging="184"/>
      </w:pPr>
      <w:r>
        <w:t xml:space="preserve">concejales del Grupo Mixto: Don Antonio Delgado García y Lourdes del Carmen Mondéjar Rondón (SSP).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Abstenciones: 0. </w:t>
      </w:r>
    </w:p>
    <w:p w:rsidR="00B064CF" w:rsidRDefault="00E32F70">
      <w:pPr>
        <w:spacing w:after="0" w:line="259" w:lineRule="auto"/>
        <w:ind w:left="1779" w:firstLine="0"/>
        <w:jc w:val="left"/>
      </w:pPr>
      <w:r>
        <w:rPr>
          <w:b/>
        </w:rPr>
        <w:t xml:space="preserve"> </w:t>
      </w:r>
    </w:p>
    <w:p w:rsidR="00B064CF" w:rsidRDefault="00E32F70">
      <w:pPr>
        <w:spacing w:after="0" w:line="259" w:lineRule="auto"/>
        <w:ind w:left="1779" w:firstLine="0"/>
        <w:jc w:val="left"/>
      </w:pPr>
      <w:r>
        <w:rPr>
          <w:b/>
        </w:rPr>
        <w:t xml:space="preserve"> </w:t>
      </w:r>
    </w:p>
    <w:p w:rsidR="00B064CF" w:rsidRDefault="00E32F70">
      <w:pPr>
        <w:spacing w:after="0" w:line="259" w:lineRule="auto"/>
        <w:ind w:left="1779" w:firstLine="0"/>
        <w:jc w:val="left"/>
      </w:pPr>
      <w:r>
        <w:rPr>
          <w:b/>
        </w:rPr>
        <w:t xml:space="preserve"> </w:t>
      </w:r>
    </w:p>
    <w:p w:rsidR="00B064CF" w:rsidRDefault="00E32F70">
      <w:pPr>
        <w:spacing w:after="4"/>
        <w:ind w:left="1789" w:right="68"/>
      </w:pPr>
      <w:r>
        <w:rPr>
          <w:b/>
        </w:rPr>
        <w:t xml:space="preserve">      ACUERDO DEL PLENO DE 27 DE MAYO DE 2021. </w:t>
      </w:r>
    </w:p>
    <w:p w:rsidR="00B064CF" w:rsidRDefault="00E32F70">
      <w:pPr>
        <w:spacing w:after="100" w:line="259" w:lineRule="auto"/>
        <w:ind w:left="1779" w:firstLine="0"/>
        <w:jc w:val="left"/>
      </w:pPr>
      <w:r>
        <w:rPr>
          <w:rFonts w:ascii="Calibri" w:eastAsia="Calibri" w:hAnsi="Calibri" w:cs="Calibri"/>
          <w:noProof/>
        </w:rPr>
        <mc:AlternateContent>
          <mc:Choice Requires="wpg">
            <w:drawing>
              <wp:anchor distT="0" distB="0" distL="114300" distR="114300" simplePos="0" relativeHeight="25172787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88830" name="Group 388830"/>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14426" name="Rectangle 14426"/>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14427" name="Rectangle 14427"/>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65 de 298 </w:t>
                              </w:r>
                            </w:p>
                          </w:txbxContent>
                        </wps:txbx>
                        <wps:bodyPr horzOverflow="overflow" vert="horz" lIns="0" tIns="0" rIns="0" bIns="0" rtlCol="0">
                          <a:noAutofit/>
                        </wps:bodyPr>
                      </wps:wsp>
                    </wpg:wgp>
                  </a:graphicData>
                </a:graphic>
              </wp:anchor>
            </w:drawing>
          </mc:Choice>
          <mc:Fallback xmlns:a="http://schemas.openxmlformats.org/drawingml/2006/main">
            <w:pict>
              <v:group id="Group 388830" style="width:12.7031pt;height:278.91pt;position:absolute;mso-position-horizontal-relative:page;mso-position-horizontal:absolute;margin-left:682.278pt;mso-position-vertical-relative:page;margin-top:533.01pt;" coordsize="1613,35421">
                <v:rect id="Rectangle 14426"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14427"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65 de 298 </w:t>
                        </w:r>
                      </w:p>
                    </w:txbxContent>
                  </v:textbox>
                </v:rect>
                <w10:wrap type="square"/>
              </v:group>
            </w:pict>
          </mc:Fallback>
        </mc:AlternateContent>
      </w:r>
      <w:r>
        <w:rPr>
          <w:b/>
        </w:rPr>
        <w:t xml:space="preserve"> </w:t>
      </w:r>
    </w:p>
    <w:p w:rsidR="00B064CF" w:rsidRDefault="00E32F70">
      <w:pPr>
        <w:spacing w:after="161"/>
        <w:ind w:left="355" w:right="68"/>
      </w:pPr>
      <w:r>
        <w:rPr>
          <w:b/>
        </w:rPr>
        <w:t xml:space="preserve">PRIMERO. - Realizar la modificación del </w:t>
      </w:r>
      <w:r>
        <w:rPr>
          <w:b/>
        </w:rPr>
        <w:t>Plan Anual Normativo 2021 para incluir la aprobación de las siguientes normas:</w:t>
      </w:r>
      <w:r>
        <w:rPr>
          <w:sz w:val="24"/>
        </w:rPr>
        <w:t xml:space="preserve"> </w:t>
      </w:r>
    </w:p>
    <w:p w:rsidR="00B064CF" w:rsidRDefault="00E32F70">
      <w:pPr>
        <w:pStyle w:val="Ttulo1"/>
        <w:spacing w:after="161" w:line="249" w:lineRule="auto"/>
        <w:ind w:left="290" w:right="50"/>
        <w:jc w:val="center"/>
      </w:pPr>
      <w:r>
        <w:rPr>
          <w:b w:val="0"/>
          <w:sz w:val="24"/>
          <w:u w:val="none"/>
        </w:rPr>
        <w:t xml:space="preserve">1. </w:t>
      </w:r>
      <w:r>
        <w:rPr>
          <w:u w:val="none"/>
        </w:rPr>
        <w:t xml:space="preserve">Modificación del Reglamento de Ordenación del Callejero Municipal de Candelaria, </w:t>
      </w:r>
      <w:r>
        <w:rPr>
          <w:b w:val="0"/>
          <w:sz w:val="24"/>
          <w:u w:val="none"/>
        </w:rPr>
        <w:t xml:space="preserve"> </w:t>
      </w:r>
    </w:p>
    <w:p w:rsidR="00B064CF" w:rsidRDefault="00E32F70">
      <w:pPr>
        <w:numPr>
          <w:ilvl w:val="0"/>
          <w:numId w:val="18"/>
        </w:numPr>
        <w:spacing w:after="124"/>
        <w:ind w:right="68" w:hanging="360"/>
      </w:pPr>
      <w:r>
        <w:rPr>
          <w:b/>
        </w:rPr>
        <w:t>Aprobación de la Ordenanza Reguladora de Administración Electrónica del Ayuntamiento de Ca</w:t>
      </w:r>
      <w:r>
        <w:rPr>
          <w:b/>
        </w:rPr>
        <w:t>ndelaria, para regular la gestión administrativa y la tramitación de procedimientos por vía electrónica, en aplicación de las Leyes 39/2015, de 1 de octubre, del Procedimiento Administrativo Común de las Administraciones Públicas, y 40/2015, de 1 de octubr</w:t>
      </w:r>
      <w:r>
        <w:rPr>
          <w:b/>
        </w:rPr>
        <w:t>e, del Régimen Jurídico del Sector Público</w:t>
      </w:r>
      <w:r>
        <w:rPr>
          <w:sz w:val="24"/>
        </w:rPr>
        <w:t xml:space="preserve"> </w:t>
      </w:r>
    </w:p>
    <w:p w:rsidR="00B064CF" w:rsidRDefault="00E32F70">
      <w:pPr>
        <w:numPr>
          <w:ilvl w:val="0"/>
          <w:numId w:val="18"/>
        </w:numPr>
        <w:spacing w:after="147"/>
        <w:ind w:right="68" w:hanging="360"/>
      </w:pPr>
      <w:r>
        <w:rPr>
          <w:b/>
        </w:rPr>
        <w:t xml:space="preserve">Aprobación del Reglamento de Teletrabajo, que regula la prestación del servicio en modalidad de teletrabajo. </w:t>
      </w:r>
    </w:p>
    <w:p w:rsidR="00B064CF" w:rsidRDefault="00E32F70">
      <w:pPr>
        <w:numPr>
          <w:ilvl w:val="0"/>
          <w:numId w:val="18"/>
        </w:numPr>
        <w:spacing w:after="145"/>
        <w:ind w:right="68" w:hanging="360"/>
      </w:pPr>
      <w:r>
        <w:rPr>
          <w:b/>
        </w:rPr>
        <w:t xml:space="preserve">Aprobación del Reglamento de Honores, Distinciones y Ceremonial del Ayuntamiento de Candelaria. </w:t>
      </w:r>
    </w:p>
    <w:p w:rsidR="00B064CF" w:rsidRDefault="00E32F70">
      <w:pPr>
        <w:spacing w:after="136" w:line="259" w:lineRule="auto"/>
        <w:ind w:left="360" w:firstLine="0"/>
        <w:jc w:val="left"/>
      </w:pPr>
      <w:r>
        <w:rPr>
          <w:b/>
        </w:rPr>
        <w:t xml:space="preserve"> </w:t>
      </w:r>
    </w:p>
    <w:p w:rsidR="00B064CF" w:rsidRDefault="00E32F70">
      <w:pPr>
        <w:spacing w:after="27"/>
        <w:ind w:left="355" w:right="68"/>
      </w:pPr>
      <w:r>
        <w:rPr>
          <w:b/>
        </w:rPr>
        <w:t>SEG</w:t>
      </w:r>
      <w:r>
        <w:rPr>
          <w:b/>
        </w:rPr>
        <w:t xml:space="preserve">UNDO. - El Plan Anual Normativo 2021, con las modificaciones que se proponen, quedaría distribuido de la siguiente manera: </w:t>
      </w:r>
    </w:p>
    <w:p w:rsidR="00B064CF" w:rsidRDefault="00E32F70">
      <w:pPr>
        <w:spacing w:after="0" w:line="259" w:lineRule="auto"/>
        <w:ind w:left="360" w:firstLine="0"/>
        <w:jc w:val="left"/>
      </w:pPr>
      <w:r>
        <w:rPr>
          <w:b/>
        </w:rPr>
        <w:t xml:space="preserve">  </w:t>
      </w:r>
    </w:p>
    <w:tbl>
      <w:tblPr>
        <w:tblStyle w:val="TableGrid"/>
        <w:tblW w:w="8282" w:type="dxa"/>
        <w:tblInd w:w="788" w:type="dxa"/>
        <w:tblCellMar>
          <w:top w:w="0" w:type="dxa"/>
          <w:left w:w="55" w:type="dxa"/>
          <w:bottom w:w="0" w:type="dxa"/>
          <w:right w:w="115" w:type="dxa"/>
        </w:tblCellMar>
        <w:tblLook w:val="04A0" w:firstRow="1" w:lastRow="0" w:firstColumn="1" w:lastColumn="0" w:noHBand="0" w:noVBand="1"/>
      </w:tblPr>
      <w:tblGrid>
        <w:gridCol w:w="1555"/>
        <w:gridCol w:w="5310"/>
        <w:gridCol w:w="1417"/>
      </w:tblGrid>
      <w:tr w:rsidR="00B064CF">
        <w:trPr>
          <w:trHeight w:val="776"/>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b/>
                <w:sz w:val="20"/>
              </w:rPr>
              <w:t>RECURSOS HUMANOS</w:t>
            </w:r>
            <w:r>
              <w:rPr>
                <w:rFonts w:ascii="Times New Roman" w:eastAsia="Times New Roman" w:hAnsi="Times New Roman" w:cs="Times New Roman"/>
                <w:sz w:val="24"/>
              </w:rPr>
              <w:t xml:space="preserve">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b/>
                <w:sz w:val="20"/>
              </w:rPr>
              <w:t xml:space="preserve">Reglamento de funcionamiento del control de presencia.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b/>
                <w:sz w:val="20"/>
              </w:rPr>
              <w:t xml:space="preserve">Aprobación </w:t>
            </w:r>
          </w:p>
        </w:tc>
      </w:tr>
    </w:tbl>
    <w:tbl>
      <w:tblPr>
        <w:tblStyle w:val="TableGrid"/>
        <w:tblpPr w:vertAnchor="text" w:tblpX="788"/>
        <w:tblOverlap w:val="never"/>
        <w:tblW w:w="8282" w:type="dxa"/>
        <w:tblInd w:w="0" w:type="dxa"/>
        <w:tblCellMar>
          <w:top w:w="5" w:type="dxa"/>
          <w:left w:w="55" w:type="dxa"/>
          <w:bottom w:w="0" w:type="dxa"/>
          <w:right w:w="32" w:type="dxa"/>
        </w:tblCellMar>
        <w:tblLook w:val="04A0" w:firstRow="1" w:lastRow="0" w:firstColumn="1" w:lastColumn="0" w:noHBand="0" w:noVBand="1"/>
      </w:tblPr>
      <w:tblGrid>
        <w:gridCol w:w="1555"/>
        <w:gridCol w:w="5310"/>
        <w:gridCol w:w="1417"/>
      </w:tblGrid>
      <w:tr w:rsidR="00B064CF">
        <w:trPr>
          <w:trHeight w:val="511"/>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b/>
                <w:sz w:val="20"/>
              </w:rPr>
              <w:t xml:space="preserve">URBANISMO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b/>
                <w:sz w:val="20"/>
              </w:rPr>
              <w:t xml:space="preserve">Ordenanza Reguladora del dominio público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b/>
                <w:sz w:val="20"/>
              </w:rPr>
              <w:t xml:space="preserve">Aprobación </w:t>
            </w:r>
          </w:p>
        </w:tc>
      </w:tr>
      <w:tr w:rsidR="00B064CF">
        <w:trPr>
          <w:trHeight w:val="511"/>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b/>
                <w:sz w:val="20"/>
              </w:rPr>
              <w:t xml:space="preserve">URBANISMO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b/>
                <w:sz w:val="20"/>
              </w:rPr>
              <w:t xml:space="preserve">Ordenanza de inspección técnica de edificios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b/>
                <w:sz w:val="20"/>
              </w:rPr>
              <w:t xml:space="preserve">Aprobación </w:t>
            </w:r>
          </w:p>
        </w:tc>
      </w:tr>
      <w:tr w:rsidR="00B064CF">
        <w:trPr>
          <w:trHeight w:val="773"/>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b/>
                <w:sz w:val="20"/>
              </w:rPr>
              <w:t xml:space="preserve">URBANISMO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b/>
                <w:sz w:val="20"/>
              </w:rPr>
              <w:t xml:space="preserve">Ordenanza reguladora de los regímenes de intervención en materia urbanística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b/>
                <w:sz w:val="20"/>
              </w:rPr>
              <w:t xml:space="preserve">Aprobación </w:t>
            </w:r>
          </w:p>
        </w:tc>
      </w:tr>
      <w:tr w:rsidR="00B064CF">
        <w:trPr>
          <w:trHeight w:val="776"/>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b/>
                <w:sz w:val="20"/>
              </w:rPr>
              <w:t xml:space="preserve">URBANISMO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b/>
                <w:sz w:val="20"/>
              </w:rPr>
              <w:t xml:space="preserve">Ordenanza fiscal reguladora del impuesto sobre construcciones, instalaciones y obras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pPr>
            <w:r>
              <w:rPr>
                <w:b/>
                <w:sz w:val="20"/>
              </w:rPr>
              <w:t xml:space="preserve">Modificación </w:t>
            </w:r>
          </w:p>
        </w:tc>
      </w:tr>
      <w:tr w:rsidR="00B064CF">
        <w:trPr>
          <w:trHeight w:val="511"/>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b/>
                <w:sz w:val="20"/>
              </w:rPr>
              <w:t xml:space="preserve">URBANISMO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b/>
                <w:sz w:val="20"/>
              </w:rPr>
              <w:t xml:space="preserve">Impuesto sobre bienes inmuebles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pPr>
            <w:r>
              <w:rPr>
                <w:b/>
                <w:sz w:val="20"/>
              </w:rPr>
              <w:t xml:space="preserve">Modificación </w:t>
            </w:r>
          </w:p>
        </w:tc>
      </w:tr>
      <w:tr w:rsidR="00B064CF">
        <w:trPr>
          <w:trHeight w:val="775"/>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b/>
                <w:sz w:val="20"/>
              </w:rPr>
              <w:t xml:space="preserve">URBANISMO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b/>
                <w:sz w:val="20"/>
              </w:rPr>
              <w:t xml:space="preserve">Ordenanza fiscal reguladora de la tasa por prestación de servicios urbanísticos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pPr>
            <w:r>
              <w:rPr>
                <w:b/>
                <w:sz w:val="20"/>
              </w:rPr>
              <w:t xml:space="preserve">Modificación </w:t>
            </w:r>
          </w:p>
        </w:tc>
      </w:tr>
      <w:tr w:rsidR="00B064CF">
        <w:trPr>
          <w:trHeight w:val="1303"/>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b/>
                <w:sz w:val="20"/>
              </w:rPr>
              <w:t xml:space="preserve">URBANISMO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b/>
                <w:sz w:val="20"/>
              </w:rPr>
              <w:t xml:space="preserve">Ordenanza fiscal reguladora de la tasa por prestación de servicios de intervención y control en la implantación de instalaciones y actividades o servicios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pPr>
            <w:r>
              <w:rPr>
                <w:b/>
                <w:sz w:val="20"/>
              </w:rPr>
              <w:t xml:space="preserve">Modificación </w:t>
            </w:r>
          </w:p>
        </w:tc>
      </w:tr>
      <w:tr w:rsidR="00B064CF">
        <w:trPr>
          <w:trHeight w:val="1037"/>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b/>
                <w:sz w:val="20"/>
              </w:rPr>
              <w:t xml:space="preserve">HACIENDA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b/>
                <w:sz w:val="20"/>
              </w:rPr>
              <w:t xml:space="preserve">Tasas por prestación de un servicio público o la </w:t>
            </w:r>
            <w:r>
              <w:rPr>
                <w:b/>
                <w:sz w:val="20"/>
              </w:rPr>
              <w:t xml:space="preserve">realización de una actividad administrativa. Tasa por expedición de documentos.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pPr>
            <w:r>
              <w:rPr>
                <w:b/>
                <w:sz w:val="20"/>
              </w:rPr>
              <w:t xml:space="preserve">Modificación </w:t>
            </w:r>
          </w:p>
        </w:tc>
      </w:tr>
      <w:tr w:rsidR="00B064CF">
        <w:trPr>
          <w:trHeight w:val="1039"/>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b/>
                <w:sz w:val="20"/>
              </w:rPr>
              <w:t xml:space="preserve">HACIENDA </w:t>
            </w:r>
          </w:p>
        </w:tc>
        <w:tc>
          <w:tcPr>
            <w:tcW w:w="531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2" w:firstLine="0"/>
              <w:jc w:val="left"/>
            </w:pPr>
            <w:r>
              <w:rPr>
                <w:b/>
                <w:sz w:val="20"/>
              </w:rPr>
              <w:t xml:space="preserve">Ordenanza de la prestación patrimonial pública no tributaria de abastecimiento y saneamiento de agua potable.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b/>
                <w:sz w:val="20"/>
              </w:rPr>
              <w:t xml:space="preserve">Aprobación </w:t>
            </w:r>
          </w:p>
        </w:tc>
      </w:tr>
      <w:tr w:rsidR="00B064CF">
        <w:trPr>
          <w:trHeight w:val="895"/>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b/>
                <w:sz w:val="20"/>
              </w:rPr>
              <w:t xml:space="preserve">HACIENDA </w:t>
            </w:r>
          </w:p>
        </w:tc>
        <w:tc>
          <w:tcPr>
            <w:tcW w:w="531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2" w:firstLine="0"/>
              <w:jc w:val="left"/>
            </w:pPr>
            <w:r>
              <w:rPr>
                <w:b/>
                <w:sz w:val="20"/>
              </w:rPr>
              <w:t xml:space="preserve">Ordenanza de la prestación patrimonial pública no tributaria de del servicio de retirada y depósito de vehículos de la vía pública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b/>
                <w:sz w:val="20"/>
              </w:rPr>
              <w:t xml:space="preserve">Aprobación </w:t>
            </w:r>
          </w:p>
        </w:tc>
      </w:tr>
      <w:tr w:rsidR="00B064CF">
        <w:trPr>
          <w:trHeight w:val="735"/>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b/>
                <w:sz w:val="20"/>
              </w:rPr>
              <w:t xml:space="preserve">HACIENDA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pPr>
            <w:r>
              <w:rPr>
                <w:b/>
                <w:sz w:val="20"/>
              </w:rPr>
              <w:t xml:space="preserve">Reglamento de Control Interno de la actividad económico-financiera del Ayuntamiento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b/>
                <w:sz w:val="20"/>
              </w:rPr>
              <w:t xml:space="preserve">Aprobación </w:t>
            </w:r>
          </w:p>
        </w:tc>
      </w:tr>
      <w:tr w:rsidR="00B064CF">
        <w:trPr>
          <w:trHeight w:val="775"/>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b/>
                <w:sz w:val="20"/>
              </w:rPr>
              <w:t xml:space="preserve">PARTICIPACIÓ N CIUDADANA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b/>
                <w:sz w:val="20"/>
              </w:rPr>
              <w:t>Ordenanza reguladora de la convivencia ciudadana en el término municipal de Candelaria.</w:t>
            </w:r>
            <w:r>
              <w:rPr>
                <w:rFonts w:ascii="Times New Roman" w:eastAsia="Times New Roman" w:hAnsi="Times New Roman" w:cs="Times New Roman"/>
                <w:sz w:val="24"/>
              </w:rPr>
              <w:t xml:space="preserve">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b/>
                <w:sz w:val="20"/>
              </w:rPr>
              <w:t xml:space="preserve">Aprobación </w:t>
            </w:r>
          </w:p>
        </w:tc>
      </w:tr>
      <w:tr w:rsidR="00B064CF">
        <w:trPr>
          <w:trHeight w:val="773"/>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b/>
                <w:sz w:val="20"/>
              </w:rPr>
              <w:t xml:space="preserve">SERVICIOS SOCIALES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b/>
                <w:sz w:val="20"/>
              </w:rPr>
              <w:t>Aprobación definitiva de la Prestación de Servicio de Ayuda a Domicilio</w:t>
            </w:r>
            <w:r>
              <w:rPr>
                <w:rFonts w:ascii="Times New Roman" w:eastAsia="Times New Roman" w:hAnsi="Times New Roman" w:cs="Times New Roman"/>
                <w:sz w:val="24"/>
              </w:rPr>
              <w:t xml:space="preserve">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b/>
                <w:sz w:val="20"/>
              </w:rPr>
              <w:t xml:space="preserve">Aprobación </w:t>
            </w:r>
          </w:p>
        </w:tc>
      </w:tr>
      <w:tr w:rsidR="00B064CF">
        <w:trPr>
          <w:trHeight w:val="859"/>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b/>
                <w:sz w:val="20"/>
              </w:rPr>
              <w:t xml:space="preserve">SERVICIOS SOCIALES </w:t>
            </w:r>
          </w:p>
        </w:tc>
        <w:tc>
          <w:tcPr>
            <w:tcW w:w="531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2" w:firstLine="0"/>
              <w:jc w:val="left"/>
            </w:pPr>
            <w:r>
              <w:rPr>
                <w:b/>
                <w:sz w:val="20"/>
              </w:rPr>
              <w:t xml:space="preserve">Ordenanza Reguladora de las Prestaciones Económicas del Sistema Municipal de Servicios Sociales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b/>
                <w:sz w:val="20"/>
              </w:rPr>
              <w:t xml:space="preserve">Aprobación </w:t>
            </w:r>
          </w:p>
        </w:tc>
      </w:tr>
      <w:tr w:rsidR="00B064CF">
        <w:trPr>
          <w:trHeight w:val="533"/>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b/>
                <w:sz w:val="20"/>
              </w:rPr>
              <w:t xml:space="preserve">COMERCIO </w:t>
            </w:r>
          </w:p>
        </w:tc>
        <w:tc>
          <w:tcPr>
            <w:tcW w:w="531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2" w:firstLine="0"/>
              <w:jc w:val="left"/>
            </w:pPr>
            <w:r>
              <w:rPr>
                <w:b/>
                <w:sz w:val="20"/>
              </w:rPr>
              <w:t xml:space="preserve">Ordenanza reguladora de venta no sedentaria y otras actividades y espectáculos temporales con finalidad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b/>
                <w:sz w:val="20"/>
              </w:rPr>
              <w:t xml:space="preserve">Aprobación </w:t>
            </w:r>
          </w:p>
        </w:tc>
      </w:tr>
    </w:tbl>
    <w:p w:rsidR="00B064CF" w:rsidRDefault="00E32F70">
      <w:pPr>
        <w:spacing w:after="0" w:line="259" w:lineRule="auto"/>
        <w:ind w:left="-2192" w:right="1003" w:firstLine="0"/>
        <w:jc w:val="left"/>
      </w:pPr>
      <w:r>
        <w:rPr>
          <w:rFonts w:ascii="Calibri" w:eastAsia="Calibri" w:hAnsi="Calibri" w:cs="Calibri"/>
          <w:noProof/>
        </w:rPr>
        <mc:AlternateContent>
          <mc:Choice Requires="wpg">
            <w:drawing>
              <wp:anchor distT="0" distB="0" distL="114300" distR="114300" simplePos="0" relativeHeight="251728896" behindDoc="0" locked="0" layoutInCell="1" allowOverlap="1">
                <wp:simplePos x="0" y="0"/>
                <wp:positionH relativeFrom="page">
                  <wp:posOffset>8664935</wp:posOffset>
                </wp:positionH>
                <wp:positionV relativeFrom="page">
                  <wp:posOffset>6769227</wp:posOffset>
                </wp:positionV>
                <wp:extent cx="161330" cy="3542157"/>
                <wp:effectExtent l="0" t="0" r="0" b="0"/>
                <wp:wrapTopAndBottom/>
                <wp:docPr id="445365" name="Group 445365"/>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14756" name="Rectangle 14756"/>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14757" name="Rectangle 14757"/>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66 de 298 </w:t>
                              </w:r>
                            </w:p>
                          </w:txbxContent>
                        </wps:txbx>
                        <wps:bodyPr horzOverflow="overflow" vert="horz" lIns="0" tIns="0" rIns="0" bIns="0" rtlCol="0">
                          <a:noAutofit/>
                        </wps:bodyPr>
                      </wps:wsp>
                    </wpg:wgp>
                  </a:graphicData>
                </a:graphic>
              </wp:anchor>
            </w:drawing>
          </mc:Choice>
          <mc:Fallback xmlns:a="http://schemas.openxmlformats.org/drawingml/2006/main">
            <w:pict>
              <v:group id="Group 445365" style="width:12.7031pt;height:278.91pt;position:absolute;mso-position-horizontal-relative:page;mso-position-horizontal:absolute;margin-left:682.278pt;mso-position-vertical-relative:page;margin-top:533.01pt;" coordsize="1613,35421">
                <v:rect id="Rectangle 14756"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14757"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66 de 298 </w:t>
                        </w:r>
                      </w:p>
                    </w:txbxContent>
                  </v:textbox>
                </v:rect>
                <w10:wrap type="topAndBottom"/>
              </v:group>
            </w:pict>
          </mc:Fallback>
        </mc:AlternateContent>
      </w:r>
      <w:r>
        <w:br w:type="page"/>
      </w:r>
    </w:p>
    <w:tbl>
      <w:tblPr>
        <w:tblStyle w:val="TableGrid"/>
        <w:tblW w:w="8282" w:type="dxa"/>
        <w:tblInd w:w="788" w:type="dxa"/>
        <w:tblCellMar>
          <w:top w:w="7" w:type="dxa"/>
          <w:left w:w="55" w:type="dxa"/>
          <w:bottom w:w="0" w:type="dxa"/>
          <w:right w:w="41" w:type="dxa"/>
        </w:tblCellMar>
        <w:tblLook w:val="04A0" w:firstRow="1" w:lastRow="0" w:firstColumn="1" w:lastColumn="0" w:noHBand="0" w:noVBand="1"/>
      </w:tblPr>
      <w:tblGrid>
        <w:gridCol w:w="1555"/>
        <w:gridCol w:w="5310"/>
        <w:gridCol w:w="1417"/>
      </w:tblGrid>
      <w:tr w:rsidR="00B064CF">
        <w:trPr>
          <w:trHeight w:val="775"/>
        </w:trPr>
        <w:tc>
          <w:tcPr>
            <w:tcW w:w="1555" w:type="dxa"/>
            <w:tcBorders>
              <w:top w:val="single" w:sz="2" w:space="0" w:color="000000"/>
              <w:left w:val="single" w:sz="2" w:space="0" w:color="000000"/>
              <w:bottom w:val="single" w:sz="2" w:space="0" w:color="000000"/>
              <w:right w:val="single" w:sz="2" w:space="0" w:color="000000"/>
            </w:tcBorders>
          </w:tcPr>
          <w:p w:rsidR="00B064CF" w:rsidRDefault="00B064CF">
            <w:pPr>
              <w:spacing w:after="160" w:line="259" w:lineRule="auto"/>
              <w:ind w:left="0" w:firstLine="0"/>
              <w:jc w:val="left"/>
            </w:pPr>
          </w:p>
        </w:tc>
        <w:tc>
          <w:tcPr>
            <w:tcW w:w="531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2" w:firstLine="0"/>
              <w:jc w:val="left"/>
            </w:pPr>
            <w:r>
              <w:rPr>
                <w:b/>
                <w:sz w:val="20"/>
              </w:rPr>
              <w:t xml:space="preserve">mercantil o comercial en la vía pública en el término municipal de candelaria </w:t>
            </w:r>
          </w:p>
        </w:tc>
        <w:tc>
          <w:tcPr>
            <w:tcW w:w="1417" w:type="dxa"/>
            <w:tcBorders>
              <w:top w:val="single" w:sz="2" w:space="0" w:color="000000"/>
              <w:left w:val="single" w:sz="2" w:space="0" w:color="000000"/>
              <w:bottom w:val="single" w:sz="2" w:space="0" w:color="000000"/>
              <w:right w:val="single" w:sz="2" w:space="0" w:color="000000"/>
            </w:tcBorders>
          </w:tcPr>
          <w:p w:rsidR="00B064CF" w:rsidRDefault="00B064CF">
            <w:pPr>
              <w:spacing w:after="160" w:line="259" w:lineRule="auto"/>
              <w:ind w:left="0" w:firstLine="0"/>
              <w:jc w:val="left"/>
            </w:pPr>
          </w:p>
        </w:tc>
      </w:tr>
      <w:tr w:rsidR="00B064CF">
        <w:trPr>
          <w:trHeight w:val="773"/>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b/>
                <w:sz w:val="20"/>
              </w:rPr>
              <w:t xml:space="preserve">DESARROLLO RURAL </w:t>
            </w:r>
          </w:p>
        </w:tc>
        <w:tc>
          <w:tcPr>
            <w:tcW w:w="531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2" w:firstLine="0"/>
            </w:pPr>
            <w:r>
              <w:rPr>
                <w:b/>
                <w:sz w:val="20"/>
              </w:rPr>
              <w:t>Ordenanza reguladora del Mercado de Producción Local de Candelaria</w:t>
            </w:r>
            <w:r>
              <w:rPr>
                <w:rFonts w:ascii="Times New Roman" w:eastAsia="Times New Roman" w:hAnsi="Times New Roman" w:cs="Times New Roman"/>
                <w:sz w:val="24"/>
              </w:rPr>
              <w:t xml:space="preserve">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b/>
                <w:sz w:val="20"/>
              </w:rPr>
              <w:t xml:space="preserve">Aprobación </w:t>
            </w:r>
          </w:p>
        </w:tc>
      </w:tr>
      <w:tr w:rsidR="00B064CF">
        <w:trPr>
          <w:trHeight w:val="776"/>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b/>
                <w:sz w:val="20"/>
              </w:rPr>
              <w:t xml:space="preserve">DESARROLLO RURAL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b/>
                <w:sz w:val="20"/>
              </w:rPr>
              <w:t>Ordenanza Reguladora de uso de los Senderos de la Red de Senderos Locales de Candelaria.</w:t>
            </w:r>
            <w:r>
              <w:rPr>
                <w:rFonts w:ascii="Times New Roman" w:eastAsia="Times New Roman" w:hAnsi="Times New Roman" w:cs="Times New Roman"/>
                <w:sz w:val="24"/>
              </w:rPr>
              <w:t xml:space="preserve">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b/>
                <w:sz w:val="20"/>
              </w:rPr>
              <w:t xml:space="preserve">Aprobación </w:t>
            </w:r>
          </w:p>
        </w:tc>
      </w:tr>
      <w:tr w:rsidR="00B064CF">
        <w:trPr>
          <w:trHeight w:val="773"/>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b/>
                <w:sz w:val="20"/>
              </w:rPr>
              <w:t xml:space="preserve">DESARROLLO RURAL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right="17" w:firstLine="0"/>
            </w:pPr>
            <w:r>
              <w:rPr>
                <w:b/>
                <w:sz w:val="20"/>
              </w:rPr>
              <w:t>Ordenanza portuaria por la que se establecen los usos y gestión del Puerto Pesquero de Candelaria.</w:t>
            </w:r>
            <w:r>
              <w:rPr>
                <w:rFonts w:ascii="Times New Roman" w:eastAsia="Times New Roman" w:hAnsi="Times New Roman" w:cs="Times New Roman"/>
                <w:sz w:val="24"/>
              </w:rPr>
              <w:t xml:space="preserve">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b/>
                <w:sz w:val="20"/>
              </w:rPr>
              <w:t xml:space="preserve">Aprobación </w:t>
            </w:r>
          </w:p>
        </w:tc>
      </w:tr>
      <w:tr w:rsidR="00B064CF">
        <w:trPr>
          <w:trHeight w:val="509"/>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b/>
                <w:sz w:val="20"/>
              </w:rPr>
              <w:t xml:space="preserve">CULTURA </w:t>
            </w:r>
          </w:p>
        </w:tc>
        <w:tc>
          <w:tcPr>
            <w:tcW w:w="531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2" w:firstLine="0"/>
              <w:jc w:val="left"/>
            </w:pPr>
            <w:r>
              <w:rPr>
                <w:b/>
                <w:sz w:val="20"/>
              </w:rPr>
              <w:t xml:space="preserve">Reglamento de la red de espacios para la cultura de Candelaria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b/>
                <w:sz w:val="20"/>
              </w:rPr>
              <w:t xml:space="preserve">Aprobación </w:t>
            </w:r>
          </w:p>
        </w:tc>
      </w:tr>
      <w:tr w:rsidR="00B064CF">
        <w:trPr>
          <w:trHeight w:val="1385"/>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17" w:line="259" w:lineRule="auto"/>
              <w:ind w:left="0" w:firstLine="0"/>
              <w:jc w:val="left"/>
            </w:pPr>
            <w:r>
              <w:rPr>
                <w:b/>
                <w:sz w:val="20"/>
              </w:rPr>
              <w:t xml:space="preserve">DEPORTES Y </w:t>
            </w:r>
          </w:p>
          <w:p w:rsidR="00B064CF" w:rsidRDefault="00E32F70">
            <w:pPr>
              <w:spacing w:after="17" w:line="259" w:lineRule="auto"/>
              <w:ind w:left="0" w:firstLine="0"/>
            </w:pPr>
            <w:r>
              <w:rPr>
                <w:b/>
                <w:sz w:val="20"/>
              </w:rPr>
              <w:t xml:space="preserve">ACTIVIDADES </w:t>
            </w:r>
          </w:p>
          <w:p w:rsidR="00B064CF" w:rsidRDefault="00E32F70">
            <w:pPr>
              <w:spacing w:after="0" w:line="259" w:lineRule="auto"/>
              <w:ind w:left="0" w:firstLine="0"/>
            </w:pPr>
            <w:r>
              <w:rPr>
                <w:b/>
                <w:sz w:val="20"/>
              </w:rPr>
              <w:t xml:space="preserve">RECREATIVAS </w:t>
            </w:r>
          </w:p>
        </w:tc>
        <w:tc>
          <w:tcPr>
            <w:tcW w:w="531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2" w:firstLine="0"/>
              <w:jc w:val="left"/>
            </w:pPr>
            <w:r>
              <w:rPr>
                <w:b/>
                <w:sz w:val="20"/>
              </w:rPr>
              <w:t>Ordenanza Fiscal reguladora de la tasa por la inscripción en actividades deportivas municipales y de prestación de servicios de piscinas e instalaciones deportivas, usos de espacios publicitarios en instalaciones deportivas municipales, inscripción de acti</w:t>
            </w:r>
            <w:r>
              <w:rPr>
                <w:b/>
                <w:sz w:val="20"/>
              </w:rPr>
              <w:t>vidades sanitarias y en rutas guiadas organizadas.</w:t>
            </w:r>
            <w:r>
              <w:rPr>
                <w:rFonts w:ascii="Times New Roman" w:eastAsia="Times New Roman" w:hAnsi="Times New Roman" w:cs="Times New Roman"/>
                <w:sz w:val="24"/>
              </w:rPr>
              <w:t xml:space="preserve">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pPr>
            <w:r>
              <w:rPr>
                <w:b/>
                <w:sz w:val="20"/>
              </w:rPr>
              <w:t xml:space="preserve">Modificación </w:t>
            </w:r>
          </w:p>
        </w:tc>
      </w:tr>
      <w:tr w:rsidR="00B064CF">
        <w:trPr>
          <w:trHeight w:val="512"/>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b/>
                <w:sz w:val="20"/>
              </w:rPr>
              <w:t xml:space="preserve">URBANISMO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b/>
                <w:sz w:val="20"/>
              </w:rPr>
              <w:t>Reglamento de Ordenación del Callejero Municipal</w:t>
            </w:r>
            <w:r>
              <w:rPr>
                <w:rFonts w:ascii="Times New Roman" w:eastAsia="Times New Roman" w:hAnsi="Times New Roman" w:cs="Times New Roman"/>
                <w:sz w:val="24"/>
              </w:rPr>
              <w:t xml:space="preserve">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pPr>
            <w:r>
              <w:rPr>
                <w:b/>
                <w:sz w:val="20"/>
              </w:rPr>
              <w:t xml:space="preserve">Modificación </w:t>
            </w:r>
          </w:p>
        </w:tc>
      </w:tr>
      <w:tr w:rsidR="00B064CF">
        <w:trPr>
          <w:trHeight w:val="653"/>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b/>
                <w:sz w:val="20"/>
              </w:rPr>
              <w:t xml:space="preserve">RRHH </w:t>
            </w:r>
          </w:p>
        </w:tc>
        <w:tc>
          <w:tcPr>
            <w:tcW w:w="5310"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2" w:firstLine="0"/>
              <w:jc w:val="left"/>
            </w:pPr>
            <w:r>
              <w:rPr>
                <w:b/>
                <w:sz w:val="20"/>
              </w:rPr>
              <w:t xml:space="preserve">Ordenanza reguladora de la Administración Electrónica del Ayuntamiento de Candelaria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b/>
                <w:sz w:val="20"/>
              </w:rPr>
              <w:t xml:space="preserve">Aprobación </w:t>
            </w:r>
          </w:p>
        </w:tc>
      </w:tr>
      <w:tr w:rsidR="00B064CF">
        <w:trPr>
          <w:trHeight w:val="509"/>
        </w:trPr>
        <w:tc>
          <w:tcPr>
            <w:tcW w:w="1555"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b/>
                <w:sz w:val="20"/>
              </w:rPr>
              <w:t xml:space="preserve">RRHH </w:t>
            </w:r>
          </w:p>
        </w:tc>
        <w:tc>
          <w:tcPr>
            <w:tcW w:w="5310"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2" w:firstLine="0"/>
              <w:jc w:val="left"/>
            </w:pPr>
            <w:r>
              <w:rPr>
                <w:b/>
                <w:sz w:val="20"/>
              </w:rPr>
              <w:t xml:space="preserve">Reglamento de Teletrabajo </w:t>
            </w:r>
          </w:p>
        </w:tc>
        <w:tc>
          <w:tcPr>
            <w:tcW w:w="141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b/>
                <w:sz w:val="20"/>
              </w:rPr>
              <w:t xml:space="preserve">Aprobación  </w:t>
            </w:r>
          </w:p>
        </w:tc>
      </w:tr>
    </w:tbl>
    <w:p w:rsidR="00B064CF" w:rsidRDefault="00E32F70">
      <w:pPr>
        <w:spacing w:after="41" w:line="349" w:lineRule="auto"/>
        <w:ind w:left="360" w:right="4875" w:firstLine="0"/>
        <w:jc w:val="left"/>
      </w:pPr>
      <w:r>
        <w:rPr>
          <w:b/>
          <w:sz w:val="20"/>
        </w:rPr>
        <w:t xml:space="preserve"> </w:t>
      </w:r>
      <w:r>
        <w:rPr>
          <w:b/>
        </w:rPr>
        <w:t xml:space="preserve"> </w:t>
      </w:r>
    </w:p>
    <w:p w:rsidR="00B064CF" w:rsidRDefault="00E32F70">
      <w:pPr>
        <w:spacing w:after="147"/>
        <w:ind w:left="355" w:right="68"/>
      </w:pPr>
      <w:r>
        <w:rPr>
          <w:b/>
        </w:rPr>
        <w:t xml:space="preserve">Concejalía delegada de Relaciones Institucionales:  </w:t>
      </w:r>
    </w:p>
    <w:p w:rsidR="00B064CF" w:rsidRDefault="00E32F70">
      <w:pPr>
        <w:spacing w:after="27"/>
        <w:ind w:left="355" w:right="68"/>
      </w:pPr>
      <w:r>
        <w:rPr>
          <w:b/>
        </w:rPr>
        <w:t xml:space="preserve">Aprobación del Reglamento de Honores, Distinciones y Ceremonial del Ayuntamiento de Candelaria:  </w:t>
      </w:r>
    </w:p>
    <w:p w:rsidR="00B064CF" w:rsidRDefault="00E32F70">
      <w:pPr>
        <w:spacing w:after="16" w:line="259" w:lineRule="auto"/>
        <w:ind w:left="360" w:firstLine="0"/>
        <w:jc w:val="left"/>
      </w:pPr>
      <w:r>
        <w:rPr>
          <w:b/>
        </w:rPr>
        <w:t xml:space="preserve"> </w:t>
      </w:r>
    </w:p>
    <w:p w:rsidR="00B064CF" w:rsidRDefault="00E32F70">
      <w:pPr>
        <w:spacing w:after="4"/>
        <w:ind w:left="355" w:right="144"/>
      </w:pPr>
      <w:r>
        <w:rPr>
          <w:rFonts w:ascii="Calibri" w:eastAsia="Calibri" w:hAnsi="Calibri" w:cs="Calibri"/>
          <w:noProof/>
        </w:rPr>
        <mc:AlternateContent>
          <mc:Choice Requires="wpg">
            <w:drawing>
              <wp:anchor distT="0" distB="0" distL="114300" distR="114300" simplePos="0" relativeHeight="25172992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37479" name="Group 437479"/>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14993" name="Rectangle 14993"/>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14994" name="Rectangle 14994"/>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67 de 298 </w:t>
                              </w:r>
                            </w:p>
                          </w:txbxContent>
                        </wps:txbx>
                        <wps:bodyPr horzOverflow="overflow" vert="horz" lIns="0" tIns="0" rIns="0" bIns="0" rtlCol="0">
                          <a:noAutofit/>
                        </wps:bodyPr>
                      </wps:wsp>
                    </wpg:wgp>
                  </a:graphicData>
                </a:graphic>
              </wp:anchor>
            </w:drawing>
          </mc:Choice>
          <mc:Fallback xmlns:a="http://schemas.openxmlformats.org/drawingml/2006/main">
            <w:pict>
              <v:group id="Group 437479" style="width:12.7031pt;height:278.91pt;position:absolute;mso-position-horizontal-relative:page;mso-position-horizontal:absolute;margin-left:682.278pt;mso-position-vertical-relative:page;margin-top:533.01pt;" coordsize="1613,35421">
                <v:rect id="Rectangle 14993"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14994"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67 de 298 </w:t>
                        </w:r>
                      </w:p>
                    </w:txbxContent>
                  </v:textbox>
                </v:rect>
                <w10:wrap type="square"/>
              </v:group>
            </w:pict>
          </mc:Fallback>
        </mc:AlternateContent>
      </w:r>
      <w:r>
        <w:rPr>
          <w:b/>
        </w:rPr>
        <w:t>TERCERO. Enviar una instrucción o circular a los Concejales delegados de las que depende la aprobación de cada reglamento u ordenanza a los efectos del debido impulso de las citadas normas para que se puedan aprobar durante el año para cumplir con la plani</w:t>
      </w:r>
      <w:r>
        <w:rPr>
          <w:b/>
        </w:rPr>
        <w:t>ficación normativa prevista para el año 2021.</w:t>
      </w:r>
      <w:r>
        <w:rPr>
          <w:rFonts w:ascii="Times New Roman" w:eastAsia="Times New Roman" w:hAnsi="Times New Roman" w:cs="Times New Roman"/>
          <w:sz w:val="24"/>
        </w:rPr>
        <w:t xml:space="preserve"> </w:t>
      </w:r>
    </w:p>
    <w:p w:rsidR="00B064CF" w:rsidRDefault="00E32F70">
      <w:pPr>
        <w:spacing w:after="16" w:line="259" w:lineRule="auto"/>
        <w:ind w:left="360" w:firstLine="0"/>
        <w:jc w:val="left"/>
      </w:pPr>
      <w:r>
        <w:rPr>
          <w:b/>
        </w:rPr>
        <w:t xml:space="preserve"> </w:t>
      </w:r>
    </w:p>
    <w:p w:rsidR="00B064CF" w:rsidRDefault="00E32F70">
      <w:pPr>
        <w:spacing w:after="4"/>
        <w:ind w:left="355" w:right="68"/>
      </w:pPr>
      <w:r>
        <w:rPr>
          <w:b/>
        </w:rPr>
        <w:t>CUARTO. Publicar el Plan en el Portal de Transparencia y en la sede electrónica del Ayuntamiento de Candelaria una vez aprobada la modificación.</w:t>
      </w:r>
      <w:r>
        <w:rPr>
          <w:rFonts w:ascii="Times New Roman" w:eastAsia="Times New Roman" w:hAnsi="Times New Roman" w:cs="Times New Roman"/>
          <w:sz w:val="24"/>
        </w:rPr>
        <w:t xml:space="preserve"> </w:t>
      </w:r>
    </w:p>
    <w:p w:rsidR="00B064CF" w:rsidRDefault="00E32F70">
      <w:pPr>
        <w:spacing w:after="16" w:line="259" w:lineRule="auto"/>
        <w:ind w:left="360" w:firstLine="0"/>
        <w:jc w:val="left"/>
      </w:pPr>
      <w:r>
        <w:rPr>
          <w:b/>
        </w:rPr>
        <w:t xml:space="preserve"> </w:t>
      </w:r>
    </w:p>
    <w:p w:rsidR="00B064CF" w:rsidRDefault="00E32F70">
      <w:pPr>
        <w:spacing w:after="4"/>
        <w:ind w:left="355" w:right="143"/>
      </w:pPr>
      <w:r>
        <w:rPr>
          <w:b/>
        </w:rPr>
        <w:t>QUINTO. Notificar a cada Concejalía delegada de la que depe</w:t>
      </w:r>
      <w:r>
        <w:rPr>
          <w:b/>
        </w:rPr>
        <w:t>nda el Reglamento u Ordenanza correspondiente a los efectos de su debida elaboración y aprobación o modificación durante el año 2021.</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rPr>
          <w:b/>
        </w:rPr>
        <w:t xml:space="preserve"> </w:t>
      </w:r>
    </w:p>
    <w:p w:rsidR="00B064CF" w:rsidRDefault="00E32F70">
      <w:pPr>
        <w:spacing w:after="29"/>
        <w:ind w:left="355" w:right="145"/>
      </w:pPr>
      <w:r>
        <w:rPr>
          <w:b/>
        </w:rPr>
        <w:t>SEXTO. El procedimiento de aprobación de los reglamentos y ordenanzas municipales incluidos en este Plan Normativo Anua</w:t>
      </w:r>
      <w:r>
        <w:rPr>
          <w:b/>
        </w:rPr>
        <w:t>l que se deben aprobar en este presente año 2021 es el establecido en el artículo 133 de la ley 30/2015, de 1 de octubre, en el artículo 49 de la Ley 7/1985, de 2 de abril reguladora de las Bases del Régimen local y el resto de leyes y reglamentos aplicabl</w:t>
      </w:r>
      <w:r>
        <w:rPr>
          <w:b/>
        </w:rPr>
        <w:t xml:space="preserve">es.” </w:t>
      </w:r>
    </w:p>
    <w:p w:rsidR="00B064CF" w:rsidRDefault="00E32F70">
      <w:pPr>
        <w:spacing w:after="0" w:line="259" w:lineRule="auto"/>
        <w:ind w:left="360" w:firstLine="0"/>
        <w:jc w:val="left"/>
      </w:pPr>
      <w:r>
        <w:rPr>
          <w:b/>
        </w:rPr>
        <w:t xml:space="preserve"> </w:t>
      </w:r>
    </w:p>
    <w:p w:rsidR="00B064CF" w:rsidRDefault="00E32F70">
      <w:pPr>
        <w:spacing w:after="0" w:line="259" w:lineRule="auto"/>
        <w:ind w:left="360" w:firstLine="0"/>
        <w:jc w:val="left"/>
      </w:pPr>
      <w:r>
        <w:rPr>
          <w:b/>
        </w:rPr>
        <w:t xml:space="preserve"> </w:t>
      </w:r>
    </w:p>
    <w:p w:rsidR="00B064CF" w:rsidRDefault="00E32F70">
      <w:pPr>
        <w:spacing w:after="0" w:line="259" w:lineRule="auto"/>
        <w:ind w:left="360" w:firstLine="0"/>
        <w:jc w:val="left"/>
      </w:pPr>
      <w:r>
        <w:rPr>
          <w:b/>
        </w:rPr>
        <w:t xml:space="preserve"> </w:t>
      </w:r>
    </w:p>
    <w:p w:rsidR="00B064CF" w:rsidRDefault="00E32F70">
      <w:pPr>
        <w:spacing w:after="0" w:line="259" w:lineRule="auto"/>
        <w:ind w:left="360" w:firstLine="0"/>
        <w:jc w:val="left"/>
      </w:pPr>
      <w:r>
        <w:rPr>
          <w:b/>
        </w:rPr>
        <w:t xml:space="preserve"> </w:t>
      </w:r>
    </w:p>
    <w:p w:rsidR="00B064CF" w:rsidRDefault="00E32F70">
      <w:pPr>
        <w:spacing w:after="0" w:line="259" w:lineRule="auto"/>
        <w:ind w:left="360" w:firstLine="0"/>
        <w:jc w:val="left"/>
      </w:pPr>
      <w:r>
        <w:rPr>
          <w:b/>
        </w:rPr>
        <w:t xml:space="preserve"> </w:t>
      </w:r>
    </w:p>
    <w:p w:rsidR="00B064CF" w:rsidRDefault="00E32F70">
      <w:pPr>
        <w:spacing w:after="0" w:line="259" w:lineRule="auto"/>
        <w:ind w:left="360" w:firstLine="0"/>
        <w:jc w:val="left"/>
      </w:pPr>
      <w:r>
        <w:t xml:space="preserve"> </w:t>
      </w:r>
    </w:p>
    <w:p w:rsidR="00B064CF" w:rsidRDefault="00E32F70">
      <w:pPr>
        <w:spacing w:after="23" w:line="259" w:lineRule="auto"/>
        <w:ind w:left="360" w:firstLine="0"/>
        <w:jc w:val="left"/>
      </w:pPr>
      <w:r>
        <w:t xml:space="preserve"> </w:t>
      </w:r>
    </w:p>
    <w:p w:rsidR="00B064CF" w:rsidRDefault="00E32F70">
      <w:pPr>
        <w:spacing w:after="1" w:line="425" w:lineRule="auto"/>
        <w:ind w:left="360" w:right="9650" w:firstLine="0"/>
        <w:jc w:val="left"/>
      </w:pPr>
      <w:r>
        <w:rPr>
          <w:rFonts w:ascii="Calibri" w:eastAsia="Calibri" w:hAnsi="Calibri" w:cs="Calibri"/>
          <w:noProof/>
        </w:rPr>
        <mc:AlternateContent>
          <mc:Choice Requires="wpg">
            <w:drawing>
              <wp:anchor distT="0" distB="0" distL="114300" distR="114300" simplePos="0" relativeHeight="251730944" behindDoc="0" locked="0" layoutInCell="1" allowOverlap="1">
                <wp:simplePos x="0" y="0"/>
                <wp:positionH relativeFrom="page">
                  <wp:posOffset>8664935</wp:posOffset>
                </wp:positionH>
                <wp:positionV relativeFrom="page">
                  <wp:posOffset>6769227</wp:posOffset>
                </wp:positionV>
                <wp:extent cx="161330" cy="3542157"/>
                <wp:effectExtent l="0" t="0" r="0" b="0"/>
                <wp:wrapTopAndBottom/>
                <wp:docPr id="378706" name="Group 378706"/>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15050" name="Rectangle 15050"/>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15051" name="Rectangle 15051"/>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68 de 298 </w:t>
                              </w:r>
                            </w:p>
                          </w:txbxContent>
                        </wps:txbx>
                        <wps:bodyPr horzOverflow="overflow" vert="horz" lIns="0" tIns="0" rIns="0" bIns="0" rtlCol="0">
                          <a:noAutofit/>
                        </wps:bodyPr>
                      </wps:wsp>
                    </wpg:wgp>
                  </a:graphicData>
                </a:graphic>
              </wp:anchor>
            </w:drawing>
          </mc:Choice>
          <mc:Fallback xmlns:a="http://schemas.openxmlformats.org/drawingml/2006/main">
            <w:pict>
              <v:group id="Group 378706" style="width:12.7031pt;height:278.91pt;position:absolute;mso-position-horizontal-relative:page;mso-position-horizontal:absolute;margin-left:682.278pt;mso-position-vertical-relative:page;margin-top:533.01pt;" coordsize="1613,35421">
                <v:rect id="Rectangle 15050"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15051"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68 de 298 </w:t>
                        </w:r>
                      </w:p>
                    </w:txbxContent>
                  </v:textbox>
                </v:rect>
                <w10:wrap type="topAndBottom"/>
              </v:group>
            </w:pict>
          </mc:Fallback>
        </mc:AlternateContent>
      </w:r>
      <w:r>
        <w:rPr>
          <w:i/>
          <w:color w:val="222222"/>
        </w:rPr>
        <w:t xml:space="preserve">           </w:t>
      </w:r>
    </w:p>
    <w:p w:rsidR="00B064CF" w:rsidRDefault="00E32F70">
      <w:pPr>
        <w:spacing w:after="175" w:line="259" w:lineRule="auto"/>
        <w:ind w:left="360" w:firstLine="0"/>
        <w:jc w:val="left"/>
      </w:pPr>
      <w:r>
        <w:rPr>
          <w:i/>
          <w:color w:val="222222"/>
        </w:rPr>
        <w:t xml:space="preserve"> </w:t>
      </w:r>
    </w:p>
    <w:p w:rsidR="00B064CF" w:rsidRDefault="00E32F70">
      <w:pPr>
        <w:spacing w:after="177" w:line="259" w:lineRule="auto"/>
        <w:ind w:left="360" w:firstLine="0"/>
        <w:jc w:val="left"/>
      </w:pPr>
      <w:r>
        <w:rPr>
          <w:i/>
          <w:color w:val="222222"/>
        </w:rPr>
        <w:t xml:space="preserve"> </w:t>
      </w:r>
    </w:p>
    <w:p w:rsidR="00B064CF" w:rsidRDefault="00E32F70">
      <w:pPr>
        <w:spacing w:after="175" w:line="259" w:lineRule="auto"/>
        <w:ind w:left="360" w:firstLine="0"/>
        <w:jc w:val="left"/>
      </w:pPr>
      <w:r>
        <w:rPr>
          <w:i/>
          <w:color w:val="222222"/>
        </w:rPr>
        <w:t xml:space="preserve"> </w:t>
      </w:r>
    </w:p>
    <w:p w:rsidR="00B064CF" w:rsidRDefault="00E32F70">
      <w:pPr>
        <w:spacing w:after="177" w:line="259" w:lineRule="auto"/>
        <w:ind w:left="360" w:firstLine="0"/>
        <w:jc w:val="left"/>
      </w:pPr>
      <w:r>
        <w:rPr>
          <w:i/>
          <w:color w:val="222222"/>
        </w:rPr>
        <w:t xml:space="preserve"> </w:t>
      </w:r>
    </w:p>
    <w:p w:rsidR="00B064CF" w:rsidRDefault="00E32F70">
      <w:pPr>
        <w:spacing w:after="175" w:line="259" w:lineRule="auto"/>
        <w:ind w:left="360" w:firstLine="0"/>
        <w:jc w:val="left"/>
      </w:pPr>
      <w:r>
        <w:rPr>
          <w:i/>
          <w:color w:val="222222"/>
        </w:rPr>
        <w:t xml:space="preserve"> </w:t>
      </w:r>
    </w:p>
    <w:p w:rsidR="00B064CF" w:rsidRDefault="00E32F70">
      <w:pPr>
        <w:spacing w:after="177" w:line="259" w:lineRule="auto"/>
        <w:ind w:left="360" w:firstLine="0"/>
        <w:jc w:val="left"/>
      </w:pPr>
      <w:r>
        <w:rPr>
          <w:i/>
          <w:color w:val="222222"/>
        </w:rPr>
        <w:t xml:space="preserve"> </w:t>
      </w:r>
    </w:p>
    <w:p w:rsidR="00B064CF" w:rsidRDefault="00E32F70">
      <w:pPr>
        <w:spacing w:after="172" w:line="259" w:lineRule="auto"/>
        <w:ind w:left="360" w:firstLine="0"/>
        <w:jc w:val="left"/>
      </w:pPr>
      <w:r>
        <w:rPr>
          <w:b/>
          <w:i/>
          <w:color w:val="222222"/>
        </w:rPr>
        <w:t xml:space="preserve"> </w:t>
      </w:r>
    </w:p>
    <w:p w:rsidR="00B064CF" w:rsidRDefault="00E32F70">
      <w:pPr>
        <w:spacing w:after="0" w:line="427" w:lineRule="auto"/>
        <w:ind w:left="360" w:right="9650" w:firstLine="0"/>
        <w:jc w:val="left"/>
      </w:pPr>
      <w:r>
        <w:rPr>
          <w:b/>
          <w:color w:val="222222"/>
        </w:rPr>
        <w:t xml:space="preserve">  </w:t>
      </w:r>
    </w:p>
    <w:p w:rsidR="00B064CF" w:rsidRDefault="00E32F70">
      <w:pPr>
        <w:spacing w:after="185"/>
        <w:ind w:left="355" w:right="149"/>
      </w:pPr>
      <w:r>
        <w:rPr>
          <w:b/>
          <w:color w:val="222222"/>
        </w:rPr>
        <w:t xml:space="preserve">3.- </w:t>
      </w:r>
      <w:r>
        <w:rPr>
          <w:b/>
        </w:rPr>
        <w:t>Expediente 4687/2021. Propuesta del Concejal delegado de Hacienda de fecha 18 de mayo de 2021 para dar cuenta al Pleno del Informe de Intervención de 18 de mayo de 2021 de Ejecución del Presupuesto, Cumplimiento de los Principios de Estabilidad Presupuesta</w:t>
      </w:r>
      <w:r>
        <w:rPr>
          <w:b/>
        </w:rPr>
        <w:t>ria, Regla del Gasto y Deuda Pública correspondiente al Primer trimestre del ejercicio 2021.</w:t>
      </w:r>
      <w:r>
        <w:t xml:space="preserve"> </w:t>
      </w:r>
    </w:p>
    <w:p w:rsidR="00B064CF" w:rsidRDefault="00E32F70">
      <w:pPr>
        <w:spacing w:after="130" w:line="259" w:lineRule="auto"/>
        <w:ind w:left="360" w:firstLine="0"/>
        <w:jc w:val="left"/>
      </w:pPr>
      <w:r>
        <w:rPr>
          <w:b/>
        </w:rPr>
        <w:t xml:space="preserve"> </w:t>
      </w:r>
    </w:p>
    <w:p w:rsidR="00B064CF" w:rsidRDefault="00E32F70">
      <w:pPr>
        <w:spacing w:after="4"/>
        <w:ind w:left="355" w:right="146"/>
      </w:pPr>
      <w:r>
        <w:rPr>
          <w:b/>
        </w:rPr>
        <w:t xml:space="preserve">Consta en el expediente Informe de Intervención emitido por Don Nicolás Rojo Garnica, que desempeña el puesto de trabajo </w:t>
      </w:r>
      <w:r>
        <w:rPr>
          <w:b/>
        </w:rPr>
        <w:t xml:space="preserve">de Interventor Municipal, de 18 de mayo de 2021, del siguiente tenor literal: </w:t>
      </w:r>
    </w:p>
    <w:p w:rsidR="00B064CF" w:rsidRDefault="00E32F70">
      <w:pPr>
        <w:spacing w:after="0" w:line="259" w:lineRule="auto"/>
        <w:ind w:left="360" w:firstLine="0"/>
        <w:jc w:val="left"/>
      </w:pPr>
      <w:r>
        <w:rPr>
          <w:b/>
        </w:rPr>
        <w:t xml:space="preserve"> </w:t>
      </w:r>
    </w:p>
    <w:p w:rsidR="00B064CF" w:rsidRDefault="00E32F70">
      <w:pPr>
        <w:spacing w:after="0" w:line="259" w:lineRule="auto"/>
        <w:ind w:left="360" w:firstLine="0"/>
        <w:jc w:val="left"/>
      </w:pPr>
      <w:r>
        <w:rPr>
          <w:b/>
        </w:rPr>
        <w:t xml:space="preserve"> </w:t>
      </w:r>
    </w:p>
    <w:p w:rsidR="00B064CF" w:rsidRDefault="00E32F70">
      <w:pPr>
        <w:spacing w:after="111"/>
        <w:ind w:left="345" w:right="144" w:firstLine="708"/>
      </w:pPr>
      <w:r>
        <w:t>En cumplimiento del mandato plenario, de fecha 30 de enero de 2020, se emite informe, a través de la ejecución del presupuesto de gastos e ingresos, correspondiente al Prime</w:t>
      </w:r>
      <w:r>
        <w:t xml:space="preserve">r trimestre de 2021, para la verificación de los principios de Estabilidad Presupuestaria, el cumplimiento de la Regla de Gasto y del Límite de Deuda. </w:t>
      </w:r>
    </w:p>
    <w:p w:rsidR="00B064CF" w:rsidRDefault="00E32F70">
      <w:pPr>
        <w:spacing w:after="114"/>
        <w:ind w:left="355" w:right="72"/>
      </w:pPr>
      <w:r>
        <w:t xml:space="preserve"> Se trata de tres medidas de consolidación fiscal de obligado cumplimiento para todas las Administracion</w:t>
      </w:r>
      <w:r>
        <w:t xml:space="preserve">es Públicas, si bien están suspendidas en el presente ejercicio. </w:t>
      </w:r>
    </w:p>
    <w:p w:rsidR="00B064CF" w:rsidRDefault="00E32F70">
      <w:pPr>
        <w:spacing w:after="96" w:line="259" w:lineRule="auto"/>
        <w:ind w:left="360" w:firstLine="0"/>
        <w:jc w:val="left"/>
      </w:pPr>
      <w:r>
        <w:t xml:space="preserve"> </w:t>
      </w:r>
    </w:p>
    <w:p w:rsidR="00B064CF" w:rsidRDefault="00E32F70">
      <w:pPr>
        <w:spacing w:after="114"/>
        <w:ind w:left="355" w:right="68"/>
      </w:pPr>
      <w:r>
        <w:rPr>
          <w:b/>
        </w:rPr>
        <w:t>NORMATIVA DE APLICACIÓN:</w:t>
      </w:r>
      <w:r>
        <w:t xml:space="preserve"> </w:t>
      </w:r>
    </w:p>
    <w:p w:rsidR="00B064CF" w:rsidRDefault="00E32F70">
      <w:pPr>
        <w:spacing w:after="98" w:line="259" w:lineRule="auto"/>
        <w:ind w:left="360" w:firstLine="0"/>
        <w:jc w:val="left"/>
      </w:pPr>
      <w:r>
        <w:rPr>
          <w:rFonts w:ascii="Calibri" w:eastAsia="Calibri" w:hAnsi="Calibri" w:cs="Calibri"/>
          <w:noProof/>
        </w:rPr>
        <mc:AlternateContent>
          <mc:Choice Requires="wpg">
            <w:drawing>
              <wp:anchor distT="0" distB="0" distL="114300" distR="114300" simplePos="0" relativeHeight="25173196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88919" name="Group 388919"/>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15238" name="Rectangle 15238"/>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15239" name="Rectangle 15239"/>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69 de 298 </w:t>
                              </w:r>
                            </w:p>
                          </w:txbxContent>
                        </wps:txbx>
                        <wps:bodyPr horzOverflow="overflow" vert="horz" lIns="0" tIns="0" rIns="0" bIns="0" rtlCol="0">
                          <a:noAutofit/>
                        </wps:bodyPr>
                      </wps:wsp>
                    </wpg:wgp>
                  </a:graphicData>
                </a:graphic>
              </wp:anchor>
            </w:drawing>
          </mc:Choice>
          <mc:Fallback xmlns:a="http://schemas.openxmlformats.org/drawingml/2006/main">
            <w:pict>
              <v:group id="Group 388919" style="width:12.7031pt;height:278.91pt;position:absolute;mso-position-horizontal-relative:page;mso-position-horizontal:absolute;margin-left:682.278pt;mso-position-vertical-relative:page;margin-top:533.01pt;" coordsize="1613,35421">
                <v:rect id="Rectangle 15238"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15239"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69 de 298 </w:t>
                        </w:r>
                      </w:p>
                    </w:txbxContent>
                  </v:textbox>
                </v:rect>
                <w10:wrap type="square"/>
              </v:group>
            </w:pict>
          </mc:Fallback>
        </mc:AlternateContent>
      </w:r>
      <w:r>
        <w:t xml:space="preserve"> </w:t>
      </w:r>
    </w:p>
    <w:p w:rsidR="00B064CF" w:rsidRDefault="00E32F70">
      <w:pPr>
        <w:numPr>
          <w:ilvl w:val="0"/>
          <w:numId w:val="19"/>
        </w:numPr>
        <w:spacing w:after="114"/>
        <w:ind w:right="72" w:hanging="137"/>
      </w:pPr>
      <w:r>
        <w:t xml:space="preserve">Real Decreto Legislativo 2/2004, de 5 de marzo, por el que se aprueba el Texto Refundido de la Ley Reguladora de las Haciendas Locales. </w:t>
      </w:r>
    </w:p>
    <w:p w:rsidR="00B064CF" w:rsidRDefault="00E32F70">
      <w:pPr>
        <w:numPr>
          <w:ilvl w:val="0"/>
          <w:numId w:val="19"/>
        </w:numPr>
        <w:spacing w:after="114"/>
        <w:ind w:right="72" w:hanging="137"/>
      </w:pPr>
      <w:r>
        <w:t xml:space="preserve">Orden EHA/3565/2008 de </w:t>
      </w:r>
      <w:r>
        <w:t xml:space="preserve">3 de diciembre, por la que se aprueba la estructura de los presupuestos de las entidades locales. </w:t>
      </w:r>
    </w:p>
    <w:p w:rsidR="00B064CF" w:rsidRDefault="00E32F70">
      <w:pPr>
        <w:numPr>
          <w:ilvl w:val="0"/>
          <w:numId w:val="19"/>
        </w:numPr>
        <w:spacing w:after="112"/>
        <w:ind w:right="72" w:hanging="137"/>
      </w:pPr>
      <w:r>
        <w:t>Real Decreto 1463/2007, de 2 de noviembre, por el que se aprueba el reglamento de desarrollo de la Ley 18/2001, de 12 de diciembre, de Estabilidad Presupuest</w:t>
      </w:r>
      <w:r>
        <w:t xml:space="preserve">aria, en su aplicación a las Entidades Locales. </w:t>
      </w:r>
    </w:p>
    <w:p w:rsidR="00B064CF" w:rsidRDefault="00E32F70">
      <w:pPr>
        <w:numPr>
          <w:ilvl w:val="0"/>
          <w:numId w:val="19"/>
        </w:numPr>
        <w:spacing w:after="112"/>
        <w:ind w:right="72" w:hanging="137"/>
      </w:pPr>
      <w:r>
        <w:t xml:space="preserve">Ley Orgánica 2/2012, de 27 de abril, de Estabilidad Presupuestaria y Sostenibilidad Financiera. </w:t>
      </w:r>
    </w:p>
    <w:p w:rsidR="00B064CF" w:rsidRDefault="00E32F70">
      <w:pPr>
        <w:numPr>
          <w:ilvl w:val="0"/>
          <w:numId w:val="19"/>
        </w:numPr>
        <w:spacing w:after="112"/>
        <w:ind w:right="72" w:hanging="137"/>
      </w:pPr>
      <w:r>
        <w:t xml:space="preserve">Manual de cálculo del Déficit en Contabilidad Nacional adaptado a las Corporaciones Locales, publicado por la </w:t>
      </w:r>
      <w:r>
        <w:t xml:space="preserve">Intervención General de la Administración del Estado, Ministerio de Economía y Hacienda. </w:t>
      </w:r>
    </w:p>
    <w:p w:rsidR="00B064CF" w:rsidRDefault="00E32F70">
      <w:pPr>
        <w:numPr>
          <w:ilvl w:val="0"/>
          <w:numId w:val="19"/>
        </w:numPr>
        <w:spacing w:after="111"/>
        <w:ind w:right="72" w:hanging="137"/>
      </w:pPr>
      <w:r>
        <w:t xml:space="preserve">Guía para la determinación de la Regla de Gasto del artículo 12 de la LOEPSF para corporaciones locales, 1ª edición. IGAE. </w:t>
      </w:r>
    </w:p>
    <w:p w:rsidR="00B064CF" w:rsidRDefault="00E32F70">
      <w:pPr>
        <w:numPr>
          <w:ilvl w:val="0"/>
          <w:numId w:val="19"/>
        </w:numPr>
        <w:spacing w:after="109"/>
        <w:ind w:right="72" w:hanging="137"/>
      </w:pPr>
      <w:r>
        <w:t>Manual del SEC 95 sobre el Déficit Público</w:t>
      </w:r>
      <w:r>
        <w:t xml:space="preserve"> y la Deuda Pública, publicado por Eurostat. </w:t>
      </w:r>
    </w:p>
    <w:p w:rsidR="00B064CF" w:rsidRDefault="00E32F70">
      <w:pPr>
        <w:spacing w:after="98" w:line="259" w:lineRule="auto"/>
        <w:ind w:left="360" w:firstLine="0"/>
        <w:jc w:val="left"/>
      </w:pPr>
      <w:r>
        <w:rPr>
          <w:b/>
        </w:rPr>
        <w:t xml:space="preserve"> </w:t>
      </w:r>
    </w:p>
    <w:p w:rsidR="00B064CF" w:rsidRDefault="00E32F70">
      <w:pPr>
        <w:pStyle w:val="Ttulo1"/>
        <w:ind w:left="355"/>
      </w:pPr>
      <w:r>
        <w:t>1.- ESTADO DE EJECUCIÓN PRESUPUESTO DE INGRESOS. PRIMER TRIMESTRE 2021</w:t>
      </w:r>
      <w:r>
        <w:rPr>
          <w:u w:val="none"/>
        </w:rPr>
        <w:t xml:space="preserve"> </w:t>
      </w:r>
    </w:p>
    <w:p w:rsidR="00B064CF" w:rsidRDefault="00E32F70">
      <w:pPr>
        <w:spacing w:after="0" w:line="259" w:lineRule="auto"/>
        <w:ind w:left="360" w:firstLine="0"/>
        <w:jc w:val="left"/>
      </w:pPr>
      <w:r>
        <w:rPr>
          <w:b/>
          <w:sz w:val="24"/>
        </w:rPr>
        <w:t xml:space="preserve"> </w:t>
      </w:r>
    </w:p>
    <w:tbl>
      <w:tblPr>
        <w:tblStyle w:val="TableGrid"/>
        <w:tblW w:w="8721" w:type="dxa"/>
        <w:tblInd w:w="365" w:type="dxa"/>
        <w:tblCellMar>
          <w:top w:w="3" w:type="dxa"/>
          <w:left w:w="106" w:type="dxa"/>
          <w:bottom w:w="0" w:type="dxa"/>
          <w:right w:w="66" w:type="dxa"/>
        </w:tblCellMar>
        <w:tblLook w:val="04A0" w:firstRow="1" w:lastRow="0" w:firstColumn="1" w:lastColumn="0" w:noHBand="0" w:noVBand="1"/>
      </w:tblPr>
      <w:tblGrid>
        <w:gridCol w:w="2143"/>
        <w:gridCol w:w="1241"/>
        <w:gridCol w:w="1373"/>
        <w:gridCol w:w="1335"/>
        <w:gridCol w:w="1315"/>
        <w:gridCol w:w="1313"/>
      </w:tblGrid>
      <w:tr w:rsidR="00B064CF">
        <w:trPr>
          <w:trHeight w:val="735"/>
        </w:trPr>
        <w:tc>
          <w:tcPr>
            <w:tcW w:w="214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b/>
                <w:sz w:val="14"/>
                <w:u w:val="single" w:color="000000"/>
              </w:rPr>
              <w:t>CAPÍTULO INGRESOS</w:t>
            </w:r>
            <w:r>
              <w:rPr>
                <w:b/>
                <w:sz w:val="14"/>
              </w:rPr>
              <w:t xml:space="preserve"> </w:t>
            </w:r>
          </w:p>
        </w:tc>
        <w:tc>
          <w:tcPr>
            <w:tcW w:w="124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b/>
                <w:sz w:val="14"/>
                <w:u w:val="single" w:color="000000"/>
              </w:rPr>
              <w:t>CRÉDITOS</w:t>
            </w:r>
            <w:r>
              <w:rPr>
                <w:b/>
                <w:sz w:val="14"/>
              </w:rPr>
              <w:t xml:space="preserve"> </w:t>
            </w:r>
          </w:p>
          <w:p w:rsidR="00B064CF" w:rsidRDefault="00E32F70">
            <w:pPr>
              <w:spacing w:after="0" w:line="259" w:lineRule="auto"/>
              <w:ind w:left="2" w:firstLine="0"/>
              <w:jc w:val="left"/>
            </w:pPr>
            <w:r>
              <w:rPr>
                <w:b/>
                <w:sz w:val="14"/>
                <w:u w:val="single" w:color="000000"/>
              </w:rPr>
              <w:t>INICIALES</w:t>
            </w:r>
            <w:r>
              <w:rPr>
                <w:b/>
                <w:sz w:val="14"/>
              </w:rPr>
              <w:t xml:space="preserve"> </w:t>
            </w:r>
          </w:p>
          <w:p w:rsidR="00B064CF" w:rsidRDefault="00E32F70">
            <w:pPr>
              <w:spacing w:after="0" w:line="259" w:lineRule="auto"/>
              <w:ind w:left="2" w:firstLine="0"/>
              <w:jc w:val="left"/>
            </w:pPr>
            <w:r>
              <w:rPr>
                <w:b/>
                <w:sz w:val="14"/>
                <w:u w:val="single" w:color="000000"/>
              </w:rPr>
              <w:t>2021</w:t>
            </w:r>
            <w:r>
              <w:rPr>
                <w:b/>
                <w:sz w:val="14"/>
              </w:rPr>
              <w:t xml:space="preserve"> </w:t>
            </w:r>
          </w:p>
        </w:tc>
        <w:tc>
          <w:tcPr>
            <w:tcW w:w="137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14"/>
                <w:u w:val="single" w:color="000000"/>
              </w:rPr>
              <w:t>DERECHOS</w:t>
            </w:r>
            <w:r>
              <w:rPr>
                <w:b/>
                <w:sz w:val="14"/>
              </w:rPr>
              <w:t xml:space="preserve"> </w:t>
            </w:r>
          </w:p>
          <w:p w:rsidR="00B064CF" w:rsidRDefault="00E32F70">
            <w:pPr>
              <w:spacing w:after="108" w:line="259" w:lineRule="auto"/>
              <w:ind w:left="0" w:firstLine="0"/>
              <w:jc w:val="left"/>
            </w:pPr>
            <w:r>
              <w:rPr>
                <w:b/>
                <w:sz w:val="14"/>
                <w:u w:val="single" w:color="000000"/>
              </w:rPr>
              <w:t>RECONOCIDOS</w:t>
            </w:r>
            <w:r>
              <w:rPr>
                <w:b/>
                <w:sz w:val="14"/>
              </w:rPr>
              <w:t xml:space="preserve"> </w:t>
            </w:r>
          </w:p>
          <w:p w:rsidR="00B064CF" w:rsidRDefault="00E32F70">
            <w:pPr>
              <w:spacing w:after="0" w:line="259" w:lineRule="auto"/>
              <w:ind w:left="0" w:firstLine="0"/>
              <w:jc w:val="left"/>
            </w:pPr>
            <w:r>
              <w:rPr>
                <w:b/>
                <w:sz w:val="14"/>
                <w:u w:val="single" w:color="000000"/>
              </w:rPr>
              <w:t>EJERCICIO 2020.</w:t>
            </w:r>
            <w:r>
              <w:rPr>
                <w:b/>
                <w:sz w:val="14"/>
              </w:rPr>
              <w:t xml:space="preserve"> </w:t>
            </w:r>
          </w:p>
        </w:tc>
        <w:tc>
          <w:tcPr>
            <w:tcW w:w="133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b/>
                <w:sz w:val="14"/>
                <w:u w:val="single" w:color="000000"/>
              </w:rPr>
              <w:t>DERECHOS</w:t>
            </w:r>
            <w:r>
              <w:rPr>
                <w:b/>
                <w:sz w:val="14"/>
              </w:rPr>
              <w:t xml:space="preserve"> </w:t>
            </w:r>
          </w:p>
          <w:p w:rsidR="00B064CF" w:rsidRDefault="00E32F70">
            <w:pPr>
              <w:spacing w:after="108" w:line="259" w:lineRule="auto"/>
              <w:ind w:left="2" w:firstLine="0"/>
              <w:jc w:val="left"/>
            </w:pPr>
            <w:r>
              <w:rPr>
                <w:b/>
                <w:sz w:val="14"/>
                <w:u w:val="single" w:color="000000"/>
              </w:rPr>
              <w:t>RECONOCIDOS</w:t>
            </w:r>
            <w:r>
              <w:rPr>
                <w:b/>
                <w:sz w:val="14"/>
              </w:rPr>
              <w:t xml:space="preserve"> </w:t>
            </w:r>
          </w:p>
          <w:p w:rsidR="00B064CF" w:rsidRDefault="00E32F70">
            <w:pPr>
              <w:spacing w:after="0" w:line="259" w:lineRule="auto"/>
              <w:ind w:left="2" w:firstLine="0"/>
              <w:jc w:val="left"/>
            </w:pPr>
            <w:r>
              <w:rPr>
                <w:b/>
                <w:sz w:val="14"/>
                <w:u w:val="single" w:color="000000"/>
              </w:rPr>
              <w:t>EJERCICIO 2021</w:t>
            </w:r>
            <w:r>
              <w:rPr>
                <w:b/>
                <w:sz w:val="14"/>
              </w:rPr>
              <w:t xml:space="preserve"> </w:t>
            </w:r>
          </w:p>
        </w:tc>
        <w:tc>
          <w:tcPr>
            <w:tcW w:w="131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14"/>
                <w:u w:val="single" w:color="000000"/>
              </w:rPr>
              <w:t>DERECHOS</w:t>
            </w:r>
            <w:r>
              <w:rPr>
                <w:b/>
                <w:sz w:val="14"/>
              </w:rPr>
              <w:t xml:space="preserve"> </w:t>
            </w:r>
          </w:p>
          <w:p w:rsidR="00B064CF" w:rsidRDefault="00E32F70">
            <w:pPr>
              <w:spacing w:after="0" w:line="259" w:lineRule="auto"/>
              <w:ind w:left="0" w:firstLine="0"/>
              <w:jc w:val="left"/>
            </w:pPr>
            <w:r>
              <w:rPr>
                <w:b/>
                <w:sz w:val="14"/>
                <w:u w:val="single" w:color="000000"/>
              </w:rPr>
              <w:t>RECAUDADOS</w:t>
            </w:r>
            <w:r>
              <w:rPr>
                <w:b/>
                <w:sz w:val="14"/>
              </w:rPr>
              <w:t xml:space="preserve"> </w:t>
            </w:r>
            <w:r>
              <w:rPr>
                <w:b/>
                <w:sz w:val="14"/>
                <w:u w:val="single" w:color="000000"/>
              </w:rPr>
              <w:t>EJERCICIO</w:t>
            </w:r>
            <w:r>
              <w:rPr>
                <w:b/>
                <w:sz w:val="14"/>
              </w:rPr>
              <w:t xml:space="preserve"> </w:t>
            </w:r>
          </w:p>
        </w:tc>
        <w:tc>
          <w:tcPr>
            <w:tcW w:w="131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14"/>
                <w:u w:val="single" w:color="000000"/>
              </w:rPr>
              <w:t>DERECHOS</w:t>
            </w:r>
            <w:r>
              <w:rPr>
                <w:b/>
                <w:sz w:val="14"/>
              </w:rPr>
              <w:t xml:space="preserve"> </w:t>
            </w:r>
          </w:p>
          <w:p w:rsidR="00B064CF" w:rsidRDefault="00E32F70">
            <w:pPr>
              <w:spacing w:after="0" w:line="259" w:lineRule="auto"/>
              <w:ind w:left="0" w:firstLine="0"/>
              <w:jc w:val="left"/>
            </w:pPr>
            <w:r>
              <w:rPr>
                <w:b/>
                <w:sz w:val="14"/>
                <w:u w:val="single" w:color="000000"/>
              </w:rPr>
              <w:t>RECAUDADOS</w:t>
            </w:r>
            <w:r>
              <w:rPr>
                <w:b/>
                <w:sz w:val="14"/>
              </w:rPr>
              <w:t xml:space="preserve"> </w:t>
            </w:r>
            <w:r>
              <w:rPr>
                <w:b/>
                <w:sz w:val="14"/>
                <w:u w:val="single" w:color="000000"/>
              </w:rPr>
              <w:t>EJERCICIO</w:t>
            </w:r>
            <w:r>
              <w:rPr>
                <w:b/>
                <w:sz w:val="14"/>
              </w:rPr>
              <w:t xml:space="preserve"> </w:t>
            </w:r>
          </w:p>
        </w:tc>
      </w:tr>
      <w:tr w:rsidR="00B064CF">
        <w:trPr>
          <w:trHeight w:val="734"/>
        </w:trPr>
        <w:tc>
          <w:tcPr>
            <w:tcW w:w="2143" w:type="dxa"/>
            <w:tcBorders>
              <w:top w:val="single" w:sz="4" w:space="0" w:color="000000"/>
              <w:left w:val="single" w:sz="4" w:space="0" w:color="000000"/>
              <w:bottom w:val="single" w:sz="4" w:space="0" w:color="000000"/>
              <w:right w:val="single" w:sz="4" w:space="0" w:color="000000"/>
            </w:tcBorders>
          </w:tcPr>
          <w:p w:rsidR="00B064CF" w:rsidRDefault="00B064CF">
            <w:pPr>
              <w:spacing w:after="160" w:line="259" w:lineRule="auto"/>
              <w:ind w:left="0" w:firstLine="0"/>
              <w:jc w:val="left"/>
            </w:pPr>
          </w:p>
        </w:tc>
        <w:tc>
          <w:tcPr>
            <w:tcW w:w="1241" w:type="dxa"/>
            <w:tcBorders>
              <w:top w:val="single" w:sz="4" w:space="0" w:color="000000"/>
              <w:left w:val="single" w:sz="4" w:space="0" w:color="000000"/>
              <w:bottom w:val="single" w:sz="4" w:space="0" w:color="000000"/>
              <w:right w:val="single" w:sz="4" w:space="0" w:color="000000"/>
            </w:tcBorders>
          </w:tcPr>
          <w:p w:rsidR="00B064CF" w:rsidRDefault="00B064CF">
            <w:pPr>
              <w:spacing w:after="160" w:line="259" w:lineRule="auto"/>
              <w:ind w:left="0" w:firstLine="0"/>
              <w:jc w:val="left"/>
            </w:pPr>
          </w:p>
        </w:tc>
        <w:tc>
          <w:tcPr>
            <w:tcW w:w="137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14"/>
                <w:u w:val="single" w:color="000000"/>
              </w:rPr>
              <w:t>Primer Trimestre</w:t>
            </w:r>
            <w:r>
              <w:rPr>
                <w:b/>
                <w:sz w:val="14"/>
              </w:rPr>
              <w:t xml:space="preserve"> </w:t>
            </w:r>
          </w:p>
        </w:tc>
        <w:tc>
          <w:tcPr>
            <w:tcW w:w="133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b/>
                <w:sz w:val="14"/>
                <w:u w:val="single" w:color="000000"/>
              </w:rPr>
              <w:t>Primer Trimestre</w:t>
            </w:r>
            <w:r>
              <w:rPr>
                <w:b/>
                <w:sz w:val="14"/>
              </w:rPr>
              <w:t xml:space="preserve"> </w:t>
            </w:r>
          </w:p>
        </w:tc>
        <w:tc>
          <w:tcPr>
            <w:tcW w:w="1315" w:type="dxa"/>
            <w:tcBorders>
              <w:top w:val="single" w:sz="4" w:space="0" w:color="000000"/>
              <w:left w:val="single" w:sz="4" w:space="0" w:color="000000"/>
              <w:bottom w:val="single" w:sz="4" w:space="0" w:color="000000"/>
              <w:right w:val="single" w:sz="4" w:space="0" w:color="000000"/>
            </w:tcBorders>
          </w:tcPr>
          <w:p w:rsidR="00B064CF" w:rsidRDefault="00E32F70">
            <w:pPr>
              <w:spacing w:after="108" w:line="259" w:lineRule="auto"/>
              <w:ind w:left="0" w:firstLine="0"/>
              <w:jc w:val="left"/>
            </w:pPr>
            <w:r>
              <w:rPr>
                <w:b/>
                <w:sz w:val="14"/>
                <w:u w:val="single" w:color="000000"/>
              </w:rPr>
              <w:t>2020</w:t>
            </w:r>
            <w:r>
              <w:rPr>
                <w:b/>
                <w:sz w:val="14"/>
              </w:rPr>
              <w:t xml:space="preserve"> </w:t>
            </w:r>
          </w:p>
          <w:p w:rsidR="00B064CF" w:rsidRDefault="00E32F70">
            <w:pPr>
              <w:spacing w:after="0" w:line="259" w:lineRule="auto"/>
              <w:ind w:left="0" w:firstLine="0"/>
              <w:jc w:val="left"/>
            </w:pPr>
            <w:r>
              <w:rPr>
                <w:b/>
                <w:sz w:val="14"/>
                <w:u w:val="single" w:color="000000"/>
              </w:rPr>
              <w:t>Primer</w:t>
            </w:r>
            <w:r>
              <w:rPr>
                <w:b/>
                <w:sz w:val="14"/>
              </w:rPr>
              <w:t xml:space="preserve"> </w:t>
            </w:r>
          </w:p>
          <w:p w:rsidR="00B064CF" w:rsidRDefault="00E32F70">
            <w:pPr>
              <w:spacing w:after="0" w:line="259" w:lineRule="auto"/>
              <w:ind w:left="0" w:firstLine="0"/>
              <w:jc w:val="left"/>
            </w:pPr>
            <w:r>
              <w:rPr>
                <w:b/>
                <w:sz w:val="14"/>
                <w:u w:val="single" w:color="000000"/>
              </w:rPr>
              <w:t>Trimestre</w:t>
            </w:r>
            <w:r>
              <w:rPr>
                <w:b/>
                <w:sz w:val="14"/>
              </w:rPr>
              <w:t xml:space="preserve"> </w:t>
            </w:r>
          </w:p>
        </w:tc>
        <w:tc>
          <w:tcPr>
            <w:tcW w:w="1313" w:type="dxa"/>
            <w:tcBorders>
              <w:top w:val="single" w:sz="4" w:space="0" w:color="000000"/>
              <w:left w:val="single" w:sz="4" w:space="0" w:color="000000"/>
              <w:bottom w:val="single" w:sz="4" w:space="0" w:color="000000"/>
              <w:right w:val="single" w:sz="4" w:space="0" w:color="000000"/>
            </w:tcBorders>
          </w:tcPr>
          <w:p w:rsidR="00B064CF" w:rsidRDefault="00E32F70">
            <w:pPr>
              <w:spacing w:after="108" w:line="259" w:lineRule="auto"/>
              <w:ind w:left="0" w:firstLine="0"/>
              <w:jc w:val="left"/>
            </w:pPr>
            <w:r>
              <w:rPr>
                <w:b/>
                <w:sz w:val="14"/>
                <w:u w:val="single" w:color="000000"/>
              </w:rPr>
              <w:t>2021</w:t>
            </w:r>
            <w:r>
              <w:rPr>
                <w:b/>
                <w:sz w:val="14"/>
              </w:rPr>
              <w:t xml:space="preserve"> </w:t>
            </w:r>
          </w:p>
          <w:p w:rsidR="00B064CF" w:rsidRDefault="00E32F70">
            <w:pPr>
              <w:spacing w:after="0" w:line="259" w:lineRule="auto"/>
              <w:ind w:left="0" w:firstLine="0"/>
              <w:jc w:val="left"/>
            </w:pPr>
            <w:r>
              <w:rPr>
                <w:b/>
                <w:sz w:val="14"/>
                <w:u w:val="single" w:color="000000"/>
              </w:rPr>
              <w:t>Primer</w:t>
            </w:r>
            <w:r>
              <w:rPr>
                <w:b/>
                <w:sz w:val="14"/>
              </w:rPr>
              <w:t xml:space="preserve"> </w:t>
            </w:r>
          </w:p>
          <w:p w:rsidR="00B064CF" w:rsidRDefault="00E32F70">
            <w:pPr>
              <w:spacing w:after="0" w:line="259" w:lineRule="auto"/>
              <w:ind w:left="0" w:firstLine="0"/>
              <w:jc w:val="left"/>
            </w:pPr>
            <w:r>
              <w:rPr>
                <w:b/>
                <w:sz w:val="14"/>
                <w:u w:val="single" w:color="000000"/>
              </w:rPr>
              <w:t>Trimestre</w:t>
            </w:r>
            <w:r>
              <w:rPr>
                <w:b/>
                <w:sz w:val="14"/>
              </w:rPr>
              <w:t xml:space="preserve"> </w:t>
            </w:r>
          </w:p>
        </w:tc>
      </w:tr>
      <w:tr w:rsidR="00B064CF">
        <w:trPr>
          <w:trHeight w:val="312"/>
        </w:trPr>
        <w:tc>
          <w:tcPr>
            <w:tcW w:w="214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b/>
                <w:sz w:val="16"/>
              </w:rPr>
              <w:t xml:space="preserve">IMPUESTOS DIRECTOS </w:t>
            </w:r>
          </w:p>
        </w:tc>
        <w:tc>
          <w:tcPr>
            <w:tcW w:w="124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sz w:val="16"/>
              </w:rPr>
              <w:t xml:space="preserve">7.839.385,00 </w:t>
            </w:r>
          </w:p>
        </w:tc>
        <w:tc>
          <w:tcPr>
            <w:tcW w:w="137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678.863,36 </w:t>
            </w:r>
          </w:p>
        </w:tc>
        <w:tc>
          <w:tcPr>
            <w:tcW w:w="133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602.734,31 </w:t>
            </w:r>
          </w:p>
        </w:tc>
        <w:tc>
          <w:tcPr>
            <w:tcW w:w="131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677.379,28 </w:t>
            </w:r>
          </w:p>
        </w:tc>
        <w:tc>
          <w:tcPr>
            <w:tcW w:w="131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3" w:firstLine="0"/>
              <w:jc w:val="center"/>
            </w:pPr>
            <w:r>
              <w:rPr>
                <w:sz w:val="16"/>
              </w:rPr>
              <w:t xml:space="preserve">509.590,52 </w:t>
            </w:r>
          </w:p>
        </w:tc>
      </w:tr>
      <w:tr w:rsidR="00B064CF">
        <w:trPr>
          <w:trHeight w:val="499"/>
        </w:trPr>
        <w:tc>
          <w:tcPr>
            <w:tcW w:w="214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b/>
                <w:sz w:val="16"/>
              </w:rPr>
              <w:t xml:space="preserve">IMPUESTOS INDIRECTOS </w:t>
            </w:r>
          </w:p>
        </w:tc>
        <w:tc>
          <w:tcPr>
            <w:tcW w:w="124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sz w:val="16"/>
              </w:rPr>
              <w:t xml:space="preserve">4.635.600,00 </w:t>
            </w:r>
          </w:p>
        </w:tc>
        <w:tc>
          <w:tcPr>
            <w:tcW w:w="137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1.164.605,02 </w:t>
            </w:r>
          </w:p>
        </w:tc>
        <w:tc>
          <w:tcPr>
            <w:tcW w:w="133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914.208,63 </w:t>
            </w:r>
          </w:p>
        </w:tc>
        <w:tc>
          <w:tcPr>
            <w:tcW w:w="131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4" w:firstLine="0"/>
              <w:jc w:val="center"/>
            </w:pPr>
            <w:r>
              <w:rPr>
                <w:sz w:val="16"/>
              </w:rPr>
              <w:t xml:space="preserve">1.164.605,02 </w:t>
            </w:r>
          </w:p>
        </w:tc>
        <w:tc>
          <w:tcPr>
            <w:tcW w:w="131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3" w:firstLine="0"/>
              <w:jc w:val="center"/>
            </w:pPr>
            <w:r>
              <w:rPr>
                <w:sz w:val="16"/>
              </w:rPr>
              <w:t xml:space="preserve">910.560,76 </w:t>
            </w:r>
          </w:p>
        </w:tc>
      </w:tr>
      <w:tr w:rsidR="00B064CF">
        <w:trPr>
          <w:trHeight w:val="497"/>
        </w:trPr>
        <w:tc>
          <w:tcPr>
            <w:tcW w:w="214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b/>
                <w:sz w:val="16"/>
              </w:rPr>
              <w:t xml:space="preserve">TASAS Y OTROS INGRESOS </w:t>
            </w:r>
          </w:p>
        </w:tc>
        <w:tc>
          <w:tcPr>
            <w:tcW w:w="124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sz w:val="16"/>
              </w:rPr>
              <w:t xml:space="preserve">1.975.450,00 </w:t>
            </w:r>
          </w:p>
        </w:tc>
        <w:tc>
          <w:tcPr>
            <w:tcW w:w="137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304.107,46 </w:t>
            </w:r>
          </w:p>
        </w:tc>
        <w:tc>
          <w:tcPr>
            <w:tcW w:w="133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339.837,08 </w:t>
            </w:r>
          </w:p>
        </w:tc>
        <w:tc>
          <w:tcPr>
            <w:tcW w:w="131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276.836,58 </w:t>
            </w:r>
          </w:p>
        </w:tc>
        <w:tc>
          <w:tcPr>
            <w:tcW w:w="131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3" w:firstLine="0"/>
              <w:jc w:val="center"/>
            </w:pPr>
            <w:r>
              <w:rPr>
                <w:sz w:val="16"/>
              </w:rPr>
              <w:t xml:space="preserve">295.501,26 </w:t>
            </w:r>
          </w:p>
        </w:tc>
      </w:tr>
      <w:tr w:rsidR="00B064CF">
        <w:trPr>
          <w:trHeight w:val="499"/>
        </w:trPr>
        <w:tc>
          <w:tcPr>
            <w:tcW w:w="214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b/>
                <w:sz w:val="16"/>
              </w:rPr>
              <w:t xml:space="preserve">TRANSFERENCIAS CORRIENTES </w:t>
            </w:r>
          </w:p>
        </w:tc>
        <w:tc>
          <w:tcPr>
            <w:tcW w:w="124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sz w:val="16"/>
              </w:rPr>
              <w:t xml:space="preserve">7.022.228,63 </w:t>
            </w:r>
          </w:p>
        </w:tc>
        <w:tc>
          <w:tcPr>
            <w:tcW w:w="137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2.010.432,44 </w:t>
            </w:r>
          </w:p>
        </w:tc>
        <w:tc>
          <w:tcPr>
            <w:tcW w:w="133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0" w:firstLine="0"/>
              <w:jc w:val="center"/>
            </w:pPr>
            <w:r>
              <w:rPr>
                <w:sz w:val="16"/>
              </w:rPr>
              <w:t xml:space="preserve">1.748.566,03 </w:t>
            </w:r>
          </w:p>
        </w:tc>
        <w:tc>
          <w:tcPr>
            <w:tcW w:w="131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2.010.432,44 </w:t>
            </w:r>
          </w:p>
        </w:tc>
        <w:tc>
          <w:tcPr>
            <w:tcW w:w="131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3" w:firstLine="0"/>
              <w:jc w:val="center"/>
            </w:pPr>
            <w:r>
              <w:rPr>
                <w:sz w:val="16"/>
              </w:rPr>
              <w:t xml:space="preserve">1.748.566,03 </w:t>
            </w:r>
          </w:p>
        </w:tc>
      </w:tr>
      <w:tr w:rsidR="00B064CF">
        <w:trPr>
          <w:trHeight w:val="497"/>
        </w:trPr>
        <w:tc>
          <w:tcPr>
            <w:tcW w:w="214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b/>
                <w:sz w:val="16"/>
              </w:rPr>
              <w:t xml:space="preserve">INGRESOS </w:t>
            </w:r>
          </w:p>
          <w:p w:rsidR="00B064CF" w:rsidRDefault="00E32F70">
            <w:pPr>
              <w:spacing w:after="0" w:line="259" w:lineRule="auto"/>
              <w:ind w:left="2" w:firstLine="0"/>
              <w:jc w:val="left"/>
            </w:pPr>
            <w:r>
              <w:rPr>
                <w:b/>
                <w:sz w:val="16"/>
              </w:rPr>
              <w:t xml:space="preserve">PATRIMONIALES </w:t>
            </w:r>
          </w:p>
        </w:tc>
        <w:tc>
          <w:tcPr>
            <w:tcW w:w="124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sz w:val="16"/>
              </w:rPr>
              <w:t xml:space="preserve">7.955,00 </w:t>
            </w:r>
          </w:p>
        </w:tc>
        <w:tc>
          <w:tcPr>
            <w:tcW w:w="137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4" w:firstLine="0"/>
              <w:jc w:val="center"/>
            </w:pPr>
            <w:r>
              <w:rPr>
                <w:sz w:val="16"/>
              </w:rPr>
              <w:t xml:space="preserve">2.550,00 </w:t>
            </w:r>
          </w:p>
        </w:tc>
        <w:tc>
          <w:tcPr>
            <w:tcW w:w="133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1.057,66 </w:t>
            </w:r>
          </w:p>
        </w:tc>
        <w:tc>
          <w:tcPr>
            <w:tcW w:w="131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4" w:firstLine="0"/>
              <w:jc w:val="center"/>
            </w:pPr>
            <w:r>
              <w:rPr>
                <w:sz w:val="16"/>
              </w:rPr>
              <w:t xml:space="preserve">2.550,00 </w:t>
            </w:r>
          </w:p>
        </w:tc>
        <w:tc>
          <w:tcPr>
            <w:tcW w:w="131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2" w:firstLine="0"/>
              <w:jc w:val="center"/>
            </w:pPr>
            <w:r>
              <w:rPr>
                <w:sz w:val="16"/>
              </w:rPr>
              <w:t xml:space="preserve">1.057,66 </w:t>
            </w:r>
          </w:p>
        </w:tc>
      </w:tr>
      <w:tr w:rsidR="00B064CF">
        <w:trPr>
          <w:trHeight w:val="499"/>
        </w:trPr>
        <w:tc>
          <w:tcPr>
            <w:tcW w:w="214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b/>
                <w:sz w:val="16"/>
              </w:rPr>
              <w:t xml:space="preserve">TRANSFERENCIAS DE CAPITAL </w:t>
            </w:r>
          </w:p>
        </w:tc>
        <w:tc>
          <w:tcPr>
            <w:tcW w:w="124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sz w:val="16"/>
              </w:rPr>
              <w:t xml:space="preserve">409.235,20 </w:t>
            </w:r>
          </w:p>
        </w:tc>
        <w:tc>
          <w:tcPr>
            <w:tcW w:w="137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4" w:firstLine="0"/>
              <w:jc w:val="center"/>
            </w:pPr>
            <w:r>
              <w:rPr>
                <w:sz w:val="16"/>
              </w:rPr>
              <w:t xml:space="preserve">0,00 </w:t>
            </w:r>
          </w:p>
        </w:tc>
        <w:tc>
          <w:tcPr>
            <w:tcW w:w="133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4" w:firstLine="0"/>
              <w:jc w:val="center"/>
            </w:pPr>
            <w:r>
              <w:rPr>
                <w:sz w:val="16"/>
              </w:rPr>
              <w:t xml:space="preserve">0,00 </w:t>
            </w:r>
          </w:p>
        </w:tc>
        <w:tc>
          <w:tcPr>
            <w:tcW w:w="131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4" w:firstLine="0"/>
              <w:jc w:val="center"/>
            </w:pPr>
            <w:r>
              <w:rPr>
                <w:sz w:val="16"/>
              </w:rPr>
              <w:t xml:space="preserve">0,00 </w:t>
            </w:r>
          </w:p>
        </w:tc>
        <w:tc>
          <w:tcPr>
            <w:tcW w:w="131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2" w:firstLine="0"/>
              <w:jc w:val="center"/>
            </w:pPr>
            <w:r>
              <w:rPr>
                <w:sz w:val="16"/>
              </w:rPr>
              <w:t xml:space="preserve">0,00 </w:t>
            </w:r>
          </w:p>
        </w:tc>
      </w:tr>
      <w:tr w:rsidR="00B064CF">
        <w:trPr>
          <w:trHeight w:val="314"/>
        </w:trPr>
        <w:tc>
          <w:tcPr>
            <w:tcW w:w="214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b/>
                <w:sz w:val="16"/>
              </w:rPr>
              <w:t xml:space="preserve">ACTIVOS FINANCIEROS </w:t>
            </w:r>
          </w:p>
        </w:tc>
        <w:tc>
          <w:tcPr>
            <w:tcW w:w="124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sz w:val="16"/>
              </w:rPr>
              <w:t xml:space="preserve">0,00 </w:t>
            </w:r>
          </w:p>
        </w:tc>
        <w:tc>
          <w:tcPr>
            <w:tcW w:w="137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4" w:firstLine="0"/>
              <w:jc w:val="center"/>
            </w:pPr>
            <w:r>
              <w:rPr>
                <w:sz w:val="16"/>
              </w:rPr>
              <w:t xml:space="preserve">0,00 </w:t>
            </w:r>
          </w:p>
        </w:tc>
        <w:tc>
          <w:tcPr>
            <w:tcW w:w="133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4" w:firstLine="0"/>
              <w:jc w:val="center"/>
            </w:pPr>
            <w:r>
              <w:rPr>
                <w:sz w:val="16"/>
              </w:rPr>
              <w:t xml:space="preserve">0,00 </w:t>
            </w:r>
          </w:p>
        </w:tc>
        <w:tc>
          <w:tcPr>
            <w:tcW w:w="131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4" w:firstLine="0"/>
              <w:jc w:val="center"/>
            </w:pPr>
            <w:r>
              <w:rPr>
                <w:sz w:val="16"/>
              </w:rPr>
              <w:t xml:space="preserve">0,00 </w:t>
            </w:r>
          </w:p>
        </w:tc>
        <w:tc>
          <w:tcPr>
            <w:tcW w:w="131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2" w:firstLine="0"/>
              <w:jc w:val="center"/>
            </w:pPr>
            <w:r>
              <w:rPr>
                <w:sz w:val="16"/>
              </w:rPr>
              <w:t xml:space="preserve">0,00 </w:t>
            </w:r>
          </w:p>
        </w:tc>
      </w:tr>
      <w:tr w:rsidR="00B064CF">
        <w:trPr>
          <w:trHeight w:val="314"/>
        </w:trPr>
        <w:tc>
          <w:tcPr>
            <w:tcW w:w="214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b/>
                <w:sz w:val="16"/>
              </w:rPr>
              <w:t xml:space="preserve">PASIVOS FINANCIEROS </w:t>
            </w:r>
          </w:p>
        </w:tc>
        <w:tc>
          <w:tcPr>
            <w:tcW w:w="124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sz w:val="16"/>
              </w:rPr>
              <w:t xml:space="preserve">0,00 </w:t>
            </w:r>
          </w:p>
        </w:tc>
        <w:tc>
          <w:tcPr>
            <w:tcW w:w="137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4" w:firstLine="0"/>
              <w:jc w:val="center"/>
            </w:pPr>
            <w:r>
              <w:rPr>
                <w:sz w:val="16"/>
              </w:rPr>
              <w:t xml:space="preserve">0,00 </w:t>
            </w:r>
          </w:p>
        </w:tc>
        <w:tc>
          <w:tcPr>
            <w:tcW w:w="133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4" w:firstLine="0"/>
              <w:jc w:val="center"/>
            </w:pPr>
            <w:r>
              <w:rPr>
                <w:sz w:val="16"/>
              </w:rPr>
              <w:t xml:space="preserve">0,00 </w:t>
            </w:r>
          </w:p>
        </w:tc>
        <w:tc>
          <w:tcPr>
            <w:tcW w:w="131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4" w:firstLine="0"/>
              <w:jc w:val="center"/>
            </w:pPr>
            <w:r>
              <w:rPr>
                <w:sz w:val="16"/>
              </w:rPr>
              <w:t xml:space="preserve">0,00 </w:t>
            </w:r>
          </w:p>
        </w:tc>
        <w:tc>
          <w:tcPr>
            <w:tcW w:w="131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2" w:firstLine="0"/>
              <w:jc w:val="center"/>
            </w:pPr>
            <w:r>
              <w:rPr>
                <w:sz w:val="16"/>
              </w:rPr>
              <w:t xml:space="preserve">0,00 </w:t>
            </w:r>
          </w:p>
        </w:tc>
      </w:tr>
      <w:tr w:rsidR="00B064CF">
        <w:trPr>
          <w:trHeight w:val="314"/>
        </w:trPr>
        <w:tc>
          <w:tcPr>
            <w:tcW w:w="214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b/>
                <w:sz w:val="16"/>
              </w:rPr>
              <w:t xml:space="preserve">TOTAL </w:t>
            </w:r>
          </w:p>
        </w:tc>
        <w:tc>
          <w:tcPr>
            <w:tcW w:w="124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sz w:val="16"/>
              </w:rPr>
              <w:t xml:space="preserve">21.889.853,83 </w:t>
            </w:r>
          </w:p>
        </w:tc>
        <w:tc>
          <w:tcPr>
            <w:tcW w:w="137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4.160.558,28 </w:t>
            </w:r>
          </w:p>
        </w:tc>
        <w:tc>
          <w:tcPr>
            <w:tcW w:w="133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0" w:firstLine="0"/>
              <w:jc w:val="center"/>
            </w:pPr>
            <w:r>
              <w:rPr>
                <w:sz w:val="16"/>
              </w:rPr>
              <w:t xml:space="preserve">3.606.403,71 </w:t>
            </w:r>
          </w:p>
        </w:tc>
        <w:tc>
          <w:tcPr>
            <w:tcW w:w="131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4.131.803,32 </w:t>
            </w:r>
          </w:p>
        </w:tc>
        <w:tc>
          <w:tcPr>
            <w:tcW w:w="131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3" w:firstLine="0"/>
              <w:jc w:val="center"/>
            </w:pPr>
            <w:r>
              <w:rPr>
                <w:sz w:val="16"/>
              </w:rPr>
              <w:t xml:space="preserve">3.465.276,23 </w:t>
            </w:r>
          </w:p>
        </w:tc>
      </w:tr>
    </w:tbl>
    <w:p w:rsidR="00B064CF" w:rsidRDefault="00E32F70">
      <w:pPr>
        <w:spacing w:after="98" w:line="259" w:lineRule="auto"/>
        <w:ind w:left="360" w:firstLine="0"/>
        <w:jc w:val="left"/>
      </w:pPr>
      <w:r>
        <w:rPr>
          <w:b/>
          <w:sz w:val="24"/>
        </w:rPr>
        <w:t xml:space="preserve"> </w:t>
      </w:r>
    </w:p>
    <w:p w:rsidR="00B064CF" w:rsidRDefault="00E32F70">
      <w:pPr>
        <w:spacing w:after="111"/>
        <w:ind w:left="355" w:right="72"/>
      </w:pPr>
      <w:r>
        <w:rPr>
          <w:sz w:val="24"/>
        </w:rPr>
        <w:t xml:space="preserve"> </w:t>
      </w:r>
      <w:r>
        <w:t xml:space="preserve">Se observa una caída del 13,4 %, esto es, de 554.154,57 euros, con respecto al año anterior. El porcentaje de recaudación, es del 96 %, frente al 99 %, en el 2020. </w:t>
      </w:r>
    </w:p>
    <w:p w:rsidR="00B064CF" w:rsidRDefault="00E32F70">
      <w:pPr>
        <w:tabs>
          <w:tab w:val="center" w:pos="360"/>
          <w:tab w:val="center" w:pos="5341"/>
        </w:tabs>
        <w:spacing w:after="133"/>
        <w:ind w:left="0" w:firstLine="0"/>
        <w:jc w:val="left"/>
      </w:pPr>
      <w:r>
        <w:rPr>
          <w:rFonts w:ascii="Calibri" w:eastAsia="Calibri" w:hAnsi="Calibri" w:cs="Calibri"/>
        </w:rPr>
        <w:tab/>
      </w:r>
      <w:r>
        <w:t xml:space="preserve"> </w:t>
      </w:r>
      <w:r>
        <w:tab/>
      </w:r>
      <w:r>
        <w:t xml:space="preserve">La bajada es casi generalizada en todos los capítulos, pero donde más se observa son: </w:t>
      </w:r>
    </w:p>
    <w:p w:rsidR="00B064CF" w:rsidRDefault="00E32F70">
      <w:pPr>
        <w:numPr>
          <w:ilvl w:val="0"/>
          <w:numId w:val="20"/>
        </w:numPr>
        <w:spacing w:after="126"/>
        <w:ind w:right="143" w:hanging="360"/>
      </w:pPr>
      <w:r>
        <w:rPr>
          <w:rFonts w:ascii="Calibri" w:eastAsia="Calibri" w:hAnsi="Calibri" w:cs="Calibri"/>
          <w:noProof/>
        </w:rPr>
        <mc:AlternateContent>
          <mc:Choice Requires="wpg">
            <w:drawing>
              <wp:anchor distT="0" distB="0" distL="114300" distR="114300" simplePos="0" relativeHeight="25173299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44928" name="Group 444928"/>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15847" name="Rectangle 15847"/>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15848" name="Rectangle 15848"/>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70 de 298 </w:t>
                              </w:r>
                            </w:p>
                          </w:txbxContent>
                        </wps:txbx>
                        <wps:bodyPr horzOverflow="overflow" vert="horz" lIns="0" tIns="0" rIns="0" bIns="0" rtlCol="0">
                          <a:noAutofit/>
                        </wps:bodyPr>
                      </wps:wsp>
                    </wpg:wgp>
                  </a:graphicData>
                </a:graphic>
              </wp:anchor>
            </w:drawing>
          </mc:Choice>
          <mc:Fallback xmlns:a="http://schemas.openxmlformats.org/drawingml/2006/main">
            <w:pict>
              <v:group id="Group 444928" style="width:12.7031pt;height:278.91pt;position:absolute;mso-position-horizontal-relative:page;mso-position-horizontal:absolute;margin-left:682.278pt;mso-position-vertical-relative:page;margin-top:533.01pt;" coordsize="1613,35421">
                <v:rect id="Rectangle 15847"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15848"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70 de 298 </w:t>
                        </w:r>
                      </w:p>
                    </w:txbxContent>
                  </v:textbox>
                </v:rect>
                <w10:wrap type="square"/>
              </v:group>
            </w:pict>
          </mc:Fallback>
        </mc:AlternateContent>
      </w:r>
      <w:r>
        <w:t>Capítulo I de Impuestos Directos, por la menor liquidación del IBI Urbano, que representaba en el 2020, el 79 % de las cantidades liquidadas y recaudadas y que ha</w:t>
      </w:r>
      <w:r>
        <w:t xml:space="preserve"> experimentado una bajada de alrededor de cuatrocientos mil euros en el 2021, y que no ha sido compensado con la subida del IAE (ciento cincuenta y cinco mil Euros) y el Impuesto de Plusvalía (crece en ciento cuarenta y cinco mil Euros). </w:t>
      </w:r>
    </w:p>
    <w:p w:rsidR="00B064CF" w:rsidRDefault="00E32F70">
      <w:pPr>
        <w:numPr>
          <w:ilvl w:val="0"/>
          <w:numId w:val="20"/>
        </w:numPr>
        <w:spacing w:after="126"/>
        <w:ind w:right="143" w:hanging="360"/>
      </w:pPr>
      <w:r>
        <w:t>Capítulo II de Im</w:t>
      </w:r>
      <w:r>
        <w:t xml:space="preserve">puestos Indirectos, por la menor aportación del Cabildo en concepto de los recursos del Régimen Económico Fiscal (IGIC, AIEM, Impuesto de Matriculación), con una caída del 22 %, aproximadamente unos doscientos veinte mil euros. </w:t>
      </w:r>
    </w:p>
    <w:p w:rsidR="00B064CF" w:rsidRDefault="00E32F70">
      <w:pPr>
        <w:numPr>
          <w:ilvl w:val="0"/>
          <w:numId w:val="20"/>
        </w:numPr>
        <w:spacing w:after="111"/>
        <w:ind w:right="143" w:hanging="360"/>
      </w:pPr>
      <w:r>
        <w:t>Capítulo IV de Transferenci</w:t>
      </w:r>
      <w:r>
        <w:t xml:space="preserve">as Corrientes, con un descenso del 13 %, unos doscientos sesenta y dos mil euros. </w:t>
      </w:r>
    </w:p>
    <w:p w:rsidR="00B064CF" w:rsidRDefault="00E32F70">
      <w:pPr>
        <w:spacing w:after="98" w:line="259" w:lineRule="auto"/>
        <w:ind w:left="360" w:firstLine="0"/>
        <w:jc w:val="left"/>
      </w:pPr>
      <w:r>
        <w:t xml:space="preserve"> </w:t>
      </w:r>
    </w:p>
    <w:p w:rsidR="00B064CF" w:rsidRDefault="00E32F70">
      <w:pPr>
        <w:pStyle w:val="Ttulo1"/>
        <w:ind w:left="355"/>
      </w:pPr>
      <w:r>
        <w:t>2.- ESTADO DE EJECUCIÓN PRESUPUESTO DE GASTOS. PRIMER TRIMESTRE 2021</w:t>
      </w:r>
      <w:r>
        <w:rPr>
          <w:u w:val="none"/>
        </w:rPr>
        <w:t xml:space="preserve"> </w:t>
      </w:r>
    </w:p>
    <w:p w:rsidR="00B064CF" w:rsidRDefault="00E32F70">
      <w:pPr>
        <w:spacing w:after="0" w:line="259" w:lineRule="auto"/>
        <w:ind w:left="360" w:firstLine="0"/>
        <w:jc w:val="left"/>
      </w:pPr>
      <w:r>
        <w:rPr>
          <w:b/>
          <w:sz w:val="24"/>
        </w:rPr>
        <w:t xml:space="preserve"> </w:t>
      </w:r>
    </w:p>
    <w:tbl>
      <w:tblPr>
        <w:tblStyle w:val="TableGrid"/>
        <w:tblW w:w="8721" w:type="dxa"/>
        <w:tblInd w:w="365" w:type="dxa"/>
        <w:tblCellMar>
          <w:top w:w="3" w:type="dxa"/>
          <w:left w:w="108" w:type="dxa"/>
          <w:bottom w:w="0" w:type="dxa"/>
          <w:right w:w="66" w:type="dxa"/>
        </w:tblCellMar>
        <w:tblLook w:val="04A0" w:firstRow="1" w:lastRow="0" w:firstColumn="1" w:lastColumn="0" w:noHBand="0" w:noVBand="1"/>
      </w:tblPr>
      <w:tblGrid>
        <w:gridCol w:w="2095"/>
        <w:gridCol w:w="1241"/>
        <w:gridCol w:w="1373"/>
        <w:gridCol w:w="1337"/>
        <w:gridCol w:w="1337"/>
        <w:gridCol w:w="1337"/>
      </w:tblGrid>
      <w:tr w:rsidR="00B064CF">
        <w:trPr>
          <w:trHeight w:val="1176"/>
        </w:trPr>
        <w:tc>
          <w:tcPr>
            <w:tcW w:w="209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14"/>
                <w:u w:val="single" w:color="000000"/>
              </w:rPr>
              <w:t>CAPÍTULO GASTOS</w:t>
            </w:r>
            <w:r>
              <w:rPr>
                <w:b/>
                <w:sz w:val="14"/>
              </w:rPr>
              <w:t xml:space="preserve"> </w:t>
            </w:r>
          </w:p>
        </w:tc>
        <w:tc>
          <w:tcPr>
            <w:tcW w:w="124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14"/>
                <w:u w:val="single" w:color="000000"/>
              </w:rPr>
              <w:t>CRÉDITOS</w:t>
            </w:r>
            <w:r>
              <w:rPr>
                <w:b/>
                <w:sz w:val="14"/>
              </w:rPr>
              <w:t xml:space="preserve"> </w:t>
            </w:r>
          </w:p>
          <w:p w:rsidR="00B064CF" w:rsidRDefault="00E32F70">
            <w:pPr>
              <w:spacing w:after="0" w:line="259" w:lineRule="auto"/>
              <w:ind w:left="0" w:firstLine="0"/>
              <w:jc w:val="left"/>
            </w:pPr>
            <w:r>
              <w:rPr>
                <w:b/>
                <w:sz w:val="14"/>
                <w:u w:val="single" w:color="000000"/>
              </w:rPr>
              <w:t>INICIALES</w:t>
            </w:r>
            <w:r>
              <w:rPr>
                <w:b/>
                <w:sz w:val="14"/>
              </w:rPr>
              <w:t xml:space="preserve"> </w:t>
            </w:r>
          </w:p>
          <w:p w:rsidR="00B064CF" w:rsidRDefault="00E32F70">
            <w:pPr>
              <w:spacing w:after="0" w:line="259" w:lineRule="auto"/>
              <w:ind w:left="0" w:firstLine="0"/>
              <w:jc w:val="left"/>
            </w:pPr>
            <w:r>
              <w:rPr>
                <w:b/>
                <w:sz w:val="14"/>
                <w:u w:val="single" w:color="000000"/>
              </w:rPr>
              <w:t>2021</w:t>
            </w:r>
            <w:r>
              <w:rPr>
                <w:b/>
                <w:sz w:val="14"/>
              </w:rPr>
              <w:t xml:space="preserve"> </w:t>
            </w:r>
          </w:p>
        </w:tc>
        <w:tc>
          <w:tcPr>
            <w:tcW w:w="1373" w:type="dxa"/>
            <w:tcBorders>
              <w:top w:val="single" w:sz="4" w:space="0" w:color="000000"/>
              <w:left w:val="single" w:sz="4" w:space="0" w:color="000000"/>
              <w:bottom w:val="single" w:sz="4" w:space="0" w:color="000000"/>
              <w:right w:val="single" w:sz="4" w:space="0" w:color="000000"/>
            </w:tcBorders>
          </w:tcPr>
          <w:p w:rsidR="00B064CF" w:rsidRDefault="00E32F70">
            <w:pPr>
              <w:spacing w:after="122" w:line="241" w:lineRule="auto"/>
              <w:ind w:left="0" w:firstLine="0"/>
              <w:jc w:val="left"/>
            </w:pPr>
            <w:r>
              <w:rPr>
                <w:b/>
                <w:sz w:val="14"/>
                <w:u w:val="single" w:color="000000"/>
              </w:rPr>
              <w:t>OBLIGACIONES</w:t>
            </w:r>
            <w:r>
              <w:rPr>
                <w:b/>
                <w:sz w:val="14"/>
              </w:rPr>
              <w:t xml:space="preserve"> </w:t>
            </w:r>
            <w:r>
              <w:rPr>
                <w:b/>
                <w:sz w:val="14"/>
                <w:u w:val="single" w:color="000000"/>
              </w:rPr>
              <w:t>RECONOCIDAS</w:t>
            </w:r>
            <w:r>
              <w:rPr>
                <w:b/>
                <w:sz w:val="14"/>
              </w:rPr>
              <w:t xml:space="preserve"> </w:t>
            </w:r>
          </w:p>
          <w:p w:rsidR="00B064CF" w:rsidRDefault="00E32F70">
            <w:pPr>
              <w:spacing w:after="108" w:line="259" w:lineRule="auto"/>
              <w:ind w:left="0" w:firstLine="0"/>
              <w:jc w:val="left"/>
            </w:pPr>
            <w:r>
              <w:rPr>
                <w:b/>
                <w:sz w:val="14"/>
                <w:u w:val="single" w:color="000000"/>
              </w:rPr>
              <w:t>EJERCICIO 2020.</w:t>
            </w:r>
            <w:r>
              <w:rPr>
                <w:b/>
                <w:sz w:val="14"/>
              </w:rPr>
              <w:t xml:space="preserve"> </w:t>
            </w:r>
          </w:p>
          <w:p w:rsidR="00B064CF" w:rsidRDefault="00E32F70">
            <w:pPr>
              <w:spacing w:after="0" w:line="259" w:lineRule="auto"/>
              <w:ind w:left="0" w:firstLine="0"/>
              <w:jc w:val="left"/>
            </w:pPr>
            <w:r>
              <w:rPr>
                <w:b/>
                <w:sz w:val="14"/>
                <w:u w:val="single" w:color="000000"/>
              </w:rPr>
              <w:t>Primer Trimestre</w:t>
            </w:r>
            <w:r>
              <w:rPr>
                <w:b/>
                <w:sz w:val="14"/>
              </w:rPr>
              <w:t xml:space="preserve">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122" w:line="241" w:lineRule="auto"/>
              <w:ind w:left="0" w:firstLine="0"/>
              <w:jc w:val="left"/>
            </w:pPr>
            <w:r>
              <w:rPr>
                <w:b/>
                <w:sz w:val="14"/>
                <w:u w:val="single" w:color="000000"/>
              </w:rPr>
              <w:t>OBLIGACIONES</w:t>
            </w:r>
            <w:r>
              <w:rPr>
                <w:b/>
                <w:sz w:val="14"/>
              </w:rPr>
              <w:t xml:space="preserve"> </w:t>
            </w:r>
            <w:r>
              <w:rPr>
                <w:b/>
                <w:sz w:val="14"/>
                <w:u w:val="single" w:color="000000"/>
              </w:rPr>
              <w:t>RECONOCIDAS</w:t>
            </w:r>
            <w:r>
              <w:rPr>
                <w:b/>
                <w:sz w:val="14"/>
              </w:rPr>
              <w:t xml:space="preserve"> </w:t>
            </w:r>
          </w:p>
          <w:p w:rsidR="00B064CF" w:rsidRDefault="00E32F70">
            <w:pPr>
              <w:spacing w:after="108" w:line="259" w:lineRule="auto"/>
              <w:ind w:left="0" w:firstLine="0"/>
              <w:jc w:val="left"/>
            </w:pPr>
            <w:r>
              <w:rPr>
                <w:b/>
                <w:sz w:val="14"/>
                <w:u w:val="single" w:color="000000"/>
              </w:rPr>
              <w:t>EJERCICIO 2021</w:t>
            </w:r>
            <w:r>
              <w:rPr>
                <w:b/>
                <w:sz w:val="14"/>
              </w:rPr>
              <w:t xml:space="preserve"> </w:t>
            </w:r>
          </w:p>
          <w:p w:rsidR="00B064CF" w:rsidRDefault="00E32F70">
            <w:pPr>
              <w:spacing w:after="0" w:line="259" w:lineRule="auto"/>
              <w:ind w:left="0" w:firstLine="0"/>
              <w:jc w:val="left"/>
            </w:pPr>
            <w:r>
              <w:rPr>
                <w:b/>
                <w:sz w:val="14"/>
                <w:u w:val="single" w:color="000000"/>
              </w:rPr>
              <w:t>Primer Trimestre</w:t>
            </w:r>
            <w:r>
              <w:rPr>
                <w:b/>
                <w:sz w:val="14"/>
              </w:rPr>
              <w:t xml:space="preserve">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122" w:line="241" w:lineRule="auto"/>
              <w:ind w:left="0" w:firstLine="0"/>
              <w:jc w:val="left"/>
            </w:pPr>
            <w:r>
              <w:rPr>
                <w:b/>
                <w:sz w:val="14"/>
                <w:u w:val="single" w:color="000000"/>
              </w:rPr>
              <w:t>OBLIGACIONES</w:t>
            </w:r>
            <w:r>
              <w:rPr>
                <w:b/>
                <w:sz w:val="14"/>
              </w:rPr>
              <w:t xml:space="preserve"> </w:t>
            </w:r>
            <w:r>
              <w:rPr>
                <w:b/>
                <w:sz w:val="14"/>
                <w:u w:val="single" w:color="000000"/>
              </w:rPr>
              <w:t>PAGADAS</w:t>
            </w:r>
            <w:r>
              <w:rPr>
                <w:b/>
                <w:sz w:val="14"/>
              </w:rPr>
              <w:t xml:space="preserve"> </w:t>
            </w:r>
          </w:p>
          <w:p w:rsidR="00B064CF" w:rsidRDefault="00E32F70">
            <w:pPr>
              <w:spacing w:after="120" w:line="241" w:lineRule="auto"/>
              <w:ind w:left="0" w:right="18" w:firstLine="0"/>
              <w:jc w:val="left"/>
            </w:pPr>
            <w:r>
              <w:rPr>
                <w:b/>
                <w:sz w:val="14"/>
                <w:u w:val="single" w:color="000000"/>
              </w:rPr>
              <w:t>EJERCICIO</w:t>
            </w:r>
            <w:r>
              <w:rPr>
                <w:b/>
                <w:sz w:val="14"/>
              </w:rPr>
              <w:t xml:space="preserve"> </w:t>
            </w:r>
            <w:r>
              <w:rPr>
                <w:b/>
                <w:sz w:val="14"/>
                <w:u w:val="single" w:color="000000"/>
              </w:rPr>
              <w:t>2020.</w:t>
            </w:r>
            <w:r>
              <w:rPr>
                <w:b/>
                <w:sz w:val="14"/>
              </w:rPr>
              <w:t xml:space="preserve"> </w:t>
            </w:r>
          </w:p>
          <w:p w:rsidR="00B064CF" w:rsidRDefault="00E32F70">
            <w:pPr>
              <w:spacing w:after="0" w:line="259" w:lineRule="auto"/>
              <w:ind w:left="0" w:firstLine="0"/>
              <w:jc w:val="left"/>
            </w:pPr>
            <w:r>
              <w:rPr>
                <w:b/>
                <w:sz w:val="14"/>
                <w:u w:val="single" w:color="000000"/>
              </w:rPr>
              <w:t>Primer Trimestre</w:t>
            </w:r>
            <w:r>
              <w:rPr>
                <w:b/>
                <w:sz w:val="14"/>
              </w:rPr>
              <w:t xml:space="preserve">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122" w:line="241" w:lineRule="auto"/>
              <w:ind w:left="0" w:firstLine="0"/>
              <w:jc w:val="left"/>
            </w:pPr>
            <w:r>
              <w:rPr>
                <w:b/>
                <w:sz w:val="14"/>
                <w:u w:val="single" w:color="000000"/>
              </w:rPr>
              <w:t>OBLIGACIONES</w:t>
            </w:r>
            <w:r>
              <w:rPr>
                <w:b/>
                <w:sz w:val="14"/>
              </w:rPr>
              <w:t xml:space="preserve"> </w:t>
            </w:r>
            <w:r>
              <w:rPr>
                <w:b/>
                <w:sz w:val="14"/>
                <w:u w:val="single" w:color="000000"/>
              </w:rPr>
              <w:t>PAGADAS</w:t>
            </w:r>
            <w:r>
              <w:rPr>
                <w:b/>
                <w:sz w:val="14"/>
              </w:rPr>
              <w:t xml:space="preserve"> </w:t>
            </w:r>
          </w:p>
          <w:p w:rsidR="00B064CF" w:rsidRDefault="00E32F70">
            <w:pPr>
              <w:spacing w:after="108" w:line="259" w:lineRule="auto"/>
              <w:ind w:left="0" w:firstLine="0"/>
              <w:jc w:val="left"/>
            </w:pPr>
            <w:r>
              <w:rPr>
                <w:b/>
                <w:sz w:val="14"/>
                <w:u w:val="single" w:color="000000"/>
              </w:rPr>
              <w:t>EJERCICIO 2021</w:t>
            </w:r>
            <w:r>
              <w:rPr>
                <w:b/>
                <w:sz w:val="14"/>
              </w:rPr>
              <w:t xml:space="preserve"> </w:t>
            </w:r>
          </w:p>
          <w:p w:rsidR="00B064CF" w:rsidRDefault="00E32F70">
            <w:pPr>
              <w:spacing w:after="0" w:line="259" w:lineRule="auto"/>
              <w:ind w:left="0" w:firstLine="0"/>
              <w:jc w:val="left"/>
            </w:pPr>
            <w:r>
              <w:rPr>
                <w:b/>
                <w:sz w:val="14"/>
                <w:u w:val="single" w:color="000000"/>
              </w:rPr>
              <w:t>Primer Trimestre</w:t>
            </w:r>
            <w:r>
              <w:rPr>
                <w:b/>
                <w:sz w:val="14"/>
              </w:rPr>
              <w:t xml:space="preserve"> </w:t>
            </w:r>
          </w:p>
        </w:tc>
      </w:tr>
      <w:tr w:rsidR="00B064CF">
        <w:trPr>
          <w:trHeight w:val="314"/>
        </w:trPr>
        <w:tc>
          <w:tcPr>
            <w:tcW w:w="209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16"/>
              </w:rPr>
              <w:t xml:space="preserve">GASTOS DE PERSONAL </w:t>
            </w:r>
          </w:p>
        </w:tc>
        <w:tc>
          <w:tcPr>
            <w:tcW w:w="124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16"/>
              </w:rPr>
              <w:t xml:space="preserve">9.584.679,97 </w:t>
            </w:r>
          </w:p>
        </w:tc>
        <w:tc>
          <w:tcPr>
            <w:tcW w:w="137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37" w:firstLine="0"/>
              <w:jc w:val="center"/>
            </w:pPr>
            <w:r>
              <w:rPr>
                <w:sz w:val="16"/>
              </w:rPr>
              <w:t xml:space="preserve">2.281.573,89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35" w:firstLine="0"/>
              <w:jc w:val="center"/>
            </w:pPr>
            <w:r>
              <w:rPr>
                <w:sz w:val="16"/>
              </w:rPr>
              <w:t xml:space="preserve">2.501.874,14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35" w:firstLine="0"/>
              <w:jc w:val="center"/>
            </w:pPr>
            <w:r>
              <w:rPr>
                <w:sz w:val="16"/>
              </w:rPr>
              <w:t xml:space="preserve">2.281.573,88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36" w:firstLine="0"/>
              <w:jc w:val="center"/>
            </w:pPr>
            <w:r>
              <w:rPr>
                <w:sz w:val="16"/>
              </w:rPr>
              <w:t xml:space="preserve">2.407.165,97 </w:t>
            </w:r>
          </w:p>
        </w:tc>
      </w:tr>
      <w:tr w:rsidR="00B064CF">
        <w:trPr>
          <w:trHeight w:val="497"/>
        </w:trPr>
        <w:tc>
          <w:tcPr>
            <w:tcW w:w="209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16"/>
              </w:rPr>
              <w:t xml:space="preserve">BIENES CORRIENTES Y DE SERVICIOS </w:t>
            </w:r>
          </w:p>
        </w:tc>
        <w:tc>
          <w:tcPr>
            <w:tcW w:w="124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16"/>
              </w:rPr>
              <w:t xml:space="preserve">8.311.414,42 </w:t>
            </w:r>
          </w:p>
        </w:tc>
        <w:tc>
          <w:tcPr>
            <w:tcW w:w="137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37" w:firstLine="0"/>
              <w:jc w:val="center"/>
            </w:pPr>
            <w:r>
              <w:rPr>
                <w:sz w:val="16"/>
              </w:rPr>
              <w:t xml:space="preserve">2.351.507,64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35" w:firstLine="0"/>
              <w:jc w:val="center"/>
            </w:pPr>
            <w:r>
              <w:rPr>
                <w:sz w:val="16"/>
              </w:rPr>
              <w:t xml:space="preserve">1.797.315,78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35" w:firstLine="0"/>
              <w:jc w:val="center"/>
            </w:pPr>
            <w:r>
              <w:rPr>
                <w:sz w:val="16"/>
              </w:rPr>
              <w:t xml:space="preserve">2.070.269,58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36" w:firstLine="0"/>
              <w:jc w:val="center"/>
            </w:pPr>
            <w:r>
              <w:rPr>
                <w:sz w:val="16"/>
              </w:rPr>
              <w:t xml:space="preserve">1.621.748,87 </w:t>
            </w:r>
          </w:p>
        </w:tc>
      </w:tr>
      <w:tr w:rsidR="00B064CF">
        <w:trPr>
          <w:trHeight w:val="314"/>
        </w:trPr>
        <w:tc>
          <w:tcPr>
            <w:tcW w:w="209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16"/>
              </w:rPr>
              <w:t xml:space="preserve">GASTOS FINANCIEROS </w:t>
            </w:r>
          </w:p>
        </w:tc>
        <w:tc>
          <w:tcPr>
            <w:tcW w:w="124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16"/>
              </w:rPr>
              <w:t xml:space="preserve">135.618,29 </w:t>
            </w:r>
          </w:p>
        </w:tc>
        <w:tc>
          <w:tcPr>
            <w:tcW w:w="137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37" w:firstLine="0"/>
              <w:jc w:val="center"/>
            </w:pPr>
            <w:r>
              <w:rPr>
                <w:sz w:val="16"/>
              </w:rPr>
              <w:t xml:space="preserve">3.512,29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0" w:firstLine="0"/>
              <w:jc w:val="center"/>
            </w:pPr>
            <w:r>
              <w:rPr>
                <w:sz w:val="16"/>
              </w:rPr>
              <w:t xml:space="preserve">7.449,46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0" w:firstLine="0"/>
              <w:jc w:val="center"/>
            </w:pPr>
            <w:r>
              <w:rPr>
                <w:sz w:val="16"/>
              </w:rPr>
              <w:t xml:space="preserve">3.429,68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0" w:firstLine="0"/>
              <w:jc w:val="center"/>
            </w:pPr>
            <w:r>
              <w:rPr>
                <w:sz w:val="16"/>
              </w:rPr>
              <w:t xml:space="preserve">7.449,46 </w:t>
            </w:r>
          </w:p>
        </w:tc>
      </w:tr>
      <w:tr w:rsidR="00B064CF">
        <w:trPr>
          <w:trHeight w:val="499"/>
        </w:trPr>
        <w:tc>
          <w:tcPr>
            <w:tcW w:w="209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16"/>
              </w:rPr>
              <w:t xml:space="preserve">TRANSFERENCIAS CORRIENTES </w:t>
            </w:r>
          </w:p>
        </w:tc>
        <w:tc>
          <w:tcPr>
            <w:tcW w:w="124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16"/>
              </w:rPr>
              <w:t xml:space="preserve">2.881.900,35 </w:t>
            </w:r>
          </w:p>
        </w:tc>
        <w:tc>
          <w:tcPr>
            <w:tcW w:w="137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2" w:firstLine="0"/>
              <w:jc w:val="center"/>
            </w:pPr>
            <w:r>
              <w:rPr>
                <w:sz w:val="16"/>
              </w:rPr>
              <w:t xml:space="preserve">161.768,17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171.420,77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150.403,17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158.150,77 </w:t>
            </w:r>
          </w:p>
        </w:tc>
      </w:tr>
      <w:tr w:rsidR="00B064CF">
        <w:trPr>
          <w:trHeight w:val="314"/>
        </w:trPr>
        <w:tc>
          <w:tcPr>
            <w:tcW w:w="209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16"/>
              </w:rPr>
              <w:t xml:space="preserve">INVERSIONES REALES </w:t>
            </w:r>
          </w:p>
        </w:tc>
        <w:tc>
          <w:tcPr>
            <w:tcW w:w="124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16"/>
              </w:rPr>
              <w:t xml:space="preserve">313.387,97 </w:t>
            </w:r>
          </w:p>
        </w:tc>
        <w:tc>
          <w:tcPr>
            <w:tcW w:w="137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2" w:firstLine="0"/>
              <w:jc w:val="center"/>
            </w:pPr>
            <w:r>
              <w:rPr>
                <w:sz w:val="16"/>
              </w:rPr>
              <w:t xml:space="preserve">487.199,75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94.411,15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476.905,26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3" w:firstLine="0"/>
              <w:jc w:val="center"/>
            </w:pPr>
            <w:r>
              <w:rPr>
                <w:sz w:val="16"/>
              </w:rPr>
              <w:t xml:space="preserve">13.612,69 </w:t>
            </w:r>
          </w:p>
        </w:tc>
      </w:tr>
      <w:tr w:rsidR="00B064CF">
        <w:trPr>
          <w:trHeight w:val="497"/>
        </w:trPr>
        <w:tc>
          <w:tcPr>
            <w:tcW w:w="209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16"/>
              </w:rPr>
              <w:t xml:space="preserve">TRANSFERENCIAS DE CAPITAL </w:t>
            </w:r>
          </w:p>
        </w:tc>
        <w:tc>
          <w:tcPr>
            <w:tcW w:w="124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16"/>
              </w:rPr>
              <w:t xml:space="preserve">0,00 </w:t>
            </w:r>
          </w:p>
        </w:tc>
        <w:tc>
          <w:tcPr>
            <w:tcW w:w="137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2" w:firstLine="0"/>
              <w:jc w:val="center"/>
            </w:pPr>
            <w:r>
              <w:rPr>
                <w:sz w:val="16"/>
              </w:rPr>
              <w:t xml:space="preserve">0,00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0,00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4" w:firstLine="0"/>
              <w:jc w:val="center"/>
            </w:pPr>
            <w:r>
              <w:rPr>
                <w:sz w:val="16"/>
              </w:rPr>
              <w:t xml:space="preserve">0,00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0,00 </w:t>
            </w:r>
          </w:p>
        </w:tc>
      </w:tr>
      <w:tr w:rsidR="00B064CF">
        <w:trPr>
          <w:trHeight w:val="314"/>
        </w:trPr>
        <w:tc>
          <w:tcPr>
            <w:tcW w:w="209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16"/>
              </w:rPr>
              <w:t xml:space="preserve">ACTIVOS FINANCIEROS </w:t>
            </w:r>
          </w:p>
        </w:tc>
        <w:tc>
          <w:tcPr>
            <w:tcW w:w="124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16"/>
              </w:rPr>
              <w:t xml:space="preserve">50.000,00 </w:t>
            </w:r>
          </w:p>
        </w:tc>
        <w:tc>
          <w:tcPr>
            <w:tcW w:w="137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2" w:firstLine="0"/>
              <w:jc w:val="center"/>
            </w:pPr>
            <w:r>
              <w:rPr>
                <w:sz w:val="16"/>
              </w:rPr>
              <w:t xml:space="preserve">0,00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0,00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4" w:firstLine="0"/>
              <w:jc w:val="center"/>
            </w:pPr>
            <w:r>
              <w:rPr>
                <w:sz w:val="16"/>
              </w:rPr>
              <w:t xml:space="preserve">0,00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0,00 </w:t>
            </w:r>
          </w:p>
        </w:tc>
      </w:tr>
      <w:tr w:rsidR="00B064CF">
        <w:trPr>
          <w:trHeight w:val="314"/>
        </w:trPr>
        <w:tc>
          <w:tcPr>
            <w:tcW w:w="209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16"/>
              </w:rPr>
              <w:t xml:space="preserve">PASIVOS FINANCIEROS </w:t>
            </w:r>
          </w:p>
        </w:tc>
        <w:tc>
          <w:tcPr>
            <w:tcW w:w="124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16"/>
              </w:rPr>
              <w:t xml:space="preserve">612.852,83 </w:t>
            </w:r>
          </w:p>
        </w:tc>
        <w:tc>
          <w:tcPr>
            <w:tcW w:w="137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2" w:firstLine="0"/>
              <w:jc w:val="center"/>
            </w:pPr>
            <w:r>
              <w:rPr>
                <w:sz w:val="16"/>
              </w:rPr>
              <w:t xml:space="preserve">137.383,12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0,00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137.383,12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0,00 </w:t>
            </w:r>
          </w:p>
        </w:tc>
      </w:tr>
      <w:tr w:rsidR="00B064CF">
        <w:trPr>
          <w:trHeight w:val="315"/>
        </w:trPr>
        <w:tc>
          <w:tcPr>
            <w:tcW w:w="209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16"/>
              </w:rPr>
              <w:t xml:space="preserve">TOTAL </w:t>
            </w:r>
          </w:p>
        </w:tc>
        <w:tc>
          <w:tcPr>
            <w:tcW w:w="124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16"/>
              </w:rPr>
              <w:t xml:space="preserve">21.889.853,83 </w:t>
            </w:r>
          </w:p>
        </w:tc>
        <w:tc>
          <w:tcPr>
            <w:tcW w:w="137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2" w:firstLine="0"/>
              <w:jc w:val="center"/>
            </w:pPr>
            <w:r>
              <w:rPr>
                <w:sz w:val="16"/>
              </w:rPr>
              <w:t xml:space="preserve">5.422.944,86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0" w:firstLine="0"/>
              <w:jc w:val="center"/>
            </w:pPr>
            <w:r>
              <w:rPr>
                <w:sz w:val="16"/>
              </w:rPr>
              <w:t xml:space="preserve">4.572.497,07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2" w:firstLine="0"/>
              <w:jc w:val="center"/>
            </w:pPr>
            <w:r>
              <w:rPr>
                <w:sz w:val="16"/>
              </w:rPr>
              <w:t xml:space="preserve">5.119.964,69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0" w:firstLine="0"/>
              <w:jc w:val="center"/>
            </w:pPr>
            <w:r>
              <w:rPr>
                <w:sz w:val="16"/>
              </w:rPr>
              <w:t xml:space="preserve">4.208.127,76 </w:t>
            </w:r>
          </w:p>
        </w:tc>
      </w:tr>
    </w:tbl>
    <w:p w:rsidR="00B064CF" w:rsidRDefault="00E32F70">
      <w:pPr>
        <w:spacing w:after="81" w:line="259" w:lineRule="auto"/>
        <w:ind w:left="360" w:firstLine="0"/>
        <w:jc w:val="left"/>
      </w:pPr>
      <w:r>
        <w:rPr>
          <w:b/>
          <w:sz w:val="24"/>
        </w:rPr>
        <w:t xml:space="preserve"> </w:t>
      </w:r>
    </w:p>
    <w:p w:rsidR="00B064CF" w:rsidRDefault="00E32F70">
      <w:pPr>
        <w:spacing w:after="129"/>
        <w:ind w:left="345" w:right="72" w:firstLine="708"/>
      </w:pPr>
      <w:r>
        <w:t xml:space="preserve">En materia de gastos, se observa un incremento del 18,6 %, esto es, una diferencia de 850.447,16 euros, destacando por capítulos: </w:t>
      </w:r>
    </w:p>
    <w:p w:rsidR="00B064CF" w:rsidRDefault="00E32F70">
      <w:pPr>
        <w:numPr>
          <w:ilvl w:val="0"/>
          <w:numId w:val="21"/>
        </w:numPr>
        <w:spacing w:after="129"/>
        <w:ind w:right="72" w:hanging="360"/>
      </w:pPr>
      <w:r>
        <w:t>Capítulo I de Personal: Hay un incremento de 220.300,25 Euros, un 9,6 %, de subida. Señalar que con la Ley 11/2020 de 30 de d</w:t>
      </w:r>
      <w:r>
        <w:t xml:space="preserve">iciembre de Presupuestos Generales del Estado para el año 2021, se han subido las retribuciones en un 0,9 %. Otro hecho destacable. ha sido el abono de la gratificaciones y contratación de personal de Convenios. </w:t>
      </w:r>
    </w:p>
    <w:p w:rsidR="00B064CF" w:rsidRDefault="00E32F70">
      <w:pPr>
        <w:numPr>
          <w:ilvl w:val="0"/>
          <w:numId w:val="21"/>
        </w:numPr>
        <w:spacing w:after="129"/>
        <w:ind w:right="72" w:hanging="360"/>
      </w:pPr>
      <w:r>
        <w:t xml:space="preserve">Capítulo II de gastos en Bienes Corrientes y de Servicios, ha disminuido un 23,5 %, un total de 554.191,86 Euros. </w:t>
      </w:r>
    </w:p>
    <w:p w:rsidR="00B064CF" w:rsidRDefault="00E32F70">
      <w:pPr>
        <w:numPr>
          <w:ilvl w:val="0"/>
          <w:numId w:val="21"/>
        </w:numPr>
        <w:spacing w:after="128"/>
        <w:ind w:right="72" w:hanging="360"/>
      </w:pPr>
      <w:r>
        <w:t xml:space="preserve">Capítulo III de Gastos Financieros, se ha duplicado, pero representa una cantidad muy pequeña. </w:t>
      </w:r>
    </w:p>
    <w:p w:rsidR="00B064CF" w:rsidRDefault="00E32F70">
      <w:pPr>
        <w:numPr>
          <w:ilvl w:val="0"/>
          <w:numId w:val="21"/>
        </w:numPr>
        <w:spacing w:after="89"/>
        <w:ind w:right="72" w:hanging="360"/>
      </w:pPr>
      <w:r>
        <w:t>Capítulo IV de transferencias Corrientes, aum</w:t>
      </w:r>
      <w:r>
        <w:t xml:space="preserve">enta un 6 %. </w:t>
      </w:r>
    </w:p>
    <w:p w:rsidR="00B064CF" w:rsidRDefault="00E32F70">
      <w:pPr>
        <w:numPr>
          <w:ilvl w:val="0"/>
          <w:numId w:val="21"/>
        </w:numPr>
        <w:spacing w:after="90"/>
        <w:ind w:right="72" w:hanging="360"/>
      </w:pPr>
      <w:r>
        <w:t xml:space="preserve">Capítulo VI de inversión, cae un 81 %. </w:t>
      </w:r>
    </w:p>
    <w:p w:rsidR="00B064CF" w:rsidRDefault="00E32F70">
      <w:pPr>
        <w:numPr>
          <w:ilvl w:val="0"/>
          <w:numId w:val="21"/>
        </w:numPr>
        <w:spacing w:after="114"/>
        <w:ind w:right="72" w:hanging="360"/>
      </w:pPr>
      <w:r>
        <w:rPr>
          <w:rFonts w:ascii="Calibri" w:eastAsia="Calibri" w:hAnsi="Calibri" w:cs="Calibri"/>
          <w:noProof/>
        </w:rPr>
        <mc:AlternateContent>
          <mc:Choice Requires="wpg">
            <w:drawing>
              <wp:anchor distT="0" distB="0" distL="114300" distR="114300" simplePos="0" relativeHeight="25173401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17627" name="Group 417627"/>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16189" name="Rectangle 16189"/>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16190" name="Rectangle 16190"/>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71 de 298 </w:t>
                              </w:r>
                            </w:p>
                          </w:txbxContent>
                        </wps:txbx>
                        <wps:bodyPr horzOverflow="overflow" vert="horz" lIns="0" tIns="0" rIns="0" bIns="0" rtlCol="0">
                          <a:noAutofit/>
                        </wps:bodyPr>
                      </wps:wsp>
                    </wpg:wgp>
                  </a:graphicData>
                </a:graphic>
              </wp:anchor>
            </w:drawing>
          </mc:Choice>
          <mc:Fallback xmlns:a="http://schemas.openxmlformats.org/drawingml/2006/main">
            <w:pict>
              <v:group id="Group 417627" style="width:12.7031pt;height:278.91pt;position:absolute;mso-position-horizontal-relative:page;mso-position-horizontal:absolute;margin-left:682.278pt;mso-position-vertical-relative:page;margin-top:533.01pt;" coordsize="1613,35421">
                <v:rect id="Rectangle 16189"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16190"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71 de 298 </w:t>
                        </w:r>
                      </w:p>
                    </w:txbxContent>
                  </v:textbox>
                </v:rect>
                <w10:wrap type="square"/>
              </v:group>
            </w:pict>
          </mc:Fallback>
        </mc:AlternateContent>
      </w:r>
      <w:r>
        <w:t>Capít</w:t>
      </w:r>
      <w:r>
        <w:t xml:space="preserve">ulo IX, tiene un gasto cero en el presente año, por la cancelación íntegra de toda la deuda financiera pendiente. </w:t>
      </w:r>
    </w:p>
    <w:p w:rsidR="00B064CF" w:rsidRDefault="00E32F70">
      <w:pPr>
        <w:spacing w:after="98" w:line="259" w:lineRule="auto"/>
        <w:ind w:left="360" w:firstLine="0"/>
        <w:jc w:val="left"/>
      </w:pPr>
      <w:r>
        <w:t xml:space="preserve"> </w:t>
      </w:r>
    </w:p>
    <w:p w:rsidR="00B064CF" w:rsidRDefault="00E32F70">
      <w:pPr>
        <w:tabs>
          <w:tab w:val="center" w:pos="360"/>
          <w:tab w:val="center" w:pos="4969"/>
        </w:tabs>
        <w:spacing w:after="118"/>
        <w:ind w:left="0" w:firstLine="0"/>
        <w:jc w:val="left"/>
      </w:pPr>
      <w:r>
        <w:rPr>
          <w:rFonts w:ascii="Calibri" w:eastAsia="Calibri" w:hAnsi="Calibri" w:cs="Calibri"/>
        </w:rPr>
        <w:tab/>
      </w:r>
      <w:r>
        <w:t xml:space="preserve"> </w:t>
      </w:r>
      <w:r>
        <w:tab/>
        <w:t xml:space="preserve">Destaca el porcentaje de pago, que es del 97 %, frente al 98 % del año anterior. </w:t>
      </w:r>
    </w:p>
    <w:p w:rsidR="00B064CF" w:rsidRDefault="00E32F70">
      <w:pPr>
        <w:spacing w:after="96" w:line="259" w:lineRule="auto"/>
        <w:ind w:left="360" w:firstLine="0"/>
        <w:jc w:val="left"/>
      </w:pPr>
      <w:r>
        <w:t xml:space="preserve"> </w:t>
      </w:r>
    </w:p>
    <w:p w:rsidR="00B064CF" w:rsidRDefault="00E32F70">
      <w:pPr>
        <w:pStyle w:val="Ttulo1"/>
        <w:ind w:left="355"/>
      </w:pPr>
      <w:r>
        <w:t>VERIFICACIÓN DEL OBJETIVO DE ESTABILIDAD PRESUPUESTARIA</w:t>
      </w:r>
      <w:r>
        <w:rPr>
          <w:b w:val="0"/>
          <w:u w:val="none"/>
        </w:rPr>
        <w:t xml:space="preserve"> </w:t>
      </w:r>
    </w:p>
    <w:p w:rsidR="00B064CF" w:rsidRDefault="00E32F70">
      <w:pPr>
        <w:spacing w:after="100" w:line="259" w:lineRule="auto"/>
        <w:ind w:left="360" w:firstLine="0"/>
        <w:jc w:val="left"/>
      </w:pPr>
      <w:r>
        <w:t xml:space="preserve"> </w:t>
      </w:r>
    </w:p>
    <w:p w:rsidR="00B064CF" w:rsidRDefault="00E32F70">
      <w:pPr>
        <w:spacing w:after="129"/>
        <w:ind w:left="345" w:right="143" w:firstLine="708"/>
      </w:pPr>
      <w:r>
        <w:t>El concepto de estabilidad presupuestaria aparece definido (artículo 3.2 LOEPSF) en términos de situación de equilibrio o de superávit, situación que es computada en términos de capacidad de financiación de acuerdo con la definición contenida en el Sistema</w:t>
      </w:r>
      <w:r>
        <w:t xml:space="preserve"> Europeo de Cuentas Nacionales y Regionales (criterio SEC 10) y en las condiciones establecidas para cada una de las administraciones públicas, fijándose el objetivo en el 0 %, para el ejercicio 2021. Actualmente está suspendida en el año 2021. </w:t>
      </w:r>
    </w:p>
    <w:p w:rsidR="00B064CF" w:rsidRDefault="00E32F70">
      <w:pPr>
        <w:spacing w:after="114"/>
        <w:ind w:left="355" w:right="143"/>
      </w:pPr>
      <w:r>
        <w:rPr>
          <w:sz w:val="24"/>
        </w:rPr>
        <w:t xml:space="preserve"> </w:t>
      </w:r>
      <w:r>
        <w:t>Para eval</w:t>
      </w:r>
      <w:r>
        <w:t xml:space="preserve">uar el objetivo de estabilidad presupuestaria, es necesario realizar una serie de ajustes de acuerdo con el Manual de cálculo del Déficit en Contabilidad Nacional adaptado a las Corporaciones Locales: </w:t>
      </w:r>
    </w:p>
    <w:p w:rsidR="00B064CF" w:rsidRDefault="00E32F70">
      <w:pPr>
        <w:spacing w:after="0" w:line="259" w:lineRule="auto"/>
        <w:ind w:left="360" w:firstLine="0"/>
        <w:jc w:val="left"/>
      </w:pPr>
      <w:r>
        <w:t xml:space="preserve"> </w:t>
      </w:r>
    </w:p>
    <w:p w:rsidR="00B064CF" w:rsidRDefault="00E32F70">
      <w:pPr>
        <w:spacing w:after="113" w:line="248" w:lineRule="auto"/>
        <w:ind w:left="355"/>
      </w:pPr>
      <w:r>
        <w:rPr>
          <w:b/>
          <w:i/>
        </w:rPr>
        <w:t xml:space="preserve">1.- Registro en Contabilidad Nacional de Impuestos, </w:t>
      </w:r>
      <w:r>
        <w:rPr>
          <w:b/>
          <w:i/>
        </w:rPr>
        <w:t>Tasa y Otros Ingresos de naturaleza tributaria</w:t>
      </w:r>
      <w:r>
        <w:t xml:space="preserve"> </w:t>
      </w:r>
    </w:p>
    <w:p w:rsidR="00B064CF" w:rsidRDefault="00E32F70">
      <w:pPr>
        <w:spacing w:after="98" w:line="259" w:lineRule="auto"/>
        <w:ind w:left="360" w:firstLine="0"/>
        <w:jc w:val="left"/>
      </w:pPr>
      <w:r>
        <w:t xml:space="preserve"> </w:t>
      </w:r>
    </w:p>
    <w:p w:rsidR="00B064CF" w:rsidRDefault="00E32F70">
      <w:pPr>
        <w:spacing w:after="114"/>
        <w:ind w:left="355" w:right="145"/>
      </w:pPr>
      <w:r>
        <w:t xml:space="preserve"> En la contabilidad nacional imputan los ingresos de los capítulos primero de impuestos directos, capítulo segundo de impuestos indirectos y el capítulo tercero, de tasas y otros ingresos, según el criterio</w:t>
      </w:r>
      <w:r>
        <w:t xml:space="preserve"> de caja en cada ejercicio, ya sea corriente o de cerrado, mientras que el presupuesto de ingresos registra en el momento en que se reconoce el derecho que puede ser previo o simultáneo al cobro. </w:t>
      </w:r>
    </w:p>
    <w:p w:rsidR="00B064CF" w:rsidRDefault="00E32F70">
      <w:pPr>
        <w:spacing w:after="131"/>
        <w:ind w:left="355" w:right="148"/>
      </w:pPr>
      <w:r>
        <w:t xml:space="preserve"> El tratamiento presupuestario y de la Contabilidad Naciona</w:t>
      </w:r>
      <w:r>
        <w:t xml:space="preserve">l, registra los capítulos I, II y II de los citados ingresos cuando se abonan. Tienen por objeto evitar el efecto de los ingresos devengados y no cobrados en el déficit público. </w:t>
      </w:r>
    </w:p>
    <w:p w:rsidR="00B064CF" w:rsidRDefault="00E32F70">
      <w:pPr>
        <w:spacing w:after="0" w:line="259" w:lineRule="auto"/>
        <w:ind w:left="360" w:firstLine="0"/>
        <w:jc w:val="left"/>
      </w:pPr>
      <w:r>
        <w:rPr>
          <w:rFonts w:ascii="Calibri" w:eastAsia="Calibri" w:hAnsi="Calibri" w:cs="Calibri"/>
          <w:noProof/>
        </w:rPr>
        <mc:AlternateContent>
          <mc:Choice Requires="wpg">
            <w:drawing>
              <wp:anchor distT="0" distB="0" distL="114300" distR="114300" simplePos="0" relativeHeight="25173504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9079" name="Group 409079"/>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16483" name="Rectangle 16483"/>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16484" name="Rectangle 16484"/>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72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9079" style="width:12.7031pt;height:278.91pt;position:absolute;mso-position-horizontal-relative:page;mso-position-horizontal:absolute;margin-left:682.278pt;mso-position-vertical-relative:page;margin-top:533.01pt;" coordsize="1613,35421">
                <v:rect id="Rectangle 16483"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16484"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72 de 298 </w:t>
                        </w:r>
                      </w:p>
                    </w:txbxContent>
                  </v:textbox>
                </v:rect>
                <w10:wrap type="square"/>
              </v:group>
            </w:pict>
          </mc:Fallback>
        </mc:AlternateContent>
      </w:r>
      <w:r>
        <w:rPr>
          <w:sz w:val="24"/>
        </w:rPr>
        <w:t xml:space="preserve"> </w:t>
      </w:r>
    </w:p>
    <w:tbl>
      <w:tblPr>
        <w:tblStyle w:val="TableGrid"/>
        <w:tblW w:w="8507" w:type="dxa"/>
        <w:tblInd w:w="435" w:type="dxa"/>
        <w:tblCellMar>
          <w:top w:w="2" w:type="dxa"/>
          <w:left w:w="70" w:type="dxa"/>
          <w:bottom w:w="0" w:type="dxa"/>
          <w:right w:w="26" w:type="dxa"/>
        </w:tblCellMar>
        <w:tblLook w:val="04A0" w:firstRow="1" w:lastRow="0" w:firstColumn="1" w:lastColumn="0" w:noHBand="0" w:noVBand="1"/>
      </w:tblPr>
      <w:tblGrid>
        <w:gridCol w:w="1553"/>
        <w:gridCol w:w="1865"/>
        <w:gridCol w:w="1656"/>
        <w:gridCol w:w="2088"/>
        <w:gridCol w:w="1345"/>
      </w:tblGrid>
      <w:tr w:rsidR="00B064CF">
        <w:trPr>
          <w:trHeight w:val="1490"/>
        </w:trPr>
        <w:tc>
          <w:tcPr>
            <w:tcW w:w="155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18"/>
              </w:rPr>
              <w:t xml:space="preserve"> </w:t>
            </w:r>
          </w:p>
        </w:tc>
        <w:tc>
          <w:tcPr>
            <w:tcW w:w="186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18"/>
              </w:rPr>
              <w:t xml:space="preserve">Derechos </w:t>
            </w:r>
          </w:p>
          <w:p w:rsidR="00B064CF" w:rsidRDefault="00E32F70">
            <w:pPr>
              <w:spacing w:after="0" w:line="259" w:lineRule="auto"/>
              <w:ind w:left="0" w:firstLine="0"/>
              <w:jc w:val="left"/>
            </w:pPr>
            <w:r>
              <w:rPr>
                <w:b/>
                <w:sz w:val="18"/>
              </w:rPr>
              <w:t xml:space="preserve">Reconocidos </w:t>
            </w:r>
          </w:p>
          <w:p w:rsidR="00B064CF" w:rsidRDefault="00E32F70">
            <w:pPr>
              <w:spacing w:after="0" w:line="259" w:lineRule="auto"/>
              <w:ind w:left="0" w:firstLine="0"/>
              <w:jc w:val="left"/>
            </w:pPr>
            <w:r>
              <w:rPr>
                <w:b/>
                <w:sz w:val="18"/>
              </w:rPr>
              <w:t xml:space="preserve">Corrientes </w:t>
            </w:r>
          </w:p>
          <w:p w:rsidR="00B064CF" w:rsidRDefault="00E32F70">
            <w:pPr>
              <w:spacing w:after="0" w:line="259" w:lineRule="auto"/>
              <w:ind w:left="0" w:firstLine="0"/>
              <w:jc w:val="left"/>
            </w:pPr>
            <w:r>
              <w:rPr>
                <w:b/>
                <w:sz w:val="18"/>
              </w:rPr>
              <w:t xml:space="preserve">Liquidación </w:t>
            </w:r>
          </w:p>
          <w:p w:rsidR="00B064CF" w:rsidRDefault="00E32F70">
            <w:pPr>
              <w:spacing w:after="0" w:line="259" w:lineRule="auto"/>
              <w:ind w:left="0" w:firstLine="0"/>
              <w:jc w:val="left"/>
            </w:pPr>
            <w:r>
              <w:rPr>
                <w:b/>
                <w:sz w:val="18"/>
              </w:rPr>
              <w:t>Presupuest</w:t>
            </w:r>
            <w:r>
              <w:rPr>
                <w:b/>
                <w:sz w:val="18"/>
              </w:rPr>
              <w:t xml:space="preserve">o  </w:t>
            </w:r>
          </w:p>
        </w:tc>
        <w:tc>
          <w:tcPr>
            <w:tcW w:w="1656"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18"/>
              </w:rPr>
              <w:t xml:space="preserve">Derechos </w:t>
            </w:r>
          </w:p>
          <w:p w:rsidR="00B064CF" w:rsidRDefault="00E32F70">
            <w:pPr>
              <w:spacing w:after="0" w:line="259" w:lineRule="auto"/>
              <w:ind w:left="0" w:firstLine="0"/>
              <w:jc w:val="left"/>
            </w:pPr>
            <w:r>
              <w:rPr>
                <w:b/>
                <w:sz w:val="18"/>
              </w:rPr>
              <w:t xml:space="preserve">Recaudados </w:t>
            </w:r>
          </w:p>
          <w:p w:rsidR="00B064CF" w:rsidRDefault="00E32F70">
            <w:pPr>
              <w:spacing w:after="0" w:line="259" w:lineRule="auto"/>
              <w:ind w:left="0" w:firstLine="0"/>
              <w:jc w:val="left"/>
            </w:pPr>
            <w:r>
              <w:rPr>
                <w:b/>
                <w:sz w:val="18"/>
              </w:rPr>
              <w:t xml:space="preserve">Corrientes </w:t>
            </w:r>
          </w:p>
          <w:p w:rsidR="00B064CF" w:rsidRDefault="00E32F70">
            <w:pPr>
              <w:spacing w:after="0" w:line="259" w:lineRule="auto"/>
              <w:ind w:left="0" w:firstLine="0"/>
              <w:jc w:val="left"/>
            </w:pPr>
            <w:r>
              <w:rPr>
                <w:b/>
                <w:sz w:val="18"/>
              </w:rPr>
              <w:t xml:space="preserve">Liquidación </w:t>
            </w:r>
          </w:p>
          <w:p w:rsidR="00B064CF" w:rsidRDefault="00E32F70">
            <w:pPr>
              <w:spacing w:after="0" w:line="259" w:lineRule="auto"/>
              <w:ind w:left="0" w:firstLine="0"/>
              <w:jc w:val="left"/>
            </w:pPr>
            <w:r>
              <w:rPr>
                <w:b/>
                <w:sz w:val="18"/>
              </w:rPr>
              <w:t xml:space="preserve">Presupuesto  </w:t>
            </w:r>
          </w:p>
        </w:tc>
        <w:tc>
          <w:tcPr>
            <w:tcW w:w="208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pPr>
            <w:r>
              <w:rPr>
                <w:b/>
                <w:sz w:val="18"/>
              </w:rPr>
              <w:t xml:space="preserve">Derechos Recaudados </w:t>
            </w:r>
          </w:p>
          <w:p w:rsidR="00B064CF" w:rsidRDefault="00E32F70">
            <w:pPr>
              <w:spacing w:after="0" w:line="259" w:lineRule="auto"/>
              <w:ind w:left="0" w:firstLine="0"/>
              <w:jc w:val="left"/>
            </w:pPr>
            <w:r>
              <w:rPr>
                <w:b/>
                <w:sz w:val="18"/>
              </w:rPr>
              <w:t xml:space="preserve">Cerrados Liquidación </w:t>
            </w:r>
          </w:p>
          <w:p w:rsidR="00B064CF" w:rsidRDefault="00E32F70">
            <w:pPr>
              <w:spacing w:after="0" w:line="259" w:lineRule="auto"/>
              <w:ind w:left="0" w:firstLine="0"/>
              <w:jc w:val="left"/>
            </w:pPr>
            <w:r>
              <w:rPr>
                <w:b/>
                <w:sz w:val="18"/>
              </w:rPr>
              <w:t xml:space="preserve">Presupuesto  </w:t>
            </w:r>
          </w:p>
        </w:tc>
        <w:tc>
          <w:tcPr>
            <w:tcW w:w="134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18"/>
              </w:rPr>
              <w:t>Ajustes por diferencia entre DRN y Recaudados Corrientes y Cerrados</w:t>
            </w:r>
            <w:r>
              <w:t xml:space="preserve"> </w:t>
            </w:r>
          </w:p>
        </w:tc>
      </w:tr>
      <w:tr w:rsidR="00B064CF">
        <w:trPr>
          <w:trHeight w:val="665"/>
        </w:trPr>
        <w:tc>
          <w:tcPr>
            <w:tcW w:w="1553" w:type="dxa"/>
            <w:tcBorders>
              <w:top w:val="single" w:sz="4" w:space="0" w:color="000000"/>
              <w:left w:val="single" w:sz="4" w:space="0" w:color="000000"/>
              <w:bottom w:val="single" w:sz="4" w:space="0" w:color="000000"/>
              <w:right w:val="single" w:sz="4" w:space="0" w:color="000000"/>
            </w:tcBorders>
          </w:tcPr>
          <w:p w:rsidR="00B064CF" w:rsidRDefault="00E32F70">
            <w:pPr>
              <w:spacing w:after="17" w:line="259" w:lineRule="auto"/>
              <w:ind w:left="0" w:firstLine="0"/>
              <w:jc w:val="left"/>
            </w:pPr>
            <w:r>
              <w:rPr>
                <w:b/>
                <w:sz w:val="18"/>
              </w:rPr>
              <w:t xml:space="preserve">1.-Impuestos </w:t>
            </w:r>
          </w:p>
          <w:p w:rsidR="00B064CF" w:rsidRDefault="00E32F70">
            <w:pPr>
              <w:spacing w:after="0" w:line="259" w:lineRule="auto"/>
              <w:ind w:left="0" w:firstLine="0"/>
              <w:jc w:val="left"/>
            </w:pPr>
            <w:r>
              <w:rPr>
                <w:b/>
                <w:sz w:val="18"/>
              </w:rPr>
              <w:t>Directos</w:t>
            </w:r>
            <w:r>
              <w:t xml:space="preserve"> </w:t>
            </w:r>
          </w:p>
        </w:tc>
        <w:tc>
          <w:tcPr>
            <w:tcW w:w="186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3" w:firstLine="0"/>
              <w:jc w:val="center"/>
            </w:pPr>
            <w:r>
              <w:rPr>
                <w:sz w:val="18"/>
              </w:rPr>
              <w:t xml:space="preserve">551.264,26 </w:t>
            </w:r>
          </w:p>
        </w:tc>
        <w:tc>
          <w:tcPr>
            <w:tcW w:w="1656"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8"/>
              </w:rPr>
              <w:t xml:space="preserve">500.543,34 </w:t>
            </w:r>
          </w:p>
        </w:tc>
        <w:tc>
          <w:tcPr>
            <w:tcW w:w="208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18"/>
              </w:rPr>
              <w:t xml:space="preserve">58.213,90 </w:t>
            </w:r>
          </w:p>
        </w:tc>
        <w:tc>
          <w:tcPr>
            <w:tcW w:w="1345" w:type="dxa"/>
            <w:tcBorders>
              <w:top w:val="single" w:sz="4" w:space="0" w:color="000000"/>
              <w:left w:val="single" w:sz="4" w:space="0" w:color="000000"/>
              <w:bottom w:val="single" w:sz="4" w:space="0" w:color="000000"/>
              <w:right w:val="single" w:sz="4" w:space="0" w:color="000000"/>
            </w:tcBorders>
          </w:tcPr>
          <w:p w:rsidR="00B064CF" w:rsidRDefault="00E32F70">
            <w:pPr>
              <w:spacing w:after="103" w:line="259" w:lineRule="auto"/>
              <w:ind w:left="0" w:firstLine="0"/>
              <w:jc w:val="left"/>
            </w:pPr>
            <w:r>
              <w:rPr>
                <w:sz w:val="18"/>
              </w:rPr>
              <w:t xml:space="preserve">+ 7.492,98 </w:t>
            </w:r>
          </w:p>
          <w:p w:rsidR="00B064CF" w:rsidRDefault="00E32F70">
            <w:pPr>
              <w:spacing w:after="0" w:line="259" w:lineRule="auto"/>
              <w:ind w:left="0" w:firstLine="0"/>
              <w:jc w:val="left"/>
            </w:pPr>
            <w:r>
              <w:rPr>
                <w:sz w:val="18"/>
              </w:rPr>
              <w:t xml:space="preserve"> </w:t>
            </w:r>
          </w:p>
        </w:tc>
      </w:tr>
      <w:tr w:rsidR="00B064CF">
        <w:trPr>
          <w:trHeight w:val="545"/>
        </w:trPr>
        <w:tc>
          <w:tcPr>
            <w:tcW w:w="1553" w:type="dxa"/>
            <w:tcBorders>
              <w:top w:val="single" w:sz="4" w:space="0" w:color="000000"/>
              <w:left w:val="single" w:sz="4" w:space="0" w:color="000000"/>
              <w:bottom w:val="single" w:sz="4" w:space="0" w:color="000000"/>
              <w:right w:val="single" w:sz="4" w:space="0" w:color="000000"/>
            </w:tcBorders>
          </w:tcPr>
          <w:p w:rsidR="00B064CF" w:rsidRDefault="00E32F70">
            <w:pPr>
              <w:spacing w:after="17" w:line="259" w:lineRule="auto"/>
              <w:ind w:left="0" w:firstLine="0"/>
              <w:jc w:val="left"/>
            </w:pPr>
            <w:r>
              <w:rPr>
                <w:b/>
                <w:sz w:val="18"/>
              </w:rPr>
              <w:t xml:space="preserve">2.-Impuestos </w:t>
            </w:r>
          </w:p>
          <w:p w:rsidR="00B064CF" w:rsidRDefault="00E32F70">
            <w:pPr>
              <w:spacing w:after="0" w:line="259" w:lineRule="auto"/>
              <w:ind w:left="0" w:firstLine="0"/>
              <w:jc w:val="left"/>
            </w:pPr>
            <w:r>
              <w:rPr>
                <w:b/>
                <w:sz w:val="18"/>
              </w:rPr>
              <w:t>Indirectos</w:t>
            </w:r>
            <w:r>
              <w:t xml:space="preserve"> </w:t>
            </w:r>
          </w:p>
        </w:tc>
        <w:tc>
          <w:tcPr>
            <w:tcW w:w="186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3" w:firstLine="0"/>
              <w:jc w:val="center"/>
            </w:pPr>
            <w:r>
              <w:rPr>
                <w:sz w:val="18"/>
              </w:rPr>
              <w:t xml:space="preserve">614.980,50 </w:t>
            </w:r>
          </w:p>
        </w:tc>
        <w:tc>
          <w:tcPr>
            <w:tcW w:w="1656"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3" w:firstLine="0"/>
              <w:jc w:val="center"/>
            </w:pPr>
            <w:r>
              <w:rPr>
                <w:sz w:val="18"/>
              </w:rPr>
              <w:t xml:space="preserve">611.332,63 </w:t>
            </w:r>
          </w:p>
        </w:tc>
        <w:tc>
          <w:tcPr>
            <w:tcW w:w="208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18"/>
              </w:rPr>
              <w:t xml:space="preserve">2.278,09 </w:t>
            </w:r>
          </w:p>
        </w:tc>
        <w:tc>
          <w:tcPr>
            <w:tcW w:w="134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18"/>
              </w:rPr>
              <w:t xml:space="preserve">-1.369,78 </w:t>
            </w:r>
          </w:p>
        </w:tc>
      </w:tr>
      <w:tr w:rsidR="00B064CF">
        <w:trPr>
          <w:trHeight w:val="662"/>
        </w:trPr>
        <w:tc>
          <w:tcPr>
            <w:tcW w:w="155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24" w:firstLine="0"/>
            </w:pPr>
            <w:r>
              <w:rPr>
                <w:b/>
                <w:sz w:val="18"/>
              </w:rPr>
              <w:t>3.- Tasas y Otros Ingresos</w:t>
            </w:r>
            <w:r>
              <w:t xml:space="preserve"> </w:t>
            </w:r>
          </w:p>
        </w:tc>
        <w:tc>
          <w:tcPr>
            <w:tcW w:w="186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6" w:firstLine="0"/>
              <w:jc w:val="center"/>
            </w:pPr>
            <w:r>
              <w:rPr>
                <w:sz w:val="18"/>
              </w:rPr>
              <w:t xml:space="preserve">269.211,21 </w:t>
            </w:r>
          </w:p>
        </w:tc>
        <w:tc>
          <w:tcPr>
            <w:tcW w:w="1656"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2" w:firstLine="0"/>
              <w:jc w:val="center"/>
            </w:pPr>
            <w:r>
              <w:rPr>
                <w:sz w:val="18"/>
              </w:rPr>
              <w:t xml:space="preserve">211.544,08 </w:t>
            </w:r>
          </w:p>
        </w:tc>
        <w:tc>
          <w:tcPr>
            <w:tcW w:w="208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18"/>
              </w:rPr>
              <w:t xml:space="preserve">32.709,76 </w:t>
            </w:r>
          </w:p>
        </w:tc>
        <w:tc>
          <w:tcPr>
            <w:tcW w:w="1345" w:type="dxa"/>
            <w:tcBorders>
              <w:top w:val="single" w:sz="4" w:space="0" w:color="000000"/>
              <w:left w:val="single" w:sz="4" w:space="0" w:color="000000"/>
              <w:bottom w:val="single" w:sz="4" w:space="0" w:color="000000"/>
              <w:right w:val="single" w:sz="4" w:space="0" w:color="000000"/>
            </w:tcBorders>
          </w:tcPr>
          <w:p w:rsidR="00B064CF" w:rsidRDefault="00E32F70">
            <w:pPr>
              <w:spacing w:after="60" w:line="259" w:lineRule="auto"/>
              <w:ind w:left="0" w:firstLine="0"/>
              <w:jc w:val="left"/>
            </w:pPr>
            <w:r>
              <w:rPr>
                <w:sz w:val="18"/>
              </w:rPr>
              <w:t>-24.957,37</w:t>
            </w:r>
            <w:r>
              <w:t xml:space="preserve"> </w:t>
            </w:r>
          </w:p>
          <w:p w:rsidR="00B064CF" w:rsidRDefault="00E32F70">
            <w:pPr>
              <w:spacing w:after="0" w:line="259" w:lineRule="auto"/>
              <w:ind w:left="0" w:firstLine="0"/>
              <w:jc w:val="left"/>
            </w:pPr>
            <w:r>
              <w:rPr>
                <w:sz w:val="18"/>
              </w:rPr>
              <w:t xml:space="preserve"> </w:t>
            </w:r>
          </w:p>
        </w:tc>
      </w:tr>
      <w:tr w:rsidR="00B064CF">
        <w:trPr>
          <w:trHeight w:val="665"/>
        </w:trPr>
        <w:tc>
          <w:tcPr>
            <w:tcW w:w="155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18"/>
              </w:rPr>
              <w:t>TOTAL</w:t>
            </w:r>
            <w:r>
              <w:t xml:space="preserve"> </w:t>
            </w:r>
          </w:p>
        </w:tc>
        <w:tc>
          <w:tcPr>
            <w:tcW w:w="186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18"/>
              </w:rPr>
              <w:t xml:space="preserve">1.435.455,97 </w:t>
            </w:r>
          </w:p>
        </w:tc>
        <w:tc>
          <w:tcPr>
            <w:tcW w:w="1656"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18"/>
              </w:rPr>
              <w:t xml:space="preserve">1.323.420,05 </w:t>
            </w:r>
          </w:p>
        </w:tc>
        <w:tc>
          <w:tcPr>
            <w:tcW w:w="208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18"/>
              </w:rPr>
              <w:t xml:space="preserve">93.201,75 </w:t>
            </w:r>
          </w:p>
        </w:tc>
        <w:tc>
          <w:tcPr>
            <w:tcW w:w="1345" w:type="dxa"/>
            <w:tcBorders>
              <w:top w:val="single" w:sz="4" w:space="0" w:color="000000"/>
              <w:left w:val="single" w:sz="4" w:space="0" w:color="000000"/>
              <w:bottom w:val="single" w:sz="4" w:space="0" w:color="000000"/>
              <w:right w:val="single" w:sz="4" w:space="0" w:color="000000"/>
            </w:tcBorders>
          </w:tcPr>
          <w:p w:rsidR="00B064CF" w:rsidRDefault="00E32F70">
            <w:pPr>
              <w:spacing w:after="105" w:line="259" w:lineRule="auto"/>
              <w:ind w:left="0" w:firstLine="0"/>
              <w:jc w:val="left"/>
            </w:pPr>
            <w:r>
              <w:rPr>
                <w:sz w:val="18"/>
              </w:rPr>
              <w:t xml:space="preserve">-18.834,17 </w:t>
            </w:r>
          </w:p>
          <w:p w:rsidR="00B064CF" w:rsidRDefault="00E32F70">
            <w:pPr>
              <w:spacing w:after="0" w:line="259" w:lineRule="auto"/>
              <w:ind w:left="0" w:firstLine="0"/>
              <w:jc w:val="left"/>
            </w:pPr>
            <w:r>
              <w:rPr>
                <w:sz w:val="18"/>
              </w:rPr>
              <w:t xml:space="preserve"> </w:t>
            </w:r>
          </w:p>
        </w:tc>
      </w:tr>
    </w:tbl>
    <w:p w:rsidR="00B064CF" w:rsidRDefault="00E32F70">
      <w:pPr>
        <w:spacing w:after="81" w:line="259" w:lineRule="auto"/>
        <w:ind w:left="360" w:firstLine="0"/>
        <w:jc w:val="left"/>
      </w:pPr>
      <w:r>
        <w:rPr>
          <w:sz w:val="24"/>
        </w:rPr>
        <w:t xml:space="preserve"> </w:t>
      </w:r>
    </w:p>
    <w:p w:rsidR="00B064CF" w:rsidRDefault="00E32F70">
      <w:pPr>
        <w:spacing w:after="113" w:line="248" w:lineRule="auto"/>
        <w:ind w:left="355"/>
      </w:pPr>
      <w:r>
        <w:rPr>
          <w:b/>
          <w:i/>
        </w:rPr>
        <w:t xml:space="preserve">2.- </w:t>
      </w:r>
      <w:r>
        <w:rPr>
          <w:b/>
          <w:i/>
        </w:rPr>
        <w:t>Tratamiento de las Entregas a cuenta de Impuestos cedidos y Fondo Complementario de Financiación.</w:t>
      </w:r>
      <w:r>
        <w:t xml:space="preserve"> </w:t>
      </w:r>
    </w:p>
    <w:p w:rsidR="00B064CF" w:rsidRDefault="00E32F70">
      <w:pPr>
        <w:spacing w:after="98" w:line="259" w:lineRule="auto"/>
        <w:ind w:left="360" w:firstLine="0"/>
        <w:jc w:val="left"/>
      </w:pPr>
      <w:r>
        <w:rPr>
          <w:i/>
        </w:rPr>
        <w:t xml:space="preserve"> </w:t>
      </w:r>
    </w:p>
    <w:p w:rsidR="00B064CF" w:rsidRDefault="00E32F70">
      <w:pPr>
        <w:spacing w:after="131"/>
        <w:ind w:left="355" w:right="144"/>
      </w:pPr>
      <w:r>
        <w:t xml:space="preserve"> En principio, no debería generar práctica de ajuste alguno, salvo que la Corporación Local reconozca como ingreso un porcentaje distinto al de las entrega</w:t>
      </w:r>
      <w:r>
        <w:t>s a cuenta, que no es el caso durante el presente ejercicio o cuando se aplica el criterio de caja y no por el sistema de contraído previo. En contabilidad nacional, los pagos mensuales a cuenta de los impuestos cedidos y de los Fondos Complementario de Fi</w:t>
      </w:r>
      <w:r>
        <w:t xml:space="preserve">nanciación se registran en el período en que se pagan por el Estado, y la liquidación definitiva resultante, en el momento en que se determina su cuantía y se satisface. </w:t>
      </w:r>
    </w:p>
    <w:p w:rsidR="00B064CF" w:rsidRDefault="00E32F70">
      <w:pPr>
        <w:spacing w:after="98" w:line="259" w:lineRule="auto"/>
        <w:ind w:left="360" w:firstLine="0"/>
        <w:jc w:val="left"/>
      </w:pPr>
      <w:r>
        <w:rPr>
          <w:sz w:val="24"/>
        </w:rPr>
        <w:t xml:space="preserve"> </w:t>
      </w:r>
    </w:p>
    <w:p w:rsidR="00B064CF" w:rsidRDefault="00E32F70">
      <w:pPr>
        <w:spacing w:after="0"/>
        <w:ind w:left="355" w:right="146"/>
      </w:pPr>
      <w:r>
        <w:rPr>
          <w:sz w:val="24"/>
        </w:rPr>
        <w:t xml:space="preserve"> </w:t>
      </w:r>
      <w:r>
        <w:t>Otro ajuste que cabe realizar lo constituye el importe que se ha reintegrado duran</w:t>
      </w:r>
      <w:r>
        <w:t>te 2021 al Estado en concepto de devolución de las liquidaciones negativas correspondiente a los ejercicios 2008 y 2009 por el concepto de Participación en los Tributos del Estado, que opera sumándolo a los Derechos</w:t>
      </w:r>
      <w:r>
        <w:rPr>
          <w:sz w:val="24"/>
        </w:rPr>
        <w:t xml:space="preserve"> </w:t>
      </w:r>
      <w:r>
        <w:t>Reconocidos netos.  Concretamente, que i</w:t>
      </w:r>
      <w:r>
        <w:t>mporta un total de 18.392,79 Euros:</w:t>
      </w:r>
      <w:r>
        <w:rPr>
          <w:sz w:val="24"/>
        </w:rPr>
        <w:t xml:space="preserve"> </w:t>
      </w:r>
      <w:r>
        <w:t xml:space="preserve"> </w:t>
      </w:r>
    </w:p>
    <w:p w:rsidR="00B064CF" w:rsidRDefault="00E32F70">
      <w:pPr>
        <w:spacing w:after="0" w:line="259" w:lineRule="auto"/>
        <w:ind w:left="360" w:firstLine="0"/>
        <w:jc w:val="left"/>
      </w:pPr>
      <w:r>
        <w:rPr>
          <w:sz w:val="24"/>
        </w:rPr>
        <w:t xml:space="preserve"> </w:t>
      </w:r>
    </w:p>
    <w:tbl>
      <w:tblPr>
        <w:tblStyle w:val="TableGrid"/>
        <w:tblW w:w="6642" w:type="dxa"/>
        <w:tblInd w:w="972" w:type="dxa"/>
        <w:tblCellMar>
          <w:top w:w="8" w:type="dxa"/>
          <w:left w:w="70" w:type="dxa"/>
          <w:bottom w:w="0" w:type="dxa"/>
          <w:right w:w="115" w:type="dxa"/>
        </w:tblCellMar>
        <w:tblLook w:val="04A0" w:firstRow="1" w:lastRow="0" w:firstColumn="1" w:lastColumn="0" w:noHBand="0" w:noVBand="1"/>
      </w:tblPr>
      <w:tblGrid>
        <w:gridCol w:w="4662"/>
        <w:gridCol w:w="1980"/>
      </w:tblGrid>
      <w:tr w:rsidR="00B064CF">
        <w:trPr>
          <w:trHeight w:val="406"/>
        </w:trPr>
        <w:tc>
          <w:tcPr>
            <w:tcW w:w="4662"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4"/>
              </w:rPr>
              <w:t xml:space="preserve">Devolución liquidación PIE 2008 en 2018 </w:t>
            </w:r>
          </w:p>
        </w:tc>
        <w:tc>
          <w:tcPr>
            <w:tcW w:w="1980"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4"/>
              </w:rPr>
              <w:t>3.528,96 (+)</w:t>
            </w:r>
            <w:r>
              <w:t xml:space="preserve"> </w:t>
            </w:r>
          </w:p>
        </w:tc>
      </w:tr>
      <w:tr w:rsidR="00B064CF">
        <w:trPr>
          <w:trHeight w:val="408"/>
        </w:trPr>
        <w:tc>
          <w:tcPr>
            <w:tcW w:w="4662"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4"/>
              </w:rPr>
              <w:t xml:space="preserve">Devolución liquidación PIE 2009 en 2018 </w:t>
            </w:r>
          </w:p>
        </w:tc>
        <w:tc>
          <w:tcPr>
            <w:tcW w:w="1980"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4"/>
              </w:rPr>
              <w:t>14.863,83 (+)</w:t>
            </w:r>
            <w:r>
              <w:t xml:space="preserve"> </w:t>
            </w:r>
          </w:p>
        </w:tc>
      </w:tr>
    </w:tbl>
    <w:p w:rsidR="00B064CF" w:rsidRDefault="00E32F70">
      <w:pPr>
        <w:spacing w:after="98" w:line="259" w:lineRule="auto"/>
        <w:ind w:left="360" w:firstLine="0"/>
        <w:jc w:val="left"/>
      </w:pPr>
      <w:r>
        <w:t xml:space="preserve"> </w:t>
      </w:r>
    </w:p>
    <w:p w:rsidR="00B064CF" w:rsidRDefault="00E32F70">
      <w:pPr>
        <w:spacing w:after="113" w:line="248" w:lineRule="auto"/>
        <w:ind w:left="355" w:right="699"/>
      </w:pPr>
      <w:r>
        <w:rPr>
          <w:b/>
          <w:i/>
        </w:rPr>
        <w:t>3.- Gastos de Intereses</w:t>
      </w:r>
      <w:r>
        <w:t xml:space="preserve"> </w:t>
      </w:r>
    </w:p>
    <w:p w:rsidR="00B064CF" w:rsidRDefault="00E32F70">
      <w:pPr>
        <w:spacing w:after="128"/>
        <w:ind w:left="355" w:right="147"/>
      </w:pPr>
      <w:r>
        <w:t xml:space="preserve">  </w:t>
      </w:r>
      <w:r>
        <w:t xml:space="preserve">Se debe realizar el correspondiente ajuste, porque se aplican al presupuesto al momento del vencimiento, mientras que en la contabilidad nacional se registran las cantidades devengadas durante el ejercicio, con independencia de cuando se produzca su pago, </w:t>
      </w:r>
      <w:r>
        <w:t xml:space="preserve">por lo que esta diferencia en la aplicación de los criterios de caja y de devengo, da lugar al siguiente ajuste por intereses. </w:t>
      </w:r>
    </w:p>
    <w:p w:rsidR="00B064CF" w:rsidRDefault="00E32F70">
      <w:pPr>
        <w:spacing w:after="0" w:line="259" w:lineRule="auto"/>
        <w:ind w:left="360" w:firstLine="0"/>
        <w:jc w:val="left"/>
      </w:pPr>
      <w:r>
        <w:rPr>
          <w:rFonts w:ascii="Calibri" w:eastAsia="Calibri" w:hAnsi="Calibri" w:cs="Calibri"/>
          <w:noProof/>
        </w:rPr>
        <mc:AlternateContent>
          <mc:Choice Requires="wpg">
            <w:drawing>
              <wp:anchor distT="0" distB="0" distL="114300" distR="114300" simplePos="0" relativeHeight="25173606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12480" name="Group 412480"/>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16694" name="Rectangle 16694"/>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16695" name="Rectangle 16695"/>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73 de 298 </w:t>
                              </w:r>
                            </w:p>
                          </w:txbxContent>
                        </wps:txbx>
                        <wps:bodyPr horzOverflow="overflow" vert="horz" lIns="0" tIns="0" rIns="0" bIns="0" rtlCol="0">
                          <a:noAutofit/>
                        </wps:bodyPr>
                      </wps:wsp>
                    </wpg:wgp>
                  </a:graphicData>
                </a:graphic>
              </wp:anchor>
            </w:drawing>
          </mc:Choice>
          <mc:Fallback xmlns:a="http://schemas.openxmlformats.org/drawingml/2006/main">
            <w:pict>
              <v:group id="Group 412480" style="width:12.7031pt;height:278.91pt;position:absolute;mso-position-horizontal-relative:page;mso-position-horizontal:absolute;margin-left:682.278pt;mso-position-vertical-relative:page;margin-top:533.01pt;" coordsize="1613,35421">
                <v:rect id="Rectangle 16694"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16695"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73 de 298 </w:t>
                        </w:r>
                      </w:p>
                    </w:txbxContent>
                  </v:textbox>
                </v:rect>
                <w10:wrap type="square"/>
              </v:group>
            </w:pict>
          </mc:Fallback>
        </mc:AlternateContent>
      </w:r>
      <w:r>
        <w:rPr>
          <w:sz w:val="24"/>
        </w:rPr>
        <w:t xml:space="preserve"> </w:t>
      </w:r>
    </w:p>
    <w:tbl>
      <w:tblPr>
        <w:tblStyle w:val="TableGrid"/>
        <w:tblW w:w="8507" w:type="dxa"/>
        <w:tblInd w:w="435" w:type="dxa"/>
        <w:tblCellMar>
          <w:top w:w="5" w:type="dxa"/>
          <w:left w:w="70" w:type="dxa"/>
          <w:bottom w:w="0" w:type="dxa"/>
          <w:right w:w="115" w:type="dxa"/>
        </w:tblCellMar>
        <w:tblLook w:val="04A0" w:firstRow="1" w:lastRow="0" w:firstColumn="1" w:lastColumn="0" w:noHBand="0" w:noVBand="1"/>
      </w:tblPr>
      <w:tblGrid>
        <w:gridCol w:w="2268"/>
        <w:gridCol w:w="3891"/>
        <w:gridCol w:w="2348"/>
      </w:tblGrid>
      <w:tr w:rsidR="00B064CF">
        <w:trPr>
          <w:trHeight w:val="1510"/>
        </w:trPr>
        <w:tc>
          <w:tcPr>
            <w:tcW w:w="226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4"/>
              </w:rPr>
              <w:t xml:space="preserve"> </w:t>
            </w:r>
          </w:p>
        </w:tc>
        <w:tc>
          <w:tcPr>
            <w:tcW w:w="38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20"/>
              </w:rPr>
              <w:t xml:space="preserve">Ajustes positivos por diferencia entre obligaciones reconocidas y devengadas en Liquidación Pto 2021 </w:t>
            </w:r>
          </w:p>
        </w:tc>
        <w:tc>
          <w:tcPr>
            <w:tcW w:w="234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20"/>
              </w:rPr>
              <w:t>Ajustes negativos por diferencia entre obligaciones reco</w:t>
            </w:r>
            <w:r>
              <w:rPr>
                <w:b/>
                <w:sz w:val="20"/>
              </w:rPr>
              <w:t>nocidas y devengadas en Liquidación Pto 2021</w:t>
            </w:r>
            <w:r>
              <w:t xml:space="preserve"> </w:t>
            </w:r>
          </w:p>
        </w:tc>
      </w:tr>
      <w:tr w:rsidR="00B064CF">
        <w:trPr>
          <w:trHeight w:val="591"/>
        </w:trPr>
        <w:tc>
          <w:tcPr>
            <w:tcW w:w="226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20"/>
              </w:rPr>
              <w:t>1.-Préstamo 301516-</w:t>
            </w:r>
          </w:p>
          <w:p w:rsidR="00B064CF" w:rsidRDefault="00E32F70">
            <w:pPr>
              <w:spacing w:after="0" w:line="259" w:lineRule="auto"/>
              <w:ind w:left="0" w:firstLine="0"/>
              <w:jc w:val="left"/>
            </w:pPr>
            <w:r>
              <w:rPr>
                <w:b/>
                <w:sz w:val="20"/>
              </w:rPr>
              <w:t>53</w:t>
            </w:r>
            <w:r>
              <w:t xml:space="preserve"> </w:t>
            </w:r>
          </w:p>
        </w:tc>
        <w:tc>
          <w:tcPr>
            <w:tcW w:w="38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0,00 </w:t>
            </w:r>
          </w:p>
        </w:tc>
        <w:tc>
          <w:tcPr>
            <w:tcW w:w="234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0,00 </w:t>
            </w:r>
          </w:p>
        </w:tc>
      </w:tr>
      <w:tr w:rsidR="00B064CF">
        <w:trPr>
          <w:trHeight w:val="360"/>
        </w:trPr>
        <w:tc>
          <w:tcPr>
            <w:tcW w:w="226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20"/>
              </w:rPr>
              <w:t>6.-Préstamo 15953</w:t>
            </w:r>
            <w:r>
              <w:t xml:space="preserve"> </w:t>
            </w:r>
          </w:p>
        </w:tc>
        <w:tc>
          <w:tcPr>
            <w:tcW w:w="38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0,00 </w:t>
            </w:r>
          </w:p>
        </w:tc>
        <w:tc>
          <w:tcPr>
            <w:tcW w:w="234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0,00  </w:t>
            </w:r>
          </w:p>
        </w:tc>
      </w:tr>
      <w:tr w:rsidR="00B064CF">
        <w:trPr>
          <w:trHeight w:val="360"/>
        </w:trPr>
        <w:tc>
          <w:tcPr>
            <w:tcW w:w="226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20"/>
              </w:rPr>
              <w:t>TOTAL</w:t>
            </w:r>
            <w:r>
              <w:t xml:space="preserve"> </w:t>
            </w:r>
          </w:p>
        </w:tc>
        <w:tc>
          <w:tcPr>
            <w:tcW w:w="38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0,00 </w:t>
            </w:r>
          </w:p>
        </w:tc>
        <w:tc>
          <w:tcPr>
            <w:tcW w:w="234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20"/>
              </w:rPr>
              <w:t xml:space="preserve">0,00  </w:t>
            </w:r>
          </w:p>
        </w:tc>
      </w:tr>
    </w:tbl>
    <w:p w:rsidR="00B064CF" w:rsidRDefault="00E32F70">
      <w:pPr>
        <w:spacing w:after="81" w:line="259" w:lineRule="auto"/>
        <w:ind w:left="360" w:firstLine="0"/>
        <w:jc w:val="left"/>
      </w:pPr>
      <w:r>
        <w:rPr>
          <w:sz w:val="24"/>
        </w:rPr>
        <w:t xml:space="preserve"> </w:t>
      </w:r>
    </w:p>
    <w:p w:rsidR="00B064CF" w:rsidRDefault="00E32F70">
      <w:pPr>
        <w:spacing w:after="113" w:line="248" w:lineRule="auto"/>
        <w:ind w:left="355"/>
      </w:pPr>
      <w:r>
        <w:rPr>
          <w:b/>
          <w:i/>
        </w:rPr>
        <w:t>4.- Gastos realizados en el ejercicio y pendientes de aplicar al Presupuesto de Gastos de la Corporación Local</w:t>
      </w:r>
      <w:r>
        <w:t xml:space="preserve"> </w:t>
      </w:r>
    </w:p>
    <w:p w:rsidR="00B064CF" w:rsidRDefault="00E32F70">
      <w:pPr>
        <w:spacing w:after="114"/>
        <w:ind w:left="355" w:right="72"/>
      </w:pPr>
      <w:r>
        <w:t xml:space="preserve"> </w:t>
      </w:r>
      <w:r>
        <w:t>A la fecha de cierre del ejercicio deben registrase aquellas obligaciones vencidas, líquidas y exigibles que se hayan producido, aun cuando no se hayan dictado los correspondientes actos administrativos de reconocimiento y liquidación, lo que impide su apl</w:t>
      </w:r>
      <w:r>
        <w:t xml:space="preserve">icación al presupuesto en vigor, que generalmente tiene lugar en el ejercicio siguiente, una vez se dicta el mencionado acto administrativo. Por el contrario, en el tratamiento de la contabilidad nacional, el principio de devengo, se aplica para registrar </w:t>
      </w:r>
      <w:r>
        <w:t>cualquier flujo económico, con independencia del momento en el que tiene lugar su imputación presupuestaria. Por tanto, si el saldo final de la cuenta es mayor o menor que el inicial, la diferencia dará lugar a un ajuste como mayor o menor gasto no financi</w:t>
      </w:r>
      <w:r>
        <w:t xml:space="preserve">ero en contabilidad nacional, aumentando o disminuyendo el déficit de la Corporación Local. </w:t>
      </w:r>
    </w:p>
    <w:p w:rsidR="00B064CF" w:rsidRDefault="00E32F70">
      <w:pPr>
        <w:spacing w:after="128"/>
        <w:ind w:left="355" w:right="144"/>
      </w:pPr>
      <w:r>
        <w:t xml:space="preserve">  No obstante, a través de la partida 413 de gastos pendientes de aplicar al presupuesto, hay que hacer un ajuste negativo de 98.668,12 Euros, ya que el Saldo Fina</w:t>
      </w:r>
      <w:r>
        <w:t xml:space="preserve">l de la cuenta 41300, por importe de 128.696,04 Euros, es menor que el saldo inicial de la citada cuenta, que asciende a 227.364,16 Euros. </w:t>
      </w:r>
    </w:p>
    <w:p w:rsidR="00B064CF" w:rsidRDefault="00E32F70">
      <w:pPr>
        <w:spacing w:after="128"/>
        <w:ind w:left="355" w:right="145"/>
      </w:pPr>
      <w:r>
        <w:rPr>
          <w:sz w:val="24"/>
        </w:rPr>
        <w:t xml:space="preserve">        </w:t>
      </w:r>
      <w:r>
        <w:t>A continuación, se detalla en el siguiente cuadro, los derechos y obligaciones liquidadas en el primer trime</w:t>
      </w:r>
      <w:r>
        <w:t xml:space="preserve">stre del ejercicio 2021, aplicando los ajustes anteriormente citados, para así obtener el cálculo de la Capacidad o Necesidad de Financiación en la Liquidación de este ejercicio: </w:t>
      </w:r>
    </w:p>
    <w:p w:rsidR="00B064CF" w:rsidRDefault="00E32F70">
      <w:pPr>
        <w:spacing w:after="0" w:line="259" w:lineRule="auto"/>
        <w:ind w:left="360" w:firstLine="0"/>
        <w:jc w:val="left"/>
      </w:pPr>
      <w:r>
        <w:rPr>
          <w:sz w:val="24"/>
        </w:rPr>
        <w:t xml:space="preserve"> </w:t>
      </w:r>
    </w:p>
    <w:tbl>
      <w:tblPr>
        <w:tblStyle w:val="TableGrid"/>
        <w:tblW w:w="8452" w:type="dxa"/>
        <w:tblInd w:w="353" w:type="dxa"/>
        <w:tblCellMar>
          <w:top w:w="4" w:type="dxa"/>
          <w:left w:w="70" w:type="dxa"/>
          <w:bottom w:w="0" w:type="dxa"/>
          <w:right w:w="115" w:type="dxa"/>
        </w:tblCellMar>
        <w:tblLook w:val="04A0" w:firstRow="1" w:lastRow="0" w:firstColumn="1" w:lastColumn="0" w:noHBand="0" w:noVBand="1"/>
      </w:tblPr>
      <w:tblGrid>
        <w:gridCol w:w="6325"/>
        <w:gridCol w:w="2127"/>
      </w:tblGrid>
      <w:tr w:rsidR="00B064CF">
        <w:trPr>
          <w:trHeight w:val="516"/>
        </w:trPr>
        <w:tc>
          <w:tcPr>
            <w:tcW w:w="6325"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b/>
                <w:sz w:val="20"/>
              </w:rPr>
              <w:t>CONCEPTOS</w:t>
            </w:r>
            <w:r>
              <w:t xml:space="preserve"> </w:t>
            </w:r>
          </w:p>
        </w:tc>
        <w:tc>
          <w:tcPr>
            <w:tcW w:w="2127"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sz w:val="20"/>
              </w:rPr>
              <w:t>IMPORTES</w:t>
            </w:r>
            <w:r>
              <w:t xml:space="preserve"> </w:t>
            </w:r>
          </w:p>
        </w:tc>
      </w:tr>
      <w:tr w:rsidR="00B064CF">
        <w:trPr>
          <w:trHeight w:val="485"/>
        </w:trPr>
        <w:tc>
          <w:tcPr>
            <w:tcW w:w="6325"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sz w:val="20"/>
              </w:rPr>
              <w:t xml:space="preserve">a) Derechos Reconocidos capítulos. I a VII presupuesto corriente </w:t>
            </w:r>
          </w:p>
        </w:tc>
        <w:tc>
          <w:tcPr>
            <w:tcW w:w="2127" w:type="dxa"/>
            <w:tcBorders>
              <w:top w:val="single" w:sz="8" w:space="0" w:color="000000"/>
              <w:left w:val="single" w:sz="8" w:space="0" w:color="000000"/>
              <w:bottom w:val="single" w:sz="8" w:space="0" w:color="000000"/>
              <w:right w:val="single" w:sz="8" w:space="0" w:color="000000"/>
            </w:tcBorders>
            <w:vAlign w:val="center"/>
          </w:tcPr>
          <w:p w:rsidR="00B064CF" w:rsidRDefault="00E32F70">
            <w:pPr>
              <w:spacing w:after="0" w:line="259" w:lineRule="auto"/>
              <w:ind w:left="0" w:firstLine="0"/>
              <w:jc w:val="left"/>
            </w:pPr>
            <w:r>
              <w:rPr>
                <w:sz w:val="20"/>
              </w:rPr>
              <w:t xml:space="preserve">3.606.403,71 </w:t>
            </w:r>
            <w:r>
              <w:t xml:space="preserve"> </w:t>
            </w:r>
          </w:p>
        </w:tc>
      </w:tr>
      <w:tr w:rsidR="00B064CF">
        <w:trPr>
          <w:trHeight w:val="485"/>
        </w:trPr>
        <w:tc>
          <w:tcPr>
            <w:tcW w:w="6325"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sz w:val="20"/>
              </w:rPr>
              <w:t xml:space="preserve">b) Obligaciones Reconocidas capítulos I a VII presupuesto corriente </w:t>
            </w:r>
          </w:p>
        </w:tc>
        <w:tc>
          <w:tcPr>
            <w:tcW w:w="2127" w:type="dxa"/>
            <w:tcBorders>
              <w:top w:val="single" w:sz="8" w:space="0" w:color="000000"/>
              <w:left w:val="single" w:sz="8" w:space="0" w:color="000000"/>
              <w:bottom w:val="single" w:sz="8" w:space="0" w:color="000000"/>
              <w:right w:val="single" w:sz="8" w:space="0" w:color="000000"/>
            </w:tcBorders>
            <w:vAlign w:val="center"/>
          </w:tcPr>
          <w:p w:rsidR="00B064CF" w:rsidRDefault="00E32F70">
            <w:pPr>
              <w:spacing w:after="0" w:line="259" w:lineRule="auto"/>
              <w:ind w:left="0" w:firstLine="0"/>
              <w:jc w:val="left"/>
            </w:pPr>
            <w:r>
              <w:rPr>
                <w:sz w:val="20"/>
              </w:rPr>
              <w:t xml:space="preserve">4.572.497,07 </w:t>
            </w:r>
            <w:r>
              <w:t xml:space="preserve"> </w:t>
            </w:r>
          </w:p>
        </w:tc>
      </w:tr>
      <w:tr w:rsidR="00B064CF">
        <w:trPr>
          <w:trHeight w:val="370"/>
        </w:trPr>
        <w:tc>
          <w:tcPr>
            <w:tcW w:w="6325"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b/>
                <w:sz w:val="20"/>
              </w:rPr>
              <w:t>TOTAL (a – b)</w:t>
            </w:r>
            <w:r>
              <w:t xml:space="preserve"> </w:t>
            </w:r>
          </w:p>
        </w:tc>
        <w:tc>
          <w:tcPr>
            <w:tcW w:w="2127" w:type="dxa"/>
            <w:tcBorders>
              <w:top w:val="single" w:sz="8" w:space="0" w:color="000000"/>
              <w:left w:val="single" w:sz="8" w:space="0" w:color="000000"/>
              <w:bottom w:val="single" w:sz="8" w:space="0" w:color="000000"/>
              <w:right w:val="single" w:sz="8" w:space="0" w:color="000000"/>
            </w:tcBorders>
          </w:tcPr>
          <w:p w:rsidR="00B064CF" w:rsidRDefault="00E32F70">
            <w:pPr>
              <w:tabs>
                <w:tab w:val="center" w:pos="393"/>
                <w:tab w:val="center" w:pos="1219"/>
              </w:tabs>
              <w:spacing w:after="0" w:line="259" w:lineRule="auto"/>
              <w:ind w:left="0" w:firstLine="0"/>
              <w:jc w:val="left"/>
            </w:pPr>
            <w:r>
              <w:rPr>
                <w:rFonts w:ascii="Calibri" w:eastAsia="Calibri" w:hAnsi="Calibri" w:cs="Calibri"/>
              </w:rPr>
              <w:tab/>
            </w:r>
            <w:r>
              <w:rPr>
                <w:sz w:val="20"/>
              </w:rPr>
              <w:t xml:space="preserve">- </w:t>
            </w:r>
            <w:r>
              <w:rPr>
                <w:sz w:val="20"/>
              </w:rPr>
              <w:tab/>
            </w:r>
            <w:r>
              <w:rPr>
                <w:b/>
                <w:sz w:val="20"/>
              </w:rPr>
              <w:t>966.093,30</w:t>
            </w:r>
            <w:r>
              <w:t xml:space="preserve"> </w:t>
            </w:r>
          </w:p>
        </w:tc>
      </w:tr>
      <w:tr w:rsidR="00B064CF">
        <w:trPr>
          <w:trHeight w:val="370"/>
        </w:trPr>
        <w:tc>
          <w:tcPr>
            <w:tcW w:w="6325"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b/>
                <w:sz w:val="20"/>
              </w:rPr>
              <w:t>AJUSTES</w:t>
            </w:r>
            <w:r>
              <w:t xml:space="preserve"> </w:t>
            </w:r>
          </w:p>
        </w:tc>
        <w:tc>
          <w:tcPr>
            <w:tcW w:w="2127"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sz w:val="20"/>
              </w:rPr>
              <w:t xml:space="preserve"> </w:t>
            </w:r>
            <w:r>
              <w:t xml:space="preserve"> </w:t>
            </w:r>
          </w:p>
        </w:tc>
      </w:tr>
      <w:tr w:rsidR="00B064CF">
        <w:trPr>
          <w:trHeight w:val="370"/>
        </w:trPr>
        <w:tc>
          <w:tcPr>
            <w:tcW w:w="6325"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sz w:val="20"/>
              </w:rPr>
              <w:t xml:space="preserve">1) Ajustes recaudación capítulo 1 </w:t>
            </w:r>
          </w:p>
        </w:tc>
        <w:tc>
          <w:tcPr>
            <w:tcW w:w="2127"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sz w:val="18"/>
              </w:rPr>
              <w:t xml:space="preserve">+ 7.492,98 </w:t>
            </w:r>
          </w:p>
        </w:tc>
      </w:tr>
      <w:tr w:rsidR="00B064CF">
        <w:trPr>
          <w:trHeight w:val="372"/>
        </w:trPr>
        <w:tc>
          <w:tcPr>
            <w:tcW w:w="6325"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sz w:val="20"/>
              </w:rPr>
              <w:t xml:space="preserve">2) Ajustes recaudación capítulo 2 </w:t>
            </w:r>
          </w:p>
        </w:tc>
        <w:tc>
          <w:tcPr>
            <w:tcW w:w="2127"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sz w:val="18"/>
              </w:rPr>
              <w:t xml:space="preserve">-1.369,78 </w:t>
            </w:r>
          </w:p>
        </w:tc>
      </w:tr>
      <w:tr w:rsidR="00B064CF">
        <w:trPr>
          <w:trHeight w:val="370"/>
        </w:trPr>
        <w:tc>
          <w:tcPr>
            <w:tcW w:w="6325"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sz w:val="20"/>
              </w:rPr>
              <w:t xml:space="preserve">3) Ajustes recaudación capítulo 3 </w:t>
            </w:r>
          </w:p>
        </w:tc>
        <w:tc>
          <w:tcPr>
            <w:tcW w:w="2127"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sz w:val="18"/>
              </w:rPr>
              <w:t>-24.957,37</w:t>
            </w:r>
            <w:r>
              <w:t xml:space="preserve"> </w:t>
            </w:r>
          </w:p>
        </w:tc>
      </w:tr>
      <w:tr w:rsidR="00B064CF">
        <w:trPr>
          <w:trHeight w:val="370"/>
        </w:trPr>
        <w:tc>
          <w:tcPr>
            <w:tcW w:w="6325"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sz w:val="20"/>
              </w:rPr>
              <w:t xml:space="preserve">4) Ajuste por liquidación PIE-2008 </w:t>
            </w:r>
          </w:p>
        </w:tc>
        <w:tc>
          <w:tcPr>
            <w:tcW w:w="2127"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sz w:val="20"/>
              </w:rPr>
              <w:t>+3.528,96</w:t>
            </w:r>
            <w:r>
              <w:t xml:space="preserve"> </w:t>
            </w:r>
          </w:p>
        </w:tc>
      </w:tr>
      <w:tr w:rsidR="00B064CF">
        <w:trPr>
          <w:trHeight w:val="425"/>
        </w:trPr>
        <w:tc>
          <w:tcPr>
            <w:tcW w:w="6325"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sz w:val="20"/>
              </w:rPr>
              <w:t xml:space="preserve">6) Ajuste por liquidación PIE-2009 </w:t>
            </w:r>
          </w:p>
        </w:tc>
        <w:tc>
          <w:tcPr>
            <w:tcW w:w="2127"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sz w:val="20"/>
              </w:rPr>
              <w:t>+ 14.863,83</w:t>
            </w:r>
            <w:r>
              <w:t xml:space="preserve"> </w:t>
            </w:r>
          </w:p>
        </w:tc>
      </w:tr>
      <w:tr w:rsidR="00B064CF">
        <w:trPr>
          <w:trHeight w:val="425"/>
        </w:trPr>
        <w:tc>
          <w:tcPr>
            <w:tcW w:w="6325"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sz w:val="20"/>
              </w:rPr>
              <w:t xml:space="preserve">7) Ajuste por devengo de intereses (gasto) </w:t>
            </w:r>
          </w:p>
        </w:tc>
        <w:tc>
          <w:tcPr>
            <w:tcW w:w="2127"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sz w:val="20"/>
              </w:rPr>
              <w:t>0,00</w:t>
            </w:r>
            <w:r>
              <w:t xml:space="preserve"> </w:t>
            </w:r>
          </w:p>
        </w:tc>
      </w:tr>
      <w:tr w:rsidR="00B064CF">
        <w:trPr>
          <w:trHeight w:val="425"/>
        </w:trPr>
        <w:tc>
          <w:tcPr>
            <w:tcW w:w="6325"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sz w:val="20"/>
              </w:rPr>
              <w:t xml:space="preserve">8) Ajuste por gastos pendientes de aplicar a presupuesto </w:t>
            </w:r>
          </w:p>
        </w:tc>
        <w:tc>
          <w:tcPr>
            <w:tcW w:w="2127"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sz w:val="20"/>
              </w:rPr>
              <w:t>- 98.668,12</w:t>
            </w:r>
            <w:r>
              <w:t xml:space="preserve"> </w:t>
            </w:r>
          </w:p>
        </w:tc>
      </w:tr>
      <w:tr w:rsidR="00B064CF">
        <w:trPr>
          <w:trHeight w:val="425"/>
        </w:trPr>
        <w:tc>
          <w:tcPr>
            <w:tcW w:w="6325"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b/>
                <w:sz w:val="20"/>
              </w:rPr>
              <w:t xml:space="preserve">c) TOTAL INGRESOS AJUSTADOS </w:t>
            </w:r>
            <w:r>
              <w:rPr>
                <w:sz w:val="20"/>
              </w:rPr>
              <w:t>(a +/-  1, 2, 3, 4, 5, 6 y 8)</w:t>
            </w:r>
            <w:r>
              <w:rPr>
                <w:b/>
                <w:sz w:val="20"/>
              </w:rPr>
              <w:t xml:space="preserve"> </w:t>
            </w:r>
            <w:r>
              <w:t xml:space="preserve"> </w:t>
            </w:r>
          </w:p>
        </w:tc>
        <w:tc>
          <w:tcPr>
            <w:tcW w:w="2127"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sz w:val="20"/>
              </w:rPr>
              <w:t>3.605.962,33</w:t>
            </w:r>
            <w:r>
              <w:t xml:space="preserve"> </w:t>
            </w:r>
          </w:p>
        </w:tc>
      </w:tr>
      <w:tr w:rsidR="00B064CF">
        <w:trPr>
          <w:trHeight w:val="470"/>
        </w:trPr>
        <w:tc>
          <w:tcPr>
            <w:tcW w:w="6325"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b/>
                <w:sz w:val="20"/>
              </w:rPr>
              <w:t xml:space="preserve">d) TOTAL GASTOS AJUSTADOS </w:t>
            </w:r>
            <w:r>
              <w:rPr>
                <w:sz w:val="20"/>
              </w:rPr>
              <w:t>(b +/-  7, 8, 9,11,19)</w:t>
            </w:r>
            <w:r>
              <w:rPr>
                <w:b/>
                <w:sz w:val="20"/>
              </w:rPr>
              <w:t xml:space="preserve"> </w:t>
            </w:r>
            <w:r>
              <w:t xml:space="preserve"> </w:t>
            </w:r>
          </w:p>
        </w:tc>
        <w:tc>
          <w:tcPr>
            <w:tcW w:w="2127" w:type="dxa"/>
            <w:tcBorders>
              <w:top w:val="single" w:sz="8" w:space="0" w:color="000000"/>
              <w:left w:val="single" w:sz="8" w:space="0" w:color="000000"/>
              <w:bottom w:val="single" w:sz="8" w:space="0" w:color="000000"/>
              <w:right w:val="single" w:sz="8" w:space="0" w:color="000000"/>
            </w:tcBorders>
            <w:vAlign w:val="center"/>
          </w:tcPr>
          <w:p w:rsidR="00B064CF" w:rsidRDefault="00E32F70">
            <w:pPr>
              <w:spacing w:after="0" w:line="259" w:lineRule="auto"/>
              <w:ind w:left="0" w:firstLine="0"/>
              <w:jc w:val="left"/>
            </w:pPr>
            <w:r>
              <w:rPr>
                <w:sz w:val="20"/>
              </w:rPr>
              <w:t>4.473.828,95</w:t>
            </w:r>
            <w:r>
              <w:t xml:space="preserve"> </w:t>
            </w:r>
          </w:p>
        </w:tc>
      </w:tr>
      <w:tr w:rsidR="00B064CF">
        <w:trPr>
          <w:trHeight w:val="470"/>
        </w:trPr>
        <w:tc>
          <w:tcPr>
            <w:tcW w:w="6325"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b/>
                <w:sz w:val="20"/>
              </w:rPr>
              <w:t xml:space="preserve">e) TOTAL CAPACIDAD/NECESIDAD DE FINANCIACIÓN(c - d) </w:t>
            </w:r>
          </w:p>
        </w:tc>
        <w:tc>
          <w:tcPr>
            <w:tcW w:w="2127" w:type="dxa"/>
            <w:tcBorders>
              <w:top w:val="single" w:sz="8" w:space="0" w:color="000000"/>
              <w:left w:val="single" w:sz="8" w:space="0" w:color="000000"/>
              <w:bottom w:val="single" w:sz="8" w:space="0" w:color="000000"/>
              <w:right w:val="single" w:sz="8" w:space="0" w:color="000000"/>
            </w:tcBorders>
            <w:vAlign w:val="center"/>
          </w:tcPr>
          <w:p w:rsidR="00B064CF" w:rsidRDefault="00E32F70">
            <w:pPr>
              <w:spacing w:after="0" w:line="259" w:lineRule="auto"/>
              <w:ind w:left="0" w:firstLine="0"/>
              <w:jc w:val="left"/>
            </w:pPr>
            <w:r>
              <w:rPr>
                <w:b/>
                <w:sz w:val="20"/>
              </w:rPr>
              <w:t>- 867.866,62</w:t>
            </w:r>
            <w:r>
              <w:t xml:space="preserve"> </w:t>
            </w:r>
          </w:p>
        </w:tc>
      </w:tr>
    </w:tbl>
    <w:p w:rsidR="00B064CF" w:rsidRDefault="00E32F70">
      <w:pPr>
        <w:spacing w:after="98" w:line="259" w:lineRule="auto"/>
        <w:ind w:left="360" w:firstLine="0"/>
        <w:jc w:val="left"/>
      </w:pPr>
      <w:r>
        <w:t xml:space="preserve"> </w:t>
      </w:r>
    </w:p>
    <w:p w:rsidR="00B064CF" w:rsidRDefault="00E32F70">
      <w:pPr>
        <w:spacing w:after="111"/>
        <w:ind w:left="355" w:right="145"/>
      </w:pPr>
      <w:r>
        <w:t xml:space="preserve"> Ello nos da </w:t>
      </w:r>
      <w:r>
        <w:rPr>
          <w:b/>
        </w:rPr>
        <w:t>un saldo negativo de 867.866,62 Euros</w:t>
      </w:r>
      <w:r>
        <w:t xml:space="preserve">, por </w:t>
      </w:r>
      <w:r>
        <w:t xml:space="preserve">lo que, en principio, podemos decir que no se cumple el principio de estabilidad presupuestaria, en este primer trimestre del ejercicio 2021. </w:t>
      </w:r>
    </w:p>
    <w:p w:rsidR="00B064CF" w:rsidRDefault="00E32F70">
      <w:pPr>
        <w:spacing w:after="95" w:line="259" w:lineRule="auto"/>
        <w:ind w:left="360" w:firstLine="0"/>
        <w:jc w:val="left"/>
      </w:pPr>
      <w:r>
        <w:t xml:space="preserve"> </w:t>
      </w:r>
    </w:p>
    <w:p w:rsidR="00B064CF" w:rsidRDefault="00E32F70">
      <w:pPr>
        <w:spacing w:after="101" w:line="259" w:lineRule="auto"/>
        <w:ind w:left="360" w:firstLine="0"/>
        <w:jc w:val="left"/>
      </w:pPr>
      <w:r>
        <w:rPr>
          <w:b/>
        </w:rPr>
        <w:t xml:space="preserve"> </w:t>
      </w:r>
    </w:p>
    <w:p w:rsidR="00B064CF" w:rsidRDefault="00E32F70">
      <w:pPr>
        <w:pStyle w:val="Ttulo1"/>
        <w:ind w:left="355"/>
      </w:pPr>
      <w:r>
        <w:t>2.- CUMPLIMIENTO DE LA REGLA DE GASTO</w:t>
      </w:r>
      <w:r>
        <w:rPr>
          <w:u w:val="none"/>
        </w:rPr>
        <w:t xml:space="preserve"> </w:t>
      </w:r>
      <w:r>
        <w:rPr>
          <w:b w:val="0"/>
          <w:u w:val="none"/>
        </w:rPr>
        <w:t xml:space="preserve"> </w:t>
      </w:r>
    </w:p>
    <w:p w:rsidR="00B064CF" w:rsidRDefault="00E32F70">
      <w:pPr>
        <w:spacing w:after="100" w:line="259" w:lineRule="auto"/>
        <w:ind w:left="360" w:firstLine="0"/>
        <w:jc w:val="left"/>
      </w:pPr>
      <w:r>
        <w:t xml:space="preserve"> </w:t>
      </w:r>
    </w:p>
    <w:p w:rsidR="00B064CF" w:rsidRDefault="00E32F70">
      <w:pPr>
        <w:spacing w:after="114"/>
        <w:ind w:left="355" w:right="144"/>
      </w:pPr>
      <w:r>
        <w:rPr>
          <w:rFonts w:ascii="Calibri" w:eastAsia="Calibri" w:hAnsi="Calibri" w:cs="Calibri"/>
          <w:noProof/>
        </w:rPr>
        <mc:AlternateContent>
          <mc:Choice Requires="wpg">
            <w:drawing>
              <wp:anchor distT="0" distB="0" distL="114300" distR="114300" simplePos="0" relativeHeight="25173708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41276" name="Group 441276"/>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17004" name="Rectangle 17004"/>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17005" name="Rectangle 17005"/>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74 de 298 </w:t>
                              </w:r>
                            </w:p>
                          </w:txbxContent>
                        </wps:txbx>
                        <wps:bodyPr horzOverflow="overflow" vert="horz" lIns="0" tIns="0" rIns="0" bIns="0" rtlCol="0">
                          <a:noAutofit/>
                        </wps:bodyPr>
                      </wps:wsp>
                    </wpg:wgp>
                  </a:graphicData>
                </a:graphic>
              </wp:anchor>
            </w:drawing>
          </mc:Choice>
          <mc:Fallback xmlns:a="http://schemas.openxmlformats.org/drawingml/2006/main">
            <w:pict>
              <v:group id="Group 441276" style="width:12.7031pt;height:278.91pt;position:absolute;mso-position-horizontal-relative:page;mso-position-horizontal:absolute;margin-left:682.278pt;mso-position-vertical-relative:page;margin-top:533.01pt;" coordsize="1613,35421">
                <v:rect id="Rectangle 17004"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17005"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74 de 298 </w:t>
                        </w:r>
                      </w:p>
                    </w:txbxContent>
                  </v:textbox>
                </v:rect>
                <w10:wrap type="square"/>
              </v:group>
            </w:pict>
          </mc:Fallback>
        </mc:AlternateContent>
      </w:r>
      <w:r>
        <w:t xml:space="preserve"> El artículo 12 de la Ley Orgánica de Estabilidad Presupuestar</w:t>
      </w:r>
      <w:r>
        <w:t xml:space="preserve">ia exige también a las Entidades Locales que la variación de gasto no supere la tasa de referencia de crecimiento del PIB, correspondiendo al Ministerio su determinación.  </w:t>
      </w:r>
    </w:p>
    <w:p w:rsidR="00B064CF" w:rsidRDefault="00E32F70">
      <w:pPr>
        <w:spacing w:after="129"/>
        <w:ind w:left="355" w:right="143"/>
      </w:pPr>
      <w:r>
        <w:t xml:space="preserve"> En concreto, el Gobierno elevó al Congreso, junto a los objetivos de déficit públi</w:t>
      </w:r>
      <w:r>
        <w:t>co (0%) y de deuda pública (3 % del PIB) para el periodo 2021, que la regla de gasto para el</w:t>
      </w:r>
      <w:r>
        <w:rPr>
          <w:sz w:val="24"/>
        </w:rPr>
        <w:t xml:space="preserve"> </w:t>
      </w:r>
      <w:r>
        <w:t xml:space="preserve">ejercicio 2021, fuera del 3 %. Actualmente está suspendida. </w:t>
      </w:r>
    </w:p>
    <w:p w:rsidR="00B064CF" w:rsidRDefault="00E32F70">
      <w:pPr>
        <w:spacing w:after="114"/>
        <w:ind w:left="355" w:right="72"/>
      </w:pPr>
      <w:r>
        <w:rPr>
          <w:b/>
          <w:sz w:val="24"/>
        </w:rPr>
        <w:t xml:space="preserve">  </w:t>
      </w:r>
      <w:r>
        <w:t>La tasa de variación del gasto computable de un ejercicio se calcula de acuerdo con la siguiente fór</w:t>
      </w:r>
      <w:r>
        <w:t xml:space="preserve">mula:  </w:t>
      </w:r>
    </w:p>
    <w:p w:rsidR="00B064CF" w:rsidRDefault="00E32F70">
      <w:pPr>
        <w:spacing w:after="103" w:line="259" w:lineRule="auto"/>
        <w:ind w:left="360" w:firstLine="0"/>
        <w:jc w:val="left"/>
      </w:pPr>
      <w:r>
        <w:t xml:space="preserve"> </w:t>
      </w:r>
      <w:r>
        <w:tab/>
        <w:t xml:space="preserve"> </w:t>
      </w:r>
      <w:r>
        <w:tab/>
        <w:t xml:space="preserve"> </w:t>
      </w:r>
    </w:p>
    <w:p w:rsidR="00B064CF" w:rsidRDefault="00E32F70">
      <w:pPr>
        <w:ind w:left="355" w:right="72"/>
      </w:pPr>
      <w:r>
        <w:t>T.V. Gasto computable (%) = (Gasto</w:t>
      </w:r>
      <w:r>
        <w:rPr>
          <w:u w:val="single" w:color="000000"/>
        </w:rPr>
        <w:t xml:space="preserve"> computable año 2021</w:t>
      </w:r>
      <w:r>
        <w:rPr>
          <w:b/>
        </w:rPr>
        <w:t xml:space="preserve">    - </w:t>
      </w:r>
      <w:r>
        <w:t xml:space="preserve">1) * 100 </w:t>
      </w:r>
    </w:p>
    <w:p w:rsidR="00B064CF" w:rsidRDefault="00E32F70">
      <w:pPr>
        <w:tabs>
          <w:tab w:val="center" w:pos="360"/>
          <w:tab w:val="center" w:pos="1068"/>
          <w:tab w:val="center" w:pos="1776"/>
          <w:tab w:val="center" w:pos="2484"/>
          <w:tab w:val="center" w:pos="4784"/>
        </w:tabs>
        <w:spacing w:after="118"/>
        <w:ind w:left="0" w:firstLine="0"/>
        <w:jc w:val="left"/>
      </w:pPr>
      <w:r>
        <w:rPr>
          <w:rFonts w:ascii="Calibri" w:eastAsia="Calibri" w:hAnsi="Calibri" w:cs="Calibri"/>
        </w:rPr>
        <w:tab/>
      </w:r>
      <w:r>
        <w:rPr>
          <w:b/>
        </w:rPr>
        <w:t xml:space="preserve"> </w:t>
      </w:r>
      <w:r>
        <w:rPr>
          <w:b/>
        </w:rPr>
        <w:tab/>
        <w:t xml:space="preserve"> </w:t>
      </w:r>
      <w:r>
        <w:rPr>
          <w:b/>
        </w:rPr>
        <w:tab/>
        <w:t xml:space="preserve"> </w:t>
      </w:r>
      <w:r>
        <w:rPr>
          <w:b/>
        </w:rPr>
        <w:tab/>
        <w:t xml:space="preserve"> </w:t>
      </w:r>
      <w:r>
        <w:rPr>
          <w:b/>
        </w:rPr>
        <w:tab/>
        <w:t xml:space="preserve">      </w:t>
      </w:r>
      <w:r>
        <w:t xml:space="preserve">Gasto Computable año 2020 </w:t>
      </w:r>
    </w:p>
    <w:p w:rsidR="00B064CF" w:rsidRDefault="00E32F70">
      <w:pPr>
        <w:spacing w:after="112"/>
        <w:ind w:left="355" w:right="72"/>
      </w:pPr>
      <w:r>
        <w:t xml:space="preserve"> </w:t>
      </w:r>
      <w:r>
        <w:t xml:space="preserve">La Regla del Gasto tiene como objetivo limitar el crecimiento del gasto público, estableciendo un tope de aumento máximo en función del crecimiento de la economía española. </w:t>
      </w:r>
    </w:p>
    <w:p w:rsidR="00B064CF" w:rsidRDefault="00E32F70">
      <w:pPr>
        <w:spacing w:after="115"/>
        <w:ind w:left="355" w:right="147"/>
      </w:pPr>
      <w:r>
        <w:t xml:space="preserve"> El cálculo del gasto computable del año 2020 se realizará a partir de la liquidac</w:t>
      </w:r>
      <w:r>
        <w:t xml:space="preserve">ión del Presupuesto de dicho ejercicio. El gasto computable del año 2020 se obtendrá tomando como base la información disponible en el momento del cálculo de la liquidación.  </w:t>
      </w:r>
    </w:p>
    <w:p w:rsidR="00B064CF" w:rsidRDefault="00E32F70">
      <w:pPr>
        <w:spacing w:after="112"/>
        <w:ind w:left="355" w:right="149"/>
      </w:pPr>
      <w:r>
        <w:t xml:space="preserve"> Sobre este importe habrá que realizar una serie de ajustes que permitan aproxim</w:t>
      </w:r>
      <w:r>
        <w:t xml:space="preserve">ar los gastos presupuestarios a los empleos no financieros según los criterios del Sistema Europeo de Cuentas. A continuación, se detallan los principales ajustes a realizar partiendo de la liquidación: </w:t>
      </w:r>
    </w:p>
    <w:p w:rsidR="00B064CF" w:rsidRDefault="00E32F70">
      <w:pPr>
        <w:spacing w:after="98" w:line="259" w:lineRule="auto"/>
        <w:ind w:left="360" w:firstLine="0"/>
        <w:jc w:val="left"/>
      </w:pPr>
      <w:r>
        <w:rPr>
          <w:rFonts w:ascii="Calibri" w:eastAsia="Calibri" w:hAnsi="Calibri" w:cs="Calibri"/>
          <w:noProof/>
        </w:rPr>
        <mc:AlternateContent>
          <mc:Choice Requires="wpg">
            <w:drawing>
              <wp:anchor distT="0" distB="0" distL="114300" distR="114300" simplePos="0" relativeHeight="251738112" behindDoc="0" locked="0" layoutInCell="1" allowOverlap="1">
                <wp:simplePos x="0" y="0"/>
                <wp:positionH relativeFrom="page">
                  <wp:posOffset>8664935</wp:posOffset>
                </wp:positionH>
                <wp:positionV relativeFrom="page">
                  <wp:posOffset>6769227</wp:posOffset>
                </wp:positionV>
                <wp:extent cx="161330" cy="3542157"/>
                <wp:effectExtent l="0" t="0" r="0" b="0"/>
                <wp:wrapTopAndBottom/>
                <wp:docPr id="436140" name="Group 436140"/>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17357" name="Rectangle 17357"/>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64SKSNYNJRFPNN5DLPPAAC3GS | Veri</w:t>
                              </w:r>
                              <w:r>
                                <w:rPr>
                                  <w:sz w:val="12"/>
                                </w:rPr>
                                <w:t xml:space="preserve">ficación: https://candelaria.sedelectronica.es/ </w:t>
                              </w:r>
                            </w:p>
                          </w:txbxContent>
                        </wps:txbx>
                        <wps:bodyPr horzOverflow="overflow" vert="horz" lIns="0" tIns="0" rIns="0" bIns="0" rtlCol="0">
                          <a:noAutofit/>
                        </wps:bodyPr>
                      </wps:wsp>
                      <wps:wsp>
                        <wps:cNvPr id="17358" name="Rectangle 17358"/>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75 de 298 </w:t>
                              </w:r>
                            </w:p>
                          </w:txbxContent>
                        </wps:txbx>
                        <wps:bodyPr horzOverflow="overflow" vert="horz" lIns="0" tIns="0" rIns="0" bIns="0" rtlCol="0">
                          <a:noAutofit/>
                        </wps:bodyPr>
                      </wps:wsp>
                    </wpg:wgp>
                  </a:graphicData>
                </a:graphic>
              </wp:anchor>
            </w:drawing>
          </mc:Choice>
          <mc:Fallback xmlns:a="http://schemas.openxmlformats.org/drawingml/2006/main">
            <w:pict>
              <v:group id="Group 436140" style="width:12.7031pt;height:278.91pt;position:absolute;mso-position-horizontal-relative:page;mso-position-horizontal:absolute;margin-left:682.278pt;mso-position-vertical-relative:page;margin-top:533.01pt;" coordsize="1613,35421">
                <v:rect id="Rectangle 17357"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17358"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75 de 298 </w:t>
                        </w:r>
                      </w:p>
                    </w:txbxContent>
                  </v:textbox>
                </v:rect>
                <w10:wrap type="topAndBottom"/>
              </v:group>
            </w:pict>
          </mc:Fallback>
        </mc:AlternateContent>
      </w:r>
      <w:r>
        <w:t xml:space="preserve"> </w:t>
      </w:r>
    </w:p>
    <w:p w:rsidR="00B064CF" w:rsidRDefault="00E32F70">
      <w:pPr>
        <w:tabs>
          <w:tab w:val="center" w:pos="360"/>
          <w:tab w:val="center" w:pos="4933"/>
        </w:tabs>
        <w:spacing w:after="113" w:line="248" w:lineRule="auto"/>
        <w:ind w:left="0" w:firstLine="0"/>
        <w:jc w:val="left"/>
      </w:pPr>
      <w:r>
        <w:rPr>
          <w:rFonts w:ascii="Calibri" w:eastAsia="Calibri" w:hAnsi="Calibri" w:cs="Calibri"/>
        </w:rPr>
        <w:tab/>
      </w:r>
      <w:r>
        <w:rPr>
          <w:b/>
          <w:i/>
        </w:rPr>
        <w:t xml:space="preserve"> </w:t>
      </w:r>
      <w:r>
        <w:rPr>
          <w:b/>
          <w:i/>
        </w:rPr>
        <w:tab/>
        <w:t xml:space="preserve">1.- Gastos realizados en el ejercicio pendientes de aplicar al Presupuesto. </w:t>
      </w:r>
      <w:r>
        <w:t xml:space="preserve"> </w:t>
      </w:r>
    </w:p>
    <w:p w:rsidR="00B064CF" w:rsidRDefault="00E32F70">
      <w:pPr>
        <w:spacing w:after="98" w:line="259" w:lineRule="auto"/>
        <w:ind w:left="360" w:firstLine="0"/>
        <w:jc w:val="left"/>
      </w:pPr>
      <w:r>
        <w:t xml:space="preserve"> </w:t>
      </w:r>
    </w:p>
    <w:p w:rsidR="00B064CF" w:rsidRDefault="00E32F70">
      <w:pPr>
        <w:spacing w:after="114"/>
        <w:ind w:left="355" w:right="143"/>
      </w:pPr>
      <w:r>
        <w:t>No obstante, a través de l</w:t>
      </w:r>
      <w:r>
        <w:t xml:space="preserve">a partida 413 de gastos pendientes de aplicar al presupuesto, hay que hacer un ajuste negativo de 98.668,12 Euros, ya que el Saldo Final de la cuenta 41300, por importe de 128.696,04 Euros, es menor que el saldo inicial de la citada cuenta, que asciende a </w:t>
      </w:r>
      <w:r>
        <w:t xml:space="preserve">227.364,16 Euros. </w:t>
      </w:r>
    </w:p>
    <w:p w:rsidR="00B064CF" w:rsidRDefault="00E32F70">
      <w:pPr>
        <w:spacing w:after="98" w:line="259" w:lineRule="auto"/>
        <w:ind w:left="360" w:firstLine="0"/>
        <w:jc w:val="left"/>
      </w:pPr>
      <w:r>
        <w:t xml:space="preserve"> </w:t>
      </w:r>
    </w:p>
    <w:p w:rsidR="00B064CF" w:rsidRDefault="00E32F70">
      <w:pPr>
        <w:tabs>
          <w:tab w:val="center" w:pos="360"/>
          <w:tab w:val="right" w:pos="10072"/>
        </w:tabs>
        <w:spacing w:after="11"/>
        <w:ind w:left="0" w:firstLine="0"/>
        <w:jc w:val="left"/>
      </w:pPr>
      <w:r>
        <w:rPr>
          <w:rFonts w:ascii="Calibri" w:eastAsia="Calibri" w:hAnsi="Calibri" w:cs="Calibri"/>
        </w:rPr>
        <w:tab/>
      </w:r>
      <w:r>
        <w:t xml:space="preserve"> </w:t>
      </w:r>
      <w:r>
        <w:tab/>
        <w:t xml:space="preserve">A través del siguiente cuadro, reflejamos los datos anteriores y así obtener la regla del gasto: </w:t>
      </w:r>
    </w:p>
    <w:tbl>
      <w:tblPr>
        <w:tblStyle w:val="TableGrid"/>
        <w:tblW w:w="8649" w:type="dxa"/>
        <w:tblInd w:w="418" w:type="dxa"/>
        <w:tblCellMar>
          <w:top w:w="51" w:type="dxa"/>
          <w:left w:w="55" w:type="dxa"/>
          <w:bottom w:w="0" w:type="dxa"/>
          <w:right w:w="49" w:type="dxa"/>
        </w:tblCellMar>
        <w:tblLook w:val="04A0" w:firstRow="1" w:lastRow="0" w:firstColumn="1" w:lastColumn="0" w:noHBand="0" w:noVBand="1"/>
      </w:tblPr>
      <w:tblGrid>
        <w:gridCol w:w="4395"/>
        <w:gridCol w:w="1985"/>
        <w:gridCol w:w="2269"/>
      </w:tblGrid>
      <w:tr w:rsidR="00B064CF">
        <w:trPr>
          <w:trHeight w:val="1061"/>
        </w:trPr>
        <w:tc>
          <w:tcPr>
            <w:tcW w:w="439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 xml:space="preserve">CAPÍTULOS DE GASTO </w:t>
            </w:r>
          </w:p>
        </w:tc>
        <w:tc>
          <w:tcPr>
            <w:tcW w:w="198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 xml:space="preserve">OBLIGACIONES </w:t>
            </w:r>
          </w:p>
          <w:p w:rsidR="00B064CF" w:rsidRDefault="00E32F70">
            <w:pPr>
              <w:spacing w:after="0" w:line="239" w:lineRule="auto"/>
              <w:ind w:left="0" w:firstLine="0"/>
              <w:jc w:val="left"/>
            </w:pPr>
            <w:r>
              <w:rPr>
                <w:b/>
                <w:sz w:val="18"/>
              </w:rPr>
              <w:t xml:space="preserve">RECONOCIDAS. PRIMER TRIMESTRE </w:t>
            </w:r>
          </w:p>
          <w:p w:rsidR="00B064CF" w:rsidRDefault="00E32F70">
            <w:pPr>
              <w:spacing w:after="0" w:line="259" w:lineRule="auto"/>
              <w:ind w:left="0" w:firstLine="0"/>
              <w:jc w:val="left"/>
            </w:pPr>
            <w:r>
              <w:rPr>
                <w:b/>
                <w:sz w:val="18"/>
              </w:rPr>
              <w:t xml:space="preserve">2020.  </w:t>
            </w:r>
          </w:p>
        </w:tc>
        <w:tc>
          <w:tcPr>
            <w:tcW w:w="226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 xml:space="preserve">OBLIGACIONES RECONOCIDAS PRIMER TRIMESTRE 2021. </w:t>
            </w:r>
            <w:r>
              <w:t xml:space="preserve"> </w:t>
            </w:r>
          </w:p>
        </w:tc>
      </w:tr>
      <w:tr w:rsidR="00B064CF">
        <w:trPr>
          <w:trHeight w:val="439"/>
        </w:trPr>
        <w:tc>
          <w:tcPr>
            <w:tcW w:w="439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 xml:space="preserve"> </w:t>
            </w:r>
            <w:r>
              <w:rPr>
                <w:sz w:val="18"/>
              </w:rPr>
              <w:t xml:space="preserve">Gastos de personal </w:t>
            </w:r>
          </w:p>
        </w:tc>
        <w:tc>
          <w:tcPr>
            <w:tcW w:w="198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4" w:firstLine="0"/>
              <w:jc w:val="center"/>
            </w:pPr>
            <w:r>
              <w:rPr>
                <w:sz w:val="16"/>
              </w:rPr>
              <w:t xml:space="preserve">2.281.573,89 </w:t>
            </w:r>
          </w:p>
        </w:tc>
        <w:tc>
          <w:tcPr>
            <w:tcW w:w="226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4" w:firstLine="0"/>
              <w:jc w:val="center"/>
            </w:pPr>
            <w:r>
              <w:rPr>
                <w:sz w:val="16"/>
              </w:rPr>
              <w:t xml:space="preserve">2.501.874,14 </w:t>
            </w:r>
          </w:p>
        </w:tc>
      </w:tr>
      <w:tr w:rsidR="00B064CF">
        <w:trPr>
          <w:trHeight w:val="437"/>
        </w:trPr>
        <w:tc>
          <w:tcPr>
            <w:tcW w:w="439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 xml:space="preserve">Gastos en bienes y servicios </w:t>
            </w:r>
          </w:p>
        </w:tc>
        <w:tc>
          <w:tcPr>
            <w:tcW w:w="198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4" w:firstLine="0"/>
              <w:jc w:val="center"/>
            </w:pPr>
            <w:r>
              <w:rPr>
                <w:sz w:val="16"/>
              </w:rPr>
              <w:t xml:space="preserve">2.351.507,64 </w:t>
            </w:r>
          </w:p>
        </w:tc>
        <w:tc>
          <w:tcPr>
            <w:tcW w:w="226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4" w:firstLine="0"/>
              <w:jc w:val="center"/>
            </w:pPr>
            <w:r>
              <w:rPr>
                <w:sz w:val="16"/>
              </w:rPr>
              <w:t xml:space="preserve">1.797.315,78 </w:t>
            </w:r>
          </w:p>
        </w:tc>
      </w:tr>
      <w:tr w:rsidR="00B064CF">
        <w:trPr>
          <w:trHeight w:val="437"/>
        </w:trPr>
        <w:tc>
          <w:tcPr>
            <w:tcW w:w="439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pPr>
            <w:r>
              <w:rPr>
                <w:sz w:val="18"/>
              </w:rPr>
              <w:t xml:space="preserve">Gastos financieros (excluidos intereses de la Deuda) </w:t>
            </w:r>
          </w:p>
        </w:tc>
        <w:tc>
          <w:tcPr>
            <w:tcW w:w="198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6" w:firstLine="0"/>
              <w:jc w:val="center"/>
            </w:pPr>
            <w:r>
              <w:rPr>
                <w:sz w:val="16"/>
              </w:rPr>
              <w:t xml:space="preserve">2.011,13 </w:t>
            </w:r>
          </w:p>
        </w:tc>
        <w:tc>
          <w:tcPr>
            <w:tcW w:w="226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9" w:firstLine="0"/>
              <w:jc w:val="center"/>
            </w:pPr>
            <w:r>
              <w:rPr>
                <w:sz w:val="16"/>
              </w:rPr>
              <w:t xml:space="preserve">7.449,46 </w:t>
            </w:r>
          </w:p>
        </w:tc>
      </w:tr>
      <w:tr w:rsidR="00B064CF">
        <w:trPr>
          <w:trHeight w:val="437"/>
        </w:trPr>
        <w:tc>
          <w:tcPr>
            <w:tcW w:w="439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 xml:space="preserve"> Transferencias corrientes </w:t>
            </w:r>
          </w:p>
        </w:tc>
        <w:tc>
          <w:tcPr>
            <w:tcW w:w="198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8" w:firstLine="0"/>
              <w:jc w:val="center"/>
            </w:pPr>
            <w:r>
              <w:rPr>
                <w:sz w:val="16"/>
              </w:rPr>
              <w:t xml:space="preserve">161.768,17 </w:t>
            </w:r>
          </w:p>
        </w:tc>
        <w:tc>
          <w:tcPr>
            <w:tcW w:w="226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9" w:firstLine="0"/>
              <w:jc w:val="center"/>
            </w:pPr>
            <w:r>
              <w:rPr>
                <w:sz w:val="16"/>
              </w:rPr>
              <w:t xml:space="preserve">171.420,77 </w:t>
            </w:r>
          </w:p>
        </w:tc>
      </w:tr>
      <w:tr w:rsidR="00B064CF">
        <w:trPr>
          <w:trHeight w:val="437"/>
        </w:trPr>
        <w:tc>
          <w:tcPr>
            <w:tcW w:w="439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 xml:space="preserve">Inversiones reales </w:t>
            </w:r>
          </w:p>
        </w:tc>
        <w:tc>
          <w:tcPr>
            <w:tcW w:w="198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8" w:firstLine="0"/>
              <w:jc w:val="center"/>
            </w:pPr>
            <w:r>
              <w:rPr>
                <w:sz w:val="16"/>
              </w:rPr>
              <w:t xml:space="preserve">487.199,75 </w:t>
            </w:r>
          </w:p>
        </w:tc>
        <w:tc>
          <w:tcPr>
            <w:tcW w:w="226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9" w:firstLine="0"/>
              <w:jc w:val="center"/>
            </w:pPr>
            <w:r>
              <w:rPr>
                <w:sz w:val="16"/>
              </w:rPr>
              <w:t xml:space="preserve">94.411,15 </w:t>
            </w:r>
          </w:p>
        </w:tc>
      </w:tr>
      <w:tr w:rsidR="00B064CF">
        <w:trPr>
          <w:trHeight w:val="437"/>
        </w:trPr>
        <w:tc>
          <w:tcPr>
            <w:tcW w:w="439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 xml:space="preserve">Transferencias de capital </w:t>
            </w:r>
          </w:p>
        </w:tc>
        <w:tc>
          <w:tcPr>
            <w:tcW w:w="198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7" w:firstLine="0"/>
              <w:jc w:val="center"/>
            </w:pPr>
            <w:r>
              <w:rPr>
                <w:sz w:val="16"/>
              </w:rPr>
              <w:t xml:space="preserve">0,00 </w:t>
            </w:r>
          </w:p>
        </w:tc>
        <w:tc>
          <w:tcPr>
            <w:tcW w:w="226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8" w:firstLine="0"/>
              <w:jc w:val="center"/>
            </w:pPr>
            <w:r>
              <w:rPr>
                <w:sz w:val="16"/>
              </w:rPr>
              <w:t xml:space="preserve">0,00 </w:t>
            </w:r>
          </w:p>
        </w:tc>
      </w:tr>
      <w:tr w:rsidR="00B064CF">
        <w:trPr>
          <w:trHeight w:val="437"/>
        </w:trPr>
        <w:tc>
          <w:tcPr>
            <w:tcW w:w="439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 xml:space="preserve">EMPLEOS (CAP. 1-7) </w:t>
            </w:r>
          </w:p>
        </w:tc>
        <w:tc>
          <w:tcPr>
            <w:tcW w:w="198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right="6" w:firstLine="0"/>
              <w:jc w:val="center"/>
            </w:pPr>
            <w:r>
              <w:rPr>
                <w:b/>
                <w:sz w:val="18"/>
              </w:rPr>
              <w:t xml:space="preserve">5.421.443,70 Euros </w:t>
            </w:r>
          </w:p>
        </w:tc>
        <w:tc>
          <w:tcPr>
            <w:tcW w:w="226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4.572.497,07 Euros</w:t>
            </w:r>
            <w:r>
              <w:t xml:space="preserve"> </w:t>
            </w:r>
          </w:p>
        </w:tc>
      </w:tr>
      <w:tr w:rsidR="00B064CF">
        <w:trPr>
          <w:trHeight w:val="437"/>
        </w:trPr>
        <w:tc>
          <w:tcPr>
            <w:tcW w:w="439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 xml:space="preserve">Ajustes Contabilidad Nacional en 2017 y 2018 </w:t>
            </w:r>
            <w:r>
              <w:t xml:space="preserve"> </w:t>
            </w:r>
          </w:p>
        </w:tc>
        <w:tc>
          <w:tcPr>
            <w:tcW w:w="198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 xml:space="preserve"> </w:t>
            </w:r>
          </w:p>
        </w:tc>
        <w:tc>
          <w:tcPr>
            <w:tcW w:w="226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 xml:space="preserve"> </w:t>
            </w:r>
          </w:p>
        </w:tc>
      </w:tr>
      <w:tr w:rsidR="00B064CF">
        <w:trPr>
          <w:trHeight w:val="437"/>
        </w:trPr>
        <w:tc>
          <w:tcPr>
            <w:tcW w:w="439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 xml:space="preserve"> </w:t>
            </w:r>
          </w:p>
        </w:tc>
        <w:tc>
          <w:tcPr>
            <w:tcW w:w="198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 xml:space="preserve"> </w:t>
            </w:r>
          </w:p>
        </w:tc>
        <w:tc>
          <w:tcPr>
            <w:tcW w:w="226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 xml:space="preserve"> </w:t>
            </w:r>
          </w:p>
        </w:tc>
      </w:tr>
      <w:tr w:rsidR="00B064CF">
        <w:trPr>
          <w:trHeight w:val="691"/>
        </w:trPr>
        <w:tc>
          <w:tcPr>
            <w:tcW w:w="439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20"/>
              </w:rPr>
              <w:t xml:space="preserve">(+/-) Gastos realizados en el ejercicio pendiente de aplicar  </w:t>
            </w:r>
          </w:p>
        </w:tc>
        <w:tc>
          <w:tcPr>
            <w:tcW w:w="198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6"/>
              </w:rPr>
              <w:t>-</w:t>
            </w:r>
            <w:r>
              <w:rPr>
                <w:sz w:val="16"/>
              </w:rPr>
              <w:t xml:space="preserve">110.428,43 </w:t>
            </w:r>
          </w:p>
        </w:tc>
        <w:tc>
          <w:tcPr>
            <w:tcW w:w="226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-98.668,12</w:t>
            </w:r>
            <w:r>
              <w:t xml:space="preserve"> </w:t>
            </w:r>
          </w:p>
        </w:tc>
      </w:tr>
      <w:tr w:rsidR="00B064CF">
        <w:trPr>
          <w:trHeight w:val="437"/>
        </w:trPr>
        <w:tc>
          <w:tcPr>
            <w:tcW w:w="439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 xml:space="preserve">TOTAL AJUSTES </w:t>
            </w:r>
          </w:p>
        </w:tc>
        <w:tc>
          <w:tcPr>
            <w:tcW w:w="198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 xml:space="preserve"> </w:t>
            </w:r>
          </w:p>
        </w:tc>
        <w:tc>
          <w:tcPr>
            <w:tcW w:w="226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 xml:space="preserve"> </w:t>
            </w:r>
          </w:p>
        </w:tc>
      </w:tr>
      <w:tr w:rsidR="00B064CF">
        <w:trPr>
          <w:trHeight w:val="437"/>
        </w:trPr>
        <w:tc>
          <w:tcPr>
            <w:tcW w:w="439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 xml:space="preserve">Gasto Financiado con Fondos Finalistas en 2020 </w:t>
            </w:r>
          </w:p>
        </w:tc>
        <w:tc>
          <w:tcPr>
            <w:tcW w:w="198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 xml:space="preserve">- 488.955,36 </w:t>
            </w:r>
          </w:p>
        </w:tc>
        <w:tc>
          <w:tcPr>
            <w:tcW w:w="226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-826.810,39</w:t>
            </w:r>
            <w:r>
              <w:t xml:space="preserve"> </w:t>
            </w:r>
          </w:p>
        </w:tc>
      </w:tr>
      <w:tr w:rsidR="00B064CF">
        <w:trPr>
          <w:trHeight w:val="439"/>
        </w:trPr>
        <w:tc>
          <w:tcPr>
            <w:tcW w:w="4395" w:type="dxa"/>
            <w:tcBorders>
              <w:top w:val="nil"/>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 xml:space="preserve">y 2021:  </w:t>
            </w:r>
          </w:p>
        </w:tc>
        <w:tc>
          <w:tcPr>
            <w:tcW w:w="1985" w:type="dxa"/>
            <w:tcBorders>
              <w:top w:val="nil"/>
              <w:left w:val="single" w:sz="2" w:space="0" w:color="000000"/>
              <w:bottom w:val="single" w:sz="2" w:space="0" w:color="000000"/>
              <w:right w:val="single" w:sz="2" w:space="0" w:color="000000"/>
            </w:tcBorders>
          </w:tcPr>
          <w:p w:rsidR="00B064CF" w:rsidRDefault="00B064CF">
            <w:pPr>
              <w:spacing w:after="160" w:line="259" w:lineRule="auto"/>
              <w:ind w:left="0" w:firstLine="0"/>
              <w:jc w:val="left"/>
            </w:pPr>
          </w:p>
        </w:tc>
        <w:tc>
          <w:tcPr>
            <w:tcW w:w="2269" w:type="dxa"/>
            <w:tcBorders>
              <w:top w:val="nil"/>
              <w:left w:val="single" w:sz="2" w:space="0" w:color="000000"/>
              <w:bottom w:val="single" w:sz="2" w:space="0" w:color="000000"/>
              <w:right w:val="single" w:sz="2" w:space="0" w:color="000000"/>
            </w:tcBorders>
          </w:tcPr>
          <w:p w:rsidR="00B064CF" w:rsidRDefault="00B064CF">
            <w:pPr>
              <w:spacing w:after="160" w:line="259" w:lineRule="auto"/>
              <w:ind w:left="0" w:firstLine="0"/>
              <w:jc w:val="left"/>
            </w:pPr>
          </w:p>
        </w:tc>
      </w:tr>
      <w:tr w:rsidR="00B064CF">
        <w:trPr>
          <w:trHeight w:val="437"/>
        </w:trPr>
        <w:tc>
          <w:tcPr>
            <w:tcW w:w="439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 xml:space="preserve">Inversiones Financieramente Sostenibles </w:t>
            </w:r>
          </w:p>
        </w:tc>
        <w:tc>
          <w:tcPr>
            <w:tcW w:w="198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 xml:space="preserve"> 0,00 </w:t>
            </w:r>
          </w:p>
        </w:tc>
        <w:tc>
          <w:tcPr>
            <w:tcW w:w="226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 xml:space="preserve">0,00 </w:t>
            </w:r>
          </w:p>
        </w:tc>
      </w:tr>
      <w:tr w:rsidR="00B064CF">
        <w:trPr>
          <w:trHeight w:val="766"/>
        </w:trPr>
        <w:tc>
          <w:tcPr>
            <w:tcW w:w="439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 xml:space="preserve">GASTO COMPUTABLE </w:t>
            </w:r>
          </w:p>
        </w:tc>
        <w:tc>
          <w:tcPr>
            <w:tcW w:w="1985" w:type="dxa"/>
            <w:tcBorders>
              <w:top w:val="single" w:sz="2" w:space="0" w:color="000000"/>
              <w:left w:val="single" w:sz="2" w:space="0" w:color="000000"/>
              <w:bottom w:val="single" w:sz="2" w:space="0" w:color="000000"/>
              <w:right w:val="single" w:sz="2" w:space="0" w:color="000000"/>
            </w:tcBorders>
          </w:tcPr>
          <w:p w:rsidR="00B064CF" w:rsidRDefault="00E32F70">
            <w:pPr>
              <w:spacing w:after="105" w:line="259" w:lineRule="auto"/>
              <w:ind w:left="0" w:firstLine="0"/>
              <w:jc w:val="left"/>
            </w:pPr>
            <w:r>
              <w:rPr>
                <w:b/>
                <w:sz w:val="18"/>
              </w:rPr>
              <w:t xml:space="preserve">4.822.059,91 </w:t>
            </w:r>
          </w:p>
          <w:p w:rsidR="00B064CF" w:rsidRDefault="00E32F70">
            <w:pPr>
              <w:spacing w:after="0" w:line="259" w:lineRule="auto"/>
              <w:ind w:left="0" w:firstLine="0"/>
              <w:jc w:val="left"/>
            </w:pPr>
            <w:r>
              <w:rPr>
                <w:b/>
                <w:sz w:val="18"/>
              </w:rPr>
              <w:t xml:space="preserve"> </w:t>
            </w:r>
          </w:p>
        </w:tc>
        <w:tc>
          <w:tcPr>
            <w:tcW w:w="226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3.647.018,56</w:t>
            </w:r>
            <w:r>
              <w:t xml:space="preserve"> </w:t>
            </w:r>
          </w:p>
        </w:tc>
      </w:tr>
      <w:tr w:rsidR="00B064CF">
        <w:trPr>
          <w:trHeight w:val="644"/>
        </w:trPr>
        <w:tc>
          <w:tcPr>
            <w:tcW w:w="439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INCREMENTOS DE RECAUDACIÓN POR CAMBIOS NORMATIVOS</w:t>
            </w:r>
            <w:r>
              <w:t xml:space="preserve"> </w:t>
            </w:r>
          </w:p>
        </w:tc>
        <w:tc>
          <w:tcPr>
            <w:tcW w:w="198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 xml:space="preserve"> </w:t>
            </w:r>
          </w:p>
        </w:tc>
        <w:tc>
          <w:tcPr>
            <w:tcW w:w="226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 xml:space="preserve"> </w:t>
            </w:r>
          </w:p>
        </w:tc>
      </w:tr>
      <w:tr w:rsidR="00B064CF">
        <w:trPr>
          <w:trHeight w:val="643"/>
        </w:trPr>
        <w:tc>
          <w:tcPr>
            <w:tcW w:w="439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DISMINUCIONES DE RECAUDACIÓN POR CAMBIOS NORMATIVOS</w:t>
            </w:r>
            <w:r>
              <w:t xml:space="preserve"> </w:t>
            </w:r>
          </w:p>
        </w:tc>
        <w:tc>
          <w:tcPr>
            <w:tcW w:w="198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 xml:space="preserve"> </w:t>
            </w:r>
          </w:p>
        </w:tc>
        <w:tc>
          <w:tcPr>
            <w:tcW w:w="226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 xml:space="preserve"> </w:t>
            </w:r>
          </w:p>
        </w:tc>
      </w:tr>
      <w:tr w:rsidR="00B064CF">
        <w:trPr>
          <w:trHeight w:val="437"/>
        </w:trPr>
        <w:tc>
          <w:tcPr>
            <w:tcW w:w="439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 xml:space="preserve"> </w:t>
            </w:r>
          </w:p>
        </w:tc>
        <w:tc>
          <w:tcPr>
            <w:tcW w:w="198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 xml:space="preserve"> </w:t>
            </w:r>
          </w:p>
        </w:tc>
        <w:tc>
          <w:tcPr>
            <w:tcW w:w="226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 xml:space="preserve"> </w:t>
            </w:r>
          </w:p>
        </w:tc>
      </w:tr>
      <w:tr w:rsidR="00B064CF">
        <w:trPr>
          <w:trHeight w:val="766"/>
        </w:trPr>
        <w:tc>
          <w:tcPr>
            <w:tcW w:w="439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 xml:space="preserve">GASTO COMPUTABLE AJUSTADO </w:t>
            </w:r>
          </w:p>
        </w:tc>
        <w:tc>
          <w:tcPr>
            <w:tcW w:w="1985" w:type="dxa"/>
            <w:tcBorders>
              <w:top w:val="single" w:sz="2" w:space="0" w:color="000000"/>
              <w:left w:val="single" w:sz="2" w:space="0" w:color="000000"/>
              <w:bottom w:val="single" w:sz="2" w:space="0" w:color="000000"/>
              <w:right w:val="single" w:sz="2" w:space="0" w:color="000000"/>
            </w:tcBorders>
          </w:tcPr>
          <w:p w:rsidR="00B064CF" w:rsidRDefault="00E32F70">
            <w:pPr>
              <w:spacing w:after="105" w:line="259" w:lineRule="auto"/>
              <w:ind w:left="0" w:firstLine="0"/>
              <w:jc w:val="left"/>
            </w:pPr>
            <w:r>
              <w:rPr>
                <w:b/>
                <w:sz w:val="18"/>
              </w:rPr>
              <w:t xml:space="preserve">4.822.059,91 </w:t>
            </w:r>
          </w:p>
          <w:p w:rsidR="00B064CF" w:rsidRDefault="00E32F70">
            <w:pPr>
              <w:spacing w:after="0" w:line="259" w:lineRule="auto"/>
              <w:ind w:left="0" w:firstLine="0"/>
              <w:jc w:val="left"/>
            </w:pPr>
            <w:r>
              <w:rPr>
                <w:b/>
                <w:sz w:val="18"/>
              </w:rPr>
              <w:t xml:space="preserve"> </w:t>
            </w:r>
          </w:p>
        </w:tc>
        <w:tc>
          <w:tcPr>
            <w:tcW w:w="226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3.647.018,56</w:t>
            </w:r>
            <w:r>
              <w:t xml:space="preserve"> </w:t>
            </w:r>
          </w:p>
        </w:tc>
      </w:tr>
      <w:tr w:rsidR="00B064CF">
        <w:trPr>
          <w:trHeight w:val="643"/>
        </w:trPr>
        <w:tc>
          <w:tcPr>
            <w:tcW w:w="439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 xml:space="preserve">1. VARIACIÓN DEL GASTO COMPUTABLE (en </w:t>
            </w:r>
          </w:p>
          <w:p w:rsidR="00B064CF" w:rsidRDefault="00E32F70">
            <w:pPr>
              <w:spacing w:after="0" w:line="259" w:lineRule="auto"/>
              <w:ind w:left="0" w:firstLine="0"/>
              <w:jc w:val="left"/>
            </w:pPr>
            <w:r>
              <w:rPr>
                <w:b/>
                <w:sz w:val="18"/>
              </w:rPr>
              <w:t xml:space="preserve">porcentaje) </w:t>
            </w:r>
          </w:p>
        </w:tc>
        <w:tc>
          <w:tcPr>
            <w:tcW w:w="198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 xml:space="preserve">0,76 </w:t>
            </w:r>
          </w:p>
        </w:tc>
        <w:tc>
          <w:tcPr>
            <w:tcW w:w="226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 xml:space="preserve"> </w:t>
            </w:r>
          </w:p>
        </w:tc>
      </w:tr>
      <w:tr w:rsidR="00B064CF">
        <w:trPr>
          <w:trHeight w:val="644"/>
        </w:trPr>
        <w:tc>
          <w:tcPr>
            <w:tcW w:w="439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pPr>
            <w:r>
              <w:rPr>
                <w:b/>
                <w:sz w:val="18"/>
              </w:rPr>
              <w:t xml:space="preserve">2. TASA DE REFERENCIA CRECIMIENTO PIB M/P </w:t>
            </w:r>
          </w:p>
          <w:p w:rsidR="00B064CF" w:rsidRDefault="00E32F70">
            <w:pPr>
              <w:spacing w:after="0" w:line="259" w:lineRule="auto"/>
              <w:ind w:left="0" w:firstLine="0"/>
              <w:jc w:val="left"/>
            </w:pPr>
            <w:r>
              <w:rPr>
                <w:b/>
                <w:sz w:val="18"/>
              </w:rPr>
              <w:t xml:space="preserve">2020 (en porcentaje) </w:t>
            </w:r>
          </w:p>
        </w:tc>
        <w:tc>
          <w:tcPr>
            <w:tcW w:w="198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 xml:space="preserve">3 (Suspendido) </w:t>
            </w:r>
          </w:p>
        </w:tc>
        <w:tc>
          <w:tcPr>
            <w:tcW w:w="226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 xml:space="preserve"> </w:t>
            </w:r>
          </w:p>
        </w:tc>
      </w:tr>
      <w:tr w:rsidR="00B064CF">
        <w:trPr>
          <w:trHeight w:val="437"/>
        </w:trPr>
        <w:tc>
          <w:tcPr>
            <w:tcW w:w="439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 xml:space="preserve">2-1. CUMPLE CON LA REGLA DEL GASTO 2 &gt;1 </w:t>
            </w:r>
          </w:p>
        </w:tc>
        <w:tc>
          <w:tcPr>
            <w:tcW w:w="198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 xml:space="preserve">SI </w:t>
            </w:r>
          </w:p>
        </w:tc>
        <w:tc>
          <w:tcPr>
            <w:tcW w:w="226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 xml:space="preserve"> </w:t>
            </w:r>
          </w:p>
        </w:tc>
      </w:tr>
      <w:tr w:rsidR="00B064CF">
        <w:trPr>
          <w:trHeight w:val="439"/>
        </w:trPr>
        <w:tc>
          <w:tcPr>
            <w:tcW w:w="439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 xml:space="preserve"> </w:t>
            </w:r>
          </w:p>
        </w:tc>
        <w:tc>
          <w:tcPr>
            <w:tcW w:w="198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 xml:space="preserve"> </w:t>
            </w:r>
          </w:p>
        </w:tc>
        <w:tc>
          <w:tcPr>
            <w:tcW w:w="226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 xml:space="preserve"> </w:t>
            </w:r>
          </w:p>
        </w:tc>
      </w:tr>
      <w:tr w:rsidR="00B064CF">
        <w:trPr>
          <w:trHeight w:val="437"/>
        </w:trPr>
        <w:tc>
          <w:tcPr>
            <w:tcW w:w="439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 xml:space="preserve"> </w:t>
            </w:r>
          </w:p>
        </w:tc>
        <w:tc>
          <w:tcPr>
            <w:tcW w:w="198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 xml:space="preserve"> </w:t>
            </w:r>
          </w:p>
        </w:tc>
        <w:tc>
          <w:tcPr>
            <w:tcW w:w="226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 xml:space="preserve"> </w:t>
            </w:r>
          </w:p>
        </w:tc>
      </w:tr>
    </w:tbl>
    <w:p w:rsidR="00B064CF" w:rsidRDefault="00E32F70">
      <w:pPr>
        <w:spacing w:after="98" w:line="259" w:lineRule="auto"/>
        <w:ind w:left="360" w:firstLine="0"/>
        <w:jc w:val="left"/>
      </w:pPr>
      <w:r>
        <w:rPr>
          <w:sz w:val="24"/>
        </w:rPr>
        <w:t xml:space="preserve"> </w:t>
      </w:r>
    </w:p>
    <w:p w:rsidR="00B064CF" w:rsidRDefault="00E32F70">
      <w:pPr>
        <w:spacing w:after="114"/>
        <w:ind w:left="355" w:right="72"/>
      </w:pPr>
      <w:r>
        <w:rPr>
          <w:sz w:val="24"/>
        </w:rPr>
        <w:t xml:space="preserve"> </w:t>
      </w:r>
      <w:r>
        <w:t xml:space="preserve">Se cumple la Regla del Gasto en 1.319.703,15 Euros, bajo el supuesto de no suspensión de las Reglas Fiscales. </w:t>
      </w:r>
    </w:p>
    <w:p w:rsidR="00B064CF" w:rsidRDefault="00E32F70">
      <w:pPr>
        <w:spacing w:after="95" w:line="259" w:lineRule="auto"/>
        <w:ind w:left="360" w:firstLine="0"/>
        <w:jc w:val="left"/>
      </w:pPr>
      <w:r>
        <w:t xml:space="preserve"> </w:t>
      </w:r>
    </w:p>
    <w:p w:rsidR="00B064CF" w:rsidRDefault="00E32F70">
      <w:pPr>
        <w:pStyle w:val="Ttulo1"/>
        <w:ind w:left="355"/>
      </w:pPr>
      <w:r>
        <w:rPr>
          <w:rFonts w:ascii="Calibri" w:eastAsia="Calibri" w:hAnsi="Calibri" w:cs="Calibri"/>
          <w:noProof/>
        </w:rPr>
        <mc:AlternateContent>
          <mc:Choice Requires="wpg">
            <w:drawing>
              <wp:anchor distT="0" distB="0" distL="114300" distR="114300" simplePos="0" relativeHeight="25173913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39601" name="Group 439601"/>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17743" name="Rectangle 17743"/>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17744" name="Rectangle 17744"/>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Documento firmado electrónicamente desde</w:t>
                              </w:r>
                              <w:r>
                                <w:rPr>
                                  <w:sz w:val="12"/>
                                </w:rPr>
                                <w:t xml:space="preserve"> la plataforma esPublico Gestiona | Página 76 de 298 </w:t>
                              </w:r>
                            </w:p>
                          </w:txbxContent>
                        </wps:txbx>
                        <wps:bodyPr horzOverflow="overflow" vert="horz" lIns="0" tIns="0" rIns="0" bIns="0" rtlCol="0">
                          <a:noAutofit/>
                        </wps:bodyPr>
                      </wps:wsp>
                    </wpg:wgp>
                  </a:graphicData>
                </a:graphic>
              </wp:anchor>
            </w:drawing>
          </mc:Choice>
          <mc:Fallback xmlns:a="http://schemas.openxmlformats.org/drawingml/2006/main">
            <w:pict>
              <v:group id="Group 439601" style="width:12.7031pt;height:278.91pt;position:absolute;mso-position-horizontal-relative:page;mso-position-horizontal:absolute;margin-left:682.278pt;mso-position-vertical-relative:page;margin-top:533.01pt;" coordsize="1613,35421">
                <v:rect id="Rectangle 17743"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17744"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76 de 298 </w:t>
                        </w:r>
                      </w:p>
                    </w:txbxContent>
                  </v:textbox>
                </v:rect>
                <w10:wrap type="square"/>
              </v:group>
            </w:pict>
          </mc:Fallback>
        </mc:AlternateContent>
      </w:r>
      <w:r>
        <w:t>3.- CUMPLIMIENTO DEL LÍMITE DE DEUDA</w:t>
      </w:r>
      <w:r>
        <w:rPr>
          <w:b w:val="0"/>
          <w:u w:val="none"/>
        </w:rPr>
        <w:t xml:space="preserve"> </w:t>
      </w:r>
    </w:p>
    <w:p w:rsidR="00B064CF" w:rsidRDefault="00E32F70">
      <w:pPr>
        <w:spacing w:after="100" w:line="259" w:lineRule="auto"/>
        <w:ind w:left="360" w:firstLine="0"/>
        <w:jc w:val="left"/>
      </w:pPr>
      <w:r>
        <w:t xml:space="preserve"> </w:t>
      </w:r>
    </w:p>
    <w:p w:rsidR="00B064CF" w:rsidRDefault="00E32F70">
      <w:pPr>
        <w:spacing w:after="114"/>
        <w:ind w:left="355" w:right="72"/>
      </w:pPr>
      <w:r>
        <w:t xml:space="preserve"> </w:t>
      </w:r>
      <w:r>
        <w:t xml:space="preserve">La LOEPSF (art. 13) establece la obligación de no rebasar el límite de deuda pública, que ha sido fijado en el 2 % del PIB, para el ejercicio 2021. Actualmente está suspendida para el 2021. </w:t>
      </w:r>
    </w:p>
    <w:p w:rsidR="00B064CF" w:rsidRDefault="00E32F70">
      <w:pPr>
        <w:spacing w:after="11"/>
        <w:ind w:left="355" w:right="72"/>
      </w:pPr>
      <w:r>
        <w:t xml:space="preserve">             En cuanto al volumen de deuda formalizada, al final </w:t>
      </w:r>
      <w:r>
        <w:t xml:space="preserve">del primer trimestre de 2021, se cifra en: </w:t>
      </w:r>
    </w:p>
    <w:tbl>
      <w:tblPr>
        <w:tblStyle w:val="TableGrid"/>
        <w:tblW w:w="8687" w:type="dxa"/>
        <w:tblInd w:w="387" w:type="dxa"/>
        <w:tblCellMar>
          <w:top w:w="0" w:type="dxa"/>
          <w:left w:w="106" w:type="dxa"/>
          <w:bottom w:w="0" w:type="dxa"/>
          <w:right w:w="0" w:type="dxa"/>
        </w:tblCellMar>
        <w:tblLook w:val="04A0" w:firstRow="1" w:lastRow="0" w:firstColumn="1" w:lastColumn="0" w:noHBand="0" w:noVBand="1"/>
      </w:tblPr>
      <w:tblGrid>
        <w:gridCol w:w="6791"/>
        <w:gridCol w:w="1897"/>
      </w:tblGrid>
      <w:tr w:rsidR="00B064CF">
        <w:trPr>
          <w:trHeight w:val="240"/>
        </w:trPr>
        <w:tc>
          <w:tcPr>
            <w:tcW w:w="67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b/>
                <w:sz w:val="20"/>
              </w:rPr>
              <w:t xml:space="preserve">ESTADO DE MOVIMIENTO Y SITUACIÓN DE LA DEUDA </w:t>
            </w:r>
          </w:p>
        </w:tc>
        <w:tc>
          <w:tcPr>
            <w:tcW w:w="189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20"/>
              </w:rPr>
              <w:t>IMPORTE</w:t>
            </w:r>
            <w:r>
              <w:rPr>
                <w:rFonts w:ascii="Times New Roman" w:eastAsia="Times New Roman" w:hAnsi="Times New Roman" w:cs="Times New Roman"/>
                <w:sz w:val="24"/>
              </w:rPr>
              <w:t xml:space="preserve"> </w:t>
            </w:r>
          </w:p>
        </w:tc>
      </w:tr>
      <w:tr w:rsidR="00B064CF">
        <w:trPr>
          <w:trHeight w:val="240"/>
        </w:trPr>
        <w:tc>
          <w:tcPr>
            <w:tcW w:w="67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sz w:val="20"/>
              </w:rPr>
              <w:t xml:space="preserve">Emisiones de deuda </w:t>
            </w:r>
          </w:p>
        </w:tc>
        <w:tc>
          <w:tcPr>
            <w:tcW w:w="189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10" w:firstLine="0"/>
              <w:jc w:val="right"/>
            </w:pPr>
            <w:r>
              <w:rPr>
                <w:sz w:val="20"/>
              </w:rPr>
              <w:t>0,00</w:t>
            </w:r>
            <w:r>
              <w:rPr>
                <w:rFonts w:ascii="Times New Roman" w:eastAsia="Times New Roman" w:hAnsi="Times New Roman" w:cs="Times New Roman"/>
                <w:sz w:val="24"/>
              </w:rPr>
              <w:t xml:space="preserve"> </w:t>
            </w:r>
          </w:p>
        </w:tc>
      </w:tr>
      <w:tr w:rsidR="00B064CF">
        <w:trPr>
          <w:trHeight w:val="240"/>
        </w:trPr>
        <w:tc>
          <w:tcPr>
            <w:tcW w:w="67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sz w:val="20"/>
              </w:rPr>
              <w:t>Operaciones con Entidades de Crédito formalizados</w:t>
            </w:r>
            <w:r>
              <w:rPr>
                <w:rFonts w:ascii="Times New Roman" w:eastAsia="Times New Roman" w:hAnsi="Times New Roman" w:cs="Times New Roman"/>
                <w:sz w:val="24"/>
              </w:rPr>
              <w:t xml:space="preserve"> </w:t>
            </w:r>
          </w:p>
        </w:tc>
        <w:tc>
          <w:tcPr>
            <w:tcW w:w="189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10" w:firstLine="0"/>
              <w:jc w:val="right"/>
            </w:pPr>
            <w:r>
              <w:rPr>
                <w:sz w:val="20"/>
              </w:rPr>
              <w:t>0,00</w:t>
            </w:r>
            <w:r>
              <w:rPr>
                <w:rFonts w:ascii="Times New Roman" w:eastAsia="Times New Roman" w:hAnsi="Times New Roman" w:cs="Times New Roman"/>
                <w:sz w:val="24"/>
              </w:rPr>
              <w:t xml:space="preserve"> </w:t>
            </w:r>
          </w:p>
        </w:tc>
      </w:tr>
      <w:tr w:rsidR="00B064CF">
        <w:trPr>
          <w:trHeight w:val="240"/>
        </w:trPr>
        <w:tc>
          <w:tcPr>
            <w:tcW w:w="67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sz w:val="20"/>
              </w:rPr>
              <w:t xml:space="preserve">Avales a entes instrumentales </w:t>
            </w:r>
          </w:p>
        </w:tc>
        <w:tc>
          <w:tcPr>
            <w:tcW w:w="189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08" w:firstLine="0"/>
              <w:jc w:val="right"/>
            </w:pPr>
            <w:r>
              <w:rPr>
                <w:sz w:val="20"/>
              </w:rPr>
              <w:t xml:space="preserve">0,00 </w:t>
            </w:r>
            <w:r>
              <w:rPr>
                <w:rFonts w:ascii="Times New Roman" w:eastAsia="Times New Roman" w:hAnsi="Times New Roman" w:cs="Times New Roman"/>
                <w:sz w:val="24"/>
              </w:rPr>
              <w:t xml:space="preserve"> </w:t>
            </w:r>
          </w:p>
        </w:tc>
      </w:tr>
      <w:tr w:rsidR="00B064CF">
        <w:trPr>
          <w:trHeight w:val="240"/>
        </w:trPr>
        <w:tc>
          <w:tcPr>
            <w:tcW w:w="67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sz w:val="20"/>
              </w:rPr>
              <w:t xml:space="preserve">Factoring sin recurso </w:t>
            </w:r>
          </w:p>
        </w:tc>
        <w:tc>
          <w:tcPr>
            <w:tcW w:w="189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10" w:firstLine="0"/>
              <w:jc w:val="right"/>
            </w:pPr>
            <w:r>
              <w:rPr>
                <w:sz w:val="20"/>
              </w:rPr>
              <w:t>0,00</w:t>
            </w:r>
            <w:r>
              <w:rPr>
                <w:rFonts w:ascii="Times New Roman" w:eastAsia="Times New Roman" w:hAnsi="Times New Roman" w:cs="Times New Roman"/>
                <w:sz w:val="24"/>
              </w:rPr>
              <w:t xml:space="preserve"> </w:t>
            </w:r>
          </w:p>
        </w:tc>
      </w:tr>
      <w:tr w:rsidR="00B064CF">
        <w:trPr>
          <w:trHeight w:val="240"/>
        </w:trPr>
        <w:tc>
          <w:tcPr>
            <w:tcW w:w="67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sz w:val="20"/>
              </w:rPr>
              <w:t xml:space="preserve">Avales ejecutados </w:t>
            </w:r>
          </w:p>
        </w:tc>
        <w:tc>
          <w:tcPr>
            <w:tcW w:w="189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10" w:firstLine="0"/>
              <w:jc w:val="right"/>
            </w:pPr>
            <w:r>
              <w:rPr>
                <w:sz w:val="20"/>
              </w:rPr>
              <w:t>0,00</w:t>
            </w:r>
            <w:r>
              <w:rPr>
                <w:rFonts w:ascii="Times New Roman" w:eastAsia="Times New Roman" w:hAnsi="Times New Roman" w:cs="Times New Roman"/>
                <w:sz w:val="24"/>
              </w:rPr>
              <w:t xml:space="preserve"> </w:t>
            </w:r>
          </w:p>
        </w:tc>
      </w:tr>
      <w:tr w:rsidR="00B064CF">
        <w:trPr>
          <w:trHeight w:val="240"/>
        </w:trPr>
        <w:tc>
          <w:tcPr>
            <w:tcW w:w="67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sz w:val="20"/>
              </w:rPr>
              <w:t xml:space="preserve">Liquidaciones PIE -2008 </w:t>
            </w:r>
          </w:p>
        </w:tc>
        <w:tc>
          <w:tcPr>
            <w:tcW w:w="189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11" w:firstLine="0"/>
              <w:jc w:val="right"/>
            </w:pPr>
            <w:r>
              <w:rPr>
                <w:sz w:val="20"/>
              </w:rPr>
              <w:t>151.744,97</w:t>
            </w:r>
            <w:r>
              <w:rPr>
                <w:rFonts w:ascii="Times New Roman" w:eastAsia="Times New Roman" w:hAnsi="Times New Roman" w:cs="Times New Roman"/>
                <w:sz w:val="24"/>
              </w:rPr>
              <w:t xml:space="preserve"> </w:t>
            </w:r>
          </w:p>
        </w:tc>
      </w:tr>
      <w:tr w:rsidR="00B064CF">
        <w:trPr>
          <w:trHeight w:val="240"/>
        </w:trPr>
        <w:tc>
          <w:tcPr>
            <w:tcW w:w="67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sz w:val="20"/>
              </w:rPr>
              <w:t xml:space="preserve">Liquidaciones PIE -2009 </w:t>
            </w:r>
          </w:p>
        </w:tc>
        <w:tc>
          <w:tcPr>
            <w:tcW w:w="189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11" w:firstLine="0"/>
              <w:jc w:val="right"/>
            </w:pPr>
            <w:r>
              <w:rPr>
                <w:sz w:val="20"/>
              </w:rPr>
              <w:t>639.144,00</w:t>
            </w:r>
            <w:r>
              <w:rPr>
                <w:rFonts w:ascii="Times New Roman" w:eastAsia="Times New Roman" w:hAnsi="Times New Roman" w:cs="Times New Roman"/>
                <w:sz w:val="24"/>
              </w:rPr>
              <w:t xml:space="preserve"> </w:t>
            </w:r>
          </w:p>
        </w:tc>
      </w:tr>
      <w:tr w:rsidR="00B064CF">
        <w:trPr>
          <w:trHeight w:val="240"/>
        </w:trPr>
        <w:tc>
          <w:tcPr>
            <w:tcW w:w="67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sz w:val="20"/>
              </w:rPr>
              <w:t xml:space="preserve">Otras Deudas con Administraciones Públicas  </w:t>
            </w:r>
          </w:p>
        </w:tc>
        <w:tc>
          <w:tcPr>
            <w:tcW w:w="189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10" w:firstLine="0"/>
              <w:jc w:val="right"/>
            </w:pPr>
            <w:r>
              <w:rPr>
                <w:sz w:val="20"/>
              </w:rPr>
              <w:t>0,00</w:t>
            </w:r>
            <w:r>
              <w:rPr>
                <w:rFonts w:ascii="Times New Roman" w:eastAsia="Times New Roman" w:hAnsi="Times New Roman" w:cs="Times New Roman"/>
                <w:sz w:val="24"/>
              </w:rPr>
              <w:t xml:space="preserve"> </w:t>
            </w:r>
          </w:p>
        </w:tc>
      </w:tr>
      <w:tr w:rsidR="00B064CF">
        <w:trPr>
          <w:trHeight w:val="235"/>
        </w:trPr>
        <w:tc>
          <w:tcPr>
            <w:tcW w:w="6791" w:type="dxa"/>
            <w:tcBorders>
              <w:top w:val="nil"/>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Arrendamientos Financieros </w:t>
            </w:r>
          </w:p>
        </w:tc>
        <w:tc>
          <w:tcPr>
            <w:tcW w:w="1897" w:type="dxa"/>
            <w:tcBorders>
              <w:top w:val="nil"/>
              <w:left w:val="single" w:sz="4" w:space="0" w:color="000000"/>
              <w:bottom w:val="single" w:sz="4" w:space="0" w:color="000000"/>
              <w:right w:val="single" w:sz="4" w:space="0" w:color="000000"/>
            </w:tcBorders>
          </w:tcPr>
          <w:p w:rsidR="00B064CF" w:rsidRDefault="00E32F70">
            <w:pPr>
              <w:spacing w:after="0" w:line="259" w:lineRule="auto"/>
              <w:ind w:left="0" w:right="62" w:firstLine="0"/>
              <w:jc w:val="right"/>
            </w:pPr>
            <w:r>
              <w:rPr>
                <w:sz w:val="20"/>
              </w:rPr>
              <w:t>0,00</w:t>
            </w:r>
            <w:r>
              <w:rPr>
                <w:rFonts w:ascii="Times New Roman" w:eastAsia="Times New Roman" w:hAnsi="Times New Roman" w:cs="Times New Roman"/>
                <w:sz w:val="24"/>
              </w:rPr>
              <w:t xml:space="preserve"> </w:t>
            </w:r>
          </w:p>
        </w:tc>
      </w:tr>
      <w:tr w:rsidR="00B064CF">
        <w:trPr>
          <w:trHeight w:val="240"/>
        </w:trPr>
        <w:tc>
          <w:tcPr>
            <w:tcW w:w="67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Pagos Aplazados </w:t>
            </w:r>
          </w:p>
        </w:tc>
        <w:tc>
          <w:tcPr>
            <w:tcW w:w="189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2" w:firstLine="0"/>
              <w:jc w:val="right"/>
            </w:pPr>
            <w:r>
              <w:rPr>
                <w:sz w:val="20"/>
              </w:rPr>
              <w:t>0,00</w:t>
            </w:r>
            <w:r>
              <w:rPr>
                <w:rFonts w:ascii="Times New Roman" w:eastAsia="Times New Roman" w:hAnsi="Times New Roman" w:cs="Times New Roman"/>
                <w:sz w:val="24"/>
              </w:rPr>
              <w:t xml:space="preserve"> </w:t>
            </w:r>
          </w:p>
        </w:tc>
      </w:tr>
      <w:tr w:rsidR="00B064CF">
        <w:trPr>
          <w:trHeight w:val="240"/>
        </w:trPr>
        <w:tc>
          <w:tcPr>
            <w:tcW w:w="67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Inversiones con abono total del precio </w:t>
            </w:r>
          </w:p>
        </w:tc>
        <w:tc>
          <w:tcPr>
            <w:tcW w:w="189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2" w:firstLine="0"/>
              <w:jc w:val="right"/>
            </w:pPr>
            <w:r>
              <w:rPr>
                <w:sz w:val="20"/>
              </w:rPr>
              <w:t>0,00</w:t>
            </w:r>
            <w:r>
              <w:rPr>
                <w:rFonts w:ascii="Times New Roman" w:eastAsia="Times New Roman" w:hAnsi="Times New Roman" w:cs="Times New Roman"/>
                <w:sz w:val="24"/>
              </w:rPr>
              <w:t xml:space="preserve"> </w:t>
            </w:r>
          </w:p>
        </w:tc>
      </w:tr>
      <w:tr w:rsidR="00B064CF">
        <w:trPr>
          <w:trHeight w:val="240"/>
        </w:trPr>
        <w:tc>
          <w:tcPr>
            <w:tcW w:w="67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Asociaciones Públicos Privadas </w:t>
            </w:r>
          </w:p>
        </w:tc>
        <w:tc>
          <w:tcPr>
            <w:tcW w:w="189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2" w:firstLine="0"/>
              <w:jc w:val="right"/>
            </w:pPr>
            <w:r>
              <w:rPr>
                <w:sz w:val="20"/>
              </w:rPr>
              <w:t>0,00</w:t>
            </w:r>
            <w:r>
              <w:rPr>
                <w:rFonts w:ascii="Times New Roman" w:eastAsia="Times New Roman" w:hAnsi="Times New Roman" w:cs="Times New Roman"/>
                <w:sz w:val="24"/>
              </w:rPr>
              <w:t xml:space="preserve"> </w:t>
            </w:r>
          </w:p>
        </w:tc>
      </w:tr>
      <w:tr w:rsidR="00B064CF">
        <w:trPr>
          <w:trHeight w:val="240"/>
        </w:trPr>
        <w:tc>
          <w:tcPr>
            <w:tcW w:w="67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20"/>
              </w:rPr>
              <w:t>TOTAL</w:t>
            </w:r>
            <w:r>
              <w:rPr>
                <w:rFonts w:ascii="Times New Roman" w:eastAsia="Times New Roman" w:hAnsi="Times New Roman" w:cs="Times New Roman"/>
                <w:sz w:val="24"/>
              </w:rPr>
              <w:t xml:space="preserve"> </w:t>
            </w:r>
          </w:p>
        </w:tc>
        <w:tc>
          <w:tcPr>
            <w:tcW w:w="189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63" w:firstLine="0"/>
              <w:jc w:val="right"/>
            </w:pPr>
            <w:r>
              <w:rPr>
                <w:b/>
                <w:sz w:val="20"/>
              </w:rPr>
              <w:t>790.888,97</w:t>
            </w:r>
            <w:r>
              <w:rPr>
                <w:rFonts w:ascii="Times New Roman" w:eastAsia="Times New Roman" w:hAnsi="Times New Roman" w:cs="Times New Roman"/>
                <w:sz w:val="24"/>
              </w:rPr>
              <w:t xml:space="preserve"> </w:t>
            </w:r>
          </w:p>
        </w:tc>
      </w:tr>
    </w:tbl>
    <w:p w:rsidR="00B064CF" w:rsidRDefault="00E32F70">
      <w:pPr>
        <w:spacing w:after="62" w:line="259" w:lineRule="auto"/>
        <w:ind w:left="1068" w:firstLine="0"/>
        <w:jc w:val="left"/>
      </w:pPr>
      <w:r>
        <w:rPr>
          <w:sz w:val="24"/>
        </w:rPr>
        <w:t xml:space="preserve"> </w:t>
      </w:r>
    </w:p>
    <w:p w:rsidR="00B064CF" w:rsidRDefault="00E32F70">
      <w:pPr>
        <w:spacing w:after="104"/>
        <w:ind w:left="345" w:right="144" w:firstLine="708"/>
      </w:pPr>
      <w:r>
        <w:t xml:space="preserve">Dado que, los ingresos corrientes liquidados, es de 3.606.403,71 Euros, la deuda pública, conforme el protocolo sobre procedimiento de déficit excesivo, supone en este ejercicio de 2020, asciende a un 21,9 %. </w:t>
      </w:r>
    </w:p>
    <w:p w:rsidR="00B064CF" w:rsidRDefault="00E32F70">
      <w:pPr>
        <w:spacing w:after="92" w:line="259" w:lineRule="auto"/>
        <w:ind w:left="1068" w:firstLine="0"/>
        <w:jc w:val="left"/>
      </w:pPr>
      <w:r>
        <w:rPr>
          <w:rFonts w:ascii="Times New Roman" w:eastAsia="Times New Roman" w:hAnsi="Times New Roman" w:cs="Times New Roman"/>
          <w:sz w:val="24"/>
        </w:rPr>
        <w:t xml:space="preserve"> </w:t>
      </w:r>
    </w:p>
    <w:p w:rsidR="00B064CF" w:rsidRDefault="00E32F70">
      <w:pPr>
        <w:pStyle w:val="Ttulo1"/>
        <w:ind w:left="355"/>
      </w:pPr>
      <w:r>
        <w:rPr>
          <w:rFonts w:ascii="Times New Roman" w:eastAsia="Times New Roman" w:hAnsi="Times New Roman" w:cs="Times New Roman"/>
          <w:sz w:val="24"/>
        </w:rPr>
        <w:t>4</w:t>
      </w:r>
      <w:r>
        <w:t>.- REMANENTE DE TESORERIA</w:t>
      </w:r>
      <w:r>
        <w:rPr>
          <w:rFonts w:ascii="Times New Roman" w:eastAsia="Times New Roman" w:hAnsi="Times New Roman" w:cs="Times New Roman"/>
          <w:b w:val="0"/>
          <w:sz w:val="24"/>
          <w:u w:val="none"/>
        </w:rPr>
        <w:t xml:space="preserve"> </w:t>
      </w:r>
    </w:p>
    <w:p w:rsidR="00B064CF" w:rsidRDefault="00E32F70">
      <w:pPr>
        <w:spacing w:after="185" w:line="259" w:lineRule="auto"/>
        <w:ind w:left="360" w:firstLine="0"/>
        <w:jc w:val="left"/>
      </w:pPr>
      <w:r>
        <w:rPr>
          <w:rFonts w:ascii="Times New Roman" w:eastAsia="Times New Roman" w:hAnsi="Times New Roman" w:cs="Times New Roman"/>
          <w:sz w:val="24"/>
        </w:rPr>
        <w:t xml:space="preserve"> </w:t>
      </w:r>
    </w:p>
    <w:p w:rsidR="00B064CF" w:rsidRDefault="00E32F70">
      <w:pPr>
        <w:numPr>
          <w:ilvl w:val="0"/>
          <w:numId w:val="22"/>
        </w:numPr>
        <w:pBdr>
          <w:top w:val="single" w:sz="4" w:space="0" w:color="000000"/>
          <w:left w:val="single" w:sz="4" w:space="0" w:color="000000"/>
          <w:bottom w:val="single" w:sz="4" w:space="0" w:color="000000"/>
          <w:right w:val="single" w:sz="4" w:space="0" w:color="000000"/>
        </w:pBdr>
        <w:spacing w:after="130" w:line="259" w:lineRule="auto"/>
        <w:ind w:hanging="278"/>
        <w:jc w:val="left"/>
      </w:pPr>
      <w:r>
        <w:rPr>
          <w:rFonts w:ascii="Times New Roman" w:eastAsia="Times New Roman" w:hAnsi="Times New Roman" w:cs="Times New Roman"/>
          <w:sz w:val="18"/>
        </w:rPr>
        <w:t xml:space="preserve">DERECHOS PENDIENTES DE COBRO                                                 </w:t>
      </w:r>
      <w:r>
        <w:rPr>
          <w:rFonts w:ascii="Times New Roman" w:eastAsia="Times New Roman" w:hAnsi="Times New Roman" w:cs="Times New Roman"/>
          <w:b/>
          <w:sz w:val="18"/>
        </w:rPr>
        <w:t>10.990.134,32</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rPr>
          <w:rFonts w:ascii="Times New Roman" w:eastAsia="Times New Roman" w:hAnsi="Times New Roman" w:cs="Times New Roman"/>
          <w:sz w:val="18"/>
        </w:rPr>
        <w:t xml:space="preserve"> </w:t>
      </w:r>
    </w:p>
    <w:tbl>
      <w:tblPr>
        <w:tblStyle w:val="TableGrid"/>
        <w:tblW w:w="8032" w:type="dxa"/>
        <w:tblInd w:w="910" w:type="dxa"/>
        <w:tblCellMar>
          <w:top w:w="0" w:type="dxa"/>
          <w:left w:w="70" w:type="dxa"/>
          <w:bottom w:w="0" w:type="dxa"/>
          <w:right w:w="115" w:type="dxa"/>
        </w:tblCellMar>
        <w:tblLook w:val="04A0" w:firstRow="1" w:lastRow="0" w:firstColumn="1" w:lastColumn="0" w:noHBand="0" w:noVBand="1"/>
      </w:tblPr>
      <w:tblGrid>
        <w:gridCol w:w="5523"/>
        <w:gridCol w:w="2509"/>
      </w:tblGrid>
      <w:tr w:rsidR="00B064CF">
        <w:trPr>
          <w:trHeight w:val="418"/>
        </w:trPr>
        <w:tc>
          <w:tcPr>
            <w:tcW w:w="5523" w:type="dxa"/>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firstLine="0"/>
              <w:jc w:val="left"/>
            </w:pPr>
            <w:r>
              <w:rPr>
                <w:rFonts w:ascii="Times New Roman" w:eastAsia="Times New Roman" w:hAnsi="Times New Roman" w:cs="Times New Roman"/>
                <w:sz w:val="18"/>
              </w:rPr>
              <w:t xml:space="preserve">+ DE PRESUPUESTO DE INGRESOS, CORRIENTE  </w:t>
            </w:r>
          </w:p>
        </w:tc>
        <w:tc>
          <w:tcPr>
            <w:tcW w:w="2509" w:type="dxa"/>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firstLine="0"/>
              <w:jc w:val="left"/>
            </w:pPr>
            <w:r>
              <w:rPr>
                <w:rFonts w:ascii="Times New Roman" w:eastAsia="Times New Roman" w:hAnsi="Times New Roman" w:cs="Times New Roman"/>
                <w:sz w:val="18"/>
              </w:rPr>
              <w:t>112.035,92</w:t>
            </w:r>
            <w:r>
              <w:rPr>
                <w:rFonts w:ascii="Times New Roman" w:eastAsia="Times New Roman" w:hAnsi="Times New Roman" w:cs="Times New Roman"/>
                <w:sz w:val="24"/>
              </w:rPr>
              <w:t xml:space="preserve"> </w:t>
            </w:r>
          </w:p>
        </w:tc>
      </w:tr>
      <w:tr w:rsidR="00B064CF">
        <w:trPr>
          <w:trHeight w:val="418"/>
        </w:trPr>
        <w:tc>
          <w:tcPr>
            <w:tcW w:w="5523" w:type="dxa"/>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firstLine="0"/>
              <w:jc w:val="left"/>
            </w:pPr>
            <w:r>
              <w:rPr>
                <w:rFonts w:ascii="Times New Roman" w:eastAsia="Times New Roman" w:hAnsi="Times New Roman" w:cs="Times New Roman"/>
                <w:sz w:val="18"/>
              </w:rPr>
              <w:t xml:space="preserve">+ DE PRESUPUESTO DE INGRESOS , CERRADOS </w:t>
            </w:r>
          </w:p>
        </w:tc>
        <w:tc>
          <w:tcPr>
            <w:tcW w:w="2509" w:type="dxa"/>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firstLine="0"/>
              <w:jc w:val="left"/>
            </w:pPr>
            <w:r>
              <w:rPr>
                <w:rFonts w:ascii="Times New Roman" w:eastAsia="Times New Roman" w:hAnsi="Times New Roman" w:cs="Times New Roman"/>
                <w:sz w:val="18"/>
              </w:rPr>
              <w:t>10.507.859,82</w:t>
            </w:r>
            <w:r>
              <w:rPr>
                <w:rFonts w:ascii="Times New Roman" w:eastAsia="Times New Roman" w:hAnsi="Times New Roman" w:cs="Times New Roman"/>
                <w:sz w:val="24"/>
              </w:rPr>
              <w:t xml:space="preserve"> </w:t>
            </w:r>
          </w:p>
        </w:tc>
      </w:tr>
      <w:tr w:rsidR="00B064CF">
        <w:trPr>
          <w:trHeight w:val="418"/>
        </w:trPr>
        <w:tc>
          <w:tcPr>
            <w:tcW w:w="5523" w:type="dxa"/>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firstLine="0"/>
              <w:jc w:val="left"/>
            </w:pPr>
            <w:r>
              <w:rPr>
                <w:rFonts w:ascii="Times New Roman" w:eastAsia="Times New Roman" w:hAnsi="Times New Roman" w:cs="Times New Roman"/>
                <w:sz w:val="18"/>
              </w:rPr>
              <w:t xml:space="preserve">+ DE OTRAS OPERACIONES NO PRESUPUESTARIAS </w:t>
            </w:r>
          </w:p>
        </w:tc>
        <w:tc>
          <w:tcPr>
            <w:tcW w:w="2509" w:type="dxa"/>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firstLine="0"/>
              <w:jc w:val="left"/>
            </w:pPr>
            <w:r>
              <w:rPr>
                <w:rFonts w:ascii="Times New Roman" w:eastAsia="Times New Roman" w:hAnsi="Times New Roman" w:cs="Times New Roman"/>
                <w:sz w:val="18"/>
              </w:rPr>
              <w:t>370.238,58</w:t>
            </w:r>
            <w:r>
              <w:rPr>
                <w:rFonts w:ascii="Times New Roman" w:eastAsia="Times New Roman" w:hAnsi="Times New Roman" w:cs="Times New Roman"/>
                <w:sz w:val="24"/>
              </w:rPr>
              <w:t xml:space="preserve"> </w:t>
            </w:r>
          </w:p>
        </w:tc>
      </w:tr>
    </w:tbl>
    <w:p w:rsidR="00B064CF" w:rsidRDefault="00E32F70">
      <w:pPr>
        <w:spacing w:after="243" w:line="259" w:lineRule="auto"/>
        <w:ind w:left="360" w:firstLine="0"/>
        <w:jc w:val="left"/>
      </w:pPr>
      <w:r>
        <w:rPr>
          <w:rFonts w:ascii="Times New Roman" w:eastAsia="Times New Roman" w:hAnsi="Times New Roman" w:cs="Times New Roman"/>
          <w:sz w:val="18"/>
        </w:rPr>
        <w:t xml:space="preserve"> </w:t>
      </w:r>
    </w:p>
    <w:p w:rsidR="00B064CF" w:rsidRDefault="00E32F70">
      <w:pPr>
        <w:numPr>
          <w:ilvl w:val="0"/>
          <w:numId w:val="22"/>
        </w:numPr>
        <w:pBdr>
          <w:top w:val="single" w:sz="4" w:space="0" w:color="000000"/>
          <w:left w:val="single" w:sz="4" w:space="0" w:color="000000"/>
          <w:bottom w:val="single" w:sz="4" w:space="0" w:color="000000"/>
          <w:right w:val="single" w:sz="4" w:space="0" w:color="000000"/>
        </w:pBdr>
        <w:spacing w:after="130" w:line="259" w:lineRule="auto"/>
        <w:ind w:hanging="278"/>
        <w:jc w:val="left"/>
      </w:pPr>
      <w:r>
        <w:rPr>
          <w:rFonts w:ascii="Times New Roman" w:eastAsia="Times New Roman" w:hAnsi="Times New Roman" w:cs="Times New Roman"/>
          <w:sz w:val="18"/>
        </w:rPr>
        <w:t xml:space="preserve">OBLIGACIONES PENDIENTES DE PAGO                                                      </w:t>
      </w:r>
      <w:r>
        <w:rPr>
          <w:rFonts w:ascii="Times New Roman" w:eastAsia="Times New Roman" w:hAnsi="Times New Roman" w:cs="Times New Roman"/>
          <w:b/>
          <w:sz w:val="18"/>
        </w:rPr>
        <w:t>2.191.593,99</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rPr>
          <w:rFonts w:ascii="Calibri" w:eastAsia="Calibri" w:hAnsi="Calibri" w:cs="Calibri"/>
          <w:noProof/>
        </w:rPr>
        <mc:AlternateContent>
          <mc:Choice Requires="wpg">
            <w:drawing>
              <wp:anchor distT="0" distB="0" distL="114300" distR="114300" simplePos="0" relativeHeight="251740160" behindDoc="0" locked="0" layoutInCell="1" allowOverlap="1">
                <wp:simplePos x="0" y="0"/>
                <wp:positionH relativeFrom="page">
                  <wp:posOffset>8664935</wp:posOffset>
                </wp:positionH>
                <wp:positionV relativeFrom="page">
                  <wp:posOffset>6769227</wp:posOffset>
                </wp:positionV>
                <wp:extent cx="161330" cy="3542157"/>
                <wp:effectExtent l="0" t="0" r="0" b="0"/>
                <wp:wrapTopAndBottom/>
                <wp:docPr id="439843" name="Group 439843"/>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18115" name="Rectangle 18115"/>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18116" name="Rectangle 18116"/>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77 de 298 </w:t>
                              </w:r>
                            </w:p>
                          </w:txbxContent>
                        </wps:txbx>
                        <wps:bodyPr horzOverflow="overflow" vert="horz" lIns="0" tIns="0" rIns="0" bIns="0" rtlCol="0">
                          <a:noAutofit/>
                        </wps:bodyPr>
                      </wps:wsp>
                    </wpg:wgp>
                  </a:graphicData>
                </a:graphic>
              </wp:anchor>
            </w:drawing>
          </mc:Choice>
          <mc:Fallback xmlns:a="http://schemas.openxmlformats.org/drawingml/2006/main">
            <w:pict>
              <v:group id="Group 439843" style="width:12.7031pt;height:278.91pt;position:absolute;mso-position-horizontal-relative:page;mso-position-horizontal:absolute;margin-left:682.278pt;mso-position-vertical-relative:page;margin-top:533.01pt;" coordsize="1613,35421">
                <v:rect id="Rectangle 18115"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18116"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77 de 298 </w:t>
                        </w:r>
                      </w:p>
                    </w:txbxContent>
                  </v:textbox>
                </v:rect>
                <w10:wrap type="topAndBottom"/>
              </v:group>
            </w:pict>
          </mc:Fallback>
        </mc:AlternateContent>
      </w:r>
      <w:r>
        <w:rPr>
          <w:rFonts w:ascii="Times New Roman" w:eastAsia="Times New Roman" w:hAnsi="Times New Roman" w:cs="Times New Roman"/>
          <w:sz w:val="18"/>
        </w:rPr>
        <w:t xml:space="preserve"> </w:t>
      </w:r>
    </w:p>
    <w:tbl>
      <w:tblPr>
        <w:tblStyle w:val="TableGrid"/>
        <w:tblW w:w="8070" w:type="dxa"/>
        <w:tblInd w:w="872" w:type="dxa"/>
        <w:tblCellMar>
          <w:top w:w="0" w:type="dxa"/>
          <w:left w:w="70" w:type="dxa"/>
          <w:bottom w:w="0" w:type="dxa"/>
          <w:right w:w="115" w:type="dxa"/>
        </w:tblCellMar>
        <w:tblLook w:val="04A0" w:firstRow="1" w:lastRow="0" w:firstColumn="1" w:lastColumn="0" w:noHBand="0" w:noVBand="1"/>
      </w:tblPr>
      <w:tblGrid>
        <w:gridCol w:w="5711"/>
        <w:gridCol w:w="2360"/>
      </w:tblGrid>
      <w:tr w:rsidR="00B064CF">
        <w:trPr>
          <w:trHeight w:val="415"/>
        </w:trPr>
        <w:tc>
          <w:tcPr>
            <w:tcW w:w="5711" w:type="dxa"/>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firstLine="0"/>
              <w:jc w:val="left"/>
            </w:pPr>
            <w:r>
              <w:rPr>
                <w:rFonts w:ascii="Times New Roman" w:eastAsia="Times New Roman" w:hAnsi="Times New Roman" w:cs="Times New Roman"/>
                <w:sz w:val="18"/>
              </w:rPr>
              <w:t xml:space="preserve">+ DE PRESUPUESTO DE GASTOS, CORRIENTE </w:t>
            </w:r>
          </w:p>
        </w:tc>
        <w:tc>
          <w:tcPr>
            <w:tcW w:w="2360" w:type="dxa"/>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firstLine="0"/>
              <w:jc w:val="left"/>
            </w:pPr>
            <w:r>
              <w:rPr>
                <w:rFonts w:ascii="Times New Roman" w:eastAsia="Times New Roman" w:hAnsi="Times New Roman" w:cs="Times New Roman"/>
                <w:sz w:val="18"/>
              </w:rPr>
              <w:t>364.369,31</w:t>
            </w:r>
            <w:r>
              <w:rPr>
                <w:rFonts w:ascii="Times New Roman" w:eastAsia="Times New Roman" w:hAnsi="Times New Roman" w:cs="Times New Roman"/>
                <w:sz w:val="24"/>
              </w:rPr>
              <w:t xml:space="preserve"> </w:t>
            </w:r>
          </w:p>
        </w:tc>
      </w:tr>
      <w:tr w:rsidR="00B064CF">
        <w:trPr>
          <w:trHeight w:val="418"/>
        </w:trPr>
        <w:tc>
          <w:tcPr>
            <w:tcW w:w="5711" w:type="dxa"/>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firstLine="0"/>
              <w:jc w:val="left"/>
            </w:pPr>
            <w:r>
              <w:rPr>
                <w:rFonts w:ascii="Times New Roman" w:eastAsia="Times New Roman" w:hAnsi="Times New Roman" w:cs="Times New Roman"/>
                <w:sz w:val="18"/>
              </w:rPr>
              <w:t xml:space="preserve">+ DE PRESUPUESTO DE GASTOS , CERRADOS </w:t>
            </w:r>
          </w:p>
        </w:tc>
        <w:tc>
          <w:tcPr>
            <w:tcW w:w="2360" w:type="dxa"/>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firstLine="0"/>
              <w:jc w:val="left"/>
            </w:pPr>
            <w:r>
              <w:rPr>
                <w:rFonts w:ascii="Times New Roman" w:eastAsia="Times New Roman" w:hAnsi="Times New Roman" w:cs="Times New Roman"/>
                <w:sz w:val="18"/>
              </w:rPr>
              <w:t>571.274,01</w:t>
            </w:r>
            <w:r>
              <w:rPr>
                <w:rFonts w:ascii="Times New Roman" w:eastAsia="Times New Roman" w:hAnsi="Times New Roman" w:cs="Times New Roman"/>
                <w:sz w:val="24"/>
              </w:rPr>
              <w:t xml:space="preserve"> </w:t>
            </w:r>
          </w:p>
        </w:tc>
      </w:tr>
      <w:tr w:rsidR="00B064CF">
        <w:trPr>
          <w:trHeight w:val="418"/>
        </w:trPr>
        <w:tc>
          <w:tcPr>
            <w:tcW w:w="5711" w:type="dxa"/>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firstLine="0"/>
              <w:jc w:val="left"/>
            </w:pPr>
            <w:r>
              <w:rPr>
                <w:rFonts w:ascii="Times New Roman" w:eastAsia="Times New Roman" w:hAnsi="Times New Roman" w:cs="Times New Roman"/>
                <w:sz w:val="18"/>
              </w:rPr>
              <w:t xml:space="preserve">+ DE OPERACIONES NO PRESUPUESTARIAS </w:t>
            </w:r>
          </w:p>
        </w:tc>
        <w:tc>
          <w:tcPr>
            <w:tcW w:w="2360" w:type="dxa"/>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firstLine="0"/>
              <w:jc w:val="left"/>
            </w:pPr>
            <w:r>
              <w:rPr>
                <w:rFonts w:ascii="Times New Roman" w:eastAsia="Times New Roman" w:hAnsi="Times New Roman" w:cs="Times New Roman"/>
                <w:sz w:val="18"/>
              </w:rPr>
              <w:t>1.255.950,67</w:t>
            </w:r>
            <w:r>
              <w:rPr>
                <w:rFonts w:ascii="Times New Roman" w:eastAsia="Times New Roman" w:hAnsi="Times New Roman" w:cs="Times New Roman"/>
                <w:sz w:val="24"/>
              </w:rPr>
              <w:t xml:space="preserve"> </w:t>
            </w:r>
          </w:p>
        </w:tc>
      </w:tr>
    </w:tbl>
    <w:p w:rsidR="00B064CF" w:rsidRDefault="00E32F70">
      <w:pPr>
        <w:spacing w:after="0" w:line="259" w:lineRule="auto"/>
        <w:ind w:left="360" w:firstLine="0"/>
        <w:jc w:val="left"/>
      </w:pPr>
      <w:r>
        <w:rPr>
          <w:rFonts w:ascii="Times New Roman" w:eastAsia="Times New Roman" w:hAnsi="Times New Roman" w:cs="Times New Roman"/>
          <w:sz w:val="18"/>
        </w:rPr>
        <w:t xml:space="preserve"> </w:t>
      </w:r>
    </w:p>
    <w:tbl>
      <w:tblPr>
        <w:tblStyle w:val="TableGrid"/>
        <w:tblW w:w="8507" w:type="dxa"/>
        <w:tblInd w:w="418" w:type="dxa"/>
        <w:tblCellMar>
          <w:top w:w="0" w:type="dxa"/>
          <w:left w:w="55" w:type="dxa"/>
          <w:bottom w:w="0" w:type="dxa"/>
          <w:right w:w="115" w:type="dxa"/>
        </w:tblCellMar>
        <w:tblLook w:val="04A0" w:firstRow="1" w:lastRow="0" w:firstColumn="1" w:lastColumn="0" w:noHBand="0" w:noVBand="1"/>
      </w:tblPr>
      <w:tblGrid>
        <w:gridCol w:w="8507"/>
      </w:tblGrid>
      <w:tr w:rsidR="00B064CF">
        <w:trPr>
          <w:trHeight w:val="521"/>
        </w:trPr>
        <w:tc>
          <w:tcPr>
            <w:tcW w:w="850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rFonts w:ascii="Times New Roman" w:eastAsia="Times New Roman" w:hAnsi="Times New Roman" w:cs="Times New Roman"/>
                <w:sz w:val="18"/>
              </w:rPr>
              <w:t>C) PARTIDAS PENDIENTES DE APLICACIÓN.......................................................</w:t>
            </w:r>
            <w:r>
              <w:rPr>
                <w:rFonts w:ascii="Times New Roman" w:eastAsia="Times New Roman" w:hAnsi="Times New Roman" w:cs="Times New Roman"/>
                <w:b/>
                <w:sz w:val="18"/>
              </w:rPr>
              <w:t>- 1.666.108,98</w:t>
            </w:r>
            <w:r>
              <w:rPr>
                <w:rFonts w:ascii="Times New Roman" w:eastAsia="Times New Roman" w:hAnsi="Times New Roman" w:cs="Times New Roman"/>
                <w:sz w:val="24"/>
              </w:rPr>
              <w:t xml:space="preserve"> </w:t>
            </w:r>
          </w:p>
        </w:tc>
      </w:tr>
    </w:tbl>
    <w:p w:rsidR="00B064CF" w:rsidRDefault="00E32F70">
      <w:pPr>
        <w:spacing w:after="0" w:line="259" w:lineRule="auto"/>
        <w:ind w:left="360" w:firstLine="0"/>
        <w:jc w:val="left"/>
      </w:pPr>
      <w:r>
        <w:rPr>
          <w:rFonts w:ascii="Times New Roman" w:eastAsia="Times New Roman" w:hAnsi="Times New Roman" w:cs="Times New Roman"/>
          <w:sz w:val="18"/>
        </w:rPr>
        <w:t xml:space="preserve"> </w:t>
      </w:r>
    </w:p>
    <w:tbl>
      <w:tblPr>
        <w:tblStyle w:val="TableGrid"/>
        <w:tblW w:w="8193" w:type="dxa"/>
        <w:tblInd w:w="874" w:type="dxa"/>
        <w:tblCellMar>
          <w:top w:w="0" w:type="dxa"/>
          <w:left w:w="55" w:type="dxa"/>
          <w:bottom w:w="0" w:type="dxa"/>
          <w:right w:w="115" w:type="dxa"/>
        </w:tblCellMar>
        <w:tblLook w:val="04A0" w:firstRow="1" w:lastRow="0" w:firstColumn="1" w:lastColumn="0" w:noHBand="0" w:noVBand="1"/>
      </w:tblPr>
      <w:tblGrid>
        <w:gridCol w:w="6171"/>
        <w:gridCol w:w="2021"/>
      </w:tblGrid>
      <w:tr w:rsidR="00B064CF">
        <w:trPr>
          <w:trHeight w:val="521"/>
        </w:trPr>
        <w:tc>
          <w:tcPr>
            <w:tcW w:w="6171"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rFonts w:ascii="Times New Roman" w:eastAsia="Times New Roman" w:hAnsi="Times New Roman" w:cs="Times New Roman"/>
                <w:sz w:val="18"/>
              </w:rPr>
              <w:t xml:space="preserve">- COBROS REALIZADOS PENDIENTES DE APLICACIÓN DEFINITIVA </w:t>
            </w:r>
          </w:p>
        </w:tc>
        <w:tc>
          <w:tcPr>
            <w:tcW w:w="2021"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rFonts w:ascii="Times New Roman" w:eastAsia="Times New Roman" w:hAnsi="Times New Roman" w:cs="Times New Roman"/>
                <w:sz w:val="18"/>
              </w:rPr>
              <w:t xml:space="preserve">1.668.709,39 </w:t>
            </w:r>
          </w:p>
        </w:tc>
      </w:tr>
      <w:tr w:rsidR="00B064CF">
        <w:trPr>
          <w:trHeight w:val="518"/>
        </w:trPr>
        <w:tc>
          <w:tcPr>
            <w:tcW w:w="6171"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rFonts w:ascii="Times New Roman" w:eastAsia="Times New Roman" w:hAnsi="Times New Roman" w:cs="Times New Roman"/>
                <w:sz w:val="18"/>
              </w:rPr>
              <w:t xml:space="preserve">+ PAGOS REALIZADOS PENDIENTES DE APLICACIÓN DEFINITIVA </w:t>
            </w:r>
          </w:p>
        </w:tc>
        <w:tc>
          <w:tcPr>
            <w:tcW w:w="2021"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rFonts w:ascii="Times New Roman" w:eastAsia="Times New Roman" w:hAnsi="Times New Roman" w:cs="Times New Roman"/>
                <w:sz w:val="18"/>
              </w:rPr>
              <w:t xml:space="preserve">2.600,41 </w:t>
            </w:r>
          </w:p>
        </w:tc>
      </w:tr>
    </w:tbl>
    <w:p w:rsidR="00B064CF" w:rsidRDefault="00E32F70">
      <w:pPr>
        <w:spacing w:after="80" w:line="259" w:lineRule="auto"/>
        <w:ind w:left="360" w:firstLine="0"/>
        <w:jc w:val="left"/>
      </w:pPr>
      <w:r>
        <w:rPr>
          <w:rFonts w:ascii="Times New Roman" w:eastAsia="Times New Roman" w:hAnsi="Times New Roman" w:cs="Times New Roman"/>
          <w:sz w:val="18"/>
        </w:rPr>
        <w:t xml:space="preserve"> </w:t>
      </w:r>
    </w:p>
    <w:p w:rsidR="00B064CF" w:rsidRDefault="00E32F70">
      <w:pPr>
        <w:spacing w:after="0" w:line="259" w:lineRule="auto"/>
        <w:ind w:left="360" w:firstLine="0"/>
        <w:jc w:val="left"/>
      </w:pPr>
      <w:r>
        <w:rPr>
          <w:rFonts w:ascii="Times New Roman" w:eastAsia="Times New Roman" w:hAnsi="Times New Roman" w:cs="Times New Roman"/>
          <w:sz w:val="18"/>
        </w:rPr>
        <w:t xml:space="preserve"> </w:t>
      </w:r>
    </w:p>
    <w:tbl>
      <w:tblPr>
        <w:tblStyle w:val="TableGrid"/>
        <w:tblW w:w="8894" w:type="dxa"/>
        <w:tblInd w:w="332" w:type="dxa"/>
        <w:tblCellMar>
          <w:top w:w="0" w:type="dxa"/>
          <w:left w:w="70" w:type="dxa"/>
          <w:bottom w:w="0" w:type="dxa"/>
          <w:right w:w="115" w:type="dxa"/>
        </w:tblCellMar>
        <w:tblLook w:val="04A0" w:firstRow="1" w:lastRow="0" w:firstColumn="1" w:lastColumn="0" w:noHBand="0" w:noVBand="1"/>
      </w:tblPr>
      <w:tblGrid>
        <w:gridCol w:w="8894"/>
      </w:tblGrid>
      <w:tr w:rsidR="00B064CF">
        <w:trPr>
          <w:trHeight w:val="418"/>
        </w:trPr>
        <w:tc>
          <w:tcPr>
            <w:tcW w:w="8894" w:type="dxa"/>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firstLine="0"/>
              <w:jc w:val="left"/>
            </w:pPr>
            <w:r>
              <w:rPr>
                <w:rFonts w:ascii="Times New Roman" w:eastAsia="Times New Roman" w:hAnsi="Times New Roman" w:cs="Times New Roman"/>
                <w:sz w:val="18"/>
              </w:rPr>
              <w:t xml:space="preserve">D) FONDOS LÍQUIDOS DE TESORERIA                                                                 </w:t>
            </w:r>
            <w:r>
              <w:rPr>
                <w:rFonts w:ascii="Times New Roman" w:eastAsia="Times New Roman" w:hAnsi="Times New Roman" w:cs="Times New Roman"/>
                <w:b/>
                <w:sz w:val="18"/>
              </w:rPr>
              <w:t>19.598.765,96</w:t>
            </w:r>
            <w:r>
              <w:rPr>
                <w:rFonts w:ascii="Times New Roman" w:eastAsia="Times New Roman" w:hAnsi="Times New Roman" w:cs="Times New Roman"/>
                <w:sz w:val="24"/>
              </w:rPr>
              <w:t xml:space="preserve"> </w:t>
            </w:r>
          </w:p>
        </w:tc>
      </w:tr>
    </w:tbl>
    <w:p w:rsidR="00B064CF" w:rsidRDefault="00E32F70">
      <w:pPr>
        <w:spacing w:after="0" w:line="259" w:lineRule="auto"/>
        <w:ind w:left="360" w:firstLine="0"/>
        <w:jc w:val="left"/>
      </w:pPr>
      <w:r>
        <w:rPr>
          <w:rFonts w:ascii="Times New Roman" w:eastAsia="Times New Roman" w:hAnsi="Times New Roman" w:cs="Times New Roman"/>
          <w:sz w:val="18"/>
        </w:rPr>
        <w:t xml:space="preserve"> </w:t>
      </w:r>
    </w:p>
    <w:p w:rsidR="00B064CF" w:rsidRDefault="00E32F70">
      <w:pPr>
        <w:numPr>
          <w:ilvl w:val="0"/>
          <w:numId w:val="23"/>
        </w:numPr>
        <w:pBdr>
          <w:top w:val="single" w:sz="4" w:space="0" w:color="000000"/>
          <w:left w:val="single" w:sz="4" w:space="0" w:color="000000"/>
          <w:bottom w:val="single" w:sz="4" w:space="0" w:color="000000"/>
          <w:right w:val="single" w:sz="4" w:space="0" w:color="000000"/>
        </w:pBdr>
        <w:spacing w:after="126" w:line="259" w:lineRule="auto"/>
        <w:ind w:hanging="245"/>
        <w:jc w:val="left"/>
      </w:pPr>
      <w:r>
        <w:rPr>
          <w:rFonts w:ascii="Times New Roman" w:eastAsia="Times New Roman" w:hAnsi="Times New Roman" w:cs="Times New Roman"/>
          <w:b/>
          <w:sz w:val="18"/>
        </w:rPr>
        <w:t>REMANENTE DE TESORERIA  TOTAL                                               26.731.197,31        ( A – B + C + D)</w:t>
      </w:r>
      <w:r>
        <w:rPr>
          <w:rFonts w:ascii="Times New Roman" w:eastAsia="Times New Roman" w:hAnsi="Times New Roman" w:cs="Times New Roman"/>
          <w:sz w:val="24"/>
        </w:rPr>
        <w:t xml:space="preserve"> </w:t>
      </w:r>
    </w:p>
    <w:p w:rsidR="00B064CF" w:rsidRDefault="00E32F70">
      <w:pPr>
        <w:spacing w:after="197" w:line="259" w:lineRule="auto"/>
        <w:ind w:left="360" w:firstLine="0"/>
        <w:jc w:val="left"/>
      </w:pPr>
      <w:r>
        <w:rPr>
          <w:rFonts w:ascii="Times New Roman" w:eastAsia="Times New Roman" w:hAnsi="Times New Roman" w:cs="Times New Roman"/>
          <w:sz w:val="18"/>
        </w:rPr>
        <w:t xml:space="preserve"> </w:t>
      </w:r>
    </w:p>
    <w:p w:rsidR="00B064CF" w:rsidRDefault="00E32F70">
      <w:pPr>
        <w:numPr>
          <w:ilvl w:val="0"/>
          <w:numId w:val="23"/>
        </w:numPr>
        <w:pBdr>
          <w:top w:val="single" w:sz="4" w:space="0" w:color="000000"/>
          <w:left w:val="single" w:sz="4" w:space="0" w:color="000000"/>
          <w:bottom w:val="single" w:sz="4" w:space="0" w:color="000000"/>
          <w:right w:val="single" w:sz="4" w:space="0" w:color="000000"/>
        </w:pBdr>
        <w:spacing w:after="188" w:line="259" w:lineRule="auto"/>
        <w:ind w:hanging="245"/>
        <w:jc w:val="left"/>
      </w:pPr>
      <w:r>
        <w:rPr>
          <w:rFonts w:ascii="Times New Roman" w:eastAsia="Times New Roman" w:hAnsi="Times New Roman" w:cs="Times New Roman"/>
          <w:b/>
          <w:sz w:val="18"/>
        </w:rPr>
        <w:t xml:space="preserve">SALDOS DE DUDOSO COBRO                                                                         9.158.071,32 </w:t>
      </w:r>
    </w:p>
    <w:p w:rsidR="00B064CF" w:rsidRDefault="00E32F70">
      <w:pPr>
        <w:spacing w:after="248" w:line="259" w:lineRule="auto"/>
        <w:ind w:left="360" w:firstLine="0"/>
        <w:jc w:val="left"/>
      </w:pPr>
      <w:r>
        <w:rPr>
          <w:rFonts w:ascii="Times New Roman" w:eastAsia="Times New Roman" w:hAnsi="Times New Roman" w:cs="Times New Roman"/>
          <w:sz w:val="18"/>
        </w:rPr>
        <w:t xml:space="preserve"> </w:t>
      </w:r>
    </w:p>
    <w:p w:rsidR="00B064CF" w:rsidRDefault="00E32F70">
      <w:pPr>
        <w:numPr>
          <w:ilvl w:val="0"/>
          <w:numId w:val="23"/>
        </w:numPr>
        <w:pBdr>
          <w:top w:val="single" w:sz="4" w:space="0" w:color="000000"/>
          <w:left w:val="single" w:sz="4" w:space="0" w:color="000000"/>
          <w:bottom w:val="single" w:sz="4" w:space="0" w:color="000000"/>
          <w:right w:val="single" w:sz="4" w:space="0" w:color="000000"/>
        </w:pBdr>
        <w:spacing w:after="126" w:line="259" w:lineRule="auto"/>
        <w:ind w:hanging="245"/>
        <w:jc w:val="left"/>
      </w:pPr>
      <w:r>
        <w:rPr>
          <w:rFonts w:ascii="Times New Roman" w:eastAsia="Times New Roman" w:hAnsi="Times New Roman" w:cs="Times New Roman"/>
          <w:b/>
          <w:sz w:val="18"/>
        </w:rPr>
        <w:t>EXCESO DE FINANCIACION AFECTADA</w:t>
      </w:r>
      <w:r>
        <w:rPr>
          <w:rFonts w:ascii="Times New Roman" w:eastAsia="Times New Roman" w:hAnsi="Times New Roman" w:cs="Times New Roman"/>
          <w:sz w:val="18"/>
        </w:rPr>
        <w:t xml:space="preserve">                                                     </w:t>
      </w:r>
      <w:r>
        <w:rPr>
          <w:rFonts w:ascii="Times New Roman" w:eastAsia="Times New Roman" w:hAnsi="Times New Roman" w:cs="Times New Roman"/>
          <w:b/>
          <w:sz w:val="18"/>
        </w:rPr>
        <w:t>2.759.943,31</w:t>
      </w:r>
      <w:r>
        <w:rPr>
          <w:rFonts w:ascii="Times New Roman" w:eastAsia="Times New Roman" w:hAnsi="Times New Roman" w:cs="Times New Roman"/>
          <w:sz w:val="24"/>
        </w:rPr>
        <w:t xml:space="preserve"> </w:t>
      </w:r>
    </w:p>
    <w:p w:rsidR="00B064CF" w:rsidRDefault="00E32F70">
      <w:pPr>
        <w:spacing w:after="250" w:line="259" w:lineRule="auto"/>
        <w:ind w:left="360" w:firstLine="0"/>
        <w:jc w:val="left"/>
      </w:pPr>
      <w:r>
        <w:rPr>
          <w:rFonts w:ascii="Times New Roman" w:eastAsia="Times New Roman" w:hAnsi="Times New Roman" w:cs="Times New Roman"/>
          <w:sz w:val="18"/>
        </w:rPr>
        <w:t xml:space="preserve"> </w:t>
      </w:r>
    </w:p>
    <w:p w:rsidR="00B064CF" w:rsidRDefault="00E32F70">
      <w:pPr>
        <w:numPr>
          <w:ilvl w:val="0"/>
          <w:numId w:val="23"/>
        </w:numPr>
        <w:pBdr>
          <w:top w:val="single" w:sz="4" w:space="0" w:color="000000"/>
          <w:left w:val="single" w:sz="4" w:space="0" w:color="000000"/>
          <w:bottom w:val="single" w:sz="4" w:space="0" w:color="000000"/>
          <w:right w:val="single" w:sz="4" w:space="0" w:color="000000"/>
        </w:pBdr>
        <w:spacing w:after="126" w:line="259" w:lineRule="auto"/>
        <w:ind w:hanging="245"/>
        <w:jc w:val="left"/>
      </w:pPr>
      <w:r>
        <w:rPr>
          <w:rFonts w:ascii="Times New Roman" w:eastAsia="Times New Roman" w:hAnsi="Times New Roman" w:cs="Times New Roman"/>
          <w:b/>
          <w:sz w:val="18"/>
        </w:rPr>
        <w:t xml:space="preserve">REMANENTE DE TESORERÍA PARA GASTOS GENERALES </w:t>
      </w:r>
      <w:r>
        <w:rPr>
          <w:rFonts w:ascii="Times New Roman" w:eastAsia="Times New Roman" w:hAnsi="Times New Roman" w:cs="Times New Roman"/>
          <w:b/>
          <w:sz w:val="18"/>
        </w:rPr>
        <w:t xml:space="preserve">               + 14.813.182,68            ( F-G-H )</w:t>
      </w:r>
      <w:r>
        <w:rPr>
          <w:rFonts w:ascii="Times New Roman" w:eastAsia="Times New Roman" w:hAnsi="Times New Roman" w:cs="Times New Roman"/>
          <w:sz w:val="24"/>
        </w:rPr>
        <w:t xml:space="preserve"> </w:t>
      </w:r>
    </w:p>
    <w:p w:rsidR="00B064CF" w:rsidRDefault="00E32F70">
      <w:pPr>
        <w:spacing w:after="120" w:line="259" w:lineRule="auto"/>
        <w:ind w:left="360" w:firstLine="0"/>
        <w:jc w:val="left"/>
      </w:pPr>
      <w:r>
        <w:rPr>
          <w:rFonts w:ascii="Times New Roman" w:eastAsia="Times New Roman" w:hAnsi="Times New Roman" w:cs="Times New Roman"/>
          <w:sz w:val="18"/>
        </w:rPr>
        <w:t xml:space="preserve">“ </w:t>
      </w:r>
    </w:p>
    <w:p w:rsidR="00B064CF" w:rsidRDefault="00E32F70">
      <w:pPr>
        <w:spacing w:after="4"/>
        <w:ind w:left="355" w:right="68"/>
      </w:pPr>
      <w:r>
        <w:rPr>
          <w:b/>
        </w:rPr>
        <w:t xml:space="preserve">  Consta en el expediente propuesta del Concejal delegado de Hacienda, D. Airam Pérez Chinea, de fecha 18 de mayo de 2021, que transcrito literalmente dice: </w:t>
      </w:r>
    </w:p>
    <w:p w:rsidR="00B064CF" w:rsidRDefault="00E32F70">
      <w:pPr>
        <w:spacing w:after="0" w:line="259" w:lineRule="auto"/>
        <w:ind w:left="360" w:firstLine="0"/>
        <w:jc w:val="left"/>
      </w:pPr>
      <w:r>
        <w:rPr>
          <w:b/>
        </w:rPr>
        <w:t xml:space="preserve"> </w:t>
      </w:r>
    </w:p>
    <w:p w:rsidR="00B064CF" w:rsidRDefault="00E32F70">
      <w:pPr>
        <w:spacing w:after="21" w:line="259" w:lineRule="auto"/>
        <w:ind w:left="360" w:firstLine="0"/>
        <w:jc w:val="left"/>
      </w:pPr>
      <w:r>
        <w:rPr>
          <w:b/>
        </w:rPr>
        <w:t xml:space="preserve"> </w:t>
      </w:r>
    </w:p>
    <w:p w:rsidR="00B064CF" w:rsidRDefault="00E32F70">
      <w:pPr>
        <w:spacing w:after="109"/>
        <w:ind w:left="1078" w:right="72"/>
      </w:pPr>
      <w:r>
        <w:t xml:space="preserve">“Visto el informe de Intervención, que se transcribe a continuación: </w:t>
      </w:r>
    </w:p>
    <w:p w:rsidR="00B064CF" w:rsidRDefault="00E32F70">
      <w:pPr>
        <w:spacing w:after="101" w:line="259" w:lineRule="auto"/>
        <w:ind w:left="1068" w:firstLine="0"/>
        <w:jc w:val="left"/>
      </w:pPr>
      <w:r>
        <w:t xml:space="preserve"> </w:t>
      </w:r>
    </w:p>
    <w:p w:rsidR="00B064CF" w:rsidRDefault="00E32F70">
      <w:pPr>
        <w:spacing w:after="112"/>
        <w:ind w:left="345" w:right="143" w:firstLine="708"/>
      </w:pPr>
      <w:r>
        <w:rPr>
          <w:rFonts w:ascii="Calibri" w:eastAsia="Calibri" w:hAnsi="Calibri" w:cs="Calibri"/>
          <w:noProof/>
        </w:rPr>
        <mc:AlternateContent>
          <mc:Choice Requires="wpg">
            <w:drawing>
              <wp:anchor distT="0" distB="0" distL="114300" distR="114300" simplePos="0" relativeHeight="25174118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3639" name="Group 393639"/>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18309" name="Rectangle 18309"/>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18310" name="Rectangle 18310"/>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Documento firmado electrónicamente desde la plataforma esPublico Gestiona | Págin</w:t>
                              </w:r>
                              <w:r>
                                <w:rPr>
                                  <w:sz w:val="12"/>
                                </w:rPr>
                                <w:t xml:space="preserve">a 78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3639" style="width:12.7031pt;height:278.91pt;position:absolute;mso-position-horizontal-relative:page;mso-position-horizontal:absolute;margin-left:682.278pt;mso-position-vertical-relative:page;margin-top:533.01pt;" coordsize="1613,35421">
                <v:rect id="Rectangle 18309"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18310"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78 de 298 </w:t>
                        </w:r>
                      </w:p>
                    </w:txbxContent>
                  </v:textbox>
                </v:rect>
                <w10:wrap type="square"/>
              </v:group>
            </w:pict>
          </mc:Fallback>
        </mc:AlternateContent>
      </w:r>
      <w:r>
        <w:t>“En cumplimiento del mandato plenario, de fecha 30 de enero de 2020, se emite informe, a través de la ejecución del presupuesto de gastos e ingresos, correspondiente al Primer trimestre de 2021, para la verificación de los principios de Estabilidad Presupu</w:t>
      </w:r>
      <w:r>
        <w:t xml:space="preserve">estaria, el cumplimiento de la Regla de Gasto y del Límite de Deuda. </w:t>
      </w:r>
    </w:p>
    <w:p w:rsidR="00B064CF" w:rsidRDefault="00E32F70">
      <w:pPr>
        <w:spacing w:after="111"/>
        <w:ind w:left="355" w:right="72"/>
      </w:pPr>
      <w:r>
        <w:t xml:space="preserve"> Se trata de tres medidas de consolidación fiscal de obligado cumplimiento para todas las Administraciones Públicas, si bien están suspendidas en el presente ejercicio. </w:t>
      </w:r>
    </w:p>
    <w:p w:rsidR="00B064CF" w:rsidRDefault="00E32F70">
      <w:pPr>
        <w:spacing w:after="95" w:line="259" w:lineRule="auto"/>
        <w:ind w:left="360" w:firstLine="0"/>
        <w:jc w:val="left"/>
      </w:pPr>
      <w:r>
        <w:t xml:space="preserve"> </w:t>
      </w:r>
    </w:p>
    <w:p w:rsidR="00B064CF" w:rsidRDefault="00E32F70">
      <w:pPr>
        <w:spacing w:after="114"/>
        <w:ind w:left="355" w:right="68"/>
      </w:pPr>
      <w:r>
        <w:rPr>
          <w:b/>
        </w:rPr>
        <w:t>NORMATIVA DE APLICACIÓN:</w:t>
      </w:r>
      <w:r>
        <w:t xml:space="preserve"> </w:t>
      </w:r>
    </w:p>
    <w:p w:rsidR="00B064CF" w:rsidRDefault="00E32F70">
      <w:pPr>
        <w:spacing w:after="98" w:line="259" w:lineRule="auto"/>
        <w:ind w:left="360" w:firstLine="0"/>
        <w:jc w:val="left"/>
      </w:pPr>
      <w:r>
        <w:t xml:space="preserve"> </w:t>
      </w:r>
    </w:p>
    <w:p w:rsidR="00B064CF" w:rsidRDefault="00E32F70">
      <w:pPr>
        <w:numPr>
          <w:ilvl w:val="0"/>
          <w:numId w:val="24"/>
        </w:numPr>
        <w:spacing w:after="112"/>
        <w:ind w:right="72" w:hanging="137"/>
      </w:pPr>
      <w:r>
        <w:t xml:space="preserve">Real Decreto Legislativo 2/2004, de 5 de marzo, por el que se aprueba el Texto Refundido de la Ley Reguladora de las Haciendas Locales. </w:t>
      </w:r>
    </w:p>
    <w:p w:rsidR="00B064CF" w:rsidRDefault="00E32F70">
      <w:pPr>
        <w:numPr>
          <w:ilvl w:val="0"/>
          <w:numId w:val="24"/>
        </w:numPr>
        <w:spacing w:after="111"/>
        <w:ind w:right="72" w:hanging="137"/>
      </w:pPr>
      <w:r>
        <w:t>Orden EHA/3565/2008 de 3 de diciembre, por la que se aprueba la estructura de los presupues</w:t>
      </w:r>
      <w:r>
        <w:t xml:space="preserve">tos de las entidades locales. </w:t>
      </w:r>
    </w:p>
    <w:p w:rsidR="00B064CF" w:rsidRDefault="00E32F70">
      <w:pPr>
        <w:numPr>
          <w:ilvl w:val="0"/>
          <w:numId w:val="24"/>
        </w:numPr>
        <w:spacing w:after="109"/>
        <w:ind w:right="72" w:hanging="137"/>
      </w:pPr>
      <w:r>
        <w:t xml:space="preserve">Real Decreto 1463/2007, de 2 de noviembre, por el que se aprueba el reglamento de desarrollo de la Ley 18/2001, de 12 de diciembre, de Estabilidad Presupuestaria, en su aplicación a las Entidades Locales. </w:t>
      </w:r>
    </w:p>
    <w:p w:rsidR="00B064CF" w:rsidRDefault="00E32F70">
      <w:pPr>
        <w:numPr>
          <w:ilvl w:val="0"/>
          <w:numId w:val="24"/>
        </w:numPr>
        <w:spacing w:after="114"/>
        <w:ind w:right="72" w:hanging="137"/>
      </w:pPr>
      <w:r>
        <w:t>Ley Orgánica 2/2012</w:t>
      </w:r>
      <w:r>
        <w:t xml:space="preserve">, de 27 de abril, de Estabilidad Presupuestaria y Sostenibilidad Financiera. </w:t>
      </w:r>
    </w:p>
    <w:p w:rsidR="00B064CF" w:rsidRDefault="00E32F70">
      <w:pPr>
        <w:numPr>
          <w:ilvl w:val="0"/>
          <w:numId w:val="24"/>
        </w:numPr>
        <w:spacing w:after="114"/>
        <w:ind w:right="72" w:hanging="137"/>
      </w:pPr>
      <w:r>
        <w:t xml:space="preserve">Manual de cálculo del Déficit en Contabilidad Nacional adaptado a las Corporaciones Locales, publicado por la Intervención General de la Administración del Estado, Ministerio de </w:t>
      </w:r>
      <w:r>
        <w:t xml:space="preserve">Economía y Hacienda. </w:t>
      </w:r>
    </w:p>
    <w:p w:rsidR="00B064CF" w:rsidRDefault="00E32F70">
      <w:pPr>
        <w:numPr>
          <w:ilvl w:val="0"/>
          <w:numId w:val="24"/>
        </w:numPr>
        <w:spacing w:after="114"/>
        <w:ind w:right="72" w:hanging="137"/>
      </w:pPr>
      <w:r>
        <w:t xml:space="preserve">Guía para la determinación de la Regla de Gasto del artículo 12 de la LOEPSF para corporaciones locales, 1ª edición. IGAE. </w:t>
      </w:r>
    </w:p>
    <w:p w:rsidR="00B064CF" w:rsidRDefault="00E32F70">
      <w:pPr>
        <w:numPr>
          <w:ilvl w:val="0"/>
          <w:numId w:val="24"/>
        </w:numPr>
        <w:ind w:right="72" w:hanging="137"/>
      </w:pPr>
      <w:r>
        <w:t xml:space="preserve">Manual del SEC 95 sobre el Déficit Público y la Deuda Pública, publicado por Eurostat. </w:t>
      </w:r>
    </w:p>
    <w:p w:rsidR="00B064CF" w:rsidRDefault="00E32F70">
      <w:pPr>
        <w:spacing w:after="100" w:line="259" w:lineRule="auto"/>
        <w:ind w:left="360" w:firstLine="0"/>
        <w:jc w:val="left"/>
      </w:pPr>
      <w:r>
        <w:rPr>
          <w:b/>
        </w:rPr>
        <w:t xml:space="preserve"> </w:t>
      </w:r>
    </w:p>
    <w:p w:rsidR="00B064CF" w:rsidRDefault="00E32F70">
      <w:pPr>
        <w:pStyle w:val="Ttulo1"/>
        <w:ind w:left="355"/>
      </w:pPr>
      <w:r>
        <w:t>1.- ESTADO DE EJECUC</w:t>
      </w:r>
      <w:r>
        <w:t>IÓN PRESUPUESTO DE INGRESOS. PRIMER TRIMESTRE 2021</w:t>
      </w:r>
      <w:r>
        <w:rPr>
          <w:u w:val="none"/>
        </w:rPr>
        <w:t xml:space="preserve"> </w:t>
      </w:r>
    </w:p>
    <w:p w:rsidR="00B064CF" w:rsidRDefault="00E32F70">
      <w:pPr>
        <w:spacing w:after="117" w:line="259" w:lineRule="auto"/>
        <w:ind w:left="360" w:firstLine="0"/>
        <w:jc w:val="left"/>
      </w:pPr>
      <w:r>
        <w:rPr>
          <w:b/>
        </w:rPr>
        <w:t xml:space="preserve"> </w:t>
      </w:r>
    </w:p>
    <w:p w:rsidR="00B064CF" w:rsidRDefault="00E32F70">
      <w:pPr>
        <w:spacing w:after="0" w:line="259" w:lineRule="auto"/>
        <w:ind w:left="360" w:firstLine="0"/>
        <w:jc w:val="left"/>
      </w:pPr>
      <w:r>
        <w:rPr>
          <w:rFonts w:ascii="Calibri" w:eastAsia="Calibri" w:hAnsi="Calibri" w:cs="Calibri"/>
          <w:noProof/>
        </w:rPr>
        <mc:AlternateContent>
          <mc:Choice Requires="wpg">
            <w:drawing>
              <wp:anchor distT="0" distB="0" distL="114300" distR="114300" simplePos="0" relativeHeight="25174220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37372" name="Group 437372"/>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18779" name="Rectangle 18779"/>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18780" name="Rectangle 18780"/>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79 de 298 </w:t>
                              </w:r>
                            </w:p>
                          </w:txbxContent>
                        </wps:txbx>
                        <wps:bodyPr horzOverflow="overflow" vert="horz" lIns="0" tIns="0" rIns="0" bIns="0" rtlCol="0">
                          <a:noAutofit/>
                        </wps:bodyPr>
                      </wps:wsp>
                    </wpg:wgp>
                  </a:graphicData>
                </a:graphic>
              </wp:anchor>
            </w:drawing>
          </mc:Choice>
          <mc:Fallback xmlns:a="http://schemas.openxmlformats.org/drawingml/2006/main">
            <w:pict>
              <v:group id="Group 437372" style="width:12.7031pt;height:278.91pt;position:absolute;mso-position-horizontal-relative:page;mso-position-horizontal:absolute;margin-left:682.278pt;mso-position-vertical-relative:page;margin-top:533.01pt;" coordsize="1613,35421">
                <v:rect id="Rectangle 18779"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18780"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79 de 298 </w:t>
                        </w:r>
                      </w:p>
                    </w:txbxContent>
                  </v:textbox>
                </v:rect>
                <w10:wrap type="square"/>
              </v:group>
            </w:pict>
          </mc:Fallback>
        </mc:AlternateContent>
      </w:r>
      <w:r>
        <w:rPr>
          <w:b/>
          <w:sz w:val="24"/>
        </w:rPr>
        <w:t xml:space="preserve"> </w:t>
      </w:r>
    </w:p>
    <w:tbl>
      <w:tblPr>
        <w:tblStyle w:val="TableGrid"/>
        <w:tblW w:w="8721" w:type="dxa"/>
        <w:tblInd w:w="365" w:type="dxa"/>
        <w:tblCellMar>
          <w:top w:w="3" w:type="dxa"/>
          <w:left w:w="106" w:type="dxa"/>
          <w:bottom w:w="0" w:type="dxa"/>
          <w:right w:w="66" w:type="dxa"/>
        </w:tblCellMar>
        <w:tblLook w:val="04A0" w:firstRow="1" w:lastRow="0" w:firstColumn="1" w:lastColumn="0" w:noHBand="0" w:noVBand="1"/>
      </w:tblPr>
      <w:tblGrid>
        <w:gridCol w:w="2143"/>
        <w:gridCol w:w="1241"/>
        <w:gridCol w:w="1373"/>
        <w:gridCol w:w="1335"/>
        <w:gridCol w:w="1315"/>
        <w:gridCol w:w="1313"/>
      </w:tblGrid>
      <w:tr w:rsidR="00B064CF">
        <w:trPr>
          <w:trHeight w:val="1337"/>
        </w:trPr>
        <w:tc>
          <w:tcPr>
            <w:tcW w:w="214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b/>
                <w:sz w:val="14"/>
                <w:u w:val="single" w:color="000000"/>
              </w:rPr>
              <w:t>CAPÍTULO INGRESOS</w:t>
            </w:r>
            <w:r>
              <w:rPr>
                <w:b/>
                <w:sz w:val="14"/>
              </w:rPr>
              <w:t xml:space="preserve"> </w:t>
            </w:r>
          </w:p>
        </w:tc>
        <w:tc>
          <w:tcPr>
            <w:tcW w:w="124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b/>
                <w:sz w:val="14"/>
                <w:u w:val="single" w:color="000000"/>
              </w:rPr>
              <w:t>CRÉDITOS</w:t>
            </w:r>
            <w:r>
              <w:rPr>
                <w:b/>
                <w:sz w:val="14"/>
              </w:rPr>
              <w:t xml:space="preserve"> </w:t>
            </w:r>
          </w:p>
          <w:p w:rsidR="00B064CF" w:rsidRDefault="00E32F70">
            <w:pPr>
              <w:spacing w:after="0" w:line="259" w:lineRule="auto"/>
              <w:ind w:left="2" w:firstLine="0"/>
              <w:jc w:val="left"/>
            </w:pPr>
            <w:r>
              <w:rPr>
                <w:b/>
                <w:sz w:val="14"/>
                <w:u w:val="single" w:color="000000"/>
              </w:rPr>
              <w:t>INICIALES</w:t>
            </w:r>
            <w:r>
              <w:rPr>
                <w:b/>
                <w:sz w:val="14"/>
              </w:rPr>
              <w:t xml:space="preserve"> </w:t>
            </w:r>
          </w:p>
          <w:p w:rsidR="00B064CF" w:rsidRDefault="00E32F70">
            <w:pPr>
              <w:spacing w:after="0" w:line="259" w:lineRule="auto"/>
              <w:ind w:left="2" w:firstLine="0"/>
              <w:jc w:val="left"/>
            </w:pPr>
            <w:r>
              <w:rPr>
                <w:b/>
                <w:sz w:val="14"/>
                <w:u w:val="single" w:color="000000"/>
              </w:rPr>
              <w:t>2021</w:t>
            </w:r>
            <w:r>
              <w:rPr>
                <w:b/>
                <w:sz w:val="14"/>
              </w:rPr>
              <w:t xml:space="preserve"> </w:t>
            </w:r>
          </w:p>
        </w:tc>
        <w:tc>
          <w:tcPr>
            <w:tcW w:w="137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14"/>
                <w:u w:val="single" w:color="000000"/>
              </w:rPr>
              <w:t>DERECHOS</w:t>
            </w:r>
            <w:r>
              <w:rPr>
                <w:b/>
                <w:sz w:val="14"/>
              </w:rPr>
              <w:t xml:space="preserve"> </w:t>
            </w:r>
          </w:p>
          <w:p w:rsidR="00B064CF" w:rsidRDefault="00E32F70">
            <w:pPr>
              <w:spacing w:after="109" w:line="259" w:lineRule="auto"/>
              <w:ind w:left="0" w:firstLine="0"/>
              <w:jc w:val="left"/>
            </w:pPr>
            <w:r>
              <w:rPr>
                <w:b/>
                <w:sz w:val="14"/>
                <w:u w:val="single" w:color="000000"/>
              </w:rPr>
              <w:t>RECONOCIDOS</w:t>
            </w:r>
            <w:r>
              <w:rPr>
                <w:b/>
                <w:sz w:val="14"/>
              </w:rPr>
              <w:t xml:space="preserve"> </w:t>
            </w:r>
          </w:p>
          <w:p w:rsidR="00B064CF" w:rsidRDefault="00E32F70">
            <w:pPr>
              <w:spacing w:after="108" w:line="259" w:lineRule="auto"/>
              <w:ind w:left="0" w:firstLine="0"/>
              <w:jc w:val="left"/>
            </w:pPr>
            <w:r>
              <w:rPr>
                <w:b/>
                <w:sz w:val="14"/>
                <w:u w:val="single" w:color="000000"/>
              </w:rPr>
              <w:t>EJERCICIO 2020.</w:t>
            </w:r>
            <w:r>
              <w:rPr>
                <w:b/>
                <w:sz w:val="14"/>
              </w:rPr>
              <w:t xml:space="preserve"> </w:t>
            </w:r>
          </w:p>
          <w:p w:rsidR="00B064CF" w:rsidRDefault="00E32F70">
            <w:pPr>
              <w:spacing w:after="0" w:line="259" w:lineRule="auto"/>
              <w:ind w:left="0" w:firstLine="0"/>
              <w:jc w:val="left"/>
            </w:pPr>
            <w:r>
              <w:rPr>
                <w:b/>
                <w:sz w:val="14"/>
                <w:u w:val="single" w:color="000000"/>
              </w:rPr>
              <w:t>Primer Trimestre</w:t>
            </w:r>
            <w:r>
              <w:rPr>
                <w:b/>
                <w:sz w:val="14"/>
              </w:rPr>
              <w:t xml:space="preserve"> </w:t>
            </w:r>
          </w:p>
        </w:tc>
        <w:tc>
          <w:tcPr>
            <w:tcW w:w="133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b/>
                <w:sz w:val="14"/>
                <w:u w:val="single" w:color="000000"/>
              </w:rPr>
              <w:t>DERECHOS</w:t>
            </w:r>
            <w:r>
              <w:rPr>
                <w:b/>
                <w:sz w:val="14"/>
              </w:rPr>
              <w:t xml:space="preserve"> </w:t>
            </w:r>
          </w:p>
          <w:p w:rsidR="00B064CF" w:rsidRDefault="00E32F70">
            <w:pPr>
              <w:spacing w:after="109" w:line="259" w:lineRule="auto"/>
              <w:ind w:left="2" w:firstLine="0"/>
              <w:jc w:val="left"/>
            </w:pPr>
            <w:r>
              <w:rPr>
                <w:b/>
                <w:sz w:val="14"/>
                <w:u w:val="single" w:color="000000"/>
              </w:rPr>
              <w:t>RECONOCIDOS</w:t>
            </w:r>
            <w:r>
              <w:rPr>
                <w:b/>
                <w:sz w:val="14"/>
              </w:rPr>
              <w:t xml:space="preserve"> </w:t>
            </w:r>
          </w:p>
          <w:p w:rsidR="00B064CF" w:rsidRDefault="00E32F70">
            <w:pPr>
              <w:spacing w:after="108" w:line="259" w:lineRule="auto"/>
              <w:ind w:left="2" w:firstLine="0"/>
              <w:jc w:val="left"/>
            </w:pPr>
            <w:r>
              <w:rPr>
                <w:b/>
                <w:sz w:val="14"/>
                <w:u w:val="single" w:color="000000"/>
              </w:rPr>
              <w:t>EJERCICIO 2021</w:t>
            </w:r>
            <w:r>
              <w:rPr>
                <w:b/>
                <w:sz w:val="14"/>
              </w:rPr>
              <w:t xml:space="preserve"> </w:t>
            </w:r>
          </w:p>
          <w:p w:rsidR="00B064CF" w:rsidRDefault="00E32F70">
            <w:pPr>
              <w:spacing w:after="0" w:line="259" w:lineRule="auto"/>
              <w:ind w:left="2" w:firstLine="0"/>
              <w:jc w:val="left"/>
            </w:pPr>
            <w:r>
              <w:rPr>
                <w:b/>
                <w:sz w:val="14"/>
                <w:u w:val="single" w:color="000000"/>
              </w:rPr>
              <w:t>Primer Trimestre</w:t>
            </w:r>
            <w:r>
              <w:rPr>
                <w:b/>
                <w:sz w:val="14"/>
              </w:rPr>
              <w:t xml:space="preserve"> </w:t>
            </w:r>
          </w:p>
        </w:tc>
        <w:tc>
          <w:tcPr>
            <w:tcW w:w="131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14"/>
                <w:u w:val="single" w:color="000000"/>
              </w:rPr>
              <w:t>DERECHOS</w:t>
            </w:r>
            <w:r>
              <w:rPr>
                <w:b/>
                <w:sz w:val="14"/>
              </w:rPr>
              <w:t xml:space="preserve"> </w:t>
            </w:r>
          </w:p>
          <w:p w:rsidR="00B064CF" w:rsidRDefault="00E32F70">
            <w:pPr>
              <w:spacing w:after="109" w:line="259" w:lineRule="auto"/>
              <w:ind w:left="0" w:firstLine="0"/>
              <w:jc w:val="left"/>
            </w:pPr>
            <w:r>
              <w:rPr>
                <w:b/>
                <w:sz w:val="14"/>
                <w:u w:val="single" w:color="000000"/>
              </w:rPr>
              <w:t>RECAUDADOS</w:t>
            </w:r>
            <w:r>
              <w:rPr>
                <w:b/>
                <w:sz w:val="14"/>
              </w:rPr>
              <w:t xml:space="preserve"> </w:t>
            </w:r>
          </w:p>
          <w:p w:rsidR="00B064CF" w:rsidRDefault="00E32F70">
            <w:pPr>
              <w:spacing w:after="120" w:line="241" w:lineRule="auto"/>
              <w:ind w:left="0" w:right="42" w:firstLine="0"/>
              <w:jc w:val="left"/>
            </w:pPr>
            <w:r>
              <w:rPr>
                <w:b/>
                <w:sz w:val="14"/>
                <w:u w:val="single" w:color="000000"/>
              </w:rPr>
              <w:t>EJERCICIO</w:t>
            </w:r>
            <w:r>
              <w:rPr>
                <w:b/>
                <w:sz w:val="14"/>
              </w:rPr>
              <w:t xml:space="preserve"> </w:t>
            </w:r>
            <w:r>
              <w:rPr>
                <w:b/>
                <w:sz w:val="14"/>
                <w:u w:val="single" w:color="000000"/>
              </w:rPr>
              <w:t>2020</w:t>
            </w:r>
            <w:r>
              <w:rPr>
                <w:b/>
                <w:sz w:val="14"/>
              </w:rPr>
              <w:t xml:space="preserve"> </w:t>
            </w:r>
          </w:p>
          <w:p w:rsidR="00B064CF" w:rsidRDefault="00E32F70">
            <w:pPr>
              <w:spacing w:after="0" w:line="259" w:lineRule="auto"/>
              <w:ind w:left="0" w:firstLine="0"/>
              <w:jc w:val="left"/>
            </w:pPr>
            <w:r>
              <w:rPr>
                <w:b/>
                <w:sz w:val="14"/>
                <w:u w:val="single" w:color="000000"/>
              </w:rPr>
              <w:t>Primer</w:t>
            </w:r>
            <w:r>
              <w:rPr>
                <w:b/>
                <w:sz w:val="14"/>
              </w:rPr>
              <w:t xml:space="preserve"> </w:t>
            </w:r>
          </w:p>
          <w:p w:rsidR="00B064CF" w:rsidRDefault="00E32F70">
            <w:pPr>
              <w:spacing w:after="0" w:line="259" w:lineRule="auto"/>
              <w:ind w:left="0" w:firstLine="0"/>
              <w:jc w:val="left"/>
            </w:pPr>
            <w:r>
              <w:rPr>
                <w:b/>
                <w:sz w:val="14"/>
                <w:u w:val="single" w:color="000000"/>
              </w:rPr>
              <w:t>Trimestre</w:t>
            </w:r>
            <w:r>
              <w:rPr>
                <w:b/>
                <w:sz w:val="14"/>
              </w:rPr>
              <w:t xml:space="preserve"> </w:t>
            </w:r>
          </w:p>
        </w:tc>
        <w:tc>
          <w:tcPr>
            <w:tcW w:w="131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14"/>
                <w:u w:val="single" w:color="000000"/>
              </w:rPr>
              <w:t>DERECHOS</w:t>
            </w:r>
            <w:r>
              <w:rPr>
                <w:b/>
                <w:sz w:val="14"/>
              </w:rPr>
              <w:t xml:space="preserve"> </w:t>
            </w:r>
          </w:p>
          <w:p w:rsidR="00B064CF" w:rsidRDefault="00E32F70">
            <w:pPr>
              <w:spacing w:after="109" w:line="259" w:lineRule="auto"/>
              <w:ind w:left="0" w:firstLine="0"/>
              <w:jc w:val="left"/>
            </w:pPr>
            <w:r>
              <w:rPr>
                <w:b/>
                <w:sz w:val="14"/>
                <w:u w:val="single" w:color="000000"/>
              </w:rPr>
              <w:t>RECAUDADOS</w:t>
            </w:r>
            <w:r>
              <w:rPr>
                <w:b/>
                <w:sz w:val="14"/>
              </w:rPr>
              <w:t xml:space="preserve"> </w:t>
            </w:r>
          </w:p>
          <w:p w:rsidR="00B064CF" w:rsidRDefault="00E32F70">
            <w:pPr>
              <w:spacing w:after="120" w:line="241" w:lineRule="auto"/>
              <w:ind w:left="0" w:right="40" w:firstLine="0"/>
              <w:jc w:val="left"/>
            </w:pPr>
            <w:r>
              <w:rPr>
                <w:b/>
                <w:sz w:val="14"/>
                <w:u w:val="single" w:color="000000"/>
              </w:rPr>
              <w:t>EJERCICIO</w:t>
            </w:r>
            <w:r>
              <w:rPr>
                <w:b/>
                <w:sz w:val="14"/>
              </w:rPr>
              <w:t xml:space="preserve"> </w:t>
            </w:r>
            <w:r>
              <w:rPr>
                <w:b/>
                <w:sz w:val="14"/>
                <w:u w:val="single" w:color="000000"/>
              </w:rPr>
              <w:t>2021</w:t>
            </w:r>
            <w:r>
              <w:rPr>
                <w:b/>
                <w:sz w:val="14"/>
              </w:rPr>
              <w:t xml:space="preserve"> </w:t>
            </w:r>
          </w:p>
          <w:p w:rsidR="00B064CF" w:rsidRDefault="00E32F70">
            <w:pPr>
              <w:spacing w:after="0" w:line="259" w:lineRule="auto"/>
              <w:ind w:left="0" w:firstLine="0"/>
              <w:jc w:val="left"/>
            </w:pPr>
            <w:r>
              <w:rPr>
                <w:b/>
                <w:sz w:val="14"/>
                <w:u w:val="single" w:color="000000"/>
              </w:rPr>
              <w:t>Primer</w:t>
            </w:r>
            <w:r>
              <w:rPr>
                <w:b/>
                <w:sz w:val="14"/>
              </w:rPr>
              <w:t xml:space="preserve"> </w:t>
            </w:r>
          </w:p>
          <w:p w:rsidR="00B064CF" w:rsidRDefault="00E32F70">
            <w:pPr>
              <w:spacing w:after="0" w:line="259" w:lineRule="auto"/>
              <w:ind w:left="0" w:firstLine="0"/>
              <w:jc w:val="left"/>
            </w:pPr>
            <w:r>
              <w:rPr>
                <w:b/>
                <w:sz w:val="14"/>
                <w:u w:val="single" w:color="000000"/>
              </w:rPr>
              <w:t>Trimestre</w:t>
            </w:r>
            <w:r>
              <w:rPr>
                <w:b/>
                <w:sz w:val="14"/>
              </w:rPr>
              <w:t xml:space="preserve"> </w:t>
            </w:r>
          </w:p>
        </w:tc>
      </w:tr>
      <w:tr w:rsidR="00B064CF">
        <w:trPr>
          <w:trHeight w:val="314"/>
        </w:trPr>
        <w:tc>
          <w:tcPr>
            <w:tcW w:w="214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b/>
                <w:sz w:val="16"/>
              </w:rPr>
              <w:t xml:space="preserve">IMPUESTOS DIRECTOS </w:t>
            </w:r>
          </w:p>
        </w:tc>
        <w:tc>
          <w:tcPr>
            <w:tcW w:w="124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sz w:val="16"/>
              </w:rPr>
              <w:t xml:space="preserve">7.839.385,00 </w:t>
            </w:r>
          </w:p>
        </w:tc>
        <w:tc>
          <w:tcPr>
            <w:tcW w:w="137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678.863,36 </w:t>
            </w:r>
          </w:p>
        </w:tc>
        <w:tc>
          <w:tcPr>
            <w:tcW w:w="133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602.734,31 </w:t>
            </w:r>
          </w:p>
        </w:tc>
        <w:tc>
          <w:tcPr>
            <w:tcW w:w="131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677.379,28 </w:t>
            </w:r>
          </w:p>
        </w:tc>
        <w:tc>
          <w:tcPr>
            <w:tcW w:w="131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3" w:firstLine="0"/>
              <w:jc w:val="center"/>
            </w:pPr>
            <w:r>
              <w:rPr>
                <w:sz w:val="16"/>
              </w:rPr>
              <w:t xml:space="preserve">509.590,52 </w:t>
            </w:r>
          </w:p>
        </w:tc>
      </w:tr>
      <w:tr w:rsidR="00B064CF">
        <w:trPr>
          <w:trHeight w:val="497"/>
        </w:trPr>
        <w:tc>
          <w:tcPr>
            <w:tcW w:w="214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b/>
                <w:sz w:val="16"/>
              </w:rPr>
              <w:t xml:space="preserve">IMPUESTOS INDIRECTOS </w:t>
            </w:r>
          </w:p>
        </w:tc>
        <w:tc>
          <w:tcPr>
            <w:tcW w:w="124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sz w:val="16"/>
              </w:rPr>
              <w:t xml:space="preserve">4.635.600,00 </w:t>
            </w:r>
          </w:p>
        </w:tc>
        <w:tc>
          <w:tcPr>
            <w:tcW w:w="137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1.164.605,02 </w:t>
            </w:r>
          </w:p>
        </w:tc>
        <w:tc>
          <w:tcPr>
            <w:tcW w:w="133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914.208,63 </w:t>
            </w:r>
          </w:p>
        </w:tc>
        <w:tc>
          <w:tcPr>
            <w:tcW w:w="131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4" w:firstLine="0"/>
              <w:jc w:val="center"/>
            </w:pPr>
            <w:r>
              <w:rPr>
                <w:sz w:val="16"/>
              </w:rPr>
              <w:t xml:space="preserve">1.164.605,02 </w:t>
            </w:r>
          </w:p>
        </w:tc>
        <w:tc>
          <w:tcPr>
            <w:tcW w:w="131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3" w:firstLine="0"/>
              <w:jc w:val="center"/>
            </w:pPr>
            <w:r>
              <w:rPr>
                <w:sz w:val="16"/>
              </w:rPr>
              <w:t xml:space="preserve">910.560,76 </w:t>
            </w:r>
          </w:p>
        </w:tc>
      </w:tr>
      <w:tr w:rsidR="00B064CF">
        <w:trPr>
          <w:trHeight w:val="499"/>
        </w:trPr>
        <w:tc>
          <w:tcPr>
            <w:tcW w:w="214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b/>
                <w:sz w:val="16"/>
              </w:rPr>
              <w:t xml:space="preserve">TASAS Y OTROS INGRESOS </w:t>
            </w:r>
          </w:p>
        </w:tc>
        <w:tc>
          <w:tcPr>
            <w:tcW w:w="124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sz w:val="16"/>
              </w:rPr>
              <w:t xml:space="preserve">1.975.450,00 </w:t>
            </w:r>
          </w:p>
        </w:tc>
        <w:tc>
          <w:tcPr>
            <w:tcW w:w="137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304.107,46 </w:t>
            </w:r>
          </w:p>
        </w:tc>
        <w:tc>
          <w:tcPr>
            <w:tcW w:w="133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339.837,08 </w:t>
            </w:r>
          </w:p>
        </w:tc>
        <w:tc>
          <w:tcPr>
            <w:tcW w:w="131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276.836,58 </w:t>
            </w:r>
          </w:p>
        </w:tc>
        <w:tc>
          <w:tcPr>
            <w:tcW w:w="131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3" w:firstLine="0"/>
              <w:jc w:val="center"/>
            </w:pPr>
            <w:r>
              <w:rPr>
                <w:sz w:val="16"/>
              </w:rPr>
              <w:t xml:space="preserve">295.501,26 </w:t>
            </w:r>
          </w:p>
        </w:tc>
      </w:tr>
      <w:tr w:rsidR="00B064CF">
        <w:trPr>
          <w:trHeight w:val="497"/>
        </w:trPr>
        <w:tc>
          <w:tcPr>
            <w:tcW w:w="214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b/>
                <w:sz w:val="16"/>
              </w:rPr>
              <w:t xml:space="preserve">TRANSFERENCIAS CORRIENTES </w:t>
            </w:r>
          </w:p>
        </w:tc>
        <w:tc>
          <w:tcPr>
            <w:tcW w:w="124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sz w:val="16"/>
              </w:rPr>
              <w:t xml:space="preserve">7.022.228,63 </w:t>
            </w:r>
          </w:p>
        </w:tc>
        <w:tc>
          <w:tcPr>
            <w:tcW w:w="137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2.010.432,44 </w:t>
            </w:r>
          </w:p>
        </w:tc>
        <w:tc>
          <w:tcPr>
            <w:tcW w:w="133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0" w:firstLine="0"/>
              <w:jc w:val="center"/>
            </w:pPr>
            <w:r>
              <w:rPr>
                <w:sz w:val="16"/>
              </w:rPr>
              <w:t xml:space="preserve">1.748.566,03 </w:t>
            </w:r>
          </w:p>
        </w:tc>
        <w:tc>
          <w:tcPr>
            <w:tcW w:w="131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2.010.432,44 </w:t>
            </w:r>
          </w:p>
        </w:tc>
        <w:tc>
          <w:tcPr>
            <w:tcW w:w="131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3" w:firstLine="0"/>
              <w:jc w:val="center"/>
            </w:pPr>
            <w:r>
              <w:rPr>
                <w:sz w:val="16"/>
              </w:rPr>
              <w:t xml:space="preserve">1.748.566,03 </w:t>
            </w:r>
          </w:p>
        </w:tc>
      </w:tr>
      <w:tr w:rsidR="00B064CF">
        <w:trPr>
          <w:trHeight w:val="499"/>
        </w:trPr>
        <w:tc>
          <w:tcPr>
            <w:tcW w:w="214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b/>
                <w:sz w:val="16"/>
              </w:rPr>
              <w:t xml:space="preserve">INGRESOS </w:t>
            </w:r>
          </w:p>
          <w:p w:rsidR="00B064CF" w:rsidRDefault="00E32F70">
            <w:pPr>
              <w:spacing w:after="0" w:line="259" w:lineRule="auto"/>
              <w:ind w:left="2" w:firstLine="0"/>
              <w:jc w:val="left"/>
            </w:pPr>
            <w:r>
              <w:rPr>
                <w:b/>
                <w:sz w:val="16"/>
              </w:rPr>
              <w:t xml:space="preserve">PATRIMONIALES </w:t>
            </w:r>
          </w:p>
        </w:tc>
        <w:tc>
          <w:tcPr>
            <w:tcW w:w="124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sz w:val="16"/>
              </w:rPr>
              <w:t xml:space="preserve">7.955,00 </w:t>
            </w:r>
          </w:p>
        </w:tc>
        <w:tc>
          <w:tcPr>
            <w:tcW w:w="137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4" w:firstLine="0"/>
              <w:jc w:val="center"/>
            </w:pPr>
            <w:r>
              <w:rPr>
                <w:sz w:val="16"/>
              </w:rPr>
              <w:t xml:space="preserve">2.550,00 </w:t>
            </w:r>
          </w:p>
        </w:tc>
        <w:tc>
          <w:tcPr>
            <w:tcW w:w="133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1.057,66 </w:t>
            </w:r>
          </w:p>
        </w:tc>
        <w:tc>
          <w:tcPr>
            <w:tcW w:w="131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4" w:firstLine="0"/>
              <w:jc w:val="center"/>
            </w:pPr>
            <w:r>
              <w:rPr>
                <w:sz w:val="16"/>
              </w:rPr>
              <w:t xml:space="preserve">2.550,00 </w:t>
            </w:r>
          </w:p>
        </w:tc>
        <w:tc>
          <w:tcPr>
            <w:tcW w:w="131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2" w:firstLine="0"/>
              <w:jc w:val="center"/>
            </w:pPr>
            <w:r>
              <w:rPr>
                <w:sz w:val="16"/>
              </w:rPr>
              <w:t xml:space="preserve">1.057,66 </w:t>
            </w:r>
          </w:p>
        </w:tc>
      </w:tr>
      <w:tr w:rsidR="00B064CF">
        <w:trPr>
          <w:trHeight w:val="497"/>
        </w:trPr>
        <w:tc>
          <w:tcPr>
            <w:tcW w:w="214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b/>
                <w:sz w:val="16"/>
              </w:rPr>
              <w:t xml:space="preserve">TRANSFERENCIAS DE CAPITAL </w:t>
            </w:r>
          </w:p>
        </w:tc>
        <w:tc>
          <w:tcPr>
            <w:tcW w:w="124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sz w:val="16"/>
              </w:rPr>
              <w:t xml:space="preserve">409.235,20 </w:t>
            </w:r>
          </w:p>
        </w:tc>
        <w:tc>
          <w:tcPr>
            <w:tcW w:w="137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4" w:firstLine="0"/>
              <w:jc w:val="center"/>
            </w:pPr>
            <w:r>
              <w:rPr>
                <w:sz w:val="16"/>
              </w:rPr>
              <w:t xml:space="preserve">0,00 </w:t>
            </w:r>
          </w:p>
        </w:tc>
        <w:tc>
          <w:tcPr>
            <w:tcW w:w="133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4" w:firstLine="0"/>
              <w:jc w:val="center"/>
            </w:pPr>
            <w:r>
              <w:rPr>
                <w:sz w:val="16"/>
              </w:rPr>
              <w:t xml:space="preserve">0,00 </w:t>
            </w:r>
          </w:p>
        </w:tc>
        <w:tc>
          <w:tcPr>
            <w:tcW w:w="131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4" w:firstLine="0"/>
              <w:jc w:val="center"/>
            </w:pPr>
            <w:r>
              <w:rPr>
                <w:sz w:val="16"/>
              </w:rPr>
              <w:t xml:space="preserve">0,00 </w:t>
            </w:r>
          </w:p>
        </w:tc>
        <w:tc>
          <w:tcPr>
            <w:tcW w:w="131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2" w:firstLine="0"/>
              <w:jc w:val="center"/>
            </w:pPr>
            <w:r>
              <w:rPr>
                <w:sz w:val="16"/>
              </w:rPr>
              <w:t xml:space="preserve">0,00 </w:t>
            </w:r>
          </w:p>
        </w:tc>
      </w:tr>
      <w:tr w:rsidR="00B064CF">
        <w:trPr>
          <w:trHeight w:val="314"/>
        </w:trPr>
        <w:tc>
          <w:tcPr>
            <w:tcW w:w="214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b/>
                <w:sz w:val="16"/>
              </w:rPr>
              <w:t xml:space="preserve">ACTIVOS FINANCIEROS </w:t>
            </w:r>
          </w:p>
        </w:tc>
        <w:tc>
          <w:tcPr>
            <w:tcW w:w="124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sz w:val="16"/>
              </w:rPr>
              <w:t xml:space="preserve">0,00 </w:t>
            </w:r>
          </w:p>
        </w:tc>
        <w:tc>
          <w:tcPr>
            <w:tcW w:w="137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4" w:firstLine="0"/>
              <w:jc w:val="center"/>
            </w:pPr>
            <w:r>
              <w:rPr>
                <w:sz w:val="16"/>
              </w:rPr>
              <w:t xml:space="preserve">0,00 </w:t>
            </w:r>
          </w:p>
        </w:tc>
        <w:tc>
          <w:tcPr>
            <w:tcW w:w="133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4" w:firstLine="0"/>
              <w:jc w:val="center"/>
            </w:pPr>
            <w:r>
              <w:rPr>
                <w:sz w:val="16"/>
              </w:rPr>
              <w:t xml:space="preserve">0,00 </w:t>
            </w:r>
          </w:p>
        </w:tc>
        <w:tc>
          <w:tcPr>
            <w:tcW w:w="131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4" w:firstLine="0"/>
              <w:jc w:val="center"/>
            </w:pPr>
            <w:r>
              <w:rPr>
                <w:sz w:val="16"/>
              </w:rPr>
              <w:t xml:space="preserve">0,00 </w:t>
            </w:r>
          </w:p>
        </w:tc>
        <w:tc>
          <w:tcPr>
            <w:tcW w:w="131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2" w:firstLine="0"/>
              <w:jc w:val="center"/>
            </w:pPr>
            <w:r>
              <w:rPr>
                <w:sz w:val="16"/>
              </w:rPr>
              <w:t xml:space="preserve">0,00 </w:t>
            </w:r>
          </w:p>
        </w:tc>
      </w:tr>
      <w:tr w:rsidR="00B064CF">
        <w:trPr>
          <w:trHeight w:val="314"/>
        </w:trPr>
        <w:tc>
          <w:tcPr>
            <w:tcW w:w="214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b/>
                <w:sz w:val="16"/>
              </w:rPr>
              <w:t xml:space="preserve">PASIVOS FINANCIEROS </w:t>
            </w:r>
          </w:p>
        </w:tc>
        <w:tc>
          <w:tcPr>
            <w:tcW w:w="124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sz w:val="16"/>
              </w:rPr>
              <w:t xml:space="preserve">0,00 </w:t>
            </w:r>
          </w:p>
        </w:tc>
        <w:tc>
          <w:tcPr>
            <w:tcW w:w="137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4" w:firstLine="0"/>
              <w:jc w:val="center"/>
            </w:pPr>
            <w:r>
              <w:rPr>
                <w:sz w:val="16"/>
              </w:rPr>
              <w:t xml:space="preserve">0,00 </w:t>
            </w:r>
          </w:p>
        </w:tc>
        <w:tc>
          <w:tcPr>
            <w:tcW w:w="133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4" w:firstLine="0"/>
              <w:jc w:val="center"/>
            </w:pPr>
            <w:r>
              <w:rPr>
                <w:sz w:val="16"/>
              </w:rPr>
              <w:t xml:space="preserve">0,00 </w:t>
            </w:r>
          </w:p>
        </w:tc>
        <w:tc>
          <w:tcPr>
            <w:tcW w:w="131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4" w:firstLine="0"/>
              <w:jc w:val="center"/>
            </w:pPr>
            <w:r>
              <w:rPr>
                <w:sz w:val="16"/>
              </w:rPr>
              <w:t xml:space="preserve">0,00 </w:t>
            </w:r>
          </w:p>
        </w:tc>
        <w:tc>
          <w:tcPr>
            <w:tcW w:w="131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2" w:firstLine="0"/>
              <w:jc w:val="center"/>
            </w:pPr>
            <w:r>
              <w:rPr>
                <w:sz w:val="16"/>
              </w:rPr>
              <w:t xml:space="preserve">0,00 </w:t>
            </w:r>
          </w:p>
        </w:tc>
      </w:tr>
      <w:tr w:rsidR="00B064CF">
        <w:trPr>
          <w:trHeight w:val="314"/>
        </w:trPr>
        <w:tc>
          <w:tcPr>
            <w:tcW w:w="214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b/>
                <w:sz w:val="16"/>
              </w:rPr>
              <w:t xml:space="preserve">TOTAL </w:t>
            </w:r>
          </w:p>
        </w:tc>
        <w:tc>
          <w:tcPr>
            <w:tcW w:w="124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sz w:val="16"/>
              </w:rPr>
              <w:t xml:space="preserve">21.889.853,83 </w:t>
            </w:r>
          </w:p>
        </w:tc>
        <w:tc>
          <w:tcPr>
            <w:tcW w:w="137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4.160.558,28 </w:t>
            </w:r>
          </w:p>
        </w:tc>
        <w:tc>
          <w:tcPr>
            <w:tcW w:w="133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0" w:firstLine="0"/>
              <w:jc w:val="center"/>
            </w:pPr>
            <w:r>
              <w:rPr>
                <w:sz w:val="16"/>
              </w:rPr>
              <w:t xml:space="preserve">3.606.403,71 </w:t>
            </w:r>
          </w:p>
        </w:tc>
        <w:tc>
          <w:tcPr>
            <w:tcW w:w="131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4.131.803,32 </w:t>
            </w:r>
          </w:p>
        </w:tc>
        <w:tc>
          <w:tcPr>
            <w:tcW w:w="131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3" w:firstLine="0"/>
              <w:jc w:val="center"/>
            </w:pPr>
            <w:r>
              <w:rPr>
                <w:sz w:val="16"/>
              </w:rPr>
              <w:t xml:space="preserve">3.465.276,23 </w:t>
            </w:r>
          </w:p>
        </w:tc>
      </w:tr>
    </w:tbl>
    <w:p w:rsidR="00B064CF" w:rsidRDefault="00E32F70">
      <w:pPr>
        <w:spacing w:after="81" w:line="259" w:lineRule="auto"/>
        <w:ind w:left="360" w:firstLine="0"/>
        <w:jc w:val="left"/>
      </w:pPr>
      <w:r>
        <w:rPr>
          <w:b/>
          <w:sz w:val="24"/>
        </w:rPr>
        <w:t xml:space="preserve"> </w:t>
      </w:r>
    </w:p>
    <w:p w:rsidR="00B064CF" w:rsidRDefault="00E32F70">
      <w:pPr>
        <w:spacing w:after="114"/>
        <w:ind w:left="355" w:right="72"/>
      </w:pPr>
      <w:r>
        <w:t xml:space="preserve"> </w:t>
      </w:r>
      <w:r>
        <w:t xml:space="preserve">Se observa una caída del 13,4 %, esto es, de 554.154,57 euros, con respecto al año anterior. El porcentaje de recaudación, es del 96 %, frente al 99 %, en el 2020. </w:t>
      </w:r>
    </w:p>
    <w:p w:rsidR="00B064CF" w:rsidRDefault="00E32F70">
      <w:pPr>
        <w:tabs>
          <w:tab w:val="center" w:pos="360"/>
          <w:tab w:val="center" w:pos="5341"/>
        </w:tabs>
        <w:spacing w:after="131"/>
        <w:ind w:left="0" w:firstLine="0"/>
        <w:jc w:val="left"/>
      </w:pPr>
      <w:r>
        <w:rPr>
          <w:rFonts w:ascii="Calibri" w:eastAsia="Calibri" w:hAnsi="Calibri" w:cs="Calibri"/>
        </w:rPr>
        <w:tab/>
      </w:r>
      <w:r>
        <w:t xml:space="preserve"> </w:t>
      </w:r>
      <w:r>
        <w:tab/>
        <w:t xml:space="preserve">La bajada es casi generalizada en todos los capítulos, pero donde más se observa son: </w:t>
      </w:r>
    </w:p>
    <w:p w:rsidR="00B064CF" w:rsidRDefault="00E32F70">
      <w:pPr>
        <w:numPr>
          <w:ilvl w:val="0"/>
          <w:numId w:val="25"/>
        </w:numPr>
        <w:spacing w:after="126"/>
        <w:ind w:right="143" w:hanging="360"/>
      </w:pPr>
      <w:r>
        <w:t>C</w:t>
      </w:r>
      <w:r>
        <w:t xml:space="preserve">apítulo I de Impuestos Directos, por la menor liquidación del IBI Urbano, que representaba en el 2020, el 79 % de las cantidades liquidadas y recaudadas y que ha experimentado una bajada de alrededor de cuatrocientos mil euros en el 2021, y que no ha sido </w:t>
      </w:r>
      <w:r>
        <w:t xml:space="preserve">compensado con la subida del IAE (ciento cincuenta y cinco mil Euros) y el Impuesto de Plusvalía (crece en ciento cuarenta y cinco mil Euros). </w:t>
      </w:r>
    </w:p>
    <w:p w:rsidR="00B064CF" w:rsidRDefault="00E32F70">
      <w:pPr>
        <w:numPr>
          <w:ilvl w:val="0"/>
          <w:numId w:val="25"/>
        </w:numPr>
        <w:spacing w:after="129"/>
        <w:ind w:right="143" w:hanging="360"/>
      </w:pPr>
      <w:r>
        <w:t>Capítulo II de Impuestos Indirectos, por la menor aportación del Cabildo en concepto de los recursos del Régimen</w:t>
      </w:r>
      <w:r>
        <w:t xml:space="preserve"> Económico Fiscal (IGIC, AIEM, Impuesto de Matriculación), con una caída del 22 %, aproximadamente unos doscientos veinte mil euros. </w:t>
      </w:r>
    </w:p>
    <w:p w:rsidR="00B064CF" w:rsidRDefault="00E32F70">
      <w:pPr>
        <w:numPr>
          <w:ilvl w:val="0"/>
          <w:numId w:val="25"/>
        </w:numPr>
        <w:spacing w:after="114"/>
        <w:ind w:right="143" w:hanging="360"/>
      </w:pPr>
      <w:r>
        <w:t xml:space="preserve">Capítulo IV de Transferencias Corrientes, con un descenso del 13 %, unos doscientos sesenta y dos mil euros. </w:t>
      </w:r>
    </w:p>
    <w:p w:rsidR="00B064CF" w:rsidRDefault="00E32F70">
      <w:pPr>
        <w:spacing w:after="95" w:line="259" w:lineRule="auto"/>
        <w:ind w:left="360" w:firstLine="0"/>
        <w:jc w:val="left"/>
      </w:pPr>
      <w:r>
        <w:t xml:space="preserve"> </w:t>
      </w:r>
    </w:p>
    <w:p w:rsidR="00B064CF" w:rsidRDefault="00E32F70">
      <w:pPr>
        <w:pStyle w:val="Ttulo1"/>
        <w:ind w:left="355"/>
      </w:pPr>
      <w:r>
        <w:t xml:space="preserve">2.- </w:t>
      </w:r>
      <w:r>
        <w:t>ESTADO DE EJECUCIÓN PRESUPUESTO DE GASTOS. PRIMER TRIMESTRE 2021</w:t>
      </w:r>
      <w:r>
        <w:rPr>
          <w:u w:val="none"/>
        </w:rPr>
        <w:t xml:space="preserve"> </w:t>
      </w:r>
    </w:p>
    <w:p w:rsidR="00B064CF" w:rsidRDefault="00E32F70">
      <w:pPr>
        <w:spacing w:after="0" w:line="259" w:lineRule="auto"/>
        <w:ind w:left="360" w:firstLine="0"/>
        <w:jc w:val="left"/>
      </w:pPr>
      <w:r>
        <w:rPr>
          <w:b/>
        </w:rPr>
        <w:t xml:space="preserve"> </w:t>
      </w:r>
    </w:p>
    <w:tbl>
      <w:tblPr>
        <w:tblStyle w:val="TableGrid"/>
        <w:tblW w:w="8721" w:type="dxa"/>
        <w:tblInd w:w="365" w:type="dxa"/>
        <w:tblCellMar>
          <w:top w:w="3" w:type="dxa"/>
          <w:left w:w="108" w:type="dxa"/>
          <w:bottom w:w="0" w:type="dxa"/>
          <w:right w:w="66" w:type="dxa"/>
        </w:tblCellMar>
        <w:tblLook w:val="04A0" w:firstRow="1" w:lastRow="0" w:firstColumn="1" w:lastColumn="0" w:noHBand="0" w:noVBand="1"/>
      </w:tblPr>
      <w:tblGrid>
        <w:gridCol w:w="2095"/>
        <w:gridCol w:w="1241"/>
        <w:gridCol w:w="1373"/>
        <w:gridCol w:w="1337"/>
        <w:gridCol w:w="1337"/>
        <w:gridCol w:w="1337"/>
      </w:tblGrid>
      <w:tr w:rsidR="00B064CF">
        <w:trPr>
          <w:trHeight w:val="1176"/>
        </w:trPr>
        <w:tc>
          <w:tcPr>
            <w:tcW w:w="209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14"/>
                <w:u w:val="single" w:color="000000"/>
              </w:rPr>
              <w:t>CAPÍTULO GASTOS</w:t>
            </w:r>
            <w:r>
              <w:rPr>
                <w:b/>
                <w:sz w:val="14"/>
              </w:rPr>
              <w:t xml:space="preserve"> </w:t>
            </w:r>
          </w:p>
        </w:tc>
        <w:tc>
          <w:tcPr>
            <w:tcW w:w="124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14"/>
                <w:u w:val="single" w:color="000000"/>
              </w:rPr>
              <w:t>CRÉDITOS</w:t>
            </w:r>
            <w:r>
              <w:rPr>
                <w:b/>
                <w:sz w:val="14"/>
              </w:rPr>
              <w:t xml:space="preserve"> </w:t>
            </w:r>
          </w:p>
          <w:p w:rsidR="00B064CF" w:rsidRDefault="00E32F70">
            <w:pPr>
              <w:spacing w:after="0" w:line="259" w:lineRule="auto"/>
              <w:ind w:left="0" w:firstLine="0"/>
              <w:jc w:val="left"/>
            </w:pPr>
            <w:r>
              <w:rPr>
                <w:b/>
                <w:sz w:val="14"/>
                <w:u w:val="single" w:color="000000"/>
              </w:rPr>
              <w:t>INICIALES</w:t>
            </w:r>
            <w:r>
              <w:rPr>
                <w:b/>
                <w:sz w:val="14"/>
              </w:rPr>
              <w:t xml:space="preserve"> </w:t>
            </w:r>
          </w:p>
          <w:p w:rsidR="00B064CF" w:rsidRDefault="00E32F70">
            <w:pPr>
              <w:spacing w:after="0" w:line="259" w:lineRule="auto"/>
              <w:ind w:left="0" w:firstLine="0"/>
              <w:jc w:val="left"/>
            </w:pPr>
            <w:r>
              <w:rPr>
                <w:b/>
                <w:sz w:val="14"/>
                <w:u w:val="single" w:color="000000"/>
              </w:rPr>
              <w:t>2021</w:t>
            </w:r>
            <w:r>
              <w:rPr>
                <w:b/>
                <w:sz w:val="14"/>
              </w:rPr>
              <w:t xml:space="preserve"> </w:t>
            </w:r>
          </w:p>
        </w:tc>
        <w:tc>
          <w:tcPr>
            <w:tcW w:w="1373" w:type="dxa"/>
            <w:tcBorders>
              <w:top w:val="single" w:sz="4" w:space="0" w:color="000000"/>
              <w:left w:val="single" w:sz="4" w:space="0" w:color="000000"/>
              <w:bottom w:val="single" w:sz="4" w:space="0" w:color="000000"/>
              <w:right w:val="single" w:sz="4" w:space="0" w:color="000000"/>
            </w:tcBorders>
          </w:tcPr>
          <w:p w:rsidR="00B064CF" w:rsidRDefault="00E32F70">
            <w:pPr>
              <w:spacing w:after="122" w:line="241" w:lineRule="auto"/>
              <w:ind w:left="0" w:firstLine="0"/>
              <w:jc w:val="left"/>
            </w:pPr>
            <w:r>
              <w:rPr>
                <w:b/>
                <w:sz w:val="14"/>
                <w:u w:val="single" w:color="000000"/>
              </w:rPr>
              <w:t>OBLIGACIONES</w:t>
            </w:r>
            <w:r>
              <w:rPr>
                <w:b/>
                <w:sz w:val="14"/>
              </w:rPr>
              <w:t xml:space="preserve"> </w:t>
            </w:r>
            <w:r>
              <w:rPr>
                <w:b/>
                <w:sz w:val="14"/>
                <w:u w:val="single" w:color="000000"/>
              </w:rPr>
              <w:t>RECONOCIDAS</w:t>
            </w:r>
            <w:r>
              <w:rPr>
                <w:b/>
                <w:sz w:val="14"/>
              </w:rPr>
              <w:t xml:space="preserve"> </w:t>
            </w:r>
          </w:p>
          <w:p w:rsidR="00B064CF" w:rsidRDefault="00E32F70">
            <w:pPr>
              <w:spacing w:after="108" w:line="259" w:lineRule="auto"/>
              <w:ind w:left="0" w:firstLine="0"/>
              <w:jc w:val="left"/>
            </w:pPr>
            <w:r>
              <w:rPr>
                <w:b/>
                <w:sz w:val="14"/>
                <w:u w:val="single" w:color="000000"/>
              </w:rPr>
              <w:t>EJERCICIO 2020.</w:t>
            </w:r>
            <w:r>
              <w:rPr>
                <w:b/>
                <w:sz w:val="14"/>
              </w:rPr>
              <w:t xml:space="preserve"> </w:t>
            </w:r>
          </w:p>
          <w:p w:rsidR="00B064CF" w:rsidRDefault="00E32F70">
            <w:pPr>
              <w:spacing w:after="0" w:line="259" w:lineRule="auto"/>
              <w:ind w:left="0" w:firstLine="0"/>
              <w:jc w:val="left"/>
            </w:pPr>
            <w:r>
              <w:rPr>
                <w:b/>
                <w:sz w:val="14"/>
                <w:u w:val="single" w:color="000000"/>
              </w:rPr>
              <w:t>Primer Trimestre</w:t>
            </w:r>
            <w:r>
              <w:rPr>
                <w:b/>
                <w:sz w:val="14"/>
              </w:rPr>
              <w:t xml:space="preserve">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122" w:line="241" w:lineRule="auto"/>
              <w:ind w:left="0" w:firstLine="0"/>
              <w:jc w:val="left"/>
            </w:pPr>
            <w:r>
              <w:rPr>
                <w:b/>
                <w:sz w:val="14"/>
                <w:u w:val="single" w:color="000000"/>
              </w:rPr>
              <w:t>OBLIGACIONES</w:t>
            </w:r>
            <w:r>
              <w:rPr>
                <w:b/>
                <w:sz w:val="14"/>
              </w:rPr>
              <w:t xml:space="preserve"> </w:t>
            </w:r>
            <w:r>
              <w:rPr>
                <w:b/>
                <w:sz w:val="14"/>
                <w:u w:val="single" w:color="000000"/>
              </w:rPr>
              <w:t>RECONOCIDAS</w:t>
            </w:r>
            <w:r>
              <w:rPr>
                <w:b/>
                <w:sz w:val="14"/>
              </w:rPr>
              <w:t xml:space="preserve"> </w:t>
            </w:r>
          </w:p>
          <w:p w:rsidR="00B064CF" w:rsidRDefault="00E32F70">
            <w:pPr>
              <w:spacing w:after="108" w:line="259" w:lineRule="auto"/>
              <w:ind w:left="0" w:firstLine="0"/>
              <w:jc w:val="left"/>
            </w:pPr>
            <w:r>
              <w:rPr>
                <w:b/>
                <w:sz w:val="14"/>
                <w:u w:val="single" w:color="000000"/>
              </w:rPr>
              <w:t>EJERCICIO 2021</w:t>
            </w:r>
            <w:r>
              <w:rPr>
                <w:b/>
                <w:sz w:val="14"/>
              </w:rPr>
              <w:t xml:space="preserve"> </w:t>
            </w:r>
          </w:p>
          <w:p w:rsidR="00B064CF" w:rsidRDefault="00E32F70">
            <w:pPr>
              <w:spacing w:after="0" w:line="259" w:lineRule="auto"/>
              <w:ind w:left="0" w:firstLine="0"/>
              <w:jc w:val="left"/>
            </w:pPr>
            <w:r>
              <w:rPr>
                <w:b/>
                <w:sz w:val="14"/>
                <w:u w:val="single" w:color="000000"/>
              </w:rPr>
              <w:t>Primer Trimestre</w:t>
            </w:r>
            <w:r>
              <w:rPr>
                <w:b/>
                <w:sz w:val="14"/>
              </w:rPr>
              <w:t xml:space="preserve">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122" w:line="241" w:lineRule="auto"/>
              <w:ind w:left="0" w:firstLine="0"/>
              <w:jc w:val="left"/>
            </w:pPr>
            <w:r>
              <w:rPr>
                <w:b/>
                <w:sz w:val="14"/>
                <w:u w:val="single" w:color="000000"/>
              </w:rPr>
              <w:t>OBLIGACIONES</w:t>
            </w:r>
            <w:r>
              <w:rPr>
                <w:b/>
                <w:sz w:val="14"/>
              </w:rPr>
              <w:t xml:space="preserve"> </w:t>
            </w:r>
            <w:r>
              <w:rPr>
                <w:b/>
                <w:sz w:val="14"/>
                <w:u w:val="single" w:color="000000"/>
              </w:rPr>
              <w:t>PAGADAS</w:t>
            </w:r>
            <w:r>
              <w:rPr>
                <w:b/>
                <w:sz w:val="14"/>
              </w:rPr>
              <w:t xml:space="preserve"> </w:t>
            </w:r>
          </w:p>
          <w:p w:rsidR="00B064CF" w:rsidRDefault="00E32F70">
            <w:pPr>
              <w:spacing w:after="120" w:line="241" w:lineRule="auto"/>
              <w:ind w:left="0" w:right="23" w:firstLine="0"/>
              <w:jc w:val="left"/>
            </w:pPr>
            <w:r>
              <w:rPr>
                <w:b/>
                <w:sz w:val="14"/>
                <w:u w:val="single" w:color="000000"/>
              </w:rPr>
              <w:t>EJERCICIO</w:t>
            </w:r>
            <w:r>
              <w:rPr>
                <w:b/>
                <w:sz w:val="14"/>
              </w:rPr>
              <w:t xml:space="preserve"> </w:t>
            </w:r>
            <w:r>
              <w:rPr>
                <w:b/>
                <w:sz w:val="14"/>
                <w:u w:val="single" w:color="000000"/>
              </w:rPr>
              <w:t>2020.</w:t>
            </w:r>
            <w:r>
              <w:rPr>
                <w:b/>
                <w:sz w:val="14"/>
              </w:rPr>
              <w:t xml:space="preserve"> </w:t>
            </w:r>
          </w:p>
          <w:p w:rsidR="00B064CF" w:rsidRDefault="00E32F70">
            <w:pPr>
              <w:spacing w:after="0" w:line="259" w:lineRule="auto"/>
              <w:ind w:left="0" w:firstLine="0"/>
              <w:jc w:val="left"/>
            </w:pPr>
            <w:r>
              <w:rPr>
                <w:b/>
                <w:sz w:val="14"/>
                <w:u w:val="single" w:color="000000"/>
              </w:rPr>
              <w:t>Primer Trimestre</w:t>
            </w:r>
            <w:r>
              <w:rPr>
                <w:b/>
                <w:sz w:val="14"/>
              </w:rPr>
              <w:t xml:space="preserve">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122" w:line="241" w:lineRule="auto"/>
              <w:ind w:left="0" w:firstLine="0"/>
              <w:jc w:val="left"/>
            </w:pPr>
            <w:r>
              <w:rPr>
                <w:b/>
                <w:sz w:val="14"/>
                <w:u w:val="single" w:color="000000"/>
              </w:rPr>
              <w:t>OBLIGACIONES</w:t>
            </w:r>
            <w:r>
              <w:rPr>
                <w:b/>
                <w:sz w:val="14"/>
              </w:rPr>
              <w:t xml:space="preserve"> </w:t>
            </w:r>
            <w:r>
              <w:rPr>
                <w:b/>
                <w:sz w:val="14"/>
                <w:u w:val="single" w:color="000000"/>
              </w:rPr>
              <w:t>PAGADAS</w:t>
            </w:r>
            <w:r>
              <w:rPr>
                <w:b/>
                <w:sz w:val="14"/>
              </w:rPr>
              <w:t xml:space="preserve"> </w:t>
            </w:r>
          </w:p>
          <w:p w:rsidR="00B064CF" w:rsidRDefault="00E32F70">
            <w:pPr>
              <w:spacing w:after="108" w:line="259" w:lineRule="auto"/>
              <w:ind w:left="0" w:firstLine="0"/>
              <w:jc w:val="left"/>
            </w:pPr>
            <w:r>
              <w:rPr>
                <w:b/>
                <w:sz w:val="14"/>
                <w:u w:val="single" w:color="000000"/>
              </w:rPr>
              <w:t>EJERCICIO 2021</w:t>
            </w:r>
            <w:r>
              <w:rPr>
                <w:b/>
                <w:sz w:val="14"/>
              </w:rPr>
              <w:t xml:space="preserve"> </w:t>
            </w:r>
          </w:p>
          <w:p w:rsidR="00B064CF" w:rsidRDefault="00E32F70">
            <w:pPr>
              <w:spacing w:after="0" w:line="259" w:lineRule="auto"/>
              <w:ind w:left="0" w:firstLine="0"/>
              <w:jc w:val="left"/>
            </w:pPr>
            <w:r>
              <w:rPr>
                <w:b/>
                <w:sz w:val="14"/>
                <w:u w:val="single" w:color="000000"/>
              </w:rPr>
              <w:t>Primer Trimestre</w:t>
            </w:r>
            <w:r>
              <w:rPr>
                <w:b/>
                <w:sz w:val="14"/>
              </w:rPr>
              <w:t xml:space="preserve"> </w:t>
            </w:r>
          </w:p>
        </w:tc>
      </w:tr>
      <w:tr w:rsidR="00B064CF">
        <w:trPr>
          <w:trHeight w:val="314"/>
        </w:trPr>
        <w:tc>
          <w:tcPr>
            <w:tcW w:w="209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16"/>
              </w:rPr>
              <w:t xml:space="preserve">GASTOS DE PERSONAL </w:t>
            </w:r>
          </w:p>
        </w:tc>
        <w:tc>
          <w:tcPr>
            <w:tcW w:w="124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16"/>
              </w:rPr>
              <w:t xml:space="preserve">9.584.679,97 </w:t>
            </w:r>
          </w:p>
        </w:tc>
        <w:tc>
          <w:tcPr>
            <w:tcW w:w="137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2" w:firstLine="0"/>
              <w:jc w:val="center"/>
            </w:pPr>
            <w:r>
              <w:rPr>
                <w:sz w:val="16"/>
              </w:rPr>
              <w:t xml:space="preserve">2.281.573,89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0" w:firstLine="0"/>
              <w:jc w:val="center"/>
            </w:pPr>
            <w:r>
              <w:rPr>
                <w:sz w:val="16"/>
              </w:rPr>
              <w:t xml:space="preserve">2.501.874,14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0" w:firstLine="0"/>
              <w:jc w:val="center"/>
            </w:pPr>
            <w:r>
              <w:rPr>
                <w:sz w:val="16"/>
              </w:rPr>
              <w:t xml:space="preserve">2.281.573,88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0" w:firstLine="0"/>
              <w:jc w:val="center"/>
            </w:pPr>
            <w:r>
              <w:rPr>
                <w:sz w:val="16"/>
              </w:rPr>
              <w:t xml:space="preserve">2.407.165,97 </w:t>
            </w:r>
          </w:p>
        </w:tc>
      </w:tr>
      <w:tr w:rsidR="00B064CF">
        <w:trPr>
          <w:trHeight w:val="497"/>
        </w:trPr>
        <w:tc>
          <w:tcPr>
            <w:tcW w:w="209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16"/>
              </w:rPr>
              <w:t xml:space="preserve">BIENES CORRIENTES Y DE SERVICIOS </w:t>
            </w:r>
          </w:p>
        </w:tc>
        <w:tc>
          <w:tcPr>
            <w:tcW w:w="124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16"/>
              </w:rPr>
              <w:t xml:space="preserve">8.311.414,42 </w:t>
            </w:r>
          </w:p>
        </w:tc>
        <w:tc>
          <w:tcPr>
            <w:tcW w:w="137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2" w:firstLine="0"/>
              <w:jc w:val="center"/>
            </w:pPr>
            <w:r>
              <w:rPr>
                <w:sz w:val="16"/>
              </w:rPr>
              <w:t xml:space="preserve">2.351.507,64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0" w:firstLine="0"/>
              <w:jc w:val="center"/>
            </w:pPr>
            <w:r>
              <w:rPr>
                <w:sz w:val="16"/>
              </w:rPr>
              <w:t xml:space="preserve">1.797.315,78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0" w:firstLine="0"/>
              <w:jc w:val="center"/>
            </w:pPr>
            <w:r>
              <w:rPr>
                <w:sz w:val="16"/>
              </w:rPr>
              <w:t xml:space="preserve">2.070.269,58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0" w:firstLine="0"/>
              <w:jc w:val="center"/>
            </w:pPr>
            <w:r>
              <w:rPr>
                <w:sz w:val="16"/>
              </w:rPr>
              <w:t xml:space="preserve">1.621.748,87 </w:t>
            </w:r>
          </w:p>
        </w:tc>
      </w:tr>
      <w:tr w:rsidR="00B064CF">
        <w:trPr>
          <w:trHeight w:val="315"/>
        </w:trPr>
        <w:tc>
          <w:tcPr>
            <w:tcW w:w="209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16"/>
              </w:rPr>
              <w:t xml:space="preserve">GASTOS FINANCIEROS </w:t>
            </w:r>
          </w:p>
        </w:tc>
        <w:tc>
          <w:tcPr>
            <w:tcW w:w="124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16"/>
              </w:rPr>
              <w:t xml:space="preserve">135.618,29 </w:t>
            </w:r>
          </w:p>
        </w:tc>
        <w:tc>
          <w:tcPr>
            <w:tcW w:w="137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2" w:firstLine="0"/>
              <w:jc w:val="center"/>
            </w:pPr>
            <w:r>
              <w:rPr>
                <w:sz w:val="16"/>
              </w:rPr>
              <w:t xml:space="preserve">3.512,29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7.449,46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4" w:firstLine="0"/>
              <w:jc w:val="center"/>
            </w:pPr>
            <w:r>
              <w:rPr>
                <w:sz w:val="16"/>
              </w:rPr>
              <w:t xml:space="preserve">3.429,68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7.449,46 </w:t>
            </w:r>
          </w:p>
        </w:tc>
      </w:tr>
      <w:tr w:rsidR="00B064CF">
        <w:trPr>
          <w:trHeight w:val="497"/>
        </w:trPr>
        <w:tc>
          <w:tcPr>
            <w:tcW w:w="209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16"/>
              </w:rPr>
              <w:t xml:space="preserve">TRANSFERENCIAS CORRIENTES </w:t>
            </w:r>
          </w:p>
        </w:tc>
        <w:tc>
          <w:tcPr>
            <w:tcW w:w="124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16"/>
              </w:rPr>
              <w:t xml:space="preserve">2.881.900,35 </w:t>
            </w:r>
          </w:p>
        </w:tc>
        <w:tc>
          <w:tcPr>
            <w:tcW w:w="137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2" w:firstLine="0"/>
              <w:jc w:val="center"/>
            </w:pPr>
            <w:r>
              <w:rPr>
                <w:sz w:val="16"/>
              </w:rPr>
              <w:t xml:space="preserve">161.768,17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171.420,77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150.403,17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158.150,77 </w:t>
            </w:r>
          </w:p>
        </w:tc>
      </w:tr>
      <w:tr w:rsidR="00B064CF">
        <w:trPr>
          <w:trHeight w:val="314"/>
        </w:trPr>
        <w:tc>
          <w:tcPr>
            <w:tcW w:w="209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16"/>
              </w:rPr>
              <w:t xml:space="preserve">INVERSIONES REALES </w:t>
            </w:r>
          </w:p>
        </w:tc>
        <w:tc>
          <w:tcPr>
            <w:tcW w:w="124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16"/>
              </w:rPr>
              <w:t xml:space="preserve">313.387,97 </w:t>
            </w:r>
          </w:p>
        </w:tc>
        <w:tc>
          <w:tcPr>
            <w:tcW w:w="137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2" w:firstLine="0"/>
              <w:jc w:val="center"/>
            </w:pPr>
            <w:r>
              <w:rPr>
                <w:sz w:val="16"/>
              </w:rPr>
              <w:t xml:space="preserve">487.199,75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94.411,15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476.905,26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3" w:firstLine="0"/>
              <w:jc w:val="center"/>
            </w:pPr>
            <w:r>
              <w:rPr>
                <w:sz w:val="16"/>
              </w:rPr>
              <w:t xml:space="preserve">13.612,69 </w:t>
            </w:r>
          </w:p>
        </w:tc>
      </w:tr>
      <w:tr w:rsidR="00B064CF">
        <w:trPr>
          <w:trHeight w:val="499"/>
        </w:trPr>
        <w:tc>
          <w:tcPr>
            <w:tcW w:w="209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16"/>
              </w:rPr>
              <w:t xml:space="preserve">TRANSFERENCIAS DE CAPITAL </w:t>
            </w:r>
          </w:p>
        </w:tc>
        <w:tc>
          <w:tcPr>
            <w:tcW w:w="124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16"/>
              </w:rPr>
              <w:t xml:space="preserve">0,00 </w:t>
            </w:r>
          </w:p>
        </w:tc>
        <w:tc>
          <w:tcPr>
            <w:tcW w:w="137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2" w:firstLine="0"/>
              <w:jc w:val="center"/>
            </w:pPr>
            <w:r>
              <w:rPr>
                <w:sz w:val="16"/>
              </w:rPr>
              <w:t xml:space="preserve">0,00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0,00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4" w:firstLine="0"/>
              <w:jc w:val="center"/>
            </w:pPr>
            <w:r>
              <w:rPr>
                <w:sz w:val="16"/>
              </w:rPr>
              <w:t xml:space="preserve">0,00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0,00 </w:t>
            </w:r>
          </w:p>
        </w:tc>
      </w:tr>
      <w:tr w:rsidR="00B064CF">
        <w:trPr>
          <w:trHeight w:val="314"/>
        </w:trPr>
        <w:tc>
          <w:tcPr>
            <w:tcW w:w="209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16"/>
              </w:rPr>
              <w:t xml:space="preserve">ACTIVOS FINANCIEROS </w:t>
            </w:r>
          </w:p>
        </w:tc>
        <w:tc>
          <w:tcPr>
            <w:tcW w:w="124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16"/>
              </w:rPr>
              <w:t xml:space="preserve">50.000,00 </w:t>
            </w:r>
          </w:p>
        </w:tc>
        <w:tc>
          <w:tcPr>
            <w:tcW w:w="137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2" w:firstLine="0"/>
              <w:jc w:val="center"/>
            </w:pPr>
            <w:r>
              <w:rPr>
                <w:sz w:val="16"/>
              </w:rPr>
              <w:t xml:space="preserve">0,00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0,00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4" w:firstLine="0"/>
              <w:jc w:val="center"/>
            </w:pPr>
            <w:r>
              <w:rPr>
                <w:sz w:val="16"/>
              </w:rPr>
              <w:t xml:space="preserve">0,00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0,00 </w:t>
            </w:r>
          </w:p>
        </w:tc>
      </w:tr>
      <w:tr w:rsidR="00B064CF">
        <w:trPr>
          <w:trHeight w:val="312"/>
        </w:trPr>
        <w:tc>
          <w:tcPr>
            <w:tcW w:w="209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16"/>
              </w:rPr>
              <w:t xml:space="preserve">PASIVOS FINANCIEROS </w:t>
            </w:r>
          </w:p>
        </w:tc>
        <w:tc>
          <w:tcPr>
            <w:tcW w:w="124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16"/>
              </w:rPr>
              <w:t xml:space="preserve">612.852,83 </w:t>
            </w:r>
          </w:p>
        </w:tc>
        <w:tc>
          <w:tcPr>
            <w:tcW w:w="137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2" w:firstLine="0"/>
              <w:jc w:val="center"/>
            </w:pPr>
            <w:r>
              <w:rPr>
                <w:sz w:val="16"/>
              </w:rPr>
              <w:t xml:space="preserve">137.383,12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0,00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137.383,12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6"/>
              </w:rPr>
              <w:t xml:space="preserve">0,00 </w:t>
            </w:r>
          </w:p>
        </w:tc>
      </w:tr>
      <w:tr w:rsidR="00B064CF">
        <w:trPr>
          <w:trHeight w:val="314"/>
        </w:trPr>
        <w:tc>
          <w:tcPr>
            <w:tcW w:w="209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16"/>
              </w:rPr>
              <w:t xml:space="preserve">TOTAL </w:t>
            </w:r>
          </w:p>
        </w:tc>
        <w:tc>
          <w:tcPr>
            <w:tcW w:w="124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16"/>
              </w:rPr>
              <w:t xml:space="preserve">21.889.853,83 </w:t>
            </w:r>
          </w:p>
        </w:tc>
        <w:tc>
          <w:tcPr>
            <w:tcW w:w="137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2" w:firstLine="0"/>
              <w:jc w:val="center"/>
            </w:pPr>
            <w:r>
              <w:rPr>
                <w:sz w:val="16"/>
              </w:rPr>
              <w:t xml:space="preserve">5.422.944,86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0" w:firstLine="0"/>
              <w:jc w:val="center"/>
            </w:pPr>
            <w:r>
              <w:rPr>
                <w:sz w:val="16"/>
              </w:rPr>
              <w:t xml:space="preserve">4.572.497,07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2" w:firstLine="0"/>
              <w:jc w:val="center"/>
            </w:pPr>
            <w:r>
              <w:rPr>
                <w:sz w:val="16"/>
              </w:rPr>
              <w:t xml:space="preserve">5.119.964,69 </w:t>
            </w:r>
          </w:p>
        </w:tc>
        <w:tc>
          <w:tcPr>
            <w:tcW w:w="133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0" w:firstLine="0"/>
              <w:jc w:val="center"/>
            </w:pPr>
            <w:r>
              <w:rPr>
                <w:sz w:val="16"/>
              </w:rPr>
              <w:t xml:space="preserve">4.208.127,76 </w:t>
            </w:r>
          </w:p>
        </w:tc>
      </w:tr>
    </w:tbl>
    <w:p w:rsidR="00B064CF" w:rsidRDefault="00E32F70">
      <w:pPr>
        <w:spacing w:after="81" w:line="259" w:lineRule="auto"/>
        <w:ind w:left="360" w:firstLine="0"/>
        <w:jc w:val="left"/>
      </w:pPr>
      <w:r>
        <w:rPr>
          <w:b/>
          <w:sz w:val="24"/>
        </w:rPr>
        <w:t xml:space="preserve"> </w:t>
      </w:r>
    </w:p>
    <w:p w:rsidR="00B064CF" w:rsidRDefault="00E32F70">
      <w:pPr>
        <w:spacing w:after="126"/>
        <w:ind w:left="345" w:right="72" w:firstLine="708"/>
      </w:pPr>
      <w:r>
        <w:t xml:space="preserve">En materia de gastos, se observa un incremento del 18,6 %, esto es, una diferencia de 850.447,16 euros, destacando por capítulos: </w:t>
      </w:r>
    </w:p>
    <w:p w:rsidR="00B064CF" w:rsidRDefault="00E32F70">
      <w:pPr>
        <w:numPr>
          <w:ilvl w:val="0"/>
          <w:numId w:val="26"/>
        </w:numPr>
        <w:spacing w:after="126"/>
        <w:ind w:right="72" w:hanging="360"/>
      </w:pPr>
      <w:r>
        <w:t>Capítulo I de Personal: Hay un incremento de 220.300,25 Euros, un 9,6 %, de subi</w:t>
      </w:r>
      <w:r>
        <w:t>da. Señalar que con la Ley 11/2020 de 30 de diciembre de Presupuestos Generales del Estado para el año 2021, se han subido las retribuciones en un 0,9 %. Otro hecho destacable. ha sido el abono de la gratificaciones y contratación de personal de Convenios.</w:t>
      </w:r>
      <w:r>
        <w:t xml:space="preserve"> </w:t>
      </w:r>
    </w:p>
    <w:p w:rsidR="00B064CF" w:rsidRDefault="00E32F70">
      <w:pPr>
        <w:numPr>
          <w:ilvl w:val="0"/>
          <w:numId w:val="26"/>
        </w:numPr>
        <w:spacing w:after="126"/>
        <w:ind w:right="72" w:hanging="360"/>
      </w:pPr>
      <w:r>
        <w:t xml:space="preserve">Capítulo II de gastos en Bienes Corrientes y de Servicios, ha disminuido un 23,5 %, un total de 554.191,86 Euros. </w:t>
      </w:r>
    </w:p>
    <w:p w:rsidR="00B064CF" w:rsidRDefault="00E32F70">
      <w:pPr>
        <w:numPr>
          <w:ilvl w:val="0"/>
          <w:numId w:val="26"/>
        </w:numPr>
        <w:spacing w:after="126"/>
        <w:ind w:right="72" w:hanging="360"/>
      </w:pPr>
      <w:r>
        <w:t xml:space="preserve">Capítulo III de Gastos Financieros, se ha duplicado, pero representa una cantidad muy pequeña. </w:t>
      </w:r>
    </w:p>
    <w:p w:rsidR="00B064CF" w:rsidRDefault="00E32F70">
      <w:pPr>
        <w:numPr>
          <w:ilvl w:val="0"/>
          <w:numId w:val="26"/>
        </w:numPr>
        <w:spacing w:after="91"/>
        <w:ind w:right="72" w:hanging="360"/>
      </w:pPr>
      <w:r>
        <w:rPr>
          <w:rFonts w:ascii="Calibri" w:eastAsia="Calibri" w:hAnsi="Calibri" w:cs="Calibri"/>
          <w:noProof/>
        </w:rPr>
        <mc:AlternateContent>
          <mc:Choice Requires="wpg">
            <w:drawing>
              <wp:anchor distT="0" distB="0" distL="114300" distR="114300" simplePos="0" relativeHeight="25174323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38573" name="Group 438573"/>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19287" name="Rectangle 19287"/>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19288" name="Rectangle 19288"/>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80 de 298 </w:t>
                              </w:r>
                            </w:p>
                          </w:txbxContent>
                        </wps:txbx>
                        <wps:bodyPr horzOverflow="overflow" vert="horz" lIns="0" tIns="0" rIns="0" bIns="0" rtlCol="0">
                          <a:noAutofit/>
                        </wps:bodyPr>
                      </wps:wsp>
                    </wpg:wgp>
                  </a:graphicData>
                </a:graphic>
              </wp:anchor>
            </w:drawing>
          </mc:Choice>
          <mc:Fallback xmlns:a="http://schemas.openxmlformats.org/drawingml/2006/main">
            <w:pict>
              <v:group id="Group 438573" style="width:12.7031pt;height:278.91pt;position:absolute;mso-position-horizontal-relative:page;mso-position-horizontal:absolute;margin-left:682.278pt;mso-position-vertical-relative:page;margin-top:533.01pt;" coordsize="1613,35421">
                <v:rect id="Rectangle 19287"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19288"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80 de 298 </w:t>
                        </w:r>
                      </w:p>
                    </w:txbxContent>
                  </v:textbox>
                </v:rect>
                <w10:wrap type="square"/>
              </v:group>
            </w:pict>
          </mc:Fallback>
        </mc:AlternateContent>
      </w:r>
      <w:r>
        <w:t xml:space="preserve">Capítulo IV de transferencias Corrientes, aumenta un 6 %. </w:t>
      </w:r>
    </w:p>
    <w:p w:rsidR="00B064CF" w:rsidRDefault="00E32F70">
      <w:pPr>
        <w:numPr>
          <w:ilvl w:val="0"/>
          <w:numId w:val="26"/>
        </w:numPr>
        <w:spacing w:after="90"/>
        <w:ind w:right="72" w:hanging="360"/>
      </w:pPr>
      <w:r>
        <w:t>Cap</w:t>
      </w:r>
      <w:r>
        <w:t xml:space="preserve">ítulo VI de inversión, cae un 81 %. </w:t>
      </w:r>
    </w:p>
    <w:p w:rsidR="00B064CF" w:rsidRDefault="00E32F70">
      <w:pPr>
        <w:numPr>
          <w:ilvl w:val="0"/>
          <w:numId w:val="26"/>
        </w:numPr>
        <w:spacing w:after="114"/>
        <w:ind w:right="72" w:hanging="360"/>
      </w:pPr>
      <w:r>
        <w:t xml:space="preserve">Capítulo IX, tiene un gasto cero en el presente año, por la cancelación íntegra de toda la deuda financiera pendiente. </w:t>
      </w:r>
    </w:p>
    <w:p w:rsidR="00B064CF" w:rsidRDefault="00E32F70">
      <w:pPr>
        <w:spacing w:after="98" w:line="259" w:lineRule="auto"/>
        <w:ind w:left="360" w:firstLine="0"/>
        <w:jc w:val="left"/>
      </w:pPr>
      <w:r>
        <w:t xml:space="preserve"> </w:t>
      </w:r>
    </w:p>
    <w:p w:rsidR="00B064CF" w:rsidRDefault="00E32F70">
      <w:pPr>
        <w:tabs>
          <w:tab w:val="center" w:pos="360"/>
          <w:tab w:val="center" w:pos="4969"/>
        </w:tabs>
        <w:spacing w:after="116"/>
        <w:ind w:left="0" w:firstLine="0"/>
        <w:jc w:val="left"/>
      </w:pPr>
      <w:r>
        <w:rPr>
          <w:rFonts w:ascii="Calibri" w:eastAsia="Calibri" w:hAnsi="Calibri" w:cs="Calibri"/>
        </w:rPr>
        <w:tab/>
      </w:r>
      <w:r>
        <w:t xml:space="preserve"> </w:t>
      </w:r>
      <w:r>
        <w:tab/>
        <w:t xml:space="preserve">Destaca el porcentaje de pago, que es del 97 %, frente al 98 % del año anterior. </w:t>
      </w:r>
    </w:p>
    <w:p w:rsidR="00B064CF" w:rsidRDefault="00E32F70">
      <w:pPr>
        <w:spacing w:after="98" w:line="259" w:lineRule="auto"/>
        <w:ind w:left="360" w:firstLine="0"/>
        <w:jc w:val="left"/>
      </w:pPr>
      <w:r>
        <w:t xml:space="preserve"> </w:t>
      </w:r>
    </w:p>
    <w:p w:rsidR="00B064CF" w:rsidRDefault="00E32F70">
      <w:pPr>
        <w:pStyle w:val="Ttulo1"/>
        <w:ind w:left="355"/>
      </w:pPr>
      <w:r>
        <w:t>VERIFICACI</w:t>
      </w:r>
      <w:r>
        <w:t>ÓN DEL OBJETIVO DE ESTABILIDAD PRESUPUESTARIA</w:t>
      </w:r>
      <w:r>
        <w:rPr>
          <w:b w:val="0"/>
          <w:u w:val="none"/>
        </w:rPr>
        <w:t xml:space="preserve"> </w:t>
      </w:r>
    </w:p>
    <w:p w:rsidR="00B064CF" w:rsidRDefault="00E32F70">
      <w:pPr>
        <w:spacing w:after="101" w:line="259" w:lineRule="auto"/>
        <w:ind w:left="360" w:firstLine="0"/>
        <w:jc w:val="left"/>
      </w:pPr>
      <w:r>
        <w:t xml:space="preserve"> </w:t>
      </w:r>
    </w:p>
    <w:p w:rsidR="00B064CF" w:rsidRDefault="00E32F70">
      <w:pPr>
        <w:spacing w:after="108"/>
        <w:ind w:left="345" w:right="143" w:firstLine="708"/>
      </w:pPr>
      <w:r>
        <w:t>El concepto de estabilidad presupuestaria aparece definido (artículo 3.2 LOEPSF) en términos de situación de equilibrio o de superávit, situación que es computada en términos de capacidad de financiación de acuerdo con la definición contenida en el Sistema</w:t>
      </w:r>
      <w:r>
        <w:t xml:space="preserve"> Europeo de Cuentas Nacionales y</w:t>
      </w:r>
      <w:r>
        <w:rPr>
          <w:sz w:val="24"/>
        </w:rPr>
        <w:t xml:space="preserve"> </w:t>
      </w:r>
      <w:r>
        <w:t xml:space="preserve">Regionales (criterio SEC 10) y en las condiciones establecidas para cada una de las administraciones públicas, fijándose el objetivo en el 0 %, para el ejercicio 2021. Actualmente está suspendida en el año 2021. </w:t>
      </w:r>
    </w:p>
    <w:p w:rsidR="00B064CF" w:rsidRDefault="00E32F70">
      <w:pPr>
        <w:spacing w:after="114"/>
        <w:ind w:left="355" w:right="143"/>
      </w:pPr>
      <w:r>
        <w:t xml:space="preserve"> Para eval</w:t>
      </w:r>
      <w:r>
        <w:t xml:space="preserve">uar el objetivo de estabilidad presupuestaria, es necesario realizar una serie de ajustes de acuerdo con el Manual de cálculo del Déficit en Contabilidad Nacional adaptado a las Corporaciones Locales: </w:t>
      </w:r>
    </w:p>
    <w:p w:rsidR="00B064CF" w:rsidRDefault="00E32F70">
      <w:pPr>
        <w:spacing w:after="98" w:line="259" w:lineRule="auto"/>
        <w:ind w:left="360" w:firstLine="0"/>
        <w:jc w:val="left"/>
      </w:pPr>
      <w:r>
        <w:t xml:space="preserve"> </w:t>
      </w:r>
    </w:p>
    <w:p w:rsidR="00B064CF" w:rsidRDefault="00E32F70">
      <w:pPr>
        <w:spacing w:after="113" w:line="248" w:lineRule="auto"/>
        <w:ind w:left="355"/>
      </w:pPr>
      <w:r>
        <w:rPr>
          <w:b/>
          <w:i/>
        </w:rPr>
        <w:t xml:space="preserve">1.- Registro en Contabilidad Nacional de Impuestos, </w:t>
      </w:r>
      <w:r>
        <w:rPr>
          <w:b/>
          <w:i/>
        </w:rPr>
        <w:t>Tasa y Otros Ingresos de naturaleza tributaria</w:t>
      </w:r>
      <w:r>
        <w:t xml:space="preserve"> </w:t>
      </w:r>
    </w:p>
    <w:p w:rsidR="00B064CF" w:rsidRDefault="00E32F70">
      <w:pPr>
        <w:spacing w:after="98" w:line="259" w:lineRule="auto"/>
        <w:ind w:left="360" w:firstLine="0"/>
        <w:jc w:val="left"/>
      </w:pPr>
      <w:r>
        <w:t xml:space="preserve"> </w:t>
      </w:r>
    </w:p>
    <w:p w:rsidR="00B064CF" w:rsidRDefault="00E32F70">
      <w:pPr>
        <w:spacing w:after="112"/>
        <w:ind w:left="355" w:right="145"/>
      </w:pPr>
      <w:r>
        <w:t xml:space="preserve"> En la contabilidad nacional imputan los ingresos de los capítulos primero de impuestos directos, capítulo segundo de impuestos indirectos y el capítulo tercero, de tasas y otros ingresos, según el criterio</w:t>
      </w:r>
      <w:r>
        <w:t xml:space="preserve"> de caja en cada ejercicio, ya sea corriente o de cerrado, mientras que el presupuesto de ingresos registra en el momento en que se reconoce el derecho que puede ser previo o simultáneo al cobro. </w:t>
      </w:r>
    </w:p>
    <w:p w:rsidR="00B064CF" w:rsidRDefault="00E32F70">
      <w:pPr>
        <w:spacing w:after="131"/>
        <w:ind w:left="355" w:right="148"/>
      </w:pPr>
      <w:r>
        <w:t xml:space="preserve"> El tratamiento presupuestario y de la Contabilidad Naciona</w:t>
      </w:r>
      <w:r>
        <w:t xml:space="preserve">l, registra los capítulos I, II y II de los citados ingresos cuando se abonan. Tienen por objeto evitar el efecto de los ingresos devengados y no cobrados en el déficit público. </w:t>
      </w:r>
    </w:p>
    <w:p w:rsidR="00B064CF" w:rsidRDefault="00E32F70">
      <w:pPr>
        <w:spacing w:after="0" w:line="259" w:lineRule="auto"/>
        <w:ind w:left="360" w:firstLine="0"/>
        <w:jc w:val="left"/>
      </w:pPr>
      <w:r>
        <w:rPr>
          <w:rFonts w:ascii="Calibri" w:eastAsia="Calibri" w:hAnsi="Calibri" w:cs="Calibri"/>
          <w:noProof/>
        </w:rPr>
        <mc:AlternateContent>
          <mc:Choice Requires="wpg">
            <w:drawing>
              <wp:anchor distT="0" distB="0" distL="114300" distR="114300" simplePos="0" relativeHeight="25174425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11764" name="Group 411764"/>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19582" name="Rectangle 19582"/>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64SKSNYNJRFPNN5DLPPAAC3GS | Verificación: https://candela</w:t>
                              </w:r>
                              <w:r>
                                <w:rPr>
                                  <w:sz w:val="12"/>
                                </w:rPr>
                                <w:t xml:space="preserve">ria.sedelectronica.es/ </w:t>
                              </w:r>
                            </w:p>
                          </w:txbxContent>
                        </wps:txbx>
                        <wps:bodyPr horzOverflow="overflow" vert="horz" lIns="0" tIns="0" rIns="0" bIns="0" rtlCol="0">
                          <a:noAutofit/>
                        </wps:bodyPr>
                      </wps:wsp>
                      <wps:wsp>
                        <wps:cNvPr id="19583" name="Rectangle 19583"/>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81 de 298 </w:t>
                              </w:r>
                            </w:p>
                          </w:txbxContent>
                        </wps:txbx>
                        <wps:bodyPr horzOverflow="overflow" vert="horz" lIns="0" tIns="0" rIns="0" bIns="0" rtlCol="0">
                          <a:noAutofit/>
                        </wps:bodyPr>
                      </wps:wsp>
                    </wpg:wgp>
                  </a:graphicData>
                </a:graphic>
              </wp:anchor>
            </w:drawing>
          </mc:Choice>
          <mc:Fallback xmlns:a="http://schemas.openxmlformats.org/drawingml/2006/main">
            <w:pict>
              <v:group id="Group 411764" style="width:12.7031pt;height:278.91pt;position:absolute;mso-position-horizontal-relative:page;mso-position-horizontal:absolute;margin-left:682.278pt;mso-position-vertical-relative:page;margin-top:533.01pt;" coordsize="1613,35421">
                <v:rect id="Rectangle 19582"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19583"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81 de 298 </w:t>
                        </w:r>
                      </w:p>
                    </w:txbxContent>
                  </v:textbox>
                </v:rect>
                <w10:wrap type="square"/>
              </v:group>
            </w:pict>
          </mc:Fallback>
        </mc:AlternateContent>
      </w:r>
      <w:r>
        <w:rPr>
          <w:sz w:val="24"/>
        </w:rPr>
        <w:t xml:space="preserve"> </w:t>
      </w:r>
    </w:p>
    <w:tbl>
      <w:tblPr>
        <w:tblStyle w:val="TableGrid"/>
        <w:tblW w:w="8507" w:type="dxa"/>
        <w:tblInd w:w="435" w:type="dxa"/>
        <w:tblCellMar>
          <w:top w:w="2" w:type="dxa"/>
          <w:left w:w="70" w:type="dxa"/>
          <w:bottom w:w="0" w:type="dxa"/>
          <w:right w:w="26" w:type="dxa"/>
        </w:tblCellMar>
        <w:tblLook w:val="04A0" w:firstRow="1" w:lastRow="0" w:firstColumn="1" w:lastColumn="0" w:noHBand="0" w:noVBand="1"/>
      </w:tblPr>
      <w:tblGrid>
        <w:gridCol w:w="1553"/>
        <w:gridCol w:w="1865"/>
        <w:gridCol w:w="1656"/>
        <w:gridCol w:w="2088"/>
        <w:gridCol w:w="1345"/>
      </w:tblGrid>
      <w:tr w:rsidR="00B064CF">
        <w:trPr>
          <w:trHeight w:val="1490"/>
        </w:trPr>
        <w:tc>
          <w:tcPr>
            <w:tcW w:w="155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18"/>
              </w:rPr>
              <w:t xml:space="preserve"> </w:t>
            </w:r>
          </w:p>
        </w:tc>
        <w:tc>
          <w:tcPr>
            <w:tcW w:w="186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18"/>
              </w:rPr>
              <w:t xml:space="preserve">Derechos </w:t>
            </w:r>
          </w:p>
          <w:p w:rsidR="00B064CF" w:rsidRDefault="00E32F70">
            <w:pPr>
              <w:spacing w:after="0" w:line="259" w:lineRule="auto"/>
              <w:ind w:left="0" w:firstLine="0"/>
              <w:jc w:val="left"/>
            </w:pPr>
            <w:r>
              <w:rPr>
                <w:b/>
                <w:sz w:val="18"/>
              </w:rPr>
              <w:t xml:space="preserve">Reconocidos </w:t>
            </w:r>
          </w:p>
          <w:p w:rsidR="00B064CF" w:rsidRDefault="00E32F70">
            <w:pPr>
              <w:spacing w:after="0" w:line="259" w:lineRule="auto"/>
              <w:ind w:left="0" w:firstLine="0"/>
              <w:jc w:val="left"/>
            </w:pPr>
            <w:r>
              <w:rPr>
                <w:b/>
                <w:sz w:val="18"/>
              </w:rPr>
              <w:t xml:space="preserve">Corrientes </w:t>
            </w:r>
          </w:p>
          <w:p w:rsidR="00B064CF" w:rsidRDefault="00E32F70">
            <w:pPr>
              <w:spacing w:after="0" w:line="259" w:lineRule="auto"/>
              <w:ind w:left="0" w:firstLine="0"/>
              <w:jc w:val="left"/>
            </w:pPr>
            <w:r>
              <w:rPr>
                <w:b/>
                <w:sz w:val="18"/>
              </w:rPr>
              <w:t xml:space="preserve">Liquidación </w:t>
            </w:r>
          </w:p>
          <w:p w:rsidR="00B064CF" w:rsidRDefault="00E32F70">
            <w:pPr>
              <w:spacing w:after="0" w:line="259" w:lineRule="auto"/>
              <w:ind w:left="0" w:firstLine="0"/>
              <w:jc w:val="left"/>
            </w:pPr>
            <w:r>
              <w:rPr>
                <w:b/>
                <w:sz w:val="18"/>
              </w:rPr>
              <w:t xml:space="preserve">Presupuesto  </w:t>
            </w:r>
          </w:p>
        </w:tc>
        <w:tc>
          <w:tcPr>
            <w:tcW w:w="1656"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18"/>
              </w:rPr>
              <w:t xml:space="preserve">Derechos </w:t>
            </w:r>
          </w:p>
          <w:p w:rsidR="00B064CF" w:rsidRDefault="00E32F70">
            <w:pPr>
              <w:spacing w:after="0" w:line="259" w:lineRule="auto"/>
              <w:ind w:left="0" w:firstLine="0"/>
              <w:jc w:val="left"/>
            </w:pPr>
            <w:r>
              <w:rPr>
                <w:b/>
                <w:sz w:val="18"/>
              </w:rPr>
              <w:t xml:space="preserve">Recaudados </w:t>
            </w:r>
          </w:p>
          <w:p w:rsidR="00B064CF" w:rsidRDefault="00E32F70">
            <w:pPr>
              <w:spacing w:after="0" w:line="259" w:lineRule="auto"/>
              <w:ind w:left="0" w:firstLine="0"/>
              <w:jc w:val="left"/>
            </w:pPr>
            <w:r>
              <w:rPr>
                <w:b/>
                <w:sz w:val="18"/>
              </w:rPr>
              <w:t xml:space="preserve">Corrientes </w:t>
            </w:r>
          </w:p>
          <w:p w:rsidR="00B064CF" w:rsidRDefault="00E32F70">
            <w:pPr>
              <w:spacing w:after="0" w:line="259" w:lineRule="auto"/>
              <w:ind w:left="0" w:firstLine="0"/>
              <w:jc w:val="left"/>
            </w:pPr>
            <w:r>
              <w:rPr>
                <w:b/>
                <w:sz w:val="18"/>
              </w:rPr>
              <w:t xml:space="preserve">Liquidación </w:t>
            </w:r>
          </w:p>
          <w:p w:rsidR="00B064CF" w:rsidRDefault="00E32F70">
            <w:pPr>
              <w:spacing w:after="0" w:line="259" w:lineRule="auto"/>
              <w:ind w:left="0" w:firstLine="0"/>
              <w:jc w:val="left"/>
            </w:pPr>
            <w:r>
              <w:rPr>
                <w:b/>
                <w:sz w:val="18"/>
              </w:rPr>
              <w:t xml:space="preserve">Presupuesto  </w:t>
            </w:r>
          </w:p>
        </w:tc>
        <w:tc>
          <w:tcPr>
            <w:tcW w:w="208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pPr>
            <w:r>
              <w:rPr>
                <w:b/>
                <w:sz w:val="18"/>
              </w:rPr>
              <w:t xml:space="preserve">Derechos Recaudados </w:t>
            </w:r>
          </w:p>
          <w:p w:rsidR="00B064CF" w:rsidRDefault="00E32F70">
            <w:pPr>
              <w:spacing w:after="0" w:line="259" w:lineRule="auto"/>
              <w:ind w:left="0" w:firstLine="0"/>
              <w:jc w:val="left"/>
            </w:pPr>
            <w:r>
              <w:rPr>
                <w:b/>
                <w:sz w:val="18"/>
              </w:rPr>
              <w:t xml:space="preserve">Cerrados Liquidación </w:t>
            </w:r>
          </w:p>
          <w:p w:rsidR="00B064CF" w:rsidRDefault="00E32F70">
            <w:pPr>
              <w:spacing w:after="0" w:line="259" w:lineRule="auto"/>
              <w:ind w:left="0" w:firstLine="0"/>
              <w:jc w:val="left"/>
            </w:pPr>
            <w:r>
              <w:rPr>
                <w:b/>
                <w:sz w:val="18"/>
              </w:rPr>
              <w:t xml:space="preserve">Presupuesto  </w:t>
            </w:r>
          </w:p>
        </w:tc>
        <w:tc>
          <w:tcPr>
            <w:tcW w:w="134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18"/>
              </w:rPr>
              <w:t>Ajustes por diferencia entre DRN y Recaudados Corrientes y Cerrados</w:t>
            </w:r>
            <w:r>
              <w:t xml:space="preserve"> </w:t>
            </w:r>
          </w:p>
        </w:tc>
      </w:tr>
      <w:tr w:rsidR="00B064CF">
        <w:trPr>
          <w:trHeight w:val="665"/>
        </w:trPr>
        <w:tc>
          <w:tcPr>
            <w:tcW w:w="1553" w:type="dxa"/>
            <w:tcBorders>
              <w:top w:val="single" w:sz="4" w:space="0" w:color="000000"/>
              <w:left w:val="single" w:sz="4" w:space="0" w:color="000000"/>
              <w:bottom w:val="single" w:sz="4" w:space="0" w:color="000000"/>
              <w:right w:val="single" w:sz="4" w:space="0" w:color="000000"/>
            </w:tcBorders>
          </w:tcPr>
          <w:p w:rsidR="00B064CF" w:rsidRDefault="00E32F70">
            <w:pPr>
              <w:spacing w:after="19" w:line="259" w:lineRule="auto"/>
              <w:ind w:left="0" w:firstLine="0"/>
              <w:jc w:val="left"/>
            </w:pPr>
            <w:r>
              <w:rPr>
                <w:b/>
                <w:sz w:val="18"/>
              </w:rPr>
              <w:t xml:space="preserve">1.-Impuestos </w:t>
            </w:r>
          </w:p>
          <w:p w:rsidR="00B064CF" w:rsidRDefault="00E32F70">
            <w:pPr>
              <w:spacing w:after="0" w:line="259" w:lineRule="auto"/>
              <w:ind w:left="0" w:firstLine="0"/>
              <w:jc w:val="left"/>
            </w:pPr>
            <w:r>
              <w:rPr>
                <w:b/>
                <w:sz w:val="18"/>
              </w:rPr>
              <w:t>Directos</w:t>
            </w:r>
            <w:r>
              <w:t xml:space="preserve"> </w:t>
            </w:r>
          </w:p>
        </w:tc>
        <w:tc>
          <w:tcPr>
            <w:tcW w:w="186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3" w:firstLine="0"/>
              <w:jc w:val="center"/>
            </w:pPr>
            <w:r>
              <w:rPr>
                <w:sz w:val="18"/>
              </w:rPr>
              <w:t xml:space="preserve">551.264,26 </w:t>
            </w:r>
          </w:p>
        </w:tc>
        <w:tc>
          <w:tcPr>
            <w:tcW w:w="1656"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5" w:firstLine="0"/>
              <w:jc w:val="center"/>
            </w:pPr>
            <w:r>
              <w:rPr>
                <w:sz w:val="18"/>
              </w:rPr>
              <w:t xml:space="preserve">500.543,34 </w:t>
            </w:r>
          </w:p>
        </w:tc>
        <w:tc>
          <w:tcPr>
            <w:tcW w:w="208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18"/>
              </w:rPr>
              <w:t xml:space="preserve">58.213,90 </w:t>
            </w:r>
          </w:p>
        </w:tc>
        <w:tc>
          <w:tcPr>
            <w:tcW w:w="1345" w:type="dxa"/>
            <w:tcBorders>
              <w:top w:val="single" w:sz="4" w:space="0" w:color="000000"/>
              <w:left w:val="single" w:sz="4" w:space="0" w:color="000000"/>
              <w:bottom w:val="single" w:sz="4" w:space="0" w:color="000000"/>
              <w:right w:val="single" w:sz="4" w:space="0" w:color="000000"/>
            </w:tcBorders>
          </w:tcPr>
          <w:p w:rsidR="00B064CF" w:rsidRDefault="00E32F70">
            <w:pPr>
              <w:spacing w:after="105" w:line="259" w:lineRule="auto"/>
              <w:ind w:left="0" w:firstLine="0"/>
              <w:jc w:val="left"/>
            </w:pPr>
            <w:r>
              <w:rPr>
                <w:sz w:val="18"/>
              </w:rPr>
              <w:t xml:space="preserve">+ 7.492,98 </w:t>
            </w:r>
          </w:p>
          <w:p w:rsidR="00B064CF" w:rsidRDefault="00E32F70">
            <w:pPr>
              <w:spacing w:after="0" w:line="259" w:lineRule="auto"/>
              <w:ind w:left="0" w:firstLine="0"/>
              <w:jc w:val="left"/>
            </w:pPr>
            <w:r>
              <w:rPr>
                <w:sz w:val="18"/>
              </w:rPr>
              <w:t xml:space="preserve"> </w:t>
            </w:r>
          </w:p>
        </w:tc>
      </w:tr>
      <w:tr w:rsidR="00B064CF">
        <w:trPr>
          <w:trHeight w:val="545"/>
        </w:trPr>
        <w:tc>
          <w:tcPr>
            <w:tcW w:w="1553" w:type="dxa"/>
            <w:tcBorders>
              <w:top w:val="single" w:sz="4" w:space="0" w:color="000000"/>
              <w:left w:val="single" w:sz="4" w:space="0" w:color="000000"/>
              <w:bottom w:val="single" w:sz="4" w:space="0" w:color="000000"/>
              <w:right w:val="single" w:sz="4" w:space="0" w:color="000000"/>
            </w:tcBorders>
          </w:tcPr>
          <w:p w:rsidR="00B064CF" w:rsidRDefault="00E32F70">
            <w:pPr>
              <w:spacing w:after="17" w:line="259" w:lineRule="auto"/>
              <w:ind w:left="0" w:firstLine="0"/>
              <w:jc w:val="left"/>
            </w:pPr>
            <w:r>
              <w:rPr>
                <w:b/>
                <w:sz w:val="18"/>
              </w:rPr>
              <w:t xml:space="preserve">2.-Impuestos </w:t>
            </w:r>
          </w:p>
          <w:p w:rsidR="00B064CF" w:rsidRDefault="00E32F70">
            <w:pPr>
              <w:spacing w:after="0" w:line="259" w:lineRule="auto"/>
              <w:ind w:left="0" w:firstLine="0"/>
              <w:jc w:val="left"/>
            </w:pPr>
            <w:r>
              <w:rPr>
                <w:b/>
                <w:sz w:val="18"/>
              </w:rPr>
              <w:t>Indirectos</w:t>
            </w:r>
            <w:r>
              <w:t xml:space="preserve"> </w:t>
            </w:r>
          </w:p>
        </w:tc>
        <w:tc>
          <w:tcPr>
            <w:tcW w:w="186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3" w:firstLine="0"/>
              <w:jc w:val="center"/>
            </w:pPr>
            <w:r>
              <w:rPr>
                <w:sz w:val="18"/>
              </w:rPr>
              <w:t xml:space="preserve">614.980,50 </w:t>
            </w:r>
          </w:p>
        </w:tc>
        <w:tc>
          <w:tcPr>
            <w:tcW w:w="1656"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3" w:firstLine="0"/>
              <w:jc w:val="center"/>
            </w:pPr>
            <w:r>
              <w:rPr>
                <w:sz w:val="18"/>
              </w:rPr>
              <w:t xml:space="preserve">611.332,63 </w:t>
            </w:r>
          </w:p>
        </w:tc>
        <w:tc>
          <w:tcPr>
            <w:tcW w:w="208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18"/>
              </w:rPr>
              <w:t xml:space="preserve">2.278,09 </w:t>
            </w:r>
          </w:p>
        </w:tc>
        <w:tc>
          <w:tcPr>
            <w:tcW w:w="134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18"/>
              </w:rPr>
              <w:t xml:space="preserve">-1.369,78 </w:t>
            </w:r>
          </w:p>
        </w:tc>
      </w:tr>
      <w:tr w:rsidR="00B064CF">
        <w:trPr>
          <w:trHeight w:val="662"/>
        </w:trPr>
        <w:tc>
          <w:tcPr>
            <w:tcW w:w="155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24" w:firstLine="0"/>
            </w:pPr>
            <w:r>
              <w:rPr>
                <w:b/>
                <w:sz w:val="18"/>
              </w:rPr>
              <w:t>3.- Tasas y Otros Ingresos</w:t>
            </w:r>
            <w:r>
              <w:t xml:space="preserve"> </w:t>
            </w:r>
          </w:p>
        </w:tc>
        <w:tc>
          <w:tcPr>
            <w:tcW w:w="186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6" w:firstLine="0"/>
              <w:jc w:val="center"/>
            </w:pPr>
            <w:r>
              <w:rPr>
                <w:sz w:val="18"/>
              </w:rPr>
              <w:t xml:space="preserve">269.211,21 </w:t>
            </w:r>
          </w:p>
        </w:tc>
        <w:tc>
          <w:tcPr>
            <w:tcW w:w="1656"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42" w:firstLine="0"/>
              <w:jc w:val="center"/>
            </w:pPr>
            <w:r>
              <w:rPr>
                <w:sz w:val="18"/>
              </w:rPr>
              <w:t xml:space="preserve">211.544,08 </w:t>
            </w:r>
          </w:p>
        </w:tc>
        <w:tc>
          <w:tcPr>
            <w:tcW w:w="208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18"/>
              </w:rPr>
              <w:t xml:space="preserve">32.709,76 </w:t>
            </w:r>
          </w:p>
        </w:tc>
        <w:tc>
          <w:tcPr>
            <w:tcW w:w="1345" w:type="dxa"/>
            <w:tcBorders>
              <w:top w:val="single" w:sz="4" w:space="0" w:color="000000"/>
              <w:left w:val="single" w:sz="4" w:space="0" w:color="000000"/>
              <w:bottom w:val="single" w:sz="4" w:space="0" w:color="000000"/>
              <w:right w:val="single" w:sz="4" w:space="0" w:color="000000"/>
            </w:tcBorders>
          </w:tcPr>
          <w:p w:rsidR="00B064CF" w:rsidRDefault="00E32F70">
            <w:pPr>
              <w:spacing w:after="60" w:line="259" w:lineRule="auto"/>
              <w:ind w:left="0" w:firstLine="0"/>
              <w:jc w:val="left"/>
            </w:pPr>
            <w:r>
              <w:rPr>
                <w:sz w:val="18"/>
              </w:rPr>
              <w:t>-24.957,37</w:t>
            </w:r>
            <w:r>
              <w:t xml:space="preserve"> </w:t>
            </w:r>
          </w:p>
          <w:p w:rsidR="00B064CF" w:rsidRDefault="00E32F70">
            <w:pPr>
              <w:spacing w:after="0" w:line="259" w:lineRule="auto"/>
              <w:ind w:left="0" w:firstLine="0"/>
              <w:jc w:val="left"/>
            </w:pPr>
            <w:r>
              <w:rPr>
                <w:sz w:val="18"/>
              </w:rPr>
              <w:t xml:space="preserve"> </w:t>
            </w:r>
          </w:p>
        </w:tc>
      </w:tr>
      <w:tr w:rsidR="00B064CF">
        <w:trPr>
          <w:trHeight w:val="665"/>
        </w:trPr>
        <w:tc>
          <w:tcPr>
            <w:tcW w:w="1553"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18"/>
              </w:rPr>
              <w:t>TOTAL</w:t>
            </w:r>
            <w:r>
              <w:t xml:space="preserve"> </w:t>
            </w:r>
          </w:p>
        </w:tc>
        <w:tc>
          <w:tcPr>
            <w:tcW w:w="1865"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18"/>
              </w:rPr>
              <w:t xml:space="preserve">1.435.455,97 </w:t>
            </w:r>
          </w:p>
        </w:tc>
        <w:tc>
          <w:tcPr>
            <w:tcW w:w="1656"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18"/>
              </w:rPr>
              <w:t xml:space="preserve">1.323.420,05 </w:t>
            </w:r>
          </w:p>
        </w:tc>
        <w:tc>
          <w:tcPr>
            <w:tcW w:w="208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18"/>
              </w:rPr>
              <w:t xml:space="preserve">93.201,75 </w:t>
            </w:r>
          </w:p>
        </w:tc>
        <w:tc>
          <w:tcPr>
            <w:tcW w:w="1345" w:type="dxa"/>
            <w:tcBorders>
              <w:top w:val="single" w:sz="4" w:space="0" w:color="000000"/>
              <w:left w:val="single" w:sz="4" w:space="0" w:color="000000"/>
              <w:bottom w:val="single" w:sz="4" w:space="0" w:color="000000"/>
              <w:right w:val="single" w:sz="4" w:space="0" w:color="000000"/>
            </w:tcBorders>
          </w:tcPr>
          <w:p w:rsidR="00B064CF" w:rsidRDefault="00E32F70">
            <w:pPr>
              <w:spacing w:after="105" w:line="259" w:lineRule="auto"/>
              <w:ind w:left="0" w:firstLine="0"/>
              <w:jc w:val="left"/>
            </w:pPr>
            <w:r>
              <w:rPr>
                <w:sz w:val="18"/>
              </w:rPr>
              <w:t xml:space="preserve">-18.834,17 </w:t>
            </w:r>
          </w:p>
          <w:p w:rsidR="00B064CF" w:rsidRDefault="00E32F70">
            <w:pPr>
              <w:spacing w:after="0" w:line="259" w:lineRule="auto"/>
              <w:ind w:left="0" w:firstLine="0"/>
              <w:jc w:val="left"/>
            </w:pPr>
            <w:r>
              <w:rPr>
                <w:sz w:val="18"/>
              </w:rPr>
              <w:t xml:space="preserve"> </w:t>
            </w:r>
          </w:p>
        </w:tc>
      </w:tr>
    </w:tbl>
    <w:p w:rsidR="00B064CF" w:rsidRDefault="00E32F70">
      <w:pPr>
        <w:spacing w:after="81" w:line="259" w:lineRule="auto"/>
        <w:ind w:left="360" w:firstLine="0"/>
        <w:jc w:val="left"/>
      </w:pPr>
      <w:r>
        <w:rPr>
          <w:sz w:val="24"/>
        </w:rPr>
        <w:t xml:space="preserve"> </w:t>
      </w:r>
    </w:p>
    <w:p w:rsidR="00B064CF" w:rsidRDefault="00E32F70">
      <w:pPr>
        <w:spacing w:after="113" w:line="248" w:lineRule="auto"/>
        <w:ind w:left="355"/>
      </w:pPr>
      <w:r>
        <w:rPr>
          <w:b/>
          <w:i/>
        </w:rPr>
        <w:t xml:space="preserve">2.- </w:t>
      </w:r>
      <w:r>
        <w:rPr>
          <w:b/>
          <w:i/>
        </w:rPr>
        <w:t>Tratamiento de las Entregas a cuenta de Impuestos cedidos y Fondo Complementario de Financiación.</w:t>
      </w:r>
      <w:r>
        <w:t xml:space="preserve"> </w:t>
      </w:r>
    </w:p>
    <w:p w:rsidR="00B064CF" w:rsidRDefault="00E32F70">
      <w:pPr>
        <w:spacing w:after="98" w:line="259" w:lineRule="auto"/>
        <w:ind w:left="360" w:firstLine="0"/>
        <w:jc w:val="left"/>
      </w:pPr>
      <w:r>
        <w:rPr>
          <w:i/>
        </w:rPr>
        <w:t xml:space="preserve"> </w:t>
      </w:r>
    </w:p>
    <w:p w:rsidR="00B064CF" w:rsidRDefault="00E32F70">
      <w:pPr>
        <w:spacing w:after="109"/>
        <w:ind w:left="355" w:right="141"/>
      </w:pPr>
      <w:r>
        <w:t xml:space="preserve"> En principio, no debería generar práctica de ajuste alguno, salvo que la Corporación Local reconozca como ingreso un porcentaje distinto al de las entrega</w:t>
      </w:r>
      <w:r>
        <w:t>s a cuenta, que no es el caso durante el presente ejercicio o cuando se aplica el criterio de caja y no por el sistema de contraído previo. En contabilidad nacional, los pagos mensuales a cuenta de los impuestos cedidos</w:t>
      </w:r>
      <w:r>
        <w:rPr>
          <w:sz w:val="24"/>
        </w:rPr>
        <w:t xml:space="preserve"> </w:t>
      </w:r>
      <w:r>
        <w:t>y de los Fondos Complementario de Fi</w:t>
      </w:r>
      <w:r>
        <w:t xml:space="preserve">nanciación se registran en el período en que se pagan por el Estado, y la liquidación definitiva resultante, en el momento en que se determina su cuantía y se satisface. </w:t>
      </w:r>
    </w:p>
    <w:p w:rsidR="00B064CF" w:rsidRDefault="00E32F70">
      <w:pPr>
        <w:spacing w:after="98" w:line="259" w:lineRule="auto"/>
        <w:ind w:left="360" w:firstLine="0"/>
        <w:jc w:val="left"/>
      </w:pPr>
      <w:r>
        <w:t xml:space="preserve"> </w:t>
      </w:r>
    </w:p>
    <w:p w:rsidR="00B064CF" w:rsidRDefault="00E32F70">
      <w:pPr>
        <w:spacing w:after="129"/>
        <w:ind w:left="355" w:right="145"/>
      </w:pPr>
      <w:r>
        <w:t xml:space="preserve"> Otro ajuste que cabe realizar lo constituye el importe que se ha reintegrado duran</w:t>
      </w:r>
      <w:r>
        <w:t>te 2021 al Estado en concepto de devolución de las liquidaciones negativas correspondiente a los ejercicios 2008 y 2009 por el concepto de Participación en los Tributos del Estado, que opera sumándolo a los Derechos Reconocidos netos.  Concretamente, que i</w:t>
      </w:r>
      <w:r>
        <w:t xml:space="preserve">mporta un total de 18.392,79 Euros:  </w:t>
      </w:r>
    </w:p>
    <w:p w:rsidR="00B064CF" w:rsidRDefault="00E32F70">
      <w:pPr>
        <w:spacing w:after="0" w:line="259" w:lineRule="auto"/>
        <w:ind w:left="360" w:firstLine="0"/>
        <w:jc w:val="left"/>
      </w:pPr>
      <w:r>
        <w:rPr>
          <w:sz w:val="24"/>
        </w:rPr>
        <w:t xml:space="preserve"> </w:t>
      </w:r>
    </w:p>
    <w:tbl>
      <w:tblPr>
        <w:tblStyle w:val="TableGrid"/>
        <w:tblW w:w="6642" w:type="dxa"/>
        <w:tblInd w:w="972" w:type="dxa"/>
        <w:tblCellMar>
          <w:top w:w="8" w:type="dxa"/>
          <w:left w:w="70" w:type="dxa"/>
          <w:bottom w:w="0" w:type="dxa"/>
          <w:right w:w="115" w:type="dxa"/>
        </w:tblCellMar>
        <w:tblLook w:val="04A0" w:firstRow="1" w:lastRow="0" w:firstColumn="1" w:lastColumn="0" w:noHBand="0" w:noVBand="1"/>
      </w:tblPr>
      <w:tblGrid>
        <w:gridCol w:w="4662"/>
        <w:gridCol w:w="1980"/>
      </w:tblGrid>
      <w:tr w:rsidR="00B064CF">
        <w:trPr>
          <w:trHeight w:val="406"/>
        </w:trPr>
        <w:tc>
          <w:tcPr>
            <w:tcW w:w="4662"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4"/>
              </w:rPr>
              <w:t xml:space="preserve">Devolución liquidación PIE 2008 en 2018 </w:t>
            </w:r>
          </w:p>
        </w:tc>
        <w:tc>
          <w:tcPr>
            <w:tcW w:w="1980"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4"/>
              </w:rPr>
              <w:t>3.528,96 (+)</w:t>
            </w:r>
            <w:r>
              <w:t xml:space="preserve"> </w:t>
            </w:r>
          </w:p>
        </w:tc>
      </w:tr>
      <w:tr w:rsidR="00B064CF">
        <w:trPr>
          <w:trHeight w:val="408"/>
        </w:trPr>
        <w:tc>
          <w:tcPr>
            <w:tcW w:w="4662"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4"/>
              </w:rPr>
              <w:t xml:space="preserve">Devolución liquidación PIE 2009 en 2018 </w:t>
            </w:r>
          </w:p>
        </w:tc>
        <w:tc>
          <w:tcPr>
            <w:tcW w:w="1980"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4"/>
              </w:rPr>
              <w:t>14.863,83 (+)</w:t>
            </w:r>
            <w:r>
              <w:t xml:space="preserve"> </w:t>
            </w:r>
          </w:p>
        </w:tc>
      </w:tr>
    </w:tbl>
    <w:p w:rsidR="00B064CF" w:rsidRDefault="00E32F70">
      <w:pPr>
        <w:spacing w:after="98" w:line="259" w:lineRule="auto"/>
        <w:ind w:left="360" w:firstLine="0"/>
        <w:jc w:val="left"/>
      </w:pPr>
      <w:r>
        <w:t xml:space="preserve"> </w:t>
      </w:r>
    </w:p>
    <w:p w:rsidR="00B064CF" w:rsidRDefault="00E32F70">
      <w:pPr>
        <w:spacing w:after="113" w:line="248" w:lineRule="auto"/>
        <w:ind w:left="355" w:right="699"/>
      </w:pPr>
      <w:r>
        <w:rPr>
          <w:b/>
          <w:i/>
        </w:rPr>
        <w:t>3.- Gastos de Intereses</w:t>
      </w:r>
      <w:r>
        <w:t xml:space="preserve"> </w:t>
      </w:r>
    </w:p>
    <w:p w:rsidR="00B064CF" w:rsidRDefault="00E32F70">
      <w:pPr>
        <w:spacing w:after="129"/>
        <w:ind w:left="355" w:right="147"/>
      </w:pPr>
      <w:r>
        <w:t xml:space="preserve">  </w:t>
      </w:r>
      <w:r>
        <w:t xml:space="preserve">Se debe realizar el correspondiente ajuste, porque se aplican al presupuesto al momento del vencimiento, mientras que en la contabilidad nacional se registran las cantidades devengadas durante el ejercicio, con independencia de cuando se produzca su pago, </w:t>
      </w:r>
      <w:r>
        <w:t xml:space="preserve">por lo que esta diferencia en la aplicación de los criterios de caja y de devengo, da lugar al siguiente ajuste por intereses. </w:t>
      </w:r>
    </w:p>
    <w:p w:rsidR="00B064CF" w:rsidRDefault="00E32F70">
      <w:pPr>
        <w:spacing w:after="0" w:line="259" w:lineRule="auto"/>
        <w:ind w:left="360" w:firstLine="0"/>
        <w:jc w:val="left"/>
      </w:pPr>
      <w:r>
        <w:rPr>
          <w:rFonts w:ascii="Calibri" w:eastAsia="Calibri" w:hAnsi="Calibri" w:cs="Calibri"/>
          <w:noProof/>
        </w:rPr>
        <mc:AlternateContent>
          <mc:Choice Requires="wpg">
            <w:drawing>
              <wp:anchor distT="0" distB="0" distL="114300" distR="114300" simplePos="0" relativeHeight="25174528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19586" name="Group 419586"/>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19788" name="Rectangle 19788"/>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19789" name="Rectangle 19789"/>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Documento firmado electró</w:t>
                              </w:r>
                              <w:r>
                                <w:rPr>
                                  <w:sz w:val="12"/>
                                </w:rPr>
                                <w:t xml:space="preserve">nicamente desde la plataforma esPublico Gestiona | Página 82 de 298 </w:t>
                              </w:r>
                            </w:p>
                          </w:txbxContent>
                        </wps:txbx>
                        <wps:bodyPr horzOverflow="overflow" vert="horz" lIns="0" tIns="0" rIns="0" bIns="0" rtlCol="0">
                          <a:noAutofit/>
                        </wps:bodyPr>
                      </wps:wsp>
                    </wpg:wgp>
                  </a:graphicData>
                </a:graphic>
              </wp:anchor>
            </w:drawing>
          </mc:Choice>
          <mc:Fallback xmlns:a="http://schemas.openxmlformats.org/drawingml/2006/main">
            <w:pict>
              <v:group id="Group 419586" style="width:12.7031pt;height:278.91pt;position:absolute;mso-position-horizontal-relative:page;mso-position-horizontal:absolute;margin-left:682.278pt;mso-position-vertical-relative:page;margin-top:533.01pt;" coordsize="1613,35421">
                <v:rect id="Rectangle 19788"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19789"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82 de 298 </w:t>
                        </w:r>
                      </w:p>
                    </w:txbxContent>
                  </v:textbox>
                </v:rect>
                <w10:wrap type="square"/>
              </v:group>
            </w:pict>
          </mc:Fallback>
        </mc:AlternateContent>
      </w:r>
      <w:r>
        <w:rPr>
          <w:sz w:val="24"/>
        </w:rPr>
        <w:t xml:space="preserve"> </w:t>
      </w:r>
    </w:p>
    <w:tbl>
      <w:tblPr>
        <w:tblStyle w:val="TableGrid"/>
        <w:tblW w:w="8507" w:type="dxa"/>
        <w:tblInd w:w="435" w:type="dxa"/>
        <w:tblCellMar>
          <w:top w:w="5" w:type="dxa"/>
          <w:left w:w="70" w:type="dxa"/>
          <w:bottom w:w="0" w:type="dxa"/>
          <w:right w:w="115" w:type="dxa"/>
        </w:tblCellMar>
        <w:tblLook w:val="04A0" w:firstRow="1" w:lastRow="0" w:firstColumn="1" w:lastColumn="0" w:noHBand="0" w:noVBand="1"/>
      </w:tblPr>
      <w:tblGrid>
        <w:gridCol w:w="2268"/>
        <w:gridCol w:w="3891"/>
        <w:gridCol w:w="2348"/>
      </w:tblGrid>
      <w:tr w:rsidR="00B064CF">
        <w:trPr>
          <w:trHeight w:val="1510"/>
        </w:trPr>
        <w:tc>
          <w:tcPr>
            <w:tcW w:w="226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4"/>
              </w:rPr>
              <w:t xml:space="preserve"> </w:t>
            </w:r>
          </w:p>
        </w:tc>
        <w:tc>
          <w:tcPr>
            <w:tcW w:w="38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20"/>
              </w:rPr>
              <w:t xml:space="preserve">Ajustes positivos por diferencia entre obligaciones reconocidas y devengadas en Liquidación Pto 2021 </w:t>
            </w:r>
          </w:p>
        </w:tc>
        <w:tc>
          <w:tcPr>
            <w:tcW w:w="234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20"/>
              </w:rPr>
              <w:t>Ajustes negativos por diferencia entre obligaciones reconocidas y devengadas en L</w:t>
            </w:r>
            <w:r>
              <w:rPr>
                <w:b/>
                <w:sz w:val="20"/>
              </w:rPr>
              <w:t>iquidación Pto 2021</w:t>
            </w:r>
            <w:r>
              <w:t xml:space="preserve"> </w:t>
            </w:r>
          </w:p>
        </w:tc>
      </w:tr>
      <w:tr w:rsidR="00B064CF">
        <w:trPr>
          <w:trHeight w:val="590"/>
        </w:trPr>
        <w:tc>
          <w:tcPr>
            <w:tcW w:w="226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20"/>
              </w:rPr>
              <w:t>1.-Préstamo 301516-</w:t>
            </w:r>
          </w:p>
          <w:p w:rsidR="00B064CF" w:rsidRDefault="00E32F70">
            <w:pPr>
              <w:spacing w:after="0" w:line="259" w:lineRule="auto"/>
              <w:ind w:left="0" w:firstLine="0"/>
              <w:jc w:val="left"/>
            </w:pPr>
            <w:r>
              <w:rPr>
                <w:b/>
                <w:sz w:val="20"/>
              </w:rPr>
              <w:t>53</w:t>
            </w:r>
            <w:r>
              <w:t xml:space="preserve"> </w:t>
            </w:r>
          </w:p>
        </w:tc>
        <w:tc>
          <w:tcPr>
            <w:tcW w:w="38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0,00 </w:t>
            </w:r>
          </w:p>
        </w:tc>
        <w:tc>
          <w:tcPr>
            <w:tcW w:w="234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0,00 </w:t>
            </w:r>
          </w:p>
        </w:tc>
      </w:tr>
      <w:tr w:rsidR="00B064CF">
        <w:trPr>
          <w:trHeight w:val="360"/>
        </w:trPr>
        <w:tc>
          <w:tcPr>
            <w:tcW w:w="226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20"/>
              </w:rPr>
              <w:t>6.-Préstamo 15953</w:t>
            </w:r>
            <w:r>
              <w:t xml:space="preserve"> </w:t>
            </w:r>
          </w:p>
        </w:tc>
        <w:tc>
          <w:tcPr>
            <w:tcW w:w="38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0,00 </w:t>
            </w:r>
          </w:p>
        </w:tc>
        <w:tc>
          <w:tcPr>
            <w:tcW w:w="234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0,00  </w:t>
            </w:r>
          </w:p>
        </w:tc>
      </w:tr>
      <w:tr w:rsidR="00B064CF">
        <w:trPr>
          <w:trHeight w:val="361"/>
        </w:trPr>
        <w:tc>
          <w:tcPr>
            <w:tcW w:w="226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20"/>
              </w:rPr>
              <w:t>TOTAL</w:t>
            </w:r>
            <w:r>
              <w:t xml:space="preserve"> </w:t>
            </w:r>
          </w:p>
        </w:tc>
        <w:tc>
          <w:tcPr>
            <w:tcW w:w="38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sz w:val="20"/>
              </w:rPr>
              <w:t xml:space="preserve">0,00 </w:t>
            </w:r>
          </w:p>
        </w:tc>
        <w:tc>
          <w:tcPr>
            <w:tcW w:w="2348"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b/>
                <w:sz w:val="20"/>
              </w:rPr>
              <w:t xml:space="preserve">0,00  </w:t>
            </w:r>
          </w:p>
        </w:tc>
      </w:tr>
    </w:tbl>
    <w:p w:rsidR="00B064CF" w:rsidRDefault="00E32F70">
      <w:pPr>
        <w:spacing w:after="81" w:line="259" w:lineRule="auto"/>
        <w:ind w:left="360" w:firstLine="0"/>
        <w:jc w:val="left"/>
      </w:pPr>
      <w:r>
        <w:rPr>
          <w:sz w:val="24"/>
        </w:rPr>
        <w:t xml:space="preserve"> </w:t>
      </w:r>
    </w:p>
    <w:p w:rsidR="00B064CF" w:rsidRDefault="00E32F70">
      <w:pPr>
        <w:spacing w:after="113" w:line="248" w:lineRule="auto"/>
        <w:ind w:left="355"/>
      </w:pPr>
      <w:r>
        <w:rPr>
          <w:b/>
          <w:i/>
        </w:rPr>
        <w:t>4.- Gastos realizados en el ejercicio y pendientes de aplicar al Presupuesto de Gastos de la Corporación Local</w:t>
      </w:r>
      <w:r>
        <w:t xml:space="preserve"> </w:t>
      </w:r>
    </w:p>
    <w:p w:rsidR="00B064CF" w:rsidRDefault="00E32F70">
      <w:pPr>
        <w:spacing w:after="114"/>
        <w:ind w:left="355" w:right="72"/>
      </w:pPr>
      <w:r>
        <w:t xml:space="preserve"> </w:t>
      </w:r>
      <w:r>
        <w:t>A la fecha de cierre del ejercicio deben registrase aquellas obligaciones vencidas, líquidas y exigibles que se hayan producido, aun cuando no se hayan dictado los correspondientes actos administrativos de reconocimiento y liquidación, lo que impide su apl</w:t>
      </w:r>
      <w:r>
        <w:t xml:space="preserve">icación al presupuesto en vigor, que generalmente tiene lugar en el ejercicio siguiente, una vez se dicta el mencionado acto administrativo. Por el contrario, en el tratamiento de la contabilidad nacional, el principio de devengo, se aplica para registrar </w:t>
      </w:r>
      <w:r>
        <w:t>cualquier flujo económico, con independencia del momento en el que tiene lugar su</w:t>
      </w:r>
      <w:r>
        <w:rPr>
          <w:sz w:val="24"/>
        </w:rPr>
        <w:t xml:space="preserve"> </w:t>
      </w:r>
      <w:r>
        <w:t>imputación presupuestaria. Por tanto, si el saldo final de la cuenta es mayor o menor que el inicial, la diferencia dará lugar a un ajuste como mayor o menor gasto no financi</w:t>
      </w:r>
      <w:r>
        <w:t xml:space="preserve">ero en contabilidad nacional, aumentando o disminuyendo el déficit de la Corporación Local. </w:t>
      </w:r>
    </w:p>
    <w:p w:rsidR="00B064CF" w:rsidRDefault="00E32F70">
      <w:pPr>
        <w:spacing w:after="112"/>
        <w:ind w:left="355" w:right="72"/>
      </w:pPr>
      <w:r>
        <w:t xml:space="preserve">  </w:t>
      </w:r>
      <w:r>
        <w:tab/>
        <w:t>No obstante, a través de la partida 413 de gastos pendientes de aplicar al presupuesto, hay que hacer un ajuste negativo de 98.668,12 Euros, ya que el Saldo Fin</w:t>
      </w:r>
      <w:r>
        <w:t xml:space="preserve">al de la cuenta 41300, por importe de 128.696,04 Euros, es menor que el saldo inicial de la citada cuenta, que asciende a 227.364,16 Euros. </w:t>
      </w:r>
    </w:p>
    <w:p w:rsidR="00B064CF" w:rsidRDefault="00E32F70">
      <w:pPr>
        <w:spacing w:after="131"/>
        <w:ind w:left="355" w:right="146"/>
      </w:pPr>
      <w:r>
        <w:t xml:space="preserve">        A continuación, se detalla en el siguiente cuadro, los derechos y obligaciones liquidadas en el primer trim</w:t>
      </w:r>
      <w:r>
        <w:t xml:space="preserve">estre del ejercicio 2021, aplicando los ajustes anteriormente citados, para así obtener el cálculo de la Capacidad o Necesidad de Financiación en la Liquidación de este ejercicio: </w:t>
      </w:r>
    </w:p>
    <w:p w:rsidR="00B064CF" w:rsidRDefault="00E32F70">
      <w:pPr>
        <w:spacing w:after="0" w:line="259" w:lineRule="auto"/>
        <w:ind w:left="360" w:firstLine="0"/>
        <w:jc w:val="left"/>
      </w:pPr>
      <w:r>
        <w:rPr>
          <w:rFonts w:ascii="Calibri" w:eastAsia="Calibri" w:hAnsi="Calibri" w:cs="Calibri"/>
          <w:noProof/>
        </w:rPr>
        <mc:AlternateContent>
          <mc:Choice Requires="wpg">
            <w:drawing>
              <wp:anchor distT="0" distB="0" distL="114300" distR="114300" simplePos="0" relativeHeight="25174630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41682" name="Group 441682"/>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0086" name="Rectangle 20086"/>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64SKSNYNJRFPNN5DLPPAAC3GS | Verificación: https://cande</w:t>
                              </w:r>
                              <w:r>
                                <w:rPr>
                                  <w:sz w:val="12"/>
                                </w:rPr>
                                <w:t xml:space="preserve">laria.sedelectronica.es/ </w:t>
                              </w:r>
                            </w:p>
                          </w:txbxContent>
                        </wps:txbx>
                        <wps:bodyPr horzOverflow="overflow" vert="horz" lIns="0" tIns="0" rIns="0" bIns="0" rtlCol="0">
                          <a:noAutofit/>
                        </wps:bodyPr>
                      </wps:wsp>
                      <wps:wsp>
                        <wps:cNvPr id="20087" name="Rectangle 20087"/>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83 de 298 </w:t>
                              </w:r>
                            </w:p>
                          </w:txbxContent>
                        </wps:txbx>
                        <wps:bodyPr horzOverflow="overflow" vert="horz" lIns="0" tIns="0" rIns="0" bIns="0" rtlCol="0">
                          <a:noAutofit/>
                        </wps:bodyPr>
                      </wps:wsp>
                    </wpg:wgp>
                  </a:graphicData>
                </a:graphic>
              </wp:anchor>
            </w:drawing>
          </mc:Choice>
          <mc:Fallback xmlns:a="http://schemas.openxmlformats.org/drawingml/2006/main">
            <w:pict>
              <v:group id="Group 441682" style="width:12.7031pt;height:278.91pt;position:absolute;mso-position-horizontal-relative:page;mso-position-horizontal:absolute;margin-left:682.278pt;mso-position-vertical-relative:page;margin-top:533.01pt;" coordsize="1613,35421">
                <v:rect id="Rectangle 20086"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0087"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83 de 298 </w:t>
                        </w:r>
                      </w:p>
                    </w:txbxContent>
                  </v:textbox>
                </v:rect>
                <w10:wrap type="square"/>
              </v:group>
            </w:pict>
          </mc:Fallback>
        </mc:AlternateContent>
      </w:r>
      <w:r>
        <w:rPr>
          <w:sz w:val="24"/>
        </w:rPr>
        <w:t xml:space="preserve"> </w:t>
      </w:r>
    </w:p>
    <w:tbl>
      <w:tblPr>
        <w:tblStyle w:val="TableGrid"/>
        <w:tblW w:w="8452" w:type="dxa"/>
        <w:tblInd w:w="353" w:type="dxa"/>
        <w:tblCellMar>
          <w:top w:w="4" w:type="dxa"/>
          <w:left w:w="70" w:type="dxa"/>
          <w:bottom w:w="0" w:type="dxa"/>
          <w:right w:w="115" w:type="dxa"/>
        </w:tblCellMar>
        <w:tblLook w:val="04A0" w:firstRow="1" w:lastRow="0" w:firstColumn="1" w:lastColumn="0" w:noHBand="0" w:noVBand="1"/>
      </w:tblPr>
      <w:tblGrid>
        <w:gridCol w:w="6325"/>
        <w:gridCol w:w="2127"/>
      </w:tblGrid>
      <w:tr w:rsidR="00B064CF">
        <w:trPr>
          <w:trHeight w:val="514"/>
        </w:trPr>
        <w:tc>
          <w:tcPr>
            <w:tcW w:w="6325"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b/>
                <w:sz w:val="20"/>
              </w:rPr>
              <w:t>CONCEPTOS</w:t>
            </w:r>
            <w:r>
              <w:t xml:space="preserve"> </w:t>
            </w:r>
          </w:p>
        </w:tc>
        <w:tc>
          <w:tcPr>
            <w:tcW w:w="2127"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sz w:val="20"/>
              </w:rPr>
              <w:t>IMPORTES</w:t>
            </w:r>
            <w:r>
              <w:t xml:space="preserve"> </w:t>
            </w:r>
          </w:p>
        </w:tc>
      </w:tr>
      <w:tr w:rsidR="00B064CF">
        <w:trPr>
          <w:trHeight w:val="485"/>
        </w:trPr>
        <w:tc>
          <w:tcPr>
            <w:tcW w:w="6325"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sz w:val="20"/>
              </w:rPr>
              <w:t xml:space="preserve">a) Derechos Reconocidos capítulos. I a VII presupuesto corriente </w:t>
            </w:r>
          </w:p>
        </w:tc>
        <w:tc>
          <w:tcPr>
            <w:tcW w:w="2127" w:type="dxa"/>
            <w:tcBorders>
              <w:top w:val="single" w:sz="8" w:space="0" w:color="000000"/>
              <w:left w:val="single" w:sz="8" w:space="0" w:color="000000"/>
              <w:bottom w:val="single" w:sz="8" w:space="0" w:color="000000"/>
              <w:right w:val="single" w:sz="8" w:space="0" w:color="000000"/>
            </w:tcBorders>
            <w:vAlign w:val="center"/>
          </w:tcPr>
          <w:p w:rsidR="00B064CF" w:rsidRDefault="00E32F70">
            <w:pPr>
              <w:spacing w:after="0" w:line="259" w:lineRule="auto"/>
              <w:ind w:left="0" w:firstLine="0"/>
              <w:jc w:val="left"/>
            </w:pPr>
            <w:r>
              <w:rPr>
                <w:sz w:val="20"/>
              </w:rPr>
              <w:t xml:space="preserve">3.606.403,71 </w:t>
            </w:r>
            <w:r>
              <w:t xml:space="preserve"> </w:t>
            </w:r>
          </w:p>
        </w:tc>
      </w:tr>
      <w:tr w:rsidR="00B064CF">
        <w:trPr>
          <w:trHeight w:val="485"/>
        </w:trPr>
        <w:tc>
          <w:tcPr>
            <w:tcW w:w="6325"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sz w:val="20"/>
              </w:rPr>
              <w:t xml:space="preserve">b) Obligaciones Reconocidas capítulos I a VII presupuesto corriente </w:t>
            </w:r>
          </w:p>
        </w:tc>
        <w:tc>
          <w:tcPr>
            <w:tcW w:w="2127" w:type="dxa"/>
            <w:tcBorders>
              <w:top w:val="single" w:sz="8" w:space="0" w:color="000000"/>
              <w:left w:val="single" w:sz="8" w:space="0" w:color="000000"/>
              <w:bottom w:val="single" w:sz="8" w:space="0" w:color="000000"/>
              <w:right w:val="single" w:sz="8" w:space="0" w:color="000000"/>
            </w:tcBorders>
            <w:vAlign w:val="center"/>
          </w:tcPr>
          <w:p w:rsidR="00B064CF" w:rsidRDefault="00E32F70">
            <w:pPr>
              <w:spacing w:after="0" w:line="259" w:lineRule="auto"/>
              <w:ind w:left="0" w:firstLine="0"/>
              <w:jc w:val="left"/>
            </w:pPr>
            <w:r>
              <w:rPr>
                <w:sz w:val="20"/>
              </w:rPr>
              <w:t xml:space="preserve">4.572.497,07 </w:t>
            </w:r>
            <w:r>
              <w:t xml:space="preserve"> </w:t>
            </w:r>
          </w:p>
        </w:tc>
      </w:tr>
      <w:tr w:rsidR="00B064CF">
        <w:trPr>
          <w:trHeight w:val="372"/>
        </w:trPr>
        <w:tc>
          <w:tcPr>
            <w:tcW w:w="6325"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b/>
                <w:sz w:val="20"/>
              </w:rPr>
              <w:t>TOTAL (a – b)</w:t>
            </w:r>
            <w:r>
              <w:t xml:space="preserve"> </w:t>
            </w:r>
          </w:p>
        </w:tc>
        <w:tc>
          <w:tcPr>
            <w:tcW w:w="2127" w:type="dxa"/>
            <w:tcBorders>
              <w:top w:val="single" w:sz="8" w:space="0" w:color="000000"/>
              <w:left w:val="single" w:sz="8" w:space="0" w:color="000000"/>
              <w:bottom w:val="single" w:sz="8" w:space="0" w:color="000000"/>
              <w:right w:val="single" w:sz="8" w:space="0" w:color="000000"/>
            </w:tcBorders>
          </w:tcPr>
          <w:p w:rsidR="00B064CF" w:rsidRDefault="00E32F70">
            <w:pPr>
              <w:tabs>
                <w:tab w:val="center" w:pos="393"/>
                <w:tab w:val="center" w:pos="1219"/>
              </w:tabs>
              <w:spacing w:after="0" w:line="259" w:lineRule="auto"/>
              <w:ind w:left="0" w:firstLine="0"/>
              <w:jc w:val="left"/>
            </w:pPr>
            <w:r>
              <w:rPr>
                <w:rFonts w:ascii="Calibri" w:eastAsia="Calibri" w:hAnsi="Calibri" w:cs="Calibri"/>
              </w:rPr>
              <w:tab/>
            </w:r>
            <w:r>
              <w:rPr>
                <w:sz w:val="20"/>
              </w:rPr>
              <w:t xml:space="preserve">- </w:t>
            </w:r>
            <w:r>
              <w:rPr>
                <w:sz w:val="20"/>
              </w:rPr>
              <w:tab/>
            </w:r>
            <w:r>
              <w:rPr>
                <w:b/>
                <w:sz w:val="20"/>
              </w:rPr>
              <w:t>966.093,30</w:t>
            </w:r>
            <w:r>
              <w:t xml:space="preserve"> </w:t>
            </w:r>
          </w:p>
        </w:tc>
      </w:tr>
      <w:tr w:rsidR="00B064CF">
        <w:trPr>
          <w:trHeight w:val="370"/>
        </w:trPr>
        <w:tc>
          <w:tcPr>
            <w:tcW w:w="6325"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b/>
                <w:sz w:val="20"/>
              </w:rPr>
              <w:t>AJUSTES</w:t>
            </w:r>
            <w:r>
              <w:t xml:space="preserve"> </w:t>
            </w:r>
          </w:p>
        </w:tc>
        <w:tc>
          <w:tcPr>
            <w:tcW w:w="2127"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sz w:val="20"/>
              </w:rPr>
              <w:t xml:space="preserve"> </w:t>
            </w:r>
            <w:r>
              <w:t xml:space="preserve"> </w:t>
            </w:r>
          </w:p>
        </w:tc>
      </w:tr>
      <w:tr w:rsidR="00B064CF">
        <w:trPr>
          <w:trHeight w:val="370"/>
        </w:trPr>
        <w:tc>
          <w:tcPr>
            <w:tcW w:w="6325"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sz w:val="20"/>
              </w:rPr>
              <w:t xml:space="preserve">1) Ajustes recaudación capítulo 1 </w:t>
            </w:r>
          </w:p>
        </w:tc>
        <w:tc>
          <w:tcPr>
            <w:tcW w:w="2127"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sz w:val="18"/>
              </w:rPr>
              <w:t xml:space="preserve">+ 7.492,98 </w:t>
            </w:r>
          </w:p>
        </w:tc>
      </w:tr>
      <w:tr w:rsidR="00B064CF">
        <w:trPr>
          <w:trHeight w:val="370"/>
        </w:trPr>
        <w:tc>
          <w:tcPr>
            <w:tcW w:w="6325"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sz w:val="20"/>
              </w:rPr>
              <w:t xml:space="preserve">2) Ajustes recaudación capítulo 2 </w:t>
            </w:r>
          </w:p>
        </w:tc>
        <w:tc>
          <w:tcPr>
            <w:tcW w:w="2127"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sz w:val="18"/>
              </w:rPr>
              <w:t xml:space="preserve">-1.369,78 </w:t>
            </w:r>
          </w:p>
        </w:tc>
      </w:tr>
      <w:tr w:rsidR="00B064CF">
        <w:trPr>
          <w:trHeight w:val="370"/>
        </w:trPr>
        <w:tc>
          <w:tcPr>
            <w:tcW w:w="6325"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sz w:val="20"/>
              </w:rPr>
              <w:t xml:space="preserve">3) Ajustes </w:t>
            </w:r>
            <w:r>
              <w:rPr>
                <w:sz w:val="20"/>
              </w:rPr>
              <w:t xml:space="preserve">recaudación capítulo 3 </w:t>
            </w:r>
          </w:p>
        </w:tc>
        <w:tc>
          <w:tcPr>
            <w:tcW w:w="2127"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sz w:val="18"/>
              </w:rPr>
              <w:t>-24.957,37</w:t>
            </w:r>
            <w:r>
              <w:t xml:space="preserve"> </w:t>
            </w:r>
          </w:p>
        </w:tc>
      </w:tr>
      <w:tr w:rsidR="00B064CF">
        <w:trPr>
          <w:trHeight w:val="370"/>
        </w:trPr>
        <w:tc>
          <w:tcPr>
            <w:tcW w:w="6325"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sz w:val="20"/>
              </w:rPr>
              <w:t xml:space="preserve">4) Ajuste por liquidación PIE-2008 </w:t>
            </w:r>
          </w:p>
        </w:tc>
        <w:tc>
          <w:tcPr>
            <w:tcW w:w="2127"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sz w:val="20"/>
              </w:rPr>
              <w:t>+3.528,96</w:t>
            </w:r>
            <w:r>
              <w:t xml:space="preserve"> </w:t>
            </w:r>
          </w:p>
        </w:tc>
      </w:tr>
      <w:tr w:rsidR="00B064CF">
        <w:trPr>
          <w:trHeight w:val="425"/>
        </w:trPr>
        <w:tc>
          <w:tcPr>
            <w:tcW w:w="6325"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sz w:val="20"/>
              </w:rPr>
              <w:t xml:space="preserve">6) Ajuste por liquidación PIE-2009 </w:t>
            </w:r>
          </w:p>
        </w:tc>
        <w:tc>
          <w:tcPr>
            <w:tcW w:w="2127"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sz w:val="20"/>
              </w:rPr>
              <w:t>+ 14.863,83</w:t>
            </w:r>
            <w:r>
              <w:t xml:space="preserve"> </w:t>
            </w:r>
          </w:p>
        </w:tc>
      </w:tr>
      <w:tr w:rsidR="00B064CF">
        <w:trPr>
          <w:trHeight w:val="427"/>
        </w:trPr>
        <w:tc>
          <w:tcPr>
            <w:tcW w:w="6325"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sz w:val="20"/>
              </w:rPr>
              <w:t xml:space="preserve">7) Ajuste por devengo de intereses (gasto) </w:t>
            </w:r>
          </w:p>
        </w:tc>
        <w:tc>
          <w:tcPr>
            <w:tcW w:w="2127"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sz w:val="20"/>
              </w:rPr>
              <w:t>0,00</w:t>
            </w:r>
            <w:r>
              <w:t xml:space="preserve"> </w:t>
            </w:r>
          </w:p>
        </w:tc>
      </w:tr>
      <w:tr w:rsidR="00B064CF">
        <w:trPr>
          <w:trHeight w:val="425"/>
        </w:trPr>
        <w:tc>
          <w:tcPr>
            <w:tcW w:w="6325"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sz w:val="20"/>
              </w:rPr>
              <w:t xml:space="preserve">8) Ajuste por gastos pendientes de aplicar a presupuesto </w:t>
            </w:r>
          </w:p>
        </w:tc>
        <w:tc>
          <w:tcPr>
            <w:tcW w:w="2127"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sz w:val="20"/>
              </w:rPr>
              <w:t>- 98.668,12</w:t>
            </w:r>
            <w:r>
              <w:t xml:space="preserve"> </w:t>
            </w:r>
          </w:p>
        </w:tc>
      </w:tr>
      <w:tr w:rsidR="00B064CF">
        <w:trPr>
          <w:trHeight w:val="425"/>
        </w:trPr>
        <w:tc>
          <w:tcPr>
            <w:tcW w:w="6325"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b/>
                <w:sz w:val="20"/>
              </w:rPr>
              <w:t xml:space="preserve">c) TOTAL INGRESOS AJUSTADOS </w:t>
            </w:r>
            <w:r>
              <w:rPr>
                <w:sz w:val="20"/>
              </w:rPr>
              <w:t>(a +/-  1, 2, 3, 4, 5, 6 y 8)</w:t>
            </w:r>
            <w:r>
              <w:rPr>
                <w:b/>
                <w:sz w:val="20"/>
              </w:rPr>
              <w:t xml:space="preserve"> </w:t>
            </w:r>
            <w:r>
              <w:t xml:space="preserve"> </w:t>
            </w:r>
          </w:p>
        </w:tc>
        <w:tc>
          <w:tcPr>
            <w:tcW w:w="2127"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sz w:val="20"/>
              </w:rPr>
              <w:t>3.605.962,33</w:t>
            </w:r>
            <w:r>
              <w:t xml:space="preserve"> </w:t>
            </w:r>
          </w:p>
        </w:tc>
      </w:tr>
      <w:tr w:rsidR="00B064CF">
        <w:trPr>
          <w:trHeight w:val="470"/>
        </w:trPr>
        <w:tc>
          <w:tcPr>
            <w:tcW w:w="6325"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b/>
                <w:sz w:val="20"/>
              </w:rPr>
              <w:t xml:space="preserve">d) TOTAL GASTOS AJUSTADOS </w:t>
            </w:r>
            <w:r>
              <w:rPr>
                <w:sz w:val="20"/>
              </w:rPr>
              <w:t>(b +/-  7, 8, 9,11,19)</w:t>
            </w:r>
            <w:r>
              <w:rPr>
                <w:b/>
                <w:sz w:val="20"/>
              </w:rPr>
              <w:t xml:space="preserve"> </w:t>
            </w:r>
            <w:r>
              <w:t xml:space="preserve"> </w:t>
            </w:r>
          </w:p>
        </w:tc>
        <w:tc>
          <w:tcPr>
            <w:tcW w:w="2127" w:type="dxa"/>
            <w:tcBorders>
              <w:top w:val="single" w:sz="8" w:space="0" w:color="000000"/>
              <w:left w:val="single" w:sz="8" w:space="0" w:color="000000"/>
              <w:bottom w:val="single" w:sz="8" w:space="0" w:color="000000"/>
              <w:right w:val="single" w:sz="8" w:space="0" w:color="000000"/>
            </w:tcBorders>
            <w:vAlign w:val="center"/>
          </w:tcPr>
          <w:p w:rsidR="00B064CF" w:rsidRDefault="00E32F70">
            <w:pPr>
              <w:spacing w:after="0" w:line="259" w:lineRule="auto"/>
              <w:ind w:left="0" w:firstLine="0"/>
              <w:jc w:val="left"/>
            </w:pPr>
            <w:r>
              <w:rPr>
                <w:sz w:val="20"/>
              </w:rPr>
              <w:t>4.473.828,95</w:t>
            </w:r>
            <w:r>
              <w:t xml:space="preserve"> </w:t>
            </w:r>
          </w:p>
        </w:tc>
      </w:tr>
      <w:tr w:rsidR="00B064CF">
        <w:trPr>
          <w:trHeight w:val="471"/>
        </w:trPr>
        <w:tc>
          <w:tcPr>
            <w:tcW w:w="6325" w:type="dxa"/>
            <w:tcBorders>
              <w:top w:val="single" w:sz="8" w:space="0" w:color="000000"/>
              <w:left w:val="single" w:sz="8" w:space="0" w:color="000000"/>
              <w:bottom w:val="single" w:sz="8" w:space="0" w:color="000000"/>
              <w:right w:val="single" w:sz="8" w:space="0" w:color="000000"/>
            </w:tcBorders>
          </w:tcPr>
          <w:p w:rsidR="00B064CF" w:rsidRDefault="00E32F70">
            <w:pPr>
              <w:spacing w:after="0" w:line="259" w:lineRule="auto"/>
              <w:ind w:left="0" w:firstLine="0"/>
              <w:jc w:val="left"/>
            </w:pPr>
            <w:r>
              <w:rPr>
                <w:b/>
                <w:sz w:val="20"/>
              </w:rPr>
              <w:t xml:space="preserve">e) TOTAL CAPACIDAD/NECESIDAD DE FINANCIACIÓN(c - d) </w:t>
            </w:r>
          </w:p>
        </w:tc>
        <w:tc>
          <w:tcPr>
            <w:tcW w:w="2127" w:type="dxa"/>
            <w:tcBorders>
              <w:top w:val="single" w:sz="8" w:space="0" w:color="000000"/>
              <w:left w:val="single" w:sz="8" w:space="0" w:color="000000"/>
              <w:bottom w:val="single" w:sz="8" w:space="0" w:color="000000"/>
              <w:right w:val="single" w:sz="8" w:space="0" w:color="000000"/>
            </w:tcBorders>
            <w:vAlign w:val="center"/>
          </w:tcPr>
          <w:p w:rsidR="00B064CF" w:rsidRDefault="00E32F70">
            <w:pPr>
              <w:spacing w:after="0" w:line="259" w:lineRule="auto"/>
              <w:ind w:left="0" w:firstLine="0"/>
              <w:jc w:val="left"/>
            </w:pPr>
            <w:r>
              <w:rPr>
                <w:b/>
                <w:sz w:val="20"/>
              </w:rPr>
              <w:t>- 867.866,62</w:t>
            </w:r>
            <w:r>
              <w:t xml:space="preserve"> </w:t>
            </w:r>
          </w:p>
        </w:tc>
      </w:tr>
    </w:tbl>
    <w:p w:rsidR="00B064CF" w:rsidRDefault="00E32F70">
      <w:pPr>
        <w:spacing w:after="96" w:line="259" w:lineRule="auto"/>
        <w:ind w:left="360" w:firstLine="0"/>
        <w:jc w:val="left"/>
      </w:pPr>
      <w:r>
        <w:rPr>
          <w:sz w:val="24"/>
        </w:rPr>
        <w:t xml:space="preserve"> </w:t>
      </w:r>
    </w:p>
    <w:p w:rsidR="00B064CF" w:rsidRDefault="00E32F70">
      <w:pPr>
        <w:spacing w:after="111"/>
        <w:ind w:left="355" w:right="145"/>
      </w:pPr>
      <w:r>
        <w:rPr>
          <w:sz w:val="24"/>
        </w:rPr>
        <w:t xml:space="preserve"> </w:t>
      </w:r>
      <w:r>
        <w:t xml:space="preserve">Ello nos da </w:t>
      </w:r>
      <w:r>
        <w:rPr>
          <w:b/>
        </w:rPr>
        <w:t>un saldo negativo de 867.866,62 Euros</w:t>
      </w:r>
      <w:r>
        <w:t xml:space="preserve">, por lo que, en principio, podemos decir que no se cumple el principio de estabilidad presupuestaria, en este primer trimestre del ejercicio 2021. </w:t>
      </w:r>
    </w:p>
    <w:p w:rsidR="00B064CF" w:rsidRDefault="00E32F70">
      <w:pPr>
        <w:spacing w:after="95" w:line="259" w:lineRule="auto"/>
        <w:ind w:left="360" w:firstLine="0"/>
        <w:jc w:val="left"/>
      </w:pPr>
      <w:r>
        <w:t xml:space="preserve"> </w:t>
      </w:r>
    </w:p>
    <w:p w:rsidR="00B064CF" w:rsidRDefault="00E32F70">
      <w:pPr>
        <w:spacing w:after="100" w:line="259" w:lineRule="auto"/>
        <w:ind w:left="360" w:firstLine="0"/>
        <w:jc w:val="left"/>
      </w:pPr>
      <w:r>
        <w:rPr>
          <w:b/>
        </w:rPr>
        <w:t xml:space="preserve"> </w:t>
      </w:r>
    </w:p>
    <w:p w:rsidR="00B064CF" w:rsidRDefault="00E32F70">
      <w:pPr>
        <w:pStyle w:val="Ttulo1"/>
        <w:ind w:left="355"/>
      </w:pPr>
      <w:r>
        <w:t>2.- CUMPLIMIENTO DE LA REGLA DE GASTO</w:t>
      </w:r>
      <w:r>
        <w:rPr>
          <w:u w:val="none"/>
        </w:rPr>
        <w:t xml:space="preserve"> </w:t>
      </w:r>
      <w:r>
        <w:rPr>
          <w:b w:val="0"/>
          <w:u w:val="none"/>
        </w:rPr>
        <w:t xml:space="preserve"> </w:t>
      </w:r>
    </w:p>
    <w:p w:rsidR="00B064CF" w:rsidRDefault="00E32F70">
      <w:pPr>
        <w:spacing w:after="98" w:line="259" w:lineRule="auto"/>
        <w:ind w:left="360" w:firstLine="0"/>
        <w:jc w:val="left"/>
      </w:pPr>
      <w:r>
        <w:rPr>
          <w:sz w:val="24"/>
        </w:rPr>
        <w:t xml:space="preserve"> </w:t>
      </w:r>
    </w:p>
    <w:p w:rsidR="00B064CF" w:rsidRDefault="00E32F70">
      <w:pPr>
        <w:spacing w:after="0"/>
        <w:ind w:left="355" w:right="144"/>
      </w:pPr>
      <w:r>
        <w:rPr>
          <w:sz w:val="24"/>
        </w:rPr>
        <w:t xml:space="preserve"> </w:t>
      </w:r>
      <w:r>
        <w:t>El artículo 12 de la Le</w:t>
      </w:r>
      <w:r>
        <w:t xml:space="preserve">y Orgánica de Estabilidad Presupuestaria exige también a las Entidades Locales que la variación de gasto no supere la tasa de referencia de crecimiento del PIB, correspondiendo al Ministerio su determinación.  </w:t>
      </w:r>
    </w:p>
    <w:p w:rsidR="00B064CF" w:rsidRDefault="00E32F70">
      <w:pPr>
        <w:spacing w:after="112"/>
        <w:ind w:left="355" w:right="150"/>
      </w:pPr>
      <w:r>
        <w:t xml:space="preserve"> En concreto, el Gobierno elevó al Congreso, </w:t>
      </w:r>
      <w:r>
        <w:t xml:space="preserve">junto a los objetivos de déficit público (0%) y de deuda pública (3 % del PIB) para el periodo 2021, que la regla de gasto para el ejercicio 2021, fuera del 3 %. Actualmente está suspendida. </w:t>
      </w:r>
    </w:p>
    <w:p w:rsidR="00B064CF" w:rsidRDefault="00E32F70">
      <w:pPr>
        <w:spacing w:after="111"/>
        <w:ind w:left="355" w:right="72"/>
      </w:pPr>
      <w:r>
        <w:rPr>
          <w:b/>
        </w:rPr>
        <w:t xml:space="preserve">  </w:t>
      </w:r>
      <w:r>
        <w:t>La tasa de variación del gasto computable de un ejercicio se c</w:t>
      </w:r>
      <w:r>
        <w:t xml:space="preserve">alcula de acuerdo con la siguiente fórmula:  </w:t>
      </w:r>
    </w:p>
    <w:p w:rsidR="00B064CF" w:rsidRDefault="00E32F70">
      <w:pPr>
        <w:spacing w:after="106" w:line="259" w:lineRule="auto"/>
        <w:ind w:left="360" w:firstLine="0"/>
        <w:jc w:val="left"/>
      </w:pPr>
      <w:r>
        <w:t xml:space="preserve"> </w:t>
      </w:r>
      <w:r>
        <w:tab/>
        <w:t xml:space="preserve"> </w:t>
      </w:r>
      <w:r>
        <w:tab/>
        <w:t xml:space="preserve"> </w:t>
      </w:r>
    </w:p>
    <w:p w:rsidR="00B064CF" w:rsidRDefault="00E32F70">
      <w:pPr>
        <w:spacing w:after="111"/>
        <w:ind w:left="355" w:right="72"/>
      </w:pPr>
      <w:r>
        <w:t>T.V. Gasto computable (%) = (Gasto</w:t>
      </w:r>
      <w:r>
        <w:rPr>
          <w:u w:val="single" w:color="000000"/>
        </w:rPr>
        <w:t xml:space="preserve"> computable año 2021</w:t>
      </w:r>
      <w:r>
        <w:rPr>
          <w:b/>
        </w:rPr>
        <w:t xml:space="preserve">    - </w:t>
      </w:r>
      <w:r>
        <w:t xml:space="preserve">1) * 100 </w:t>
      </w:r>
    </w:p>
    <w:p w:rsidR="00B064CF" w:rsidRDefault="00E32F70">
      <w:pPr>
        <w:tabs>
          <w:tab w:val="center" w:pos="360"/>
          <w:tab w:val="center" w:pos="1068"/>
          <w:tab w:val="center" w:pos="1776"/>
          <w:tab w:val="center" w:pos="2484"/>
          <w:tab w:val="center" w:pos="4784"/>
        </w:tabs>
        <w:spacing w:after="118"/>
        <w:ind w:left="0" w:firstLine="0"/>
        <w:jc w:val="left"/>
      </w:pPr>
      <w:r>
        <w:rPr>
          <w:rFonts w:ascii="Calibri" w:eastAsia="Calibri" w:hAnsi="Calibri" w:cs="Calibri"/>
        </w:rPr>
        <w:tab/>
      </w:r>
      <w:r>
        <w:rPr>
          <w:b/>
        </w:rPr>
        <w:t xml:space="preserve"> </w:t>
      </w:r>
      <w:r>
        <w:rPr>
          <w:b/>
        </w:rPr>
        <w:tab/>
        <w:t xml:space="preserve"> </w:t>
      </w:r>
      <w:r>
        <w:rPr>
          <w:b/>
        </w:rPr>
        <w:tab/>
        <w:t xml:space="preserve"> </w:t>
      </w:r>
      <w:r>
        <w:rPr>
          <w:b/>
        </w:rPr>
        <w:tab/>
        <w:t xml:space="preserve"> </w:t>
      </w:r>
      <w:r>
        <w:rPr>
          <w:b/>
        </w:rPr>
        <w:tab/>
        <w:t xml:space="preserve">      </w:t>
      </w:r>
      <w:r>
        <w:t xml:space="preserve">Gasto Computable año 2020 </w:t>
      </w:r>
    </w:p>
    <w:p w:rsidR="00B064CF" w:rsidRDefault="00E32F70">
      <w:pPr>
        <w:spacing w:after="112"/>
        <w:ind w:left="355" w:right="72"/>
      </w:pPr>
      <w:r>
        <w:t xml:space="preserve"> </w:t>
      </w:r>
      <w:r>
        <w:t xml:space="preserve">La Regla del Gasto tiene como objetivo limitar el crecimiento del gasto público, estableciendo un tope de aumento máximo en función del crecimiento de la economía española. </w:t>
      </w:r>
    </w:p>
    <w:p w:rsidR="00B064CF" w:rsidRDefault="00E32F70">
      <w:pPr>
        <w:spacing w:after="97"/>
        <w:ind w:left="355" w:right="147"/>
      </w:pPr>
      <w:r>
        <w:rPr>
          <w:rFonts w:ascii="Calibri" w:eastAsia="Calibri" w:hAnsi="Calibri" w:cs="Calibri"/>
          <w:noProof/>
        </w:rPr>
        <mc:AlternateContent>
          <mc:Choice Requires="wpg">
            <w:drawing>
              <wp:anchor distT="0" distB="0" distL="114300" distR="114300" simplePos="0" relativeHeight="25174732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26333" name="Group 426333"/>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0358" name="Rectangle 20358"/>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64SKSNYNJRFPNN5DLPPAAC3GS | Verificación: https://candelaria.s</w:t>
                              </w:r>
                              <w:r>
                                <w:rPr>
                                  <w:sz w:val="12"/>
                                </w:rPr>
                                <w:t xml:space="preserve">edelectronica.es/ </w:t>
                              </w:r>
                            </w:p>
                          </w:txbxContent>
                        </wps:txbx>
                        <wps:bodyPr horzOverflow="overflow" vert="horz" lIns="0" tIns="0" rIns="0" bIns="0" rtlCol="0">
                          <a:noAutofit/>
                        </wps:bodyPr>
                      </wps:wsp>
                      <wps:wsp>
                        <wps:cNvPr id="20359" name="Rectangle 20359"/>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84 de 298 </w:t>
                              </w:r>
                            </w:p>
                          </w:txbxContent>
                        </wps:txbx>
                        <wps:bodyPr horzOverflow="overflow" vert="horz" lIns="0" tIns="0" rIns="0" bIns="0" rtlCol="0">
                          <a:noAutofit/>
                        </wps:bodyPr>
                      </wps:wsp>
                    </wpg:wgp>
                  </a:graphicData>
                </a:graphic>
              </wp:anchor>
            </w:drawing>
          </mc:Choice>
          <mc:Fallback xmlns:a="http://schemas.openxmlformats.org/drawingml/2006/main">
            <w:pict>
              <v:group id="Group 426333" style="width:12.7031pt;height:278.91pt;position:absolute;mso-position-horizontal-relative:page;mso-position-horizontal:absolute;margin-left:682.278pt;mso-position-vertical-relative:page;margin-top:533.01pt;" coordsize="1613,35421">
                <v:rect id="Rectangle 20358"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0359"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84 de 298 </w:t>
                        </w:r>
                      </w:p>
                    </w:txbxContent>
                  </v:textbox>
                </v:rect>
                <w10:wrap type="square"/>
              </v:group>
            </w:pict>
          </mc:Fallback>
        </mc:AlternateContent>
      </w:r>
      <w:r>
        <w:t xml:space="preserve"> El cálculo del gasto computable del año 2020 se realizará a partir de la liquidación del Presupuesto de dicho ejercicio. El gasto computable</w:t>
      </w:r>
      <w:r>
        <w:t xml:space="preserve"> del año 2020 se obtendrá tomando como base la información disponible en el momento del cálculo de la liquidación.  </w:t>
      </w:r>
    </w:p>
    <w:p w:rsidR="00B064CF" w:rsidRDefault="00E32F70">
      <w:pPr>
        <w:spacing w:after="115" w:line="257" w:lineRule="auto"/>
        <w:ind w:left="360" w:right="147" w:firstLine="0"/>
      </w:pPr>
      <w:r>
        <w:rPr>
          <w:rFonts w:ascii="Courier New" w:eastAsia="Courier New" w:hAnsi="Courier New" w:cs="Courier New"/>
        </w:rPr>
        <w:t xml:space="preserve"> Sobre este importe habrá que realizar una serie de ajustes que permitan aproximar los gastos presupuestarios a los empleos no financieros </w:t>
      </w:r>
      <w:r>
        <w:rPr>
          <w:rFonts w:ascii="Courier New" w:eastAsia="Courier New" w:hAnsi="Courier New" w:cs="Courier New"/>
        </w:rPr>
        <w:t>según los criterios del Sistema Europeo de Cuentas. A continuación, se detallan los principales ajustes a realizar partiendo de la liquidación:</w:t>
      </w:r>
      <w:r>
        <w:t xml:space="preserve"> </w:t>
      </w:r>
    </w:p>
    <w:p w:rsidR="00B064CF" w:rsidRDefault="00E32F70">
      <w:pPr>
        <w:spacing w:after="98" w:line="259" w:lineRule="auto"/>
        <w:ind w:left="360" w:firstLine="0"/>
        <w:jc w:val="left"/>
      </w:pPr>
      <w:r>
        <w:t xml:space="preserve"> </w:t>
      </w:r>
    </w:p>
    <w:p w:rsidR="00B064CF" w:rsidRDefault="00E32F70">
      <w:pPr>
        <w:tabs>
          <w:tab w:val="center" w:pos="360"/>
          <w:tab w:val="center" w:pos="4933"/>
        </w:tabs>
        <w:spacing w:after="113" w:line="248" w:lineRule="auto"/>
        <w:ind w:left="0" w:firstLine="0"/>
        <w:jc w:val="left"/>
      </w:pPr>
      <w:r>
        <w:rPr>
          <w:rFonts w:ascii="Calibri" w:eastAsia="Calibri" w:hAnsi="Calibri" w:cs="Calibri"/>
        </w:rPr>
        <w:tab/>
      </w:r>
      <w:r>
        <w:rPr>
          <w:b/>
          <w:i/>
        </w:rPr>
        <w:t xml:space="preserve"> </w:t>
      </w:r>
      <w:r>
        <w:rPr>
          <w:b/>
          <w:i/>
        </w:rPr>
        <w:tab/>
        <w:t xml:space="preserve">1.- Gastos realizados en el ejercicio pendientes de aplicar al Presupuesto. </w:t>
      </w:r>
      <w:r>
        <w:t xml:space="preserve"> </w:t>
      </w:r>
    </w:p>
    <w:p w:rsidR="00B064CF" w:rsidRDefault="00E32F70">
      <w:pPr>
        <w:spacing w:after="98" w:line="259" w:lineRule="auto"/>
        <w:ind w:left="360" w:firstLine="0"/>
        <w:jc w:val="left"/>
      </w:pPr>
      <w:r>
        <w:t xml:space="preserve"> </w:t>
      </w:r>
    </w:p>
    <w:p w:rsidR="00B064CF" w:rsidRDefault="00E32F70">
      <w:pPr>
        <w:spacing w:after="114"/>
        <w:ind w:left="355" w:right="143"/>
      </w:pPr>
      <w:r>
        <w:t>No obstante, a través de l</w:t>
      </w:r>
      <w:r>
        <w:t xml:space="preserve">a partida 413 de gastos pendientes de aplicar al presupuesto, hay que hacer un ajuste negativo de 98.668,12 Euros, ya que el Saldo Final de la cuenta 41300, por importe de 128.696,04 Euros, es menor que el saldo inicial de la citada cuenta, que asciende a </w:t>
      </w:r>
      <w:r>
        <w:t xml:space="preserve">227.364,16 Euros. </w:t>
      </w:r>
    </w:p>
    <w:p w:rsidR="00B064CF" w:rsidRDefault="00E32F70">
      <w:pPr>
        <w:spacing w:after="98" w:line="259" w:lineRule="auto"/>
        <w:ind w:left="360" w:firstLine="0"/>
        <w:jc w:val="left"/>
      </w:pPr>
      <w:r>
        <w:t xml:space="preserve"> </w:t>
      </w:r>
    </w:p>
    <w:p w:rsidR="00B064CF" w:rsidRDefault="00E32F70">
      <w:pPr>
        <w:tabs>
          <w:tab w:val="center" w:pos="360"/>
          <w:tab w:val="right" w:pos="10072"/>
        </w:tabs>
        <w:spacing w:after="11"/>
        <w:ind w:left="0" w:firstLine="0"/>
        <w:jc w:val="left"/>
      </w:pPr>
      <w:r>
        <w:rPr>
          <w:rFonts w:ascii="Calibri" w:eastAsia="Calibri" w:hAnsi="Calibri" w:cs="Calibri"/>
        </w:rPr>
        <w:tab/>
      </w:r>
      <w:r>
        <w:t xml:space="preserve"> </w:t>
      </w:r>
      <w:r>
        <w:tab/>
        <w:t xml:space="preserve">A través del siguiente cuadro, reflejamos los datos anteriores y así obtener la regla del gasto: </w:t>
      </w:r>
    </w:p>
    <w:tbl>
      <w:tblPr>
        <w:tblStyle w:val="TableGrid"/>
        <w:tblW w:w="8649" w:type="dxa"/>
        <w:tblInd w:w="418" w:type="dxa"/>
        <w:tblCellMar>
          <w:top w:w="51" w:type="dxa"/>
          <w:left w:w="55" w:type="dxa"/>
          <w:bottom w:w="0" w:type="dxa"/>
          <w:right w:w="49" w:type="dxa"/>
        </w:tblCellMar>
        <w:tblLook w:val="04A0" w:firstRow="1" w:lastRow="0" w:firstColumn="1" w:lastColumn="0" w:noHBand="0" w:noVBand="1"/>
      </w:tblPr>
      <w:tblGrid>
        <w:gridCol w:w="4395"/>
        <w:gridCol w:w="1985"/>
        <w:gridCol w:w="2269"/>
      </w:tblGrid>
      <w:tr w:rsidR="00B064CF">
        <w:trPr>
          <w:trHeight w:val="1061"/>
        </w:trPr>
        <w:tc>
          <w:tcPr>
            <w:tcW w:w="439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 xml:space="preserve">CAPÍTULOS DE GASTO </w:t>
            </w:r>
          </w:p>
        </w:tc>
        <w:tc>
          <w:tcPr>
            <w:tcW w:w="198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 xml:space="preserve">OBLIGACIONES </w:t>
            </w:r>
          </w:p>
          <w:p w:rsidR="00B064CF" w:rsidRDefault="00E32F70">
            <w:pPr>
              <w:spacing w:after="0" w:line="239" w:lineRule="auto"/>
              <w:ind w:left="0" w:firstLine="0"/>
              <w:jc w:val="left"/>
            </w:pPr>
            <w:r>
              <w:rPr>
                <w:b/>
                <w:sz w:val="18"/>
              </w:rPr>
              <w:t xml:space="preserve">RECONOCIDAS. PRIMER TRIMESTRE </w:t>
            </w:r>
          </w:p>
          <w:p w:rsidR="00B064CF" w:rsidRDefault="00E32F70">
            <w:pPr>
              <w:spacing w:after="0" w:line="259" w:lineRule="auto"/>
              <w:ind w:left="0" w:firstLine="0"/>
              <w:jc w:val="left"/>
            </w:pPr>
            <w:r>
              <w:rPr>
                <w:b/>
                <w:sz w:val="18"/>
              </w:rPr>
              <w:t xml:space="preserve">2020.  </w:t>
            </w:r>
          </w:p>
        </w:tc>
        <w:tc>
          <w:tcPr>
            <w:tcW w:w="226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 xml:space="preserve">OBLIGACIONES RECONOCIDAS PRIMER TRIMESTRE 2021. </w:t>
            </w:r>
            <w:r>
              <w:t xml:space="preserve"> </w:t>
            </w:r>
          </w:p>
        </w:tc>
      </w:tr>
      <w:tr w:rsidR="00B064CF">
        <w:trPr>
          <w:trHeight w:val="439"/>
        </w:trPr>
        <w:tc>
          <w:tcPr>
            <w:tcW w:w="439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 xml:space="preserve"> </w:t>
            </w:r>
            <w:r>
              <w:rPr>
                <w:sz w:val="18"/>
              </w:rPr>
              <w:t xml:space="preserve">Gastos de personal </w:t>
            </w:r>
          </w:p>
        </w:tc>
        <w:tc>
          <w:tcPr>
            <w:tcW w:w="198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firstLine="0"/>
              <w:jc w:val="center"/>
            </w:pPr>
            <w:r>
              <w:rPr>
                <w:sz w:val="16"/>
              </w:rPr>
              <w:t xml:space="preserve">2.281.573,89 </w:t>
            </w:r>
          </w:p>
        </w:tc>
        <w:tc>
          <w:tcPr>
            <w:tcW w:w="226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firstLine="0"/>
              <w:jc w:val="center"/>
            </w:pPr>
            <w:r>
              <w:rPr>
                <w:sz w:val="16"/>
              </w:rPr>
              <w:t xml:space="preserve">2.501.874,14 </w:t>
            </w:r>
          </w:p>
        </w:tc>
      </w:tr>
      <w:tr w:rsidR="00B064CF">
        <w:trPr>
          <w:trHeight w:val="437"/>
        </w:trPr>
        <w:tc>
          <w:tcPr>
            <w:tcW w:w="439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 xml:space="preserve">Gastos en bienes y servicios </w:t>
            </w:r>
          </w:p>
        </w:tc>
        <w:tc>
          <w:tcPr>
            <w:tcW w:w="198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firstLine="0"/>
              <w:jc w:val="center"/>
            </w:pPr>
            <w:r>
              <w:rPr>
                <w:sz w:val="16"/>
              </w:rPr>
              <w:t xml:space="preserve">2.351.507,64 </w:t>
            </w:r>
          </w:p>
        </w:tc>
        <w:tc>
          <w:tcPr>
            <w:tcW w:w="226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firstLine="0"/>
              <w:jc w:val="center"/>
            </w:pPr>
            <w:r>
              <w:rPr>
                <w:sz w:val="16"/>
              </w:rPr>
              <w:t xml:space="preserve">1.797.315,78 </w:t>
            </w:r>
          </w:p>
        </w:tc>
      </w:tr>
      <w:tr w:rsidR="00B064CF">
        <w:trPr>
          <w:trHeight w:val="437"/>
        </w:trPr>
        <w:tc>
          <w:tcPr>
            <w:tcW w:w="439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pPr>
            <w:r>
              <w:rPr>
                <w:sz w:val="18"/>
              </w:rPr>
              <w:t xml:space="preserve">Gastos financieros (excluidos intereses de la Deuda) </w:t>
            </w:r>
          </w:p>
        </w:tc>
        <w:tc>
          <w:tcPr>
            <w:tcW w:w="198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8" w:firstLine="0"/>
              <w:jc w:val="center"/>
            </w:pPr>
            <w:r>
              <w:rPr>
                <w:sz w:val="16"/>
              </w:rPr>
              <w:t xml:space="preserve">2.011,13 </w:t>
            </w:r>
          </w:p>
        </w:tc>
        <w:tc>
          <w:tcPr>
            <w:tcW w:w="226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6" w:firstLine="0"/>
              <w:jc w:val="center"/>
            </w:pPr>
            <w:r>
              <w:rPr>
                <w:sz w:val="16"/>
              </w:rPr>
              <w:t xml:space="preserve">7.449,46 </w:t>
            </w:r>
          </w:p>
        </w:tc>
      </w:tr>
      <w:tr w:rsidR="00B064CF">
        <w:trPr>
          <w:trHeight w:val="437"/>
        </w:trPr>
        <w:tc>
          <w:tcPr>
            <w:tcW w:w="439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 xml:space="preserve"> Transferencias corrientes </w:t>
            </w:r>
          </w:p>
        </w:tc>
        <w:tc>
          <w:tcPr>
            <w:tcW w:w="198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6" w:firstLine="0"/>
              <w:jc w:val="center"/>
            </w:pPr>
            <w:r>
              <w:rPr>
                <w:sz w:val="16"/>
              </w:rPr>
              <w:t xml:space="preserve">161.768,17 </w:t>
            </w:r>
          </w:p>
        </w:tc>
        <w:tc>
          <w:tcPr>
            <w:tcW w:w="226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5" w:firstLine="0"/>
              <w:jc w:val="center"/>
            </w:pPr>
            <w:r>
              <w:rPr>
                <w:sz w:val="16"/>
              </w:rPr>
              <w:t xml:space="preserve">171.420,77 </w:t>
            </w:r>
          </w:p>
        </w:tc>
      </w:tr>
      <w:tr w:rsidR="00B064CF">
        <w:trPr>
          <w:trHeight w:val="437"/>
        </w:trPr>
        <w:tc>
          <w:tcPr>
            <w:tcW w:w="439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 xml:space="preserve">Inversiones reales </w:t>
            </w:r>
          </w:p>
        </w:tc>
        <w:tc>
          <w:tcPr>
            <w:tcW w:w="198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6" w:firstLine="0"/>
              <w:jc w:val="center"/>
            </w:pPr>
            <w:r>
              <w:rPr>
                <w:sz w:val="16"/>
              </w:rPr>
              <w:t xml:space="preserve">487.199,75 </w:t>
            </w:r>
          </w:p>
        </w:tc>
        <w:tc>
          <w:tcPr>
            <w:tcW w:w="226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6" w:firstLine="0"/>
              <w:jc w:val="center"/>
            </w:pPr>
            <w:r>
              <w:rPr>
                <w:sz w:val="16"/>
              </w:rPr>
              <w:t xml:space="preserve">94.411,15 </w:t>
            </w:r>
          </w:p>
        </w:tc>
      </w:tr>
      <w:tr w:rsidR="00B064CF">
        <w:trPr>
          <w:trHeight w:val="437"/>
        </w:trPr>
        <w:tc>
          <w:tcPr>
            <w:tcW w:w="439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 xml:space="preserve">Transferencias de capital </w:t>
            </w:r>
          </w:p>
        </w:tc>
        <w:tc>
          <w:tcPr>
            <w:tcW w:w="198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7" w:firstLine="0"/>
              <w:jc w:val="center"/>
            </w:pPr>
            <w:r>
              <w:rPr>
                <w:sz w:val="16"/>
              </w:rPr>
              <w:t xml:space="preserve">0,00 </w:t>
            </w:r>
          </w:p>
        </w:tc>
        <w:tc>
          <w:tcPr>
            <w:tcW w:w="226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6" w:firstLine="0"/>
              <w:jc w:val="center"/>
            </w:pPr>
            <w:r>
              <w:rPr>
                <w:sz w:val="16"/>
              </w:rPr>
              <w:t xml:space="preserve">0,00 </w:t>
            </w:r>
          </w:p>
        </w:tc>
      </w:tr>
      <w:tr w:rsidR="00B064CF">
        <w:trPr>
          <w:trHeight w:val="439"/>
        </w:trPr>
        <w:tc>
          <w:tcPr>
            <w:tcW w:w="4395" w:type="dxa"/>
            <w:tcBorders>
              <w:top w:val="nil"/>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 xml:space="preserve">EMPLEOS (CAP. 1-7) </w:t>
            </w:r>
          </w:p>
        </w:tc>
        <w:tc>
          <w:tcPr>
            <w:tcW w:w="1985" w:type="dxa"/>
            <w:tcBorders>
              <w:top w:val="nil"/>
              <w:left w:val="single" w:sz="2" w:space="0" w:color="000000"/>
              <w:bottom w:val="single" w:sz="2" w:space="0" w:color="000000"/>
              <w:right w:val="single" w:sz="2" w:space="0" w:color="000000"/>
            </w:tcBorders>
          </w:tcPr>
          <w:p w:rsidR="00B064CF" w:rsidRDefault="00E32F70">
            <w:pPr>
              <w:spacing w:after="0" w:line="259" w:lineRule="auto"/>
              <w:ind w:left="0" w:right="6" w:firstLine="0"/>
              <w:jc w:val="center"/>
            </w:pPr>
            <w:r>
              <w:rPr>
                <w:b/>
                <w:sz w:val="18"/>
              </w:rPr>
              <w:t xml:space="preserve">5.421.443,70 Euros </w:t>
            </w:r>
          </w:p>
        </w:tc>
        <w:tc>
          <w:tcPr>
            <w:tcW w:w="2269" w:type="dxa"/>
            <w:tcBorders>
              <w:top w:val="nil"/>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4.572.497,07 Euros</w:t>
            </w:r>
            <w:r>
              <w:t xml:space="preserve"> </w:t>
            </w:r>
          </w:p>
        </w:tc>
      </w:tr>
      <w:tr w:rsidR="00B064CF">
        <w:trPr>
          <w:trHeight w:val="485"/>
        </w:trPr>
        <w:tc>
          <w:tcPr>
            <w:tcW w:w="439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 xml:space="preserve">Ajustes Contabilidad Nacional en 2017 y 2018 </w:t>
            </w:r>
            <w:r>
              <w:t xml:space="preserve"> </w:t>
            </w:r>
          </w:p>
        </w:tc>
        <w:tc>
          <w:tcPr>
            <w:tcW w:w="198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 xml:space="preserve"> </w:t>
            </w:r>
          </w:p>
        </w:tc>
        <w:tc>
          <w:tcPr>
            <w:tcW w:w="226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 xml:space="preserve"> </w:t>
            </w:r>
          </w:p>
        </w:tc>
      </w:tr>
      <w:tr w:rsidR="00B064CF">
        <w:trPr>
          <w:trHeight w:val="437"/>
        </w:trPr>
        <w:tc>
          <w:tcPr>
            <w:tcW w:w="439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 xml:space="preserve"> </w:t>
            </w:r>
          </w:p>
        </w:tc>
        <w:tc>
          <w:tcPr>
            <w:tcW w:w="198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 xml:space="preserve"> </w:t>
            </w:r>
          </w:p>
        </w:tc>
        <w:tc>
          <w:tcPr>
            <w:tcW w:w="226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 xml:space="preserve"> </w:t>
            </w:r>
          </w:p>
        </w:tc>
      </w:tr>
      <w:tr w:rsidR="00B064CF">
        <w:trPr>
          <w:trHeight w:val="692"/>
        </w:trPr>
        <w:tc>
          <w:tcPr>
            <w:tcW w:w="439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20"/>
              </w:rPr>
              <w:t xml:space="preserve">(+/-) Gastos realizados en el ejercicio pendiente de aplicar  </w:t>
            </w:r>
          </w:p>
        </w:tc>
        <w:tc>
          <w:tcPr>
            <w:tcW w:w="198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6"/>
              </w:rPr>
              <w:t>-</w:t>
            </w:r>
            <w:r>
              <w:rPr>
                <w:sz w:val="16"/>
              </w:rPr>
              <w:t xml:space="preserve">110.428,43 </w:t>
            </w:r>
          </w:p>
        </w:tc>
        <w:tc>
          <w:tcPr>
            <w:tcW w:w="226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-98.668,12</w:t>
            </w:r>
            <w:r>
              <w:t xml:space="preserve"> </w:t>
            </w:r>
          </w:p>
        </w:tc>
      </w:tr>
      <w:tr w:rsidR="00B064CF">
        <w:trPr>
          <w:trHeight w:val="437"/>
        </w:trPr>
        <w:tc>
          <w:tcPr>
            <w:tcW w:w="439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 xml:space="preserve">TOTAL AJUSTES </w:t>
            </w:r>
          </w:p>
        </w:tc>
        <w:tc>
          <w:tcPr>
            <w:tcW w:w="198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 xml:space="preserve"> </w:t>
            </w:r>
          </w:p>
        </w:tc>
        <w:tc>
          <w:tcPr>
            <w:tcW w:w="226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 xml:space="preserve"> </w:t>
            </w:r>
          </w:p>
        </w:tc>
      </w:tr>
      <w:tr w:rsidR="00B064CF">
        <w:trPr>
          <w:trHeight w:val="643"/>
        </w:trPr>
        <w:tc>
          <w:tcPr>
            <w:tcW w:w="439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pPr>
            <w:r>
              <w:rPr>
                <w:b/>
                <w:sz w:val="18"/>
              </w:rPr>
              <w:t xml:space="preserve">Gasto Financiado con Fondos Finalistas en 2020 y 2021:  </w:t>
            </w:r>
          </w:p>
        </w:tc>
        <w:tc>
          <w:tcPr>
            <w:tcW w:w="198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 xml:space="preserve">- 488.955,36 </w:t>
            </w:r>
          </w:p>
        </w:tc>
        <w:tc>
          <w:tcPr>
            <w:tcW w:w="226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-826.810,39</w:t>
            </w:r>
            <w:r>
              <w:t xml:space="preserve"> </w:t>
            </w:r>
          </w:p>
        </w:tc>
      </w:tr>
      <w:tr w:rsidR="00B064CF">
        <w:trPr>
          <w:trHeight w:val="437"/>
        </w:trPr>
        <w:tc>
          <w:tcPr>
            <w:tcW w:w="439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 xml:space="preserve">Inversiones Financieramente Sostenibles </w:t>
            </w:r>
          </w:p>
        </w:tc>
        <w:tc>
          <w:tcPr>
            <w:tcW w:w="198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 xml:space="preserve"> 0,00 </w:t>
            </w:r>
          </w:p>
        </w:tc>
        <w:tc>
          <w:tcPr>
            <w:tcW w:w="226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 xml:space="preserve">0,00 </w:t>
            </w:r>
          </w:p>
        </w:tc>
      </w:tr>
      <w:tr w:rsidR="00B064CF">
        <w:trPr>
          <w:trHeight w:val="766"/>
        </w:trPr>
        <w:tc>
          <w:tcPr>
            <w:tcW w:w="439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 xml:space="preserve">GASTO COMPUTABLE </w:t>
            </w:r>
          </w:p>
        </w:tc>
        <w:tc>
          <w:tcPr>
            <w:tcW w:w="1985" w:type="dxa"/>
            <w:tcBorders>
              <w:top w:val="single" w:sz="2" w:space="0" w:color="000000"/>
              <w:left w:val="single" w:sz="2" w:space="0" w:color="000000"/>
              <w:bottom w:val="single" w:sz="2" w:space="0" w:color="000000"/>
              <w:right w:val="single" w:sz="2" w:space="0" w:color="000000"/>
            </w:tcBorders>
          </w:tcPr>
          <w:p w:rsidR="00B064CF" w:rsidRDefault="00E32F70">
            <w:pPr>
              <w:spacing w:after="105" w:line="259" w:lineRule="auto"/>
              <w:ind w:left="0" w:firstLine="0"/>
              <w:jc w:val="left"/>
            </w:pPr>
            <w:r>
              <w:rPr>
                <w:b/>
                <w:sz w:val="18"/>
              </w:rPr>
              <w:t xml:space="preserve">4.822.059,91 </w:t>
            </w:r>
          </w:p>
          <w:p w:rsidR="00B064CF" w:rsidRDefault="00E32F70">
            <w:pPr>
              <w:spacing w:after="0" w:line="259" w:lineRule="auto"/>
              <w:ind w:left="0" w:firstLine="0"/>
              <w:jc w:val="left"/>
            </w:pPr>
            <w:r>
              <w:rPr>
                <w:b/>
                <w:sz w:val="18"/>
              </w:rPr>
              <w:t xml:space="preserve"> </w:t>
            </w:r>
          </w:p>
        </w:tc>
        <w:tc>
          <w:tcPr>
            <w:tcW w:w="226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3.647.018,56</w:t>
            </w:r>
            <w:r>
              <w:t xml:space="preserve"> </w:t>
            </w:r>
          </w:p>
        </w:tc>
      </w:tr>
      <w:tr w:rsidR="00B064CF">
        <w:trPr>
          <w:trHeight w:val="643"/>
        </w:trPr>
        <w:tc>
          <w:tcPr>
            <w:tcW w:w="439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INCREMENTOS DE RECAUDACIÓN POR CAMBIOS NORMATIVOS</w:t>
            </w:r>
            <w:r>
              <w:t xml:space="preserve"> </w:t>
            </w:r>
          </w:p>
        </w:tc>
        <w:tc>
          <w:tcPr>
            <w:tcW w:w="198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 xml:space="preserve"> </w:t>
            </w:r>
          </w:p>
        </w:tc>
        <w:tc>
          <w:tcPr>
            <w:tcW w:w="226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 xml:space="preserve"> </w:t>
            </w:r>
          </w:p>
        </w:tc>
      </w:tr>
      <w:tr w:rsidR="00B064CF">
        <w:trPr>
          <w:trHeight w:val="644"/>
        </w:trPr>
        <w:tc>
          <w:tcPr>
            <w:tcW w:w="439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DISMINUCIONES DE RECAUDACIÓN POR CAMBIOS NORMATIVOS</w:t>
            </w:r>
            <w:r>
              <w:t xml:space="preserve"> </w:t>
            </w:r>
          </w:p>
        </w:tc>
        <w:tc>
          <w:tcPr>
            <w:tcW w:w="198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 xml:space="preserve"> </w:t>
            </w:r>
          </w:p>
        </w:tc>
        <w:tc>
          <w:tcPr>
            <w:tcW w:w="226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 xml:space="preserve"> </w:t>
            </w:r>
          </w:p>
        </w:tc>
      </w:tr>
      <w:tr w:rsidR="00B064CF">
        <w:trPr>
          <w:trHeight w:val="437"/>
        </w:trPr>
        <w:tc>
          <w:tcPr>
            <w:tcW w:w="439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 xml:space="preserve"> </w:t>
            </w:r>
          </w:p>
        </w:tc>
        <w:tc>
          <w:tcPr>
            <w:tcW w:w="198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 xml:space="preserve"> </w:t>
            </w:r>
          </w:p>
        </w:tc>
        <w:tc>
          <w:tcPr>
            <w:tcW w:w="226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sz w:val="18"/>
              </w:rPr>
              <w:t xml:space="preserve"> </w:t>
            </w:r>
          </w:p>
        </w:tc>
      </w:tr>
      <w:tr w:rsidR="00B064CF">
        <w:trPr>
          <w:trHeight w:val="766"/>
        </w:trPr>
        <w:tc>
          <w:tcPr>
            <w:tcW w:w="439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 xml:space="preserve">GASTO COMPUTABLE AJUSTADO </w:t>
            </w:r>
          </w:p>
        </w:tc>
        <w:tc>
          <w:tcPr>
            <w:tcW w:w="1985" w:type="dxa"/>
            <w:tcBorders>
              <w:top w:val="single" w:sz="2" w:space="0" w:color="000000"/>
              <w:left w:val="single" w:sz="2" w:space="0" w:color="000000"/>
              <w:bottom w:val="single" w:sz="2" w:space="0" w:color="000000"/>
              <w:right w:val="single" w:sz="2" w:space="0" w:color="000000"/>
            </w:tcBorders>
          </w:tcPr>
          <w:p w:rsidR="00B064CF" w:rsidRDefault="00E32F70">
            <w:pPr>
              <w:spacing w:after="105" w:line="259" w:lineRule="auto"/>
              <w:ind w:left="0" w:firstLine="0"/>
              <w:jc w:val="left"/>
            </w:pPr>
            <w:r>
              <w:rPr>
                <w:b/>
                <w:sz w:val="18"/>
              </w:rPr>
              <w:t xml:space="preserve">4.822.059,91 </w:t>
            </w:r>
          </w:p>
          <w:p w:rsidR="00B064CF" w:rsidRDefault="00E32F70">
            <w:pPr>
              <w:spacing w:after="0" w:line="259" w:lineRule="auto"/>
              <w:ind w:left="0" w:firstLine="0"/>
              <w:jc w:val="left"/>
            </w:pPr>
            <w:r>
              <w:rPr>
                <w:b/>
                <w:sz w:val="18"/>
              </w:rPr>
              <w:t xml:space="preserve"> </w:t>
            </w:r>
          </w:p>
        </w:tc>
        <w:tc>
          <w:tcPr>
            <w:tcW w:w="226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3.647.018,56</w:t>
            </w:r>
            <w:r>
              <w:t xml:space="preserve"> </w:t>
            </w:r>
          </w:p>
        </w:tc>
      </w:tr>
      <w:tr w:rsidR="00B064CF">
        <w:trPr>
          <w:trHeight w:val="643"/>
        </w:trPr>
        <w:tc>
          <w:tcPr>
            <w:tcW w:w="439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 xml:space="preserve">1. VARIACIÓN DEL GASTO COMPUTABLE (en </w:t>
            </w:r>
          </w:p>
          <w:p w:rsidR="00B064CF" w:rsidRDefault="00E32F70">
            <w:pPr>
              <w:spacing w:after="0" w:line="259" w:lineRule="auto"/>
              <w:ind w:left="0" w:firstLine="0"/>
              <w:jc w:val="left"/>
            </w:pPr>
            <w:r>
              <w:rPr>
                <w:b/>
                <w:sz w:val="18"/>
              </w:rPr>
              <w:t xml:space="preserve">porcentaje) </w:t>
            </w:r>
          </w:p>
        </w:tc>
        <w:tc>
          <w:tcPr>
            <w:tcW w:w="198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 xml:space="preserve">0,76 </w:t>
            </w:r>
          </w:p>
        </w:tc>
        <w:tc>
          <w:tcPr>
            <w:tcW w:w="226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 xml:space="preserve"> </w:t>
            </w:r>
          </w:p>
        </w:tc>
      </w:tr>
      <w:tr w:rsidR="00B064CF">
        <w:trPr>
          <w:trHeight w:val="643"/>
        </w:trPr>
        <w:tc>
          <w:tcPr>
            <w:tcW w:w="439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pPr>
            <w:r>
              <w:rPr>
                <w:b/>
                <w:sz w:val="18"/>
              </w:rPr>
              <w:t xml:space="preserve">2. TASA DE REFERENCIA CRECIMIENTO PIB M/P </w:t>
            </w:r>
          </w:p>
          <w:p w:rsidR="00B064CF" w:rsidRDefault="00E32F70">
            <w:pPr>
              <w:spacing w:after="0" w:line="259" w:lineRule="auto"/>
              <w:ind w:left="0" w:firstLine="0"/>
              <w:jc w:val="left"/>
            </w:pPr>
            <w:r>
              <w:rPr>
                <w:b/>
                <w:sz w:val="18"/>
              </w:rPr>
              <w:t xml:space="preserve">2020 (en porcentaje) </w:t>
            </w:r>
          </w:p>
        </w:tc>
        <w:tc>
          <w:tcPr>
            <w:tcW w:w="198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 xml:space="preserve">3 (Suspendido) </w:t>
            </w:r>
          </w:p>
        </w:tc>
        <w:tc>
          <w:tcPr>
            <w:tcW w:w="226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 xml:space="preserve"> </w:t>
            </w:r>
          </w:p>
        </w:tc>
      </w:tr>
      <w:tr w:rsidR="00B064CF">
        <w:trPr>
          <w:trHeight w:val="440"/>
        </w:trPr>
        <w:tc>
          <w:tcPr>
            <w:tcW w:w="439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 xml:space="preserve">2-1. CUMPLE CON LA REGLA DEL GASTO 2 &gt;1 </w:t>
            </w:r>
          </w:p>
        </w:tc>
        <w:tc>
          <w:tcPr>
            <w:tcW w:w="1985"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 xml:space="preserve">SI </w:t>
            </w:r>
          </w:p>
        </w:tc>
        <w:tc>
          <w:tcPr>
            <w:tcW w:w="2269" w:type="dxa"/>
            <w:tcBorders>
              <w:top w:val="single" w:sz="2" w:space="0" w:color="000000"/>
              <w:left w:val="single" w:sz="2" w:space="0" w:color="000000"/>
              <w:bottom w:val="single" w:sz="2" w:space="0" w:color="000000"/>
              <w:right w:val="single" w:sz="2" w:space="0" w:color="000000"/>
            </w:tcBorders>
          </w:tcPr>
          <w:p w:rsidR="00B064CF" w:rsidRDefault="00E32F70">
            <w:pPr>
              <w:spacing w:after="0" w:line="259" w:lineRule="auto"/>
              <w:ind w:left="0" w:firstLine="0"/>
              <w:jc w:val="left"/>
            </w:pPr>
            <w:r>
              <w:rPr>
                <w:b/>
                <w:sz w:val="18"/>
              </w:rPr>
              <w:t xml:space="preserve"> </w:t>
            </w:r>
          </w:p>
        </w:tc>
      </w:tr>
    </w:tbl>
    <w:p w:rsidR="00B064CF" w:rsidRDefault="00E32F70">
      <w:pPr>
        <w:spacing w:after="98" w:line="259" w:lineRule="auto"/>
        <w:ind w:left="360" w:firstLine="0"/>
        <w:jc w:val="left"/>
      </w:pPr>
      <w:r>
        <w:rPr>
          <w:sz w:val="24"/>
        </w:rPr>
        <w:t xml:space="preserve"> </w:t>
      </w:r>
    </w:p>
    <w:p w:rsidR="00B064CF" w:rsidRDefault="00E32F70">
      <w:pPr>
        <w:spacing w:after="111"/>
        <w:ind w:left="355" w:right="72"/>
      </w:pPr>
      <w:r>
        <w:rPr>
          <w:sz w:val="24"/>
        </w:rPr>
        <w:t xml:space="preserve"> </w:t>
      </w:r>
      <w:r>
        <w:t xml:space="preserve">Se cumple la Regla del Gasto en 1.319.703,15 Euros, bajo el supuesto de no suspensión de las Reglas Fiscales. </w:t>
      </w:r>
    </w:p>
    <w:p w:rsidR="00B064CF" w:rsidRDefault="00E32F70">
      <w:pPr>
        <w:spacing w:after="98" w:line="259" w:lineRule="auto"/>
        <w:ind w:left="360" w:firstLine="0"/>
        <w:jc w:val="left"/>
      </w:pPr>
      <w:r>
        <w:t xml:space="preserve"> </w:t>
      </w:r>
    </w:p>
    <w:p w:rsidR="00B064CF" w:rsidRDefault="00E32F70">
      <w:pPr>
        <w:pStyle w:val="Ttulo1"/>
        <w:ind w:left="355"/>
      </w:pPr>
      <w:r>
        <w:rPr>
          <w:rFonts w:ascii="Calibri" w:eastAsia="Calibri" w:hAnsi="Calibri" w:cs="Calibri"/>
          <w:noProof/>
        </w:rPr>
        <mc:AlternateContent>
          <mc:Choice Requires="wpg">
            <w:drawing>
              <wp:anchor distT="0" distB="0" distL="114300" distR="114300" simplePos="0" relativeHeight="25174835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41281" name="Group 441281"/>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0702" name="Rectangle 20702"/>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0703" name="Rectangle 20703"/>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85 de 298 </w:t>
                              </w:r>
                            </w:p>
                          </w:txbxContent>
                        </wps:txbx>
                        <wps:bodyPr horzOverflow="overflow" vert="horz" lIns="0" tIns="0" rIns="0" bIns="0" rtlCol="0">
                          <a:noAutofit/>
                        </wps:bodyPr>
                      </wps:wsp>
                    </wpg:wgp>
                  </a:graphicData>
                </a:graphic>
              </wp:anchor>
            </w:drawing>
          </mc:Choice>
          <mc:Fallback xmlns:a="http://schemas.openxmlformats.org/drawingml/2006/main">
            <w:pict>
              <v:group id="Group 441281" style="width:12.7031pt;height:278.91pt;position:absolute;mso-position-horizontal-relative:page;mso-position-horizontal:absolute;margin-left:682.278pt;mso-position-vertical-relative:page;margin-top:533.01pt;" coordsize="1613,35421">
                <v:rect id="Rectangle 20702"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0703"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85 de 298 </w:t>
                        </w:r>
                      </w:p>
                    </w:txbxContent>
                  </v:textbox>
                </v:rect>
                <w10:wrap type="square"/>
              </v:group>
            </w:pict>
          </mc:Fallback>
        </mc:AlternateContent>
      </w:r>
      <w:r>
        <w:t>3.- CUMPLIMIENTO DEL LÍMITE DE DEUDA</w:t>
      </w:r>
      <w:r>
        <w:rPr>
          <w:b w:val="0"/>
          <w:u w:val="none"/>
        </w:rPr>
        <w:t xml:space="preserve"> </w:t>
      </w:r>
    </w:p>
    <w:p w:rsidR="00B064CF" w:rsidRDefault="00E32F70">
      <w:pPr>
        <w:spacing w:after="98" w:line="259" w:lineRule="auto"/>
        <w:ind w:left="360" w:firstLine="0"/>
        <w:jc w:val="left"/>
      </w:pPr>
      <w:r>
        <w:rPr>
          <w:sz w:val="24"/>
        </w:rPr>
        <w:t xml:space="preserve"> </w:t>
      </w:r>
    </w:p>
    <w:p w:rsidR="00B064CF" w:rsidRDefault="00E32F70">
      <w:pPr>
        <w:spacing w:after="111"/>
        <w:ind w:left="355" w:right="72"/>
      </w:pPr>
      <w:r>
        <w:rPr>
          <w:sz w:val="24"/>
        </w:rPr>
        <w:t xml:space="preserve"> </w:t>
      </w:r>
      <w:r>
        <w:t>La LOEPSF (art. 13) e</w:t>
      </w:r>
      <w:r>
        <w:t xml:space="preserve">stablece la obligación de no rebasar el límite de deuda pública, que ha sido fijado en el 2 % del PIB, para el ejercicio 2021. Actualmente está suspendida para el 2021. </w:t>
      </w:r>
    </w:p>
    <w:p w:rsidR="00B064CF" w:rsidRDefault="00E32F70">
      <w:pPr>
        <w:spacing w:after="11"/>
        <w:ind w:left="355" w:right="72"/>
      </w:pPr>
      <w:r>
        <w:t xml:space="preserve">             </w:t>
      </w:r>
      <w:r>
        <w:t xml:space="preserve">En cuanto al volumen de deuda formalizada, al final del primer trimestre de 2021, se cifra en: </w:t>
      </w:r>
    </w:p>
    <w:tbl>
      <w:tblPr>
        <w:tblStyle w:val="TableGrid"/>
        <w:tblW w:w="8687" w:type="dxa"/>
        <w:tblInd w:w="387" w:type="dxa"/>
        <w:tblCellMar>
          <w:top w:w="2" w:type="dxa"/>
          <w:left w:w="106" w:type="dxa"/>
          <w:bottom w:w="0" w:type="dxa"/>
          <w:right w:w="0" w:type="dxa"/>
        </w:tblCellMar>
        <w:tblLook w:val="04A0" w:firstRow="1" w:lastRow="0" w:firstColumn="1" w:lastColumn="0" w:noHBand="0" w:noVBand="1"/>
      </w:tblPr>
      <w:tblGrid>
        <w:gridCol w:w="6791"/>
        <w:gridCol w:w="1897"/>
      </w:tblGrid>
      <w:tr w:rsidR="00B064CF">
        <w:trPr>
          <w:trHeight w:val="240"/>
        </w:trPr>
        <w:tc>
          <w:tcPr>
            <w:tcW w:w="67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rFonts w:ascii="Times New Roman" w:eastAsia="Times New Roman" w:hAnsi="Times New Roman" w:cs="Times New Roman"/>
                <w:b/>
                <w:sz w:val="20"/>
              </w:rPr>
              <w:t xml:space="preserve">ESTADO DE MOVIMIENTO Y SITUACIÓN DE LA DEUDA </w:t>
            </w:r>
          </w:p>
        </w:tc>
        <w:tc>
          <w:tcPr>
            <w:tcW w:w="189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rFonts w:ascii="Times New Roman" w:eastAsia="Times New Roman" w:hAnsi="Times New Roman" w:cs="Times New Roman"/>
                <w:b/>
                <w:sz w:val="20"/>
              </w:rPr>
              <w:t>IMPORTE</w:t>
            </w:r>
            <w:r>
              <w:rPr>
                <w:rFonts w:ascii="Times New Roman" w:eastAsia="Times New Roman" w:hAnsi="Times New Roman" w:cs="Times New Roman"/>
                <w:sz w:val="24"/>
              </w:rPr>
              <w:t xml:space="preserve"> </w:t>
            </w:r>
          </w:p>
        </w:tc>
      </w:tr>
      <w:tr w:rsidR="00B064CF">
        <w:trPr>
          <w:trHeight w:val="240"/>
        </w:trPr>
        <w:tc>
          <w:tcPr>
            <w:tcW w:w="67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rFonts w:ascii="Times New Roman" w:eastAsia="Times New Roman" w:hAnsi="Times New Roman" w:cs="Times New Roman"/>
                <w:sz w:val="20"/>
              </w:rPr>
              <w:t xml:space="preserve">Emisiones de deuda </w:t>
            </w:r>
          </w:p>
        </w:tc>
        <w:tc>
          <w:tcPr>
            <w:tcW w:w="189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07" w:firstLine="0"/>
              <w:jc w:val="right"/>
            </w:pPr>
            <w:r>
              <w:rPr>
                <w:rFonts w:ascii="Times New Roman" w:eastAsia="Times New Roman" w:hAnsi="Times New Roman" w:cs="Times New Roman"/>
                <w:sz w:val="20"/>
              </w:rPr>
              <w:t>0,00</w:t>
            </w:r>
            <w:r>
              <w:rPr>
                <w:rFonts w:ascii="Times New Roman" w:eastAsia="Times New Roman" w:hAnsi="Times New Roman" w:cs="Times New Roman"/>
                <w:sz w:val="24"/>
              </w:rPr>
              <w:t xml:space="preserve"> </w:t>
            </w:r>
          </w:p>
        </w:tc>
      </w:tr>
      <w:tr w:rsidR="00B064CF">
        <w:trPr>
          <w:trHeight w:val="240"/>
        </w:trPr>
        <w:tc>
          <w:tcPr>
            <w:tcW w:w="67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rFonts w:ascii="Times New Roman" w:eastAsia="Times New Roman" w:hAnsi="Times New Roman" w:cs="Times New Roman"/>
                <w:sz w:val="20"/>
              </w:rPr>
              <w:t>Operaciones con Entidades de Crédito formalizados</w:t>
            </w:r>
            <w:r>
              <w:rPr>
                <w:rFonts w:ascii="Times New Roman" w:eastAsia="Times New Roman" w:hAnsi="Times New Roman" w:cs="Times New Roman"/>
                <w:sz w:val="24"/>
              </w:rPr>
              <w:t xml:space="preserve"> </w:t>
            </w:r>
          </w:p>
        </w:tc>
        <w:tc>
          <w:tcPr>
            <w:tcW w:w="189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07" w:firstLine="0"/>
              <w:jc w:val="right"/>
            </w:pPr>
            <w:r>
              <w:rPr>
                <w:rFonts w:ascii="Times New Roman" w:eastAsia="Times New Roman" w:hAnsi="Times New Roman" w:cs="Times New Roman"/>
                <w:sz w:val="20"/>
              </w:rPr>
              <w:t>0,00</w:t>
            </w:r>
            <w:r>
              <w:rPr>
                <w:rFonts w:ascii="Times New Roman" w:eastAsia="Times New Roman" w:hAnsi="Times New Roman" w:cs="Times New Roman"/>
                <w:sz w:val="24"/>
              </w:rPr>
              <w:t xml:space="preserve"> </w:t>
            </w:r>
          </w:p>
        </w:tc>
      </w:tr>
      <w:tr w:rsidR="00B064CF">
        <w:trPr>
          <w:trHeight w:val="240"/>
        </w:trPr>
        <w:tc>
          <w:tcPr>
            <w:tcW w:w="67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rFonts w:ascii="Times New Roman" w:eastAsia="Times New Roman" w:hAnsi="Times New Roman" w:cs="Times New Roman"/>
                <w:sz w:val="20"/>
              </w:rPr>
              <w:t xml:space="preserve">Avales a entes instrumentales </w:t>
            </w:r>
          </w:p>
        </w:tc>
        <w:tc>
          <w:tcPr>
            <w:tcW w:w="189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10" w:firstLine="0"/>
              <w:jc w:val="right"/>
            </w:pPr>
            <w:r>
              <w:rPr>
                <w:rFonts w:ascii="Times New Roman" w:eastAsia="Times New Roman" w:hAnsi="Times New Roman" w:cs="Times New Roman"/>
                <w:sz w:val="20"/>
              </w:rPr>
              <w:t xml:space="preserve">0,00 </w:t>
            </w:r>
            <w:r>
              <w:rPr>
                <w:rFonts w:ascii="Times New Roman" w:eastAsia="Times New Roman" w:hAnsi="Times New Roman" w:cs="Times New Roman"/>
                <w:sz w:val="24"/>
              </w:rPr>
              <w:t xml:space="preserve"> </w:t>
            </w:r>
          </w:p>
        </w:tc>
      </w:tr>
      <w:tr w:rsidR="00B064CF">
        <w:trPr>
          <w:trHeight w:val="240"/>
        </w:trPr>
        <w:tc>
          <w:tcPr>
            <w:tcW w:w="67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rFonts w:ascii="Times New Roman" w:eastAsia="Times New Roman" w:hAnsi="Times New Roman" w:cs="Times New Roman"/>
                <w:sz w:val="20"/>
              </w:rPr>
              <w:t xml:space="preserve">Factoring sin recurso </w:t>
            </w:r>
          </w:p>
        </w:tc>
        <w:tc>
          <w:tcPr>
            <w:tcW w:w="189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07" w:firstLine="0"/>
              <w:jc w:val="right"/>
            </w:pPr>
            <w:r>
              <w:rPr>
                <w:rFonts w:ascii="Times New Roman" w:eastAsia="Times New Roman" w:hAnsi="Times New Roman" w:cs="Times New Roman"/>
                <w:sz w:val="20"/>
              </w:rPr>
              <w:t>0,00</w:t>
            </w:r>
            <w:r>
              <w:rPr>
                <w:rFonts w:ascii="Times New Roman" w:eastAsia="Times New Roman" w:hAnsi="Times New Roman" w:cs="Times New Roman"/>
                <w:sz w:val="24"/>
              </w:rPr>
              <w:t xml:space="preserve"> </w:t>
            </w:r>
          </w:p>
        </w:tc>
      </w:tr>
      <w:tr w:rsidR="00B064CF">
        <w:trPr>
          <w:trHeight w:val="240"/>
        </w:trPr>
        <w:tc>
          <w:tcPr>
            <w:tcW w:w="67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rFonts w:ascii="Times New Roman" w:eastAsia="Times New Roman" w:hAnsi="Times New Roman" w:cs="Times New Roman"/>
                <w:sz w:val="20"/>
              </w:rPr>
              <w:t xml:space="preserve">Avales ejecutados </w:t>
            </w:r>
          </w:p>
        </w:tc>
        <w:tc>
          <w:tcPr>
            <w:tcW w:w="189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07" w:firstLine="0"/>
              <w:jc w:val="right"/>
            </w:pPr>
            <w:r>
              <w:rPr>
                <w:rFonts w:ascii="Times New Roman" w:eastAsia="Times New Roman" w:hAnsi="Times New Roman" w:cs="Times New Roman"/>
                <w:sz w:val="20"/>
              </w:rPr>
              <w:t>0,00</w:t>
            </w:r>
            <w:r>
              <w:rPr>
                <w:rFonts w:ascii="Times New Roman" w:eastAsia="Times New Roman" w:hAnsi="Times New Roman" w:cs="Times New Roman"/>
                <w:sz w:val="24"/>
              </w:rPr>
              <w:t xml:space="preserve"> </w:t>
            </w:r>
          </w:p>
        </w:tc>
      </w:tr>
      <w:tr w:rsidR="00B064CF">
        <w:trPr>
          <w:trHeight w:val="240"/>
        </w:trPr>
        <w:tc>
          <w:tcPr>
            <w:tcW w:w="67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rFonts w:ascii="Times New Roman" w:eastAsia="Times New Roman" w:hAnsi="Times New Roman" w:cs="Times New Roman"/>
                <w:sz w:val="20"/>
              </w:rPr>
              <w:t xml:space="preserve">Liquidaciones PIE -2008 </w:t>
            </w:r>
          </w:p>
        </w:tc>
        <w:tc>
          <w:tcPr>
            <w:tcW w:w="189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09" w:firstLine="0"/>
              <w:jc w:val="right"/>
            </w:pPr>
            <w:r>
              <w:rPr>
                <w:rFonts w:ascii="Times New Roman" w:eastAsia="Times New Roman" w:hAnsi="Times New Roman" w:cs="Times New Roman"/>
                <w:sz w:val="20"/>
              </w:rPr>
              <w:t>151.744,97</w:t>
            </w:r>
            <w:r>
              <w:rPr>
                <w:rFonts w:ascii="Times New Roman" w:eastAsia="Times New Roman" w:hAnsi="Times New Roman" w:cs="Times New Roman"/>
                <w:sz w:val="24"/>
              </w:rPr>
              <w:t xml:space="preserve"> </w:t>
            </w:r>
          </w:p>
        </w:tc>
      </w:tr>
      <w:tr w:rsidR="00B064CF">
        <w:trPr>
          <w:trHeight w:val="240"/>
        </w:trPr>
        <w:tc>
          <w:tcPr>
            <w:tcW w:w="67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rFonts w:ascii="Times New Roman" w:eastAsia="Times New Roman" w:hAnsi="Times New Roman" w:cs="Times New Roman"/>
                <w:sz w:val="20"/>
              </w:rPr>
              <w:t xml:space="preserve">Liquidaciones PIE -2009 </w:t>
            </w:r>
          </w:p>
        </w:tc>
        <w:tc>
          <w:tcPr>
            <w:tcW w:w="189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09" w:firstLine="0"/>
              <w:jc w:val="right"/>
            </w:pPr>
            <w:r>
              <w:rPr>
                <w:rFonts w:ascii="Times New Roman" w:eastAsia="Times New Roman" w:hAnsi="Times New Roman" w:cs="Times New Roman"/>
                <w:sz w:val="20"/>
              </w:rPr>
              <w:t>639.144,00</w:t>
            </w:r>
            <w:r>
              <w:rPr>
                <w:rFonts w:ascii="Times New Roman" w:eastAsia="Times New Roman" w:hAnsi="Times New Roman" w:cs="Times New Roman"/>
                <w:sz w:val="24"/>
              </w:rPr>
              <w:t xml:space="preserve"> </w:t>
            </w:r>
          </w:p>
        </w:tc>
      </w:tr>
      <w:tr w:rsidR="00B064CF">
        <w:trPr>
          <w:trHeight w:val="240"/>
        </w:trPr>
        <w:tc>
          <w:tcPr>
            <w:tcW w:w="67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rFonts w:ascii="Times New Roman" w:eastAsia="Times New Roman" w:hAnsi="Times New Roman" w:cs="Times New Roman"/>
                <w:sz w:val="20"/>
              </w:rPr>
              <w:t xml:space="preserve">Otras Deudas con Administraciones Públicas  </w:t>
            </w:r>
          </w:p>
        </w:tc>
        <w:tc>
          <w:tcPr>
            <w:tcW w:w="189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07" w:firstLine="0"/>
              <w:jc w:val="right"/>
            </w:pPr>
            <w:r>
              <w:rPr>
                <w:rFonts w:ascii="Times New Roman" w:eastAsia="Times New Roman" w:hAnsi="Times New Roman" w:cs="Times New Roman"/>
                <w:sz w:val="20"/>
              </w:rPr>
              <w:t>0,00</w:t>
            </w:r>
            <w:r>
              <w:rPr>
                <w:rFonts w:ascii="Times New Roman" w:eastAsia="Times New Roman" w:hAnsi="Times New Roman" w:cs="Times New Roman"/>
                <w:sz w:val="24"/>
              </w:rPr>
              <w:t xml:space="preserve"> </w:t>
            </w:r>
          </w:p>
        </w:tc>
      </w:tr>
      <w:tr w:rsidR="00B064CF">
        <w:trPr>
          <w:trHeight w:val="241"/>
        </w:trPr>
        <w:tc>
          <w:tcPr>
            <w:tcW w:w="67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rFonts w:ascii="Times New Roman" w:eastAsia="Times New Roman" w:hAnsi="Times New Roman" w:cs="Times New Roman"/>
                <w:sz w:val="20"/>
              </w:rPr>
              <w:t xml:space="preserve">Arrendamientos Financieros </w:t>
            </w:r>
          </w:p>
        </w:tc>
        <w:tc>
          <w:tcPr>
            <w:tcW w:w="189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07" w:firstLine="0"/>
              <w:jc w:val="right"/>
            </w:pPr>
            <w:r>
              <w:rPr>
                <w:rFonts w:ascii="Times New Roman" w:eastAsia="Times New Roman" w:hAnsi="Times New Roman" w:cs="Times New Roman"/>
                <w:sz w:val="20"/>
              </w:rPr>
              <w:t>0,00</w:t>
            </w:r>
            <w:r>
              <w:rPr>
                <w:rFonts w:ascii="Times New Roman" w:eastAsia="Times New Roman" w:hAnsi="Times New Roman" w:cs="Times New Roman"/>
                <w:sz w:val="24"/>
              </w:rPr>
              <w:t xml:space="preserve"> </w:t>
            </w:r>
          </w:p>
        </w:tc>
      </w:tr>
      <w:tr w:rsidR="00B064CF">
        <w:trPr>
          <w:trHeight w:val="240"/>
        </w:trPr>
        <w:tc>
          <w:tcPr>
            <w:tcW w:w="67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rFonts w:ascii="Times New Roman" w:eastAsia="Times New Roman" w:hAnsi="Times New Roman" w:cs="Times New Roman"/>
                <w:sz w:val="20"/>
              </w:rPr>
              <w:t xml:space="preserve">Pagos Aplazados </w:t>
            </w:r>
          </w:p>
        </w:tc>
        <w:tc>
          <w:tcPr>
            <w:tcW w:w="189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07" w:firstLine="0"/>
              <w:jc w:val="right"/>
            </w:pPr>
            <w:r>
              <w:rPr>
                <w:rFonts w:ascii="Times New Roman" w:eastAsia="Times New Roman" w:hAnsi="Times New Roman" w:cs="Times New Roman"/>
                <w:sz w:val="20"/>
              </w:rPr>
              <w:t>0,00</w:t>
            </w:r>
            <w:r>
              <w:rPr>
                <w:rFonts w:ascii="Times New Roman" w:eastAsia="Times New Roman" w:hAnsi="Times New Roman" w:cs="Times New Roman"/>
                <w:sz w:val="24"/>
              </w:rPr>
              <w:t xml:space="preserve"> </w:t>
            </w:r>
          </w:p>
        </w:tc>
      </w:tr>
      <w:tr w:rsidR="00B064CF">
        <w:trPr>
          <w:trHeight w:val="240"/>
        </w:trPr>
        <w:tc>
          <w:tcPr>
            <w:tcW w:w="67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rFonts w:ascii="Times New Roman" w:eastAsia="Times New Roman" w:hAnsi="Times New Roman" w:cs="Times New Roman"/>
                <w:sz w:val="20"/>
              </w:rPr>
              <w:t xml:space="preserve">Inversiones con abono total del precio </w:t>
            </w:r>
          </w:p>
        </w:tc>
        <w:tc>
          <w:tcPr>
            <w:tcW w:w="189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07" w:firstLine="0"/>
              <w:jc w:val="right"/>
            </w:pPr>
            <w:r>
              <w:rPr>
                <w:rFonts w:ascii="Times New Roman" w:eastAsia="Times New Roman" w:hAnsi="Times New Roman" w:cs="Times New Roman"/>
                <w:sz w:val="20"/>
              </w:rPr>
              <w:t>0,00</w:t>
            </w:r>
            <w:r>
              <w:rPr>
                <w:rFonts w:ascii="Times New Roman" w:eastAsia="Times New Roman" w:hAnsi="Times New Roman" w:cs="Times New Roman"/>
                <w:sz w:val="24"/>
              </w:rPr>
              <w:t xml:space="preserve"> </w:t>
            </w:r>
          </w:p>
        </w:tc>
      </w:tr>
      <w:tr w:rsidR="00B064CF">
        <w:trPr>
          <w:trHeight w:val="240"/>
        </w:trPr>
        <w:tc>
          <w:tcPr>
            <w:tcW w:w="67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rFonts w:ascii="Times New Roman" w:eastAsia="Times New Roman" w:hAnsi="Times New Roman" w:cs="Times New Roman"/>
                <w:sz w:val="20"/>
              </w:rPr>
              <w:t xml:space="preserve">Asociaciones Públicos Privadas </w:t>
            </w:r>
          </w:p>
        </w:tc>
        <w:tc>
          <w:tcPr>
            <w:tcW w:w="189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07" w:firstLine="0"/>
              <w:jc w:val="right"/>
            </w:pPr>
            <w:r>
              <w:rPr>
                <w:rFonts w:ascii="Times New Roman" w:eastAsia="Times New Roman" w:hAnsi="Times New Roman" w:cs="Times New Roman"/>
                <w:sz w:val="20"/>
              </w:rPr>
              <w:t>0,00</w:t>
            </w:r>
            <w:r>
              <w:rPr>
                <w:rFonts w:ascii="Times New Roman" w:eastAsia="Times New Roman" w:hAnsi="Times New Roman" w:cs="Times New Roman"/>
                <w:sz w:val="24"/>
              </w:rPr>
              <w:t xml:space="preserve"> </w:t>
            </w:r>
          </w:p>
        </w:tc>
      </w:tr>
      <w:tr w:rsidR="00B064CF">
        <w:trPr>
          <w:trHeight w:val="240"/>
        </w:trPr>
        <w:tc>
          <w:tcPr>
            <w:tcW w:w="6791"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firstLine="0"/>
              <w:jc w:val="left"/>
            </w:pPr>
            <w:r>
              <w:rPr>
                <w:rFonts w:ascii="Times New Roman" w:eastAsia="Times New Roman" w:hAnsi="Times New Roman" w:cs="Times New Roman"/>
                <w:b/>
                <w:sz w:val="20"/>
              </w:rPr>
              <w:t>TOTAL</w:t>
            </w:r>
            <w:r>
              <w:rPr>
                <w:rFonts w:ascii="Times New Roman" w:eastAsia="Times New Roman" w:hAnsi="Times New Roman" w:cs="Times New Roman"/>
                <w:sz w:val="24"/>
              </w:rPr>
              <w:t xml:space="preserve"> </w:t>
            </w:r>
          </w:p>
        </w:tc>
        <w:tc>
          <w:tcPr>
            <w:tcW w:w="1897"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109" w:firstLine="0"/>
              <w:jc w:val="right"/>
            </w:pPr>
            <w:r>
              <w:rPr>
                <w:rFonts w:ascii="Times New Roman" w:eastAsia="Times New Roman" w:hAnsi="Times New Roman" w:cs="Times New Roman"/>
                <w:b/>
                <w:sz w:val="20"/>
              </w:rPr>
              <w:t>790.888,97</w:t>
            </w:r>
            <w:r>
              <w:rPr>
                <w:rFonts w:ascii="Times New Roman" w:eastAsia="Times New Roman" w:hAnsi="Times New Roman" w:cs="Times New Roman"/>
                <w:sz w:val="24"/>
              </w:rPr>
              <w:t xml:space="preserve"> </w:t>
            </w:r>
          </w:p>
        </w:tc>
      </w:tr>
    </w:tbl>
    <w:p w:rsidR="00B064CF" w:rsidRDefault="00E32F70">
      <w:pPr>
        <w:spacing w:after="64" w:line="259" w:lineRule="auto"/>
        <w:ind w:left="1068" w:firstLine="0"/>
        <w:jc w:val="left"/>
      </w:pPr>
      <w:r>
        <w:rPr>
          <w:rFonts w:ascii="Times New Roman" w:eastAsia="Times New Roman" w:hAnsi="Times New Roman" w:cs="Times New Roman"/>
          <w:sz w:val="24"/>
        </w:rPr>
        <w:t xml:space="preserve"> </w:t>
      </w:r>
    </w:p>
    <w:p w:rsidR="00B064CF" w:rsidRDefault="00E32F70">
      <w:pPr>
        <w:spacing w:after="92"/>
        <w:ind w:left="345" w:right="142" w:firstLine="708"/>
      </w:pPr>
      <w:r>
        <w:t xml:space="preserve">Dado que, los ingresos corrientes liquidados, es de 3.606.403,71 Euros, la deuda pública, conforme el protocolo sobre procedimiento de déficit excesivo, supone en este ejercicio de 2020, asciende a un 21,9 %. </w:t>
      </w:r>
    </w:p>
    <w:p w:rsidR="00B064CF" w:rsidRDefault="00E32F70">
      <w:pPr>
        <w:spacing w:after="76" w:line="259" w:lineRule="auto"/>
        <w:ind w:left="1068" w:firstLine="0"/>
        <w:jc w:val="left"/>
      </w:pPr>
      <w:r>
        <w:t xml:space="preserve"> </w:t>
      </w:r>
    </w:p>
    <w:p w:rsidR="00B064CF" w:rsidRDefault="00E32F70">
      <w:pPr>
        <w:pStyle w:val="Ttulo1"/>
        <w:ind w:left="355"/>
      </w:pPr>
      <w:r>
        <w:t>4.- REMANENTE DE TESORERIA</w:t>
      </w:r>
      <w:r>
        <w:rPr>
          <w:u w:val="none"/>
        </w:rPr>
        <w:t xml:space="preserve"> </w:t>
      </w:r>
    </w:p>
    <w:p w:rsidR="00B064CF" w:rsidRDefault="00E32F70">
      <w:pPr>
        <w:spacing w:after="185" w:line="259" w:lineRule="auto"/>
        <w:ind w:left="360" w:firstLine="0"/>
        <w:jc w:val="left"/>
      </w:pPr>
      <w:r>
        <w:rPr>
          <w:rFonts w:ascii="Times New Roman" w:eastAsia="Times New Roman" w:hAnsi="Times New Roman" w:cs="Times New Roman"/>
          <w:sz w:val="24"/>
        </w:rPr>
        <w:t xml:space="preserve"> </w:t>
      </w:r>
    </w:p>
    <w:p w:rsidR="00B064CF" w:rsidRDefault="00E32F70">
      <w:pPr>
        <w:pBdr>
          <w:top w:val="single" w:sz="4" w:space="0" w:color="000000"/>
          <w:left w:val="single" w:sz="4" w:space="0" w:color="000000"/>
          <w:bottom w:val="single" w:sz="4" w:space="0" w:color="000000"/>
          <w:right w:val="single" w:sz="4" w:space="0" w:color="000000"/>
        </w:pBdr>
        <w:spacing w:after="130" w:line="259" w:lineRule="auto"/>
        <w:ind w:left="418"/>
        <w:jc w:val="left"/>
      </w:pPr>
      <w:r>
        <w:rPr>
          <w:rFonts w:ascii="Times New Roman" w:eastAsia="Times New Roman" w:hAnsi="Times New Roman" w:cs="Times New Roman"/>
          <w:sz w:val="18"/>
        </w:rPr>
        <w:t xml:space="preserve">A)  DERECHOS PENDIENTES DE COBRO                                                 </w:t>
      </w:r>
      <w:r>
        <w:rPr>
          <w:rFonts w:ascii="Times New Roman" w:eastAsia="Times New Roman" w:hAnsi="Times New Roman" w:cs="Times New Roman"/>
          <w:b/>
          <w:sz w:val="18"/>
        </w:rPr>
        <w:t>10.990.134,32</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rPr>
          <w:rFonts w:ascii="Calibri" w:eastAsia="Calibri" w:hAnsi="Calibri" w:cs="Calibri"/>
          <w:noProof/>
        </w:rPr>
        <mc:AlternateContent>
          <mc:Choice Requires="wpg">
            <w:drawing>
              <wp:anchor distT="0" distB="0" distL="114300" distR="114300" simplePos="0" relativeHeight="251749376" behindDoc="0" locked="0" layoutInCell="1" allowOverlap="1">
                <wp:simplePos x="0" y="0"/>
                <wp:positionH relativeFrom="page">
                  <wp:posOffset>8664935</wp:posOffset>
                </wp:positionH>
                <wp:positionV relativeFrom="page">
                  <wp:posOffset>6769227</wp:posOffset>
                </wp:positionV>
                <wp:extent cx="161330" cy="3542157"/>
                <wp:effectExtent l="0" t="0" r="0" b="0"/>
                <wp:wrapTopAndBottom/>
                <wp:docPr id="441794" name="Group 441794"/>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1136" name="Rectangle 21136"/>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1137" name="Rectangle 21137"/>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86 de 298 </w:t>
                              </w:r>
                            </w:p>
                          </w:txbxContent>
                        </wps:txbx>
                        <wps:bodyPr horzOverflow="overflow" vert="horz" lIns="0" tIns="0" rIns="0" bIns="0" rtlCol="0">
                          <a:noAutofit/>
                        </wps:bodyPr>
                      </wps:wsp>
                    </wpg:wgp>
                  </a:graphicData>
                </a:graphic>
              </wp:anchor>
            </w:drawing>
          </mc:Choice>
          <mc:Fallback xmlns:a="http://schemas.openxmlformats.org/drawingml/2006/main">
            <w:pict>
              <v:group id="Group 441794" style="width:12.7031pt;height:278.91pt;position:absolute;mso-position-horizontal-relative:page;mso-position-horizontal:absolute;margin-left:682.278pt;mso-position-vertical-relative:page;margin-top:533.01pt;" coordsize="1613,35421">
                <v:rect id="Rectangle 21136"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1137"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86 de 298 </w:t>
                        </w:r>
                      </w:p>
                    </w:txbxContent>
                  </v:textbox>
                </v:rect>
                <w10:wrap type="topAndBottom"/>
              </v:group>
            </w:pict>
          </mc:Fallback>
        </mc:AlternateContent>
      </w:r>
      <w:r>
        <w:rPr>
          <w:rFonts w:ascii="Times New Roman" w:eastAsia="Times New Roman" w:hAnsi="Times New Roman" w:cs="Times New Roman"/>
          <w:sz w:val="18"/>
        </w:rPr>
        <w:t xml:space="preserve"> </w:t>
      </w:r>
    </w:p>
    <w:tbl>
      <w:tblPr>
        <w:tblStyle w:val="TableGrid"/>
        <w:tblW w:w="8032" w:type="dxa"/>
        <w:tblInd w:w="910" w:type="dxa"/>
        <w:tblCellMar>
          <w:top w:w="0" w:type="dxa"/>
          <w:left w:w="70" w:type="dxa"/>
          <w:bottom w:w="0" w:type="dxa"/>
          <w:right w:w="115" w:type="dxa"/>
        </w:tblCellMar>
        <w:tblLook w:val="04A0" w:firstRow="1" w:lastRow="0" w:firstColumn="1" w:lastColumn="0" w:noHBand="0" w:noVBand="1"/>
      </w:tblPr>
      <w:tblGrid>
        <w:gridCol w:w="5523"/>
        <w:gridCol w:w="2509"/>
      </w:tblGrid>
      <w:tr w:rsidR="00B064CF">
        <w:trPr>
          <w:trHeight w:val="418"/>
        </w:trPr>
        <w:tc>
          <w:tcPr>
            <w:tcW w:w="5523" w:type="dxa"/>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firstLine="0"/>
              <w:jc w:val="left"/>
            </w:pPr>
            <w:r>
              <w:rPr>
                <w:rFonts w:ascii="Times New Roman" w:eastAsia="Times New Roman" w:hAnsi="Times New Roman" w:cs="Times New Roman"/>
                <w:sz w:val="18"/>
              </w:rPr>
              <w:t xml:space="preserve">+ DE PRESUPUESTO DE INGRESOS, CORRIENTE  </w:t>
            </w:r>
          </w:p>
        </w:tc>
        <w:tc>
          <w:tcPr>
            <w:tcW w:w="2509" w:type="dxa"/>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firstLine="0"/>
              <w:jc w:val="left"/>
            </w:pPr>
            <w:r>
              <w:rPr>
                <w:rFonts w:ascii="Times New Roman" w:eastAsia="Times New Roman" w:hAnsi="Times New Roman" w:cs="Times New Roman"/>
                <w:sz w:val="18"/>
              </w:rPr>
              <w:t>112.035,92</w:t>
            </w:r>
            <w:r>
              <w:rPr>
                <w:rFonts w:ascii="Times New Roman" w:eastAsia="Times New Roman" w:hAnsi="Times New Roman" w:cs="Times New Roman"/>
                <w:sz w:val="24"/>
              </w:rPr>
              <w:t xml:space="preserve"> </w:t>
            </w:r>
          </w:p>
        </w:tc>
      </w:tr>
      <w:tr w:rsidR="00B064CF">
        <w:trPr>
          <w:trHeight w:val="418"/>
        </w:trPr>
        <w:tc>
          <w:tcPr>
            <w:tcW w:w="5523" w:type="dxa"/>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firstLine="0"/>
              <w:jc w:val="left"/>
            </w:pPr>
            <w:r>
              <w:rPr>
                <w:rFonts w:ascii="Times New Roman" w:eastAsia="Times New Roman" w:hAnsi="Times New Roman" w:cs="Times New Roman"/>
                <w:sz w:val="18"/>
              </w:rPr>
              <w:t xml:space="preserve">+ DE PRESUPUESTO DE INGRESOS , CERRADOS </w:t>
            </w:r>
          </w:p>
        </w:tc>
        <w:tc>
          <w:tcPr>
            <w:tcW w:w="2509" w:type="dxa"/>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firstLine="0"/>
              <w:jc w:val="left"/>
            </w:pPr>
            <w:r>
              <w:rPr>
                <w:rFonts w:ascii="Times New Roman" w:eastAsia="Times New Roman" w:hAnsi="Times New Roman" w:cs="Times New Roman"/>
                <w:sz w:val="18"/>
              </w:rPr>
              <w:t>10.507.859,82</w:t>
            </w:r>
            <w:r>
              <w:rPr>
                <w:rFonts w:ascii="Times New Roman" w:eastAsia="Times New Roman" w:hAnsi="Times New Roman" w:cs="Times New Roman"/>
                <w:sz w:val="24"/>
              </w:rPr>
              <w:t xml:space="preserve"> </w:t>
            </w:r>
          </w:p>
        </w:tc>
      </w:tr>
      <w:tr w:rsidR="00B064CF">
        <w:trPr>
          <w:trHeight w:val="418"/>
        </w:trPr>
        <w:tc>
          <w:tcPr>
            <w:tcW w:w="5523" w:type="dxa"/>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firstLine="0"/>
              <w:jc w:val="left"/>
            </w:pPr>
            <w:r>
              <w:rPr>
                <w:rFonts w:ascii="Times New Roman" w:eastAsia="Times New Roman" w:hAnsi="Times New Roman" w:cs="Times New Roman"/>
                <w:sz w:val="18"/>
              </w:rPr>
              <w:t xml:space="preserve">+ DE OTRAS OPERACIONES NO PRESUPUESTARIAS </w:t>
            </w:r>
          </w:p>
        </w:tc>
        <w:tc>
          <w:tcPr>
            <w:tcW w:w="2509" w:type="dxa"/>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firstLine="0"/>
              <w:jc w:val="left"/>
            </w:pPr>
            <w:r>
              <w:rPr>
                <w:rFonts w:ascii="Times New Roman" w:eastAsia="Times New Roman" w:hAnsi="Times New Roman" w:cs="Times New Roman"/>
                <w:sz w:val="18"/>
              </w:rPr>
              <w:t>370.238,58</w:t>
            </w:r>
            <w:r>
              <w:rPr>
                <w:rFonts w:ascii="Times New Roman" w:eastAsia="Times New Roman" w:hAnsi="Times New Roman" w:cs="Times New Roman"/>
                <w:sz w:val="24"/>
              </w:rPr>
              <w:t xml:space="preserve"> </w:t>
            </w:r>
          </w:p>
        </w:tc>
      </w:tr>
    </w:tbl>
    <w:p w:rsidR="00B064CF" w:rsidRDefault="00E32F70">
      <w:pPr>
        <w:spacing w:after="0" w:line="259" w:lineRule="auto"/>
        <w:ind w:left="360" w:firstLine="0"/>
        <w:jc w:val="left"/>
      </w:pPr>
      <w:r>
        <w:rPr>
          <w:rFonts w:ascii="Times New Roman" w:eastAsia="Times New Roman" w:hAnsi="Times New Roman" w:cs="Times New Roman"/>
          <w:sz w:val="18"/>
        </w:rPr>
        <w:t xml:space="preserve"> </w:t>
      </w:r>
    </w:p>
    <w:tbl>
      <w:tblPr>
        <w:tblStyle w:val="TableGrid"/>
        <w:tblW w:w="8589" w:type="dxa"/>
        <w:tblInd w:w="353" w:type="dxa"/>
        <w:tblCellMar>
          <w:top w:w="0" w:type="dxa"/>
          <w:left w:w="70" w:type="dxa"/>
          <w:bottom w:w="0" w:type="dxa"/>
          <w:right w:w="115" w:type="dxa"/>
        </w:tblCellMar>
        <w:tblLook w:val="04A0" w:firstRow="1" w:lastRow="0" w:firstColumn="1" w:lastColumn="0" w:noHBand="0" w:noVBand="1"/>
      </w:tblPr>
      <w:tblGrid>
        <w:gridCol w:w="8589"/>
      </w:tblGrid>
      <w:tr w:rsidR="00B064CF">
        <w:trPr>
          <w:trHeight w:val="418"/>
        </w:trPr>
        <w:tc>
          <w:tcPr>
            <w:tcW w:w="8589" w:type="dxa"/>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firstLine="0"/>
              <w:jc w:val="left"/>
            </w:pPr>
            <w:r>
              <w:rPr>
                <w:rFonts w:ascii="Times New Roman" w:eastAsia="Times New Roman" w:hAnsi="Times New Roman" w:cs="Times New Roman"/>
                <w:sz w:val="18"/>
              </w:rPr>
              <w:t xml:space="preserve">B) OBLIGACIONES PENDIENTES DE PAGO                                                      </w:t>
            </w:r>
            <w:r>
              <w:rPr>
                <w:rFonts w:ascii="Times New Roman" w:eastAsia="Times New Roman" w:hAnsi="Times New Roman" w:cs="Times New Roman"/>
                <w:b/>
                <w:sz w:val="18"/>
              </w:rPr>
              <w:t>2.191.593,99</w:t>
            </w:r>
            <w:r>
              <w:rPr>
                <w:rFonts w:ascii="Times New Roman" w:eastAsia="Times New Roman" w:hAnsi="Times New Roman" w:cs="Times New Roman"/>
                <w:sz w:val="24"/>
              </w:rPr>
              <w:t xml:space="preserve"> </w:t>
            </w:r>
          </w:p>
        </w:tc>
      </w:tr>
    </w:tbl>
    <w:p w:rsidR="00B064CF" w:rsidRDefault="00E32F70">
      <w:pPr>
        <w:spacing w:after="0" w:line="259" w:lineRule="auto"/>
        <w:ind w:left="360" w:firstLine="0"/>
        <w:jc w:val="left"/>
      </w:pPr>
      <w:r>
        <w:rPr>
          <w:rFonts w:ascii="Times New Roman" w:eastAsia="Times New Roman" w:hAnsi="Times New Roman" w:cs="Times New Roman"/>
          <w:sz w:val="18"/>
        </w:rPr>
        <w:t xml:space="preserve"> </w:t>
      </w:r>
    </w:p>
    <w:tbl>
      <w:tblPr>
        <w:tblStyle w:val="TableGrid"/>
        <w:tblW w:w="8070" w:type="dxa"/>
        <w:tblInd w:w="872" w:type="dxa"/>
        <w:tblCellMar>
          <w:top w:w="0" w:type="dxa"/>
          <w:left w:w="70" w:type="dxa"/>
          <w:bottom w:w="0" w:type="dxa"/>
          <w:right w:w="115" w:type="dxa"/>
        </w:tblCellMar>
        <w:tblLook w:val="04A0" w:firstRow="1" w:lastRow="0" w:firstColumn="1" w:lastColumn="0" w:noHBand="0" w:noVBand="1"/>
      </w:tblPr>
      <w:tblGrid>
        <w:gridCol w:w="5711"/>
        <w:gridCol w:w="2360"/>
      </w:tblGrid>
      <w:tr w:rsidR="00B064CF">
        <w:trPr>
          <w:trHeight w:val="415"/>
        </w:trPr>
        <w:tc>
          <w:tcPr>
            <w:tcW w:w="5711" w:type="dxa"/>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firstLine="0"/>
              <w:jc w:val="left"/>
            </w:pPr>
            <w:r>
              <w:rPr>
                <w:rFonts w:ascii="Times New Roman" w:eastAsia="Times New Roman" w:hAnsi="Times New Roman" w:cs="Times New Roman"/>
                <w:sz w:val="18"/>
              </w:rPr>
              <w:t xml:space="preserve">+ DE PRESUPUESTO DE GASTOS, CORRIENTE </w:t>
            </w:r>
          </w:p>
        </w:tc>
        <w:tc>
          <w:tcPr>
            <w:tcW w:w="2360" w:type="dxa"/>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firstLine="0"/>
              <w:jc w:val="left"/>
            </w:pPr>
            <w:r>
              <w:rPr>
                <w:rFonts w:ascii="Times New Roman" w:eastAsia="Times New Roman" w:hAnsi="Times New Roman" w:cs="Times New Roman"/>
                <w:sz w:val="18"/>
              </w:rPr>
              <w:t>364.369,31</w:t>
            </w:r>
            <w:r>
              <w:rPr>
                <w:rFonts w:ascii="Times New Roman" w:eastAsia="Times New Roman" w:hAnsi="Times New Roman" w:cs="Times New Roman"/>
                <w:sz w:val="24"/>
              </w:rPr>
              <w:t xml:space="preserve"> </w:t>
            </w:r>
          </w:p>
        </w:tc>
      </w:tr>
      <w:tr w:rsidR="00B064CF">
        <w:trPr>
          <w:trHeight w:val="418"/>
        </w:trPr>
        <w:tc>
          <w:tcPr>
            <w:tcW w:w="5711" w:type="dxa"/>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firstLine="0"/>
              <w:jc w:val="left"/>
            </w:pPr>
            <w:r>
              <w:rPr>
                <w:rFonts w:ascii="Times New Roman" w:eastAsia="Times New Roman" w:hAnsi="Times New Roman" w:cs="Times New Roman"/>
                <w:sz w:val="18"/>
              </w:rPr>
              <w:t xml:space="preserve">+ DE PRESUPUESTO DE GASTOS , CERRADOS </w:t>
            </w:r>
          </w:p>
        </w:tc>
        <w:tc>
          <w:tcPr>
            <w:tcW w:w="2360" w:type="dxa"/>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firstLine="0"/>
              <w:jc w:val="left"/>
            </w:pPr>
            <w:r>
              <w:rPr>
                <w:rFonts w:ascii="Times New Roman" w:eastAsia="Times New Roman" w:hAnsi="Times New Roman" w:cs="Times New Roman"/>
                <w:sz w:val="18"/>
              </w:rPr>
              <w:t>571.274,01</w:t>
            </w:r>
            <w:r>
              <w:rPr>
                <w:rFonts w:ascii="Times New Roman" w:eastAsia="Times New Roman" w:hAnsi="Times New Roman" w:cs="Times New Roman"/>
                <w:sz w:val="24"/>
              </w:rPr>
              <w:t xml:space="preserve"> </w:t>
            </w:r>
          </w:p>
        </w:tc>
      </w:tr>
      <w:tr w:rsidR="00B064CF">
        <w:trPr>
          <w:trHeight w:val="418"/>
        </w:trPr>
        <w:tc>
          <w:tcPr>
            <w:tcW w:w="5711" w:type="dxa"/>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firstLine="0"/>
              <w:jc w:val="left"/>
            </w:pPr>
            <w:r>
              <w:rPr>
                <w:rFonts w:ascii="Times New Roman" w:eastAsia="Times New Roman" w:hAnsi="Times New Roman" w:cs="Times New Roman"/>
                <w:sz w:val="18"/>
              </w:rPr>
              <w:t xml:space="preserve">+ DE OPERACIONES NO PRESUPUESTARIAS </w:t>
            </w:r>
          </w:p>
        </w:tc>
        <w:tc>
          <w:tcPr>
            <w:tcW w:w="2360" w:type="dxa"/>
            <w:tcBorders>
              <w:top w:val="single" w:sz="4" w:space="0" w:color="000000"/>
              <w:left w:val="single" w:sz="4" w:space="0" w:color="000000"/>
              <w:bottom w:val="single" w:sz="4" w:space="0" w:color="000000"/>
              <w:right w:val="single" w:sz="4" w:space="0" w:color="000000"/>
            </w:tcBorders>
            <w:vAlign w:val="center"/>
          </w:tcPr>
          <w:p w:rsidR="00B064CF" w:rsidRDefault="00E32F70">
            <w:pPr>
              <w:spacing w:after="0" w:line="259" w:lineRule="auto"/>
              <w:ind w:left="0" w:firstLine="0"/>
              <w:jc w:val="left"/>
            </w:pPr>
            <w:r>
              <w:rPr>
                <w:rFonts w:ascii="Times New Roman" w:eastAsia="Times New Roman" w:hAnsi="Times New Roman" w:cs="Times New Roman"/>
                <w:sz w:val="18"/>
              </w:rPr>
              <w:t>1.255.950,67</w:t>
            </w:r>
            <w:r>
              <w:rPr>
                <w:rFonts w:ascii="Times New Roman" w:eastAsia="Times New Roman" w:hAnsi="Times New Roman" w:cs="Times New Roman"/>
                <w:sz w:val="24"/>
              </w:rPr>
              <w:t xml:space="preserve"> </w:t>
            </w:r>
          </w:p>
        </w:tc>
      </w:tr>
    </w:tbl>
    <w:p w:rsidR="00B064CF" w:rsidRDefault="00E32F70">
      <w:pPr>
        <w:spacing w:after="0" w:line="259" w:lineRule="auto"/>
        <w:ind w:left="360" w:firstLine="0"/>
        <w:jc w:val="left"/>
      </w:pPr>
      <w:r>
        <w:rPr>
          <w:rFonts w:ascii="Times New Roman" w:eastAsia="Times New Roman" w:hAnsi="Times New Roman" w:cs="Times New Roman"/>
          <w:sz w:val="18"/>
        </w:rPr>
        <w:t xml:space="preserve"> </w:t>
      </w:r>
    </w:p>
    <w:tbl>
      <w:tblPr>
        <w:tblStyle w:val="TableGrid"/>
        <w:tblW w:w="8507" w:type="dxa"/>
        <w:tblInd w:w="418" w:type="dxa"/>
        <w:tblCellMar>
          <w:top w:w="0" w:type="dxa"/>
          <w:left w:w="55" w:type="dxa"/>
          <w:bottom w:w="0" w:type="dxa"/>
          <w:right w:w="115" w:type="dxa"/>
        </w:tblCellMar>
        <w:tblLook w:val="04A0" w:firstRow="1" w:lastRow="0" w:firstColumn="1" w:lastColumn="0" w:noHBand="0" w:noVBand="1"/>
      </w:tblPr>
      <w:tblGrid>
        <w:gridCol w:w="8507"/>
      </w:tblGrid>
      <w:tr w:rsidR="00B064CF">
        <w:trPr>
          <w:trHeight w:val="521"/>
        </w:trPr>
        <w:tc>
          <w:tcPr>
            <w:tcW w:w="8507"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rFonts w:ascii="Times New Roman" w:eastAsia="Times New Roman" w:hAnsi="Times New Roman" w:cs="Times New Roman"/>
                <w:sz w:val="18"/>
              </w:rPr>
              <w:t>C) PARTIDAS PENDIENTES DE APLICACIÓN.......................................................</w:t>
            </w:r>
            <w:r>
              <w:rPr>
                <w:rFonts w:ascii="Times New Roman" w:eastAsia="Times New Roman" w:hAnsi="Times New Roman" w:cs="Times New Roman"/>
                <w:b/>
                <w:sz w:val="18"/>
              </w:rPr>
              <w:t>- 1.666.108,98</w:t>
            </w:r>
            <w:r>
              <w:rPr>
                <w:rFonts w:ascii="Times New Roman" w:eastAsia="Times New Roman" w:hAnsi="Times New Roman" w:cs="Times New Roman"/>
                <w:sz w:val="24"/>
              </w:rPr>
              <w:t xml:space="preserve"> </w:t>
            </w:r>
          </w:p>
        </w:tc>
      </w:tr>
    </w:tbl>
    <w:p w:rsidR="00B064CF" w:rsidRDefault="00E32F70">
      <w:pPr>
        <w:spacing w:after="0" w:line="259" w:lineRule="auto"/>
        <w:ind w:left="360" w:firstLine="0"/>
        <w:jc w:val="left"/>
      </w:pPr>
      <w:r>
        <w:rPr>
          <w:rFonts w:ascii="Times New Roman" w:eastAsia="Times New Roman" w:hAnsi="Times New Roman" w:cs="Times New Roman"/>
          <w:sz w:val="18"/>
        </w:rPr>
        <w:t xml:space="preserve"> </w:t>
      </w:r>
    </w:p>
    <w:tbl>
      <w:tblPr>
        <w:tblStyle w:val="TableGrid"/>
        <w:tblW w:w="8193" w:type="dxa"/>
        <w:tblInd w:w="874" w:type="dxa"/>
        <w:tblCellMar>
          <w:top w:w="0" w:type="dxa"/>
          <w:left w:w="55" w:type="dxa"/>
          <w:bottom w:w="0" w:type="dxa"/>
          <w:right w:w="115" w:type="dxa"/>
        </w:tblCellMar>
        <w:tblLook w:val="04A0" w:firstRow="1" w:lastRow="0" w:firstColumn="1" w:lastColumn="0" w:noHBand="0" w:noVBand="1"/>
      </w:tblPr>
      <w:tblGrid>
        <w:gridCol w:w="6171"/>
        <w:gridCol w:w="2021"/>
      </w:tblGrid>
      <w:tr w:rsidR="00B064CF">
        <w:trPr>
          <w:trHeight w:val="521"/>
        </w:trPr>
        <w:tc>
          <w:tcPr>
            <w:tcW w:w="6171"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rFonts w:ascii="Times New Roman" w:eastAsia="Times New Roman" w:hAnsi="Times New Roman" w:cs="Times New Roman"/>
                <w:sz w:val="18"/>
              </w:rPr>
              <w:t xml:space="preserve">- COBROS REALIZADOS PENDIENTES DE APLICACIÓN DEFINITIVA </w:t>
            </w:r>
          </w:p>
        </w:tc>
        <w:tc>
          <w:tcPr>
            <w:tcW w:w="2021" w:type="dxa"/>
            <w:tcBorders>
              <w:top w:val="single" w:sz="2" w:space="0" w:color="000000"/>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rFonts w:ascii="Times New Roman" w:eastAsia="Times New Roman" w:hAnsi="Times New Roman" w:cs="Times New Roman"/>
                <w:sz w:val="18"/>
              </w:rPr>
              <w:t xml:space="preserve">1.668.709,39 </w:t>
            </w:r>
          </w:p>
        </w:tc>
      </w:tr>
      <w:tr w:rsidR="00B064CF">
        <w:trPr>
          <w:trHeight w:val="521"/>
        </w:trPr>
        <w:tc>
          <w:tcPr>
            <w:tcW w:w="6171" w:type="dxa"/>
            <w:tcBorders>
              <w:top w:val="nil"/>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rFonts w:ascii="Times New Roman" w:eastAsia="Times New Roman" w:hAnsi="Times New Roman" w:cs="Times New Roman"/>
                <w:sz w:val="18"/>
              </w:rPr>
              <w:t xml:space="preserve">+ PAGOS REALIZADOS PENDIENTES DE APLICACIÓN DEFINITIVA </w:t>
            </w:r>
          </w:p>
        </w:tc>
        <w:tc>
          <w:tcPr>
            <w:tcW w:w="2021" w:type="dxa"/>
            <w:tcBorders>
              <w:top w:val="nil"/>
              <w:left w:val="single" w:sz="2" w:space="0" w:color="000000"/>
              <w:bottom w:val="single" w:sz="2" w:space="0" w:color="000000"/>
              <w:right w:val="single" w:sz="2" w:space="0" w:color="000000"/>
            </w:tcBorders>
            <w:vAlign w:val="center"/>
          </w:tcPr>
          <w:p w:rsidR="00B064CF" w:rsidRDefault="00E32F70">
            <w:pPr>
              <w:spacing w:after="0" w:line="259" w:lineRule="auto"/>
              <w:ind w:left="0" w:firstLine="0"/>
              <w:jc w:val="left"/>
            </w:pPr>
            <w:r>
              <w:rPr>
                <w:rFonts w:ascii="Times New Roman" w:eastAsia="Times New Roman" w:hAnsi="Times New Roman" w:cs="Times New Roman"/>
                <w:sz w:val="18"/>
              </w:rPr>
              <w:t xml:space="preserve">2.600,41 </w:t>
            </w:r>
          </w:p>
        </w:tc>
      </w:tr>
    </w:tbl>
    <w:p w:rsidR="00B064CF" w:rsidRDefault="00E32F70">
      <w:pPr>
        <w:spacing w:after="80" w:line="259" w:lineRule="auto"/>
        <w:ind w:left="360" w:firstLine="0"/>
        <w:jc w:val="left"/>
      </w:pPr>
      <w:r>
        <w:rPr>
          <w:rFonts w:ascii="Times New Roman" w:eastAsia="Times New Roman" w:hAnsi="Times New Roman" w:cs="Times New Roman"/>
          <w:sz w:val="18"/>
        </w:rPr>
        <w:t xml:space="preserve"> </w:t>
      </w:r>
    </w:p>
    <w:p w:rsidR="00B064CF" w:rsidRDefault="00E32F70">
      <w:pPr>
        <w:spacing w:after="245" w:line="259" w:lineRule="auto"/>
        <w:ind w:left="360" w:firstLine="0"/>
        <w:jc w:val="left"/>
      </w:pPr>
      <w:r>
        <w:rPr>
          <w:rFonts w:ascii="Times New Roman" w:eastAsia="Times New Roman" w:hAnsi="Times New Roman" w:cs="Times New Roman"/>
          <w:sz w:val="18"/>
        </w:rPr>
        <w:t xml:space="preserve"> </w:t>
      </w:r>
    </w:p>
    <w:p w:rsidR="00B064CF" w:rsidRDefault="00E32F70">
      <w:pPr>
        <w:pBdr>
          <w:top w:val="single" w:sz="4" w:space="0" w:color="000000"/>
          <w:left w:val="single" w:sz="4" w:space="0" w:color="000000"/>
          <w:bottom w:val="single" w:sz="4" w:space="0" w:color="000000"/>
          <w:right w:val="single" w:sz="4" w:space="0" w:color="000000"/>
        </w:pBdr>
        <w:spacing w:after="130" w:line="259" w:lineRule="auto"/>
        <w:ind w:left="418"/>
        <w:jc w:val="left"/>
      </w:pPr>
      <w:r>
        <w:rPr>
          <w:rFonts w:ascii="Times New Roman" w:eastAsia="Times New Roman" w:hAnsi="Times New Roman" w:cs="Times New Roman"/>
          <w:sz w:val="18"/>
        </w:rPr>
        <w:t xml:space="preserve">D) FONDOS LÍQUIDOS DE TESORERIA                                                                 </w:t>
      </w:r>
      <w:r>
        <w:rPr>
          <w:rFonts w:ascii="Times New Roman" w:eastAsia="Times New Roman" w:hAnsi="Times New Roman" w:cs="Times New Roman"/>
          <w:b/>
          <w:sz w:val="18"/>
        </w:rPr>
        <w:t>19.598.765,96</w:t>
      </w:r>
      <w:r>
        <w:rPr>
          <w:rFonts w:ascii="Times New Roman" w:eastAsia="Times New Roman" w:hAnsi="Times New Roman" w:cs="Times New Roman"/>
          <w:sz w:val="24"/>
        </w:rPr>
        <w:t xml:space="preserve"> </w:t>
      </w:r>
    </w:p>
    <w:p w:rsidR="00B064CF" w:rsidRDefault="00E32F70">
      <w:pPr>
        <w:spacing w:after="251" w:line="259" w:lineRule="auto"/>
        <w:ind w:left="360" w:firstLine="0"/>
        <w:jc w:val="left"/>
      </w:pPr>
      <w:r>
        <w:rPr>
          <w:rFonts w:ascii="Times New Roman" w:eastAsia="Times New Roman" w:hAnsi="Times New Roman" w:cs="Times New Roman"/>
          <w:sz w:val="18"/>
        </w:rPr>
        <w:t xml:space="preserve"> </w:t>
      </w:r>
    </w:p>
    <w:p w:rsidR="00B064CF" w:rsidRDefault="00E32F70">
      <w:pPr>
        <w:numPr>
          <w:ilvl w:val="0"/>
          <w:numId w:val="27"/>
        </w:numPr>
        <w:pBdr>
          <w:top w:val="single" w:sz="4" w:space="0" w:color="000000"/>
          <w:left w:val="single" w:sz="4" w:space="0" w:color="000000"/>
          <w:bottom w:val="single" w:sz="4" w:space="0" w:color="000000"/>
          <w:right w:val="single" w:sz="4" w:space="0" w:color="000000"/>
        </w:pBdr>
        <w:spacing w:after="126" w:line="259" w:lineRule="auto"/>
        <w:ind w:hanging="245"/>
        <w:jc w:val="left"/>
      </w:pPr>
      <w:r>
        <w:rPr>
          <w:rFonts w:ascii="Times New Roman" w:eastAsia="Times New Roman" w:hAnsi="Times New Roman" w:cs="Times New Roman"/>
          <w:b/>
          <w:sz w:val="18"/>
        </w:rPr>
        <w:t>REMANENTE DE TESORERIA  TOTAL                                               26.731.197,31        ( A – B + C + D)</w:t>
      </w:r>
      <w:r>
        <w:rPr>
          <w:rFonts w:ascii="Times New Roman" w:eastAsia="Times New Roman" w:hAnsi="Times New Roman" w:cs="Times New Roman"/>
          <w:sz w:val="24"/>
        </w:rPr>
        <w:t xml:space="preserve"> </w:t>
      </w:r>
    </w:p>
    <w:p w:rsidR="00B064CF" w:rsidRDefault="00E32F70">
      <w:pPr>
        <w:spacing w:after="195" w:line="259" w:lineRule="auto"/>
        <w:ind w:left="360" w:firstLine="0"/>
        <w:jc w:val="left"/>
      </w:pPr>
      <w:r>
        <w:rPr>
          <w:rFonts w:ascii="Times New Roman" w:eastAsia="Times New Roman" w:hAnsi="Times New Roman" w:cs="Times New Roman"/>
          <w:sz w:val="18"/>
        </w:rPr>
        <w:t xml:space="preserve"> </w:t>
      </w:r>
    </w:p>
    <w:p w:rsidR="00B064CF" w:rsidRDefault="00E32F70">
      <w:pPr>
        <w:numPr>
          <w:ilvl w:val="0"/>
          <w:numId w:val="27"/>
        </w:numPr>
        <w:pBdr>
          <w:top w:val="single" w:sz="4" w:space="0" w:color="000000"/>
          <w:left w:val="single" w:sz="4" w:space="0" w:color="000000"/>
          <w:bottom w:val="single" w:sz="4" w:space="0" w:color="000000"/>
          <w:right w:val="single" w:sz="4" w:space="0" w:color="000000"/>
        </w:pBdr>
        <w:spacing w:after="188" w:line="259" w:lineRule="auto"/>
        <w:ind w:hanging="245"/>
        <w:jc w:val="left"/>
      </w:pPr>
      <w:r>
        <w:rPr>
          <w:rFonts w:ascii="Times New Roman" w:eastAsia="Times New Roman" w:hAnsi="Times New Roman" w:cs="Times New Roman"/>
          <w:b/>
          <w:sz w:val="18"/>
        </w:rPr>
        <w:t xml:space="preserve">SALDOS DE DUDOSO COBRO                                                                         9.158.071,32 </w:t>
      </w:r>
    </w:p>
    <w:p w:rsidR="00B064CF" w:rsidRDefault="00E32F70">
      <w:pPr>
        <w:spacing w:after="250" w:line="259" w:lineRule="auto"/>
        <w:ind w:left="360" w:firstLine="0"/>
        <w:jc w:val="left"/>
      </w:pPr>
      <w:r>
        <w:rPr>
          <w:rFonts w:ascii="Times New Roman" w:eastAsia="Times New Roman" w:hAnsi="Times New Roman" w:cs="Times New Roman"/>
          <w:sz w:val="18"/>
        </w:rPr>
        <w:t xml:space="preserve"> </w:t>
      </w:r>
    </w:p>
    <w:p w:rsidR="00B064CF" w:rsidRDefault="00E32F70">
      <w:pPr>
        <w:numPr>
          <w:ilvl w:val="0"/>
          <w:numId w:val="27"/>
        </w:numPr>
        <w:pBdr>
          <w:top w:val="single" w:sz="4" w:space="0" w:color="000000"/>
          <w:left w:val="single" w:sz="4" w:space="0" w:color="000000"/>
          <w:bottom w:val="single" w:sz="4" w:space="0" w:color="000000"/>
          <w:right w:val="single" w:sz="4" w:space="0" w:color="000000"/>
        </w:pBdr>
        <w:spacing w:after="126" w:line="259" w:lineRule="auto"/>
        <w:ind w:hanging="245"/>
        <w:jc w:val="left"/>
      </w:pPr>
      <w:r>
        <w:rPr>
          <w:rFonts w:ascii="Times New Roman" w:eastAsia="Times New Roman" w:hAnsi="Times New Roman" w:cs="Times New Roman"/>
          <w:b/>
          <w:sz w:val="18"/>
        </w:rPr>
        <w:t>EXCESO DE FINANCIACION AFECTADA</w:t>
      </w:r>
      <w:r>
        <w:rPr>
          <w:rFonts w:ascii="Times New Roman" w:eastAsia="Times New Roman" w:hAnsi="Times New Roman" w:cs="Times New Roman"/>
          <w:sz w:val="18"/>
        </w:rPr>
        <w:t xml:space="preserve">                                                     </w:t>
      </w:r>
      <w:r>
        <w:rPr>
          <w:rFonts w:ascii="Times New Roman" w:eastAsia="Times New Roman" w:hAnsi="Times New Roman" w:cs="Times New Roman"/>
          <w:b/>
          <w:sz w:val="18"/>
        </w:rPr>
        <w:t>2.759.943,31</w:t>
      </w:r>
      <w:r>
        <w:rPr>
          <w:rFonts w:ascii="Times New Roman" w:eastAsia="Times New Roman" w:hAnsi="Times New Roman" w:cs="Times New Roman"/>
          <w:sz w:val="24"/>
        </w:rPr>
        <w:t xml:space="preserve"> </w:t>
      </w:r>
    </w:p>
    <w:p w:rsidR="00B064CF" w:rsidRDefault="00E32F70">
      <w:pPr>
        <w:spacing w:after="248" w:line="259" w:lineRule="auto"/>
        <w:ind w:left="360" w:firstLine="0"/>
        <w:jc w:val="left"/>
      </w:pPr>
      <w:r>
        <w:rPr>
          <w:rFonts w:ascii="Times New Roman" w:eastAsia="Times New Roman" w:hAnsi="Times New Roman" w:cs="Times New Roman"/>
          <w:sz w:val="18"/>
        </w:rPr>
        <w:t xml:space="preserve"> </w:t>
      </w:r>
    </w:p>
    <w:p w:rsidR="00B064CF" w:rsidRDefault="00E32F70">
      <w:pPr>
        <w:numPr>
          <w:ilvl w:val="0"/>
          <w:numId w:val="27"/>
        </w:numPr>
        <w:pBdr>
          <w:top w:val="single" w:sz="4" w:space="0" w:color="000000"/>
          <w:left w:val="single" w:sz="4" w:space="0" w:color="000000"/>
          <w:bottom w:val="single" w:sz="4" w:space="0" w:color="000000"/>
          <w:right w:val="single" w:sz="4" w:space="0" w:color="000000"/>
        </w:pBdr>
        <w:spacing w:after="211" w:line="259" w:lineRule="auto"/>
        <w:ind w:hanging="245"/>
        <w:jc w:val="left"/>
      </w:pPr>
      <w:r>
        <w:rPr>
          <w:rFonts w:ascii="Times New Roman" w:eastAsia="Times New Roman" w:hAnsi="Times New Roman" w:cs="Times New Roman"/>
          <w:b/>
          <w:sz w:val="18"/>
        </w:rPr>
        <w:t>REMANENTE DE TESORERÍA PARA GASTOS GENERALES                + 14.813.182,68            ( F-G-H )</w:t>
      </w:r>
      <w:r>
        <w:rPr>
          <w:rFonts w:ascii="Times New Roman" w:eastAsia="Times New Roman" w:hAnsi="Times New Roman" w:cs="Times New Roman"/>
          <w:sz w:val="24"/>
        </w:rPr>
        <w:t xml:space="preserve"> </w:t>
      </w:r>
    </w:p>
    <w:p w:rsidR="00B064CF" w:rsidRDefault="00E32F70">
      <w:pPr>
        <w:spacing w:after="79" w:line="259" w:lineRule="auto"/>
        <w:ind w:left="360" w:firstLine="0"/>
        <w:jc w:val="left"/>
      </w:pPr>
      <w:r>
        <w:rPr>
          <w:rFonts w:ascii="Times New Roman" w:eastAsia="Times New Roman" w:hAnsi="Times New Roman" w:cs="Times New Roman"/>
          <w:sz w:val="24"/>
        </w:rPr>
        <w:t xml:space="preserve">“ </w:t>
      </w:r>
    </w:p>
    <w:p w:rsidR="00B064CF" w:rsidRDefault="00E32F70">
      <w:pPr>
        <w:spacing w:after="104" w:line="259" w:lineRule="auto"/>
        <w:ind w:left="1068" w:firstLine="0"/>
        <w:jc w:val="left"/>
      </w:pPr>
      <w:r>
        <w:rPr>
          <w:sz w:val="18"/>
        </w:rPr>
        <w:t xml:space="preserve"> </w:t>
      </w:r>
      <w:r>
        <w:rPr>
          <w:sz w:val="18"/>
        </w:rPr>
        <w:tab/>
      </w:r>
      <w:r>
        <w:t xml:space="preserve"> </w:t>
      </w:r>
    </w:p>
    <w:p w:rsidR="00B064CF" w:rsidRDefault="00E32F70">
      <w:pPr>
        <w:spacing w:after="106" w:line="250" w:lineRule="auto"/>
        <w:ind w:left="906" w:right="552"/>
        <w:jc w:val="center"/>
      </w:pPr>
      <w:r>
        <w:t xml:space="preserve">Este Concejal Delegado de Hacienda, PROPONE la adopción del siguiente acuerdo:  </w:t>
      </w:r>
    </w:p>
    <w:p w:rsidR="00B064CF" w:rsidRDefault="00E32F70">
      <w:pPr>
        <w:spacing w:after="98" w:line="259" w:lineRule="auto"/>
        <w:ind w:left="1068" w:firstLine="0"/>
        <w:jc w:val="left"/>
      </w:pPr>
      <w:r>
        <w:rPr>
          <w:rFonts w:ascii="Calibri" w:eastAsia="Calibri" w:hAnsi="Calibri" w:cs="Calibri"/>
          <w:noProof/>
        </w:rPr>
        <mc:AlternateContent>
          <mc:Choice Requires="wpg">
            <w:drawing>
              <wp:anchor distT="0" distB="0" distL="114300" distR="114300" simplePos="0" relativeHeight="25175040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2415" name="Group 402415"/>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1359" name="Rectangle 21359"/>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1360" name="Rectangle 21360"/>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Documento firmado electrónicamente desde la plataforma esPublico Gestion</w:t>
                              </w:r>
                              <w:r>
                                <w:rPr>
                                  <w:sz w:val="12"/>
                                </w:rPr>
                                <w:t xml:space="preserve">a | Página 87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2415" style="width:12.7031pt;height:278.91pt;position:absolute;mso-position-horizontal-relative:page;mso-position-horizontal:absolute;margin-left:682.278pt;mso-position-vertical-relative:page;margin-top:533.01pt;" coordsize="1613,35421">
                <v:rect id="Rectangle 21359"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1360"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87 de 298 </w:t>
                        </w:r>
                      </w:p>
                    </w:txbxContent>
                  </v:textbox>
                </v:rect>
                <w10:wrap type="square"/>
              </v:group>
            </w:pict>
          </mc:Fallback>
        </mc:AlternateContent>
      </w:r>
      <w:r>
        <w:t xml:space="preserve"> </w:t>
      </w:r>
    </w:p>
    <w:p w:rsidR="00B064CF" w:rsidRDefault="00E32F70">
      <w:pPr>
        <w:spacing w:after="111"/>
        <w:ind w:left="355" w:right="144"/>
      </w:pPr>
      <w:r>
        <w:rPr>
          <w:b/>
        </w:rPr>
        <w:t>Punto único:</w:t>
      </w:r>
      <w:r>
        <w:t xml:space="preserve"> Dar cuenta al Pleno del Informe de Intervención de Ejecución del Presupuesto, Cumplimiento de los Principios de Estabilidad Presupuestaria, Regla del Gasto y Deuda Pública correspondiente al Primer trimestre del ejercic</w:t>
      </w:r>
      <w:r>
        <w:t xml:space="preserve">io 2021.” </w:t>
      </w:r>
    </w:p>
    <w:p w:rsidR="00B064CF" w:rsidRDefault="00E32F70">
      <w:pPr>
        <w:spacing w:after="95" w:line="259" w:lineRule="auto"/>
        <w:ind w:left="360" w:firstLine="0"/>
        <w:jc w:val="left"/>
      </w:pPr>
      <w:r>
        <w:t xml:space="preserve"> </w:t>
      </w:r>
    </w:p>
    <w:p w:rsidR="00B064CF" w:rsidRDefault="00E32F70">
      <w:pPr>
        <w:spacing w:after="0" w:line="259" w:lineRule="auto"/>
        <w:ind w:left="360" w:firstLine="0"/>
        <w:jc w:val="left"/>
      </w:pPr>
      <w:r>
        <w:rPr>
          <w:b/>
        </w:rPr>
        <w:t xml:space="preserve"> </w:t>
      </w:r>
    </w:p>
    <w:p w:rsidR="00B064CF" w:rsidRDefault="00E32F70">
      <w:pPr>
        <w:spacing w:after="4"/>
        <w:ind w:left="355" w:right="68"/>
      </w:pPr>
      <w:r>
        <w:rPr>
          <w:b/>
        </w:rPr>
        <w:t xml:space="preserve">DICTAMEN FAVORABLE DE LA COMISIÓN INFORMATIVA DE HACIENDA, RECURSOS HUMANOS Y SERVICIOS GENERALES DE 24 DE MAYO DE  2021.  </w:t>
      </w:r>
    </w:p>
    <w:p w:rsidR="00B064CF" w:rsidRDefault="00E32F70">
      <w:pPr>
        <w:spacing w:after="0" w:line="259" w:lineRule="auto"/>
        <w:ind w:left="360" w:firstLine="0"/>
        <w:jc w:val="left"/>
      </w:pPr>
      <w:r>
        <w:rPr>
          <w:b/>
        </w:rPr>
        <w:t xml:space="preserve"> </w:t>
      </w:r>
    </w:p>
    <w:p w:rsidR="00B064CF" w:rsidRDefault="00E32F70">
      <w:pPr>
        <w:spacing w:after="11"/>
        <w:ind w:left="355" w:right="72"/>
      </w:pPr>
      <w:r>
        <w:t xml:space="preserve">Los 7 concejales presentes tomaron conocimiento. </w:t>
      </w:r>
    </w:p>
    <w:p w:rsidR="00B064CF" w:rsidRDefault="00E32F70">
      <w:pPr>
        <w:spacing w:after="0" w:line="259" w:lineRule="auto"/>
        <w:ind w:left="360" w:firstLine="0"/>
        <w:jc w:val="left"/>
      </w:pPr>
      <w:r>
        <w:t xml:space="preserve"> </w:t>
      </w:r>
    </w:p>
    <w:p w:rsidR="00B064CF" w:rsidRDefault="00E32F70">
      <w:pPr>
        <w:spacing w:after="0"/>
        <w:ind w:left="355" w:right="72"/>
      </w:pPr>
      <w:r>
        <w:t xml:space="preserve">Los 4 concejales del Grupo Socialista: Don Airam Pérez Chinea, Don José Francisco Pinto Ramos, Don Olegario Francisco Alonso Bello y Don Jorge Baute Delgado.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El concejal del Grupo Popular, Don Juan Miguel Olivera González. </w:t>
      </w:r>
    </w:p>
    <w:p w:rsidR="00B064CF" w:rsidRDefault="00E32F70">
      <w:pPr>
        <w:spacing w:after="0" w:line="259" w:lineRule="auto"/>
        <w:ind w:left="360" w:firstLine="0"/>
        <w:jc w:val="left"/>
      </w:pPr>
      <w:r>
        <w:t xml:space="preserve"> </w:t>
      </w:r>
    </w:p>
    <w:p w:rsidR="00B064CF" w:rsidRDefault="00E32F70">
      <w:pPr>
        <w:spacing w:after="11"/>
        <w:ind w:left="355" w:right="72"/>
      </w:pPr>
      <w:r>
        <w:t>La concejal del Grupo Mixto</w:t>
      </w:r>
      <w:r>
        <w:t xml:space="preserve"> (CC-PNC), Doña Ángela Cruz Perera.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La concejal del Grupo Mixto (SSP), Doña Lourdes del Carmen Mondéjar Rondón. </w:t>
      </w:r>
    </w:p>
    <w:p w:rsidR="00B064CF" w:rsidRDefault="00E32F70">
      <w:pPr>
        <w:spacing w:after="0" w:line="259" w:lineRule="auto"/>
        <w:ind w:left="360" w:firstLine="0"/>
        <w:jc w:val="left"/>
      </w:pPr>
      <w:r>
        <w:rPr>
          <w:b/>
        </w:rPr>
        <w:t xml:space="preserve"> </w:t>
      </w:r>
    </w:p>
    <w:p w:rsidR="00B064CF" w:rsidRDefault="00E32F70">
      <w:pPr>
        <w:spacing w:after="0" w:line="259" w:lineRule="auto"/>
        <w:ind w:left="360" w:firstLine="0"/>
        <w:jc w:val="left"/>
      </w:pPr>
      <w:r>
        <w:rPr>
          <w:b/>
        </w:rPr>
        <w:t xml:space="preserve"> </w:t>
      </w:r>
    </w:p>
    <w:p w:rsidR="00B064CF" w:rsidRDefault="00E32F70">
      <w:pPr>
        <w:spacing w:after="0" w:line="259" w:lineRule="auto"/>
        <w:ind w:left="360" w:firstLine="0"/>
        <w:jc w:val="left"/>
      </w:pPr>
      <w:r>
        <w:rPr>
          <w:b/>
        </w:rPr>
        <w:t xml:space="preserve"> </w:t>
      </w:r>
    </w:p>
    <w:p w:rsidR="00B064CF" w:rsidRDefault="00E32F70">
      <w:pPr>
        <w:spacing w:after="4"/>
        <w:ind w:left="355" w:right="68"/>
      </w:pPr>
      <w:r>
        <w:rPr>
          <w:b/>
        </w:rPr>
        <w:t xml:space="preserve">JUNTA DE PORTAVOCES DE 24 DE MAYO DE 2021.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Quedó oída.  </w:t>
      </w:r>
    </w:p>
    <w:p w:rsidR="00B064CF" w:rsidRDefault="00E32F70">
      <w:pPr>
        <w:spacing w:after="0" w:line="259" w:lineRule="auto"/>
        <w:ind w:left="360" w:firstLine="0"/>
        <w:jc w:val="left"/>
      </w:pPr>
      <w:r>
        <w:rPr>
          <w:b/>
        </w:rPr>
        <w:t xml:space="preserve"> </w:t>
      </w:r>
    </w:p>
    <w:p w:rsidR="00B064CF" w:rsidRDefault="00E32F70">
      <w:pPr>
        <w:spacing w:after="4"/>
        <w:ind w:left="355" w:right="68"/>
      </w:pPr>
      <w:r>
        <w:rPr>
          <w:b/>
        </w:rPr>
        <w:t xml:space="preserve">TOMA DE CONOCIMIENTO EN EL PLENO DE 27 DE MAYO DE 2021.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Los 14 concejales presentes tomaron conocimiento: </w:t>
      </w:r>
    </w:p>
    <w:p w:rsidR="00B064CF" w:rsidRDefault="00E32F70">
      <w:pPr>
        <w:spacing w:after="0" w:line="259" w:lineRule="auto"/>
        <w:ind w:left="360" w:firstLine="0"/>
        <w:jc w:val="left"/>
      </w:pPr>
      <w:r>
        <w:rPr>
          <w:b/>
        </w:rPr>
        <w:t xml:space="preserve"> </w:t>
      </w:r>
    </w:p>
    <w:p w:rsidR="00B064CF" w:rsidRDefault="00E32F70">
      <w:pPr>
        <w:spacing w:after="11"/>
        <w:ind w:left="355" w:right="72"/>
      </w:pPr>
      <w:r>
        <w:t xml:space="preserve">11 concejales del Grupo Socialista: Doña María Concepción Brito Núñez, Don Jorge Baute Delgado, </w:t>
      </w:r>
    </w:p>
    <w:p w:rsidR="00B064CF" w:rsidRDefault="00E32F70">
      <w:pPr>
        <w:spacing w:after="114"/>
        <w:ind w:left="355" w:right="145"/>
      </w:pPr>
      <w:r>
        <w:t>Doña Olivia Concepción Pérez Díaz, Don José Francisco Pinto Ramos, Doña Hilaria Cecilia Otazo González, Don Airam Pérez Chinea, Doña Margarita Eva Tendero Barroso, Don Manuel Alberto González Pestano, Doña María del Carmen Clemente Díaz, Don Olegario Franc</w:t>
      </w:r>
      <w:r>
        <w:t xml:space="preserve">isco Alonso Bello y Don Reinaldo José Triviño Blanco. </w:t>
      </w:r>
    </w:p>
    <w:p w:rsidR="00B064CF" w:rsidRDefault="00E32F70">
      <w:pPr>
        <w:spacing w:after="0" w:line="259" w:lineRule="auto"/>
        <w:ind w:left="360" w:firstLine="0"/>
        <w:jc w:val="left"/>
      </w:pPr>
      <w:r>
        <w:t xml:space="preserve"> </w:t>
      </w:r>
    </w:p>
    <w:p w:rsidR="00B064CF" w:rsidRDefault="00E32F70">
      <w:pPr>
        <w:spacing w:after="114"/>
        <w:ind w:left="355" w:right="72"/>
      </w:pPr>
      <w:r>
        <w:t xml:space="preserve">3 concejales del Grupo Mixto: Don Antonio Delgado García y Lourdes del Carmen Mondéjar Rondón (SSP) y Doña Ángela Cruz Perera (CC-PNC). </w:t>
      </w:r>
    </w:p>
    <w:p w:rsidR="00B064CF" w:rsidRDefault="00E32F70">
      <w:pPr>
        <w:spacing w:after="0" w:line="259" w:lineRule="auto"/>
        <w:ind w:left="360" w:firstLine="0"/>
        <w:jc w:val="left"/>
      </w:pPr>
      <w:r>
        <w:t xml:space="preserve"> </w:t>
      </w:r>
    </w:p>
    <w:p w:rsidR="00B064CF" w:rsidRDefault="00E32F70">
      <w:pPr>
        <w:spacing w:after="0" w:line="259" w:lineRule="auto"/>
        <w:ind w:left="273" w:firstLine="0"/>
        <w:jc w:val="center"/>
      </w:pPr>
      <w:r>
        <w:rPr>
          <w:b/>
        </w:rPr>
        <w:t xml:space="preserve"> </w:t>
      </w:r>
    </w:p>
    <w:p w:rsidR="00B064CF" w:rsidRDefault="00E32F70">
      <w:pPr>
        <w:spacing w:after="0" w:line="259" w:lineRule="auto"/>
        <w:ind w:left="273" w:firstLine="0"/>
        <w:jc w:val="center"/>
      </w:pPr>
      <w:r>
        <w:rPr>
          <w:b/>
        </w:rPr>
        <w:t xml:space="preserve"> </w:t>
      </w:r>
    </w:p>
    <w:p w:rsidR="00B064CF" w:rsidRDefault="00E32F70">
      <w:pPr>
        <w:spacing w:after="9" w:line="249" w:lineRule="auto"/>
        <w:ind w:left="290" w:right="71"/>
        <w:jc w:val="center"/>
      </w:pPr>
      <w:r>
        <w:rPr>
          <w:b/>
        </w:rPr>
        <w:t xml:space="preserve">ACUERDO DEL PLENO DE 27 DE MAYO DE 2021. </w:t>
      </w:r>
    </w:p>
    <w:p w:rsidR="00B064CF" w:rsidRDefault="00E32F70">
      <w:pPr>
        <w:spacing w:after="100" w:line="259" w:lineRule="auto"/>
        <w:ind w:left="360" w:firstLine="0"/>
        <w:jc w:val="left"/>
      </w:pPr>
      <w:r>
        <w:rPr>
          <w:b/>
        </w:rPr>
        <w:t xml:space="preserve"> </w:t>
      </w:r>
    </w:p>
    <w:p w:rsidR="00B064CF" w:rsidRDefault="00E32F70">
      <w:pPr>
        <w:spacing w:after="114"/>
        <w:ind w:left="345" w:right="151" w:firstLine="708"/>
      </w:pPr>
      <w:r>
        <w:rPr>
          <w:rFonts w:ascii="Calibri" w:eastAsia="Calibri" w:hAnsi="Calibri" w:cs="Calibri"/>
          <w:noProof/>
        </w:rPr>
        <mc:AlternateContent>
          <mc:Choice Requires="wpg">
            <w:drawing>
              <wp:anchor distT="0" distB="0" distL="114300" distR="114300" simplePos="0" relativeHeight="251751424" behindDoc="0" locked="0" layoutInCell="1" allowOverlap="1">
                <wp:simplePos x="0" y="0"/>
                <wp:positionH relativeFrom="page">
                  <wp:posOffset>8664935</wp:posOffset>
                </wp:positionH>
                <wp:positionV relativeFrom="page">
                  <wp:posOffset>6769227</wp:posOffset>
                </wp:positionV>
                <wp:extent cx="161330" cy="3542157"/>
                <wp:effectExtent l="0" t="0" r="0" b="0"/>
                <wp:wrapTopAndBottom/>
                <wp:docPr id="381446" name="Group 381446"/>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1444" name="Rectangle 21444"/>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w:t>
                              </w:r>
                              <w:r>
                                <w:rPr>
                                  <w:sz w:val="12"/>
                                </w:rPr>
                                <w:t xml:space="preserve">dación: 64SKSNYNJRFPNN5DLPPAAC3GS | Verificación: https://candelaria.sedelectronica.es/ </w:t>
                              </w:r>
                            </w:p>
                          </w:txbxContent>
                        </wps:txbx>
                        <wps:bodyPr horzOverflow="overflow" vert="horz" lIns="0" tIns="0" rIns="0" bIns="0" rtlCol="0">
                          <a:noAutofit/>
                        </wps:bodyPr>
                      </wps:wsp>
                      <wps:wsp>
                        <wps:cNvPr id="21445" name="Rectangle 21445"/>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88 de 298 </w:t>
                              </w:r>
                            </w:p>
                          </w:txbxContent>
                        </wps:txbx>
                        <wps:bodyPr horzOverflow="overflow" vert="horz" lIns="0" tIns="0" rIns="0" bIns="0" rtlCol="0">
                          <a:noAutofit/>
                        </wps:bodyPr>
                      </wps:wsp>
                    </wpg:wgp>
                  </a:graphicData>
                </a:graphic>
              </wp:anchor>
            </w:drawing>
          </mc:Choice>
          <mc:Fallback xmlns:a="http://schemas.openxmlformats.org/drawingml/2006/main">
            <w:pict>
              <v:group id="Group 381446" style="width:12.7031pt;height:278.91pt;position:absolute;mso-position-horizontal-relative:page;mso-position-horizontal:absolute;margin-left:682.278pt;mso-position-vertical-relative:page;margin-top:533.01pt;" coordsize="1613,35421">
                <v:rect id="Rectangle 21444"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1445"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88 de 298 </w:t>
                        </w:r>
                      </w:p>
                    </w:txbxContent>
                  </v:textbox>
                </v:rect>
                <w10:wrap type="topAndBottom"/>
              </v:group>
            </w:pict>
          </mc:Fallback>
        </mc:AlternateContent>
      </w:r>
      <w:r>
        <w:rPr>
          <w:b/>
        </w:rPr>
        <w:t xml:space="preserve">Punto único: Dar cuenta al Pleno del Informe de Intervención de Ejecución del Presupuesto, Cumplimiento de los Principios de Estabilidad Presupuestaria, Regla del Gasto y Deuda Pública correspondiente al Primer trimestre del ejercicio 2021. </w:t>
      </w:r>
    </w:p>
    <w:p w:rsidR="00B064CF" w:rsidRDefault="00E32F70">
      <w:pPr>
        <w:spacing w:after="141" w:line="259" w:lineRule="auto"/>
        <w:ind w:left="360" w:firstLine="0"/>
        <w:jc w:val="left"/>
      </w:pPr>
      <w:r>
        <w:t xml:space="preserve"> </w:t>
      </w:r>
    </w:p>
    <w:p w:rsidR="00B064CF" w:rsidRDefault="00E32F70">
      <w:pPr>
        <w:spacing w:after="177" w:line="259" w:lineRule="auto"/>
        <w:ind w:left="360" w:firstLine="0"/>
        <w:jc w:val="left"/>
      </w:pPr>
      <w:r>
        <w:rPr>
          <w:b/>
          <w:color w:val="222222"/>
        </w:rPr>
        <w:t xml:space="preserve"> </w:t>
      </w:r>
    </w:p>
    <w:p w:rsidR="00B064CF" w:rsidRDefault="00E32F70">
      <w:pPr>
        <w:spacing w:after="148" w:line="259" w:lineRule="auto"/>
        <w:ind w:left="360" w:firstLine="0"/>
        <w:jc w:val="left"/>
      </w:pPr>
      <w:r>
        <w:rPr>
          <w:b/>
          <w:color w:val="222222"/>
        </w:rPr>
        <w:t xml:space="preserve"> </w:t>
      </w:r>
    </w:p>
    <w:p w:rsidR="00B064CF" w:rsidRDefault="00E32F70">
      <w:pPr>
        <w:spacing w:after="99" w:line="259" w:lineRule="auto"/>
        <w:ind w:left="360" w:firstLine="0"/>
        <w:jc w:val="left"/>
      </w:pPr>
      <w:r>
        <w:rPr>
          <w:b/>
          <w:sz w:val="24"/>
        </w:rPr>
        <w:t xml:space="preserve"> </w:t>
      </w:r>
    </w:p>
    <w:p w:rsidR="00B064CF" w:rsidRDefault="00E32F70">
      <w:pPr>
        <w:spacing w:after="98" w:line="259" w:lineRule="auto"/>
        <w:ind w:left="360" w:firstLine="0"/>
        <w:jc w:val="left"/>
      </w:pPr>
      <w:r>
        <w:rPr>
          <w:b/>
          <w:sz w:val="24"/>
        </w:rPr>
        <w:t xml:space="preserve"> </w:t>
      </w:r>
    </w:p>
    <w:p w:rsidR="00B064CF" w:rsidRDefault="00E32F70">
      <w:pPr>
        <w:spacing w:after="98" w:line="259" w:lineRule="auto"/>
        <w:ind w:left="360" w:firstLine="0"/>
        <w:jc w:val="left"/>
      </w:pPr>
      <w:r>
        <w:rPr>
          <w:b/>
          <w:sz w:val="24"/>
        </w:rPr>
        <w:t xml:space="preserve"> </w:t>
      </w:r>
    </w:p>
    <w:p w:rsidR="00B064CF" w:rsidRDefault="00E32F70">
      <w:pPr>
        <w:spacing w:after="98" w:line="259" w:lineRule="auto"/>
        <w:ind w:left="360" w:firstLine="0"/>
        <w:jc w:val="left"/>
      </w:pPr>
      <w:r>
        <w:rPr>
          <w:b/>
          <w:sz w:val="24"/>
        </w:rPr>
        <w:t xml:space="preserve"> </w:t>
      </w:r>
    </w:p>
    <w:p w:rsidR="00B064CF" w:rsidRDefault="00E32F70">
      <w:pPr>
        <w:spacing w:after="98" w:line="259" w:lineRule="auto"/>
        <w:ind w:left="360" w:firstLine="0"/>
        <w:jc w:val="left"/>
      </w:pPr>
      <w:r>
        <w:rPr>
          <w:b/>
          <w:sz w:val="24"/>
        </w:rPr>
        <w:t xml:space="preserve"> </w:t>
      </w:r>
    </w:p>
    <w:p w:rsidR="00B064CF" w:rsidRDefault="00E32F70">
      <w:pPr>
        <w:spacing w:after="98" w:line="259" w:lineRule="auto"/>
        <w:ind w:left="360" w:firstLine="0"/>
        <w:jc w:val="left"/>
      </w:pPr>
      <w:r>
        <w:rPr>
          <w:b/>
          <w:sz w:val="24"/>
        </w:rPr>
        <w:t xml:space="preserve"> </w:t>
      </w:r>
    </w:p>
    <w:p w:rsidR="00B064CF" w:rsidRDefault="00E32F70">
      <w:pPr>
        <w:spacing w:after="98" w:line="259" w:lineRule="auto"/>
        <w:ind w:left="360" w:firstLine="0"/>
        <w:jc w:val="left"/>
      </w:pPr>
      <w:r>
        <w:rPr>
          <w:b/>
          <w:sz w:val="24"/>
        </w:rPr>
        <w:t xml:space="preserve"> </w:t>
      </w:r>
    </w:p>
    <w:p w:rsidR="00B064CF" w:rsidRDefault="00E32F70">
      <w:pPr>
        <w:spacing w:after="98" w:line="259" w:lineRule="auto"/>
        <w:ind w:left="360" w:firstLine="0"/>
        <w:jc w:val="left"/>
      </w:pPr>
      <w:r>
        <w:rPr>
          <w:b/>
          <w:sz w:val="24"/>
        </w:rPr>
        <w:t xml:space="preserve"> </w:t>
      </w:r>
    </w:p>
    <w:p w:rsidR="00B064CF" w:rsidRDefault="00E32F70">
      <w:pPr>
        <w:spacing w:after="98" w:line="259" w:lineRule="auto"/>
        <w:ind w:left="360" w:firstLine="0"/>
        <w:jc w:val="left"/>
      </w:pPr>
      <w:r>
        <w:rPr>
          <w:b/>
          <w:sz w:val="24"/>
        </w:rPr>
        <w:t xml:space="preserve"> </w:t>
      </w:r>
    </w:p>
    <w:p w:rsidR="00B064CF" w:rsidRDefault="00E32F70">
      <w:pPr>
        <w:spacing w:after="98" w:line="259" w:lineRule="auto"/>
        <w:ind w:left="360" w:firstLine="0"/>
        <w:jc w:val="left"/>
      </w:pPr>
      <w:r>
        <w:rPr>
          <w:b/>
          <w:sz w:val="24"/>
        </w:rPr>
        <w:t xml:space="preserve"> </w:t>
      </w:r>
    </w:p>
    <w:p w:rsidR="00B064CF" w:rsidRDefault="00E32F70">
      <w:pPr>
        <w:spacing w:after="0" w:line="259" w:lineRule="auto"/>
        <w:ind w:left="360" w:firstLine="0"/>
        <w:jc w:val="left"/>
      </w:pPr>
      <w:r>
        <w:rPr>
          <w:b/>
          <w:sz w:val="24"/>
        </w:rPr>
        <w:t xml:space="preserve"> </w:t>
      </w:r>
    </w:p>
    <w:p w:rsidR="00B064CF" w:rsidRDefault="00E32F70">
      <w:pPr>
        <w:spacing w:after="98" w:line="259" w:lineRule="auto"/>
        <w:ind w:left="360" w:firstLine="0"/>
        <w:jc w:val="left"/>
      </w:pPr>
      <w:r>
        <w:rPr>
          <w:b/>
          <w:sz w:val="24"/>
        </w:rPr>
        <w:t xml:space="preserve"> </w:t>
      </w:r>
    </w:p>
    <w:p w:rsidR="00B064CF" w:rsidRDefault="00E32F70">
      <w:pPr>
        <w:spacing w:after="120" w:line="240" w:lineRule="auto"/>
        <w:ind w:left="355" w:right="135"/>
      </w:pPr>
      <w:r>
        <w:rPr>
          <w:b/>
          <w:sz w:val="24"/>
        </w:rPr>
        <w:t xml:space="preserve">4.- </w:t>
      </w:r>
      <w:r>
        <w:rPr>
          <w:b/>
          <w:sz w:val="24"/>
        </w:rPr>
        <w:t xml:space="preserve">Expediente 3707/2021. Propuesta del Concejal delegado de Seguridad, Emergencias y Parque Móvil de 11 de mayo de 2021 para reconocer premiar y felicitar a los Agentes de la Policía Local de Candelaria según los informes emitidos por el Subinspector Jefe de </w:t>
      </w:r>
      <w:r>
        <w:rPr>
          <w:b/>
          <w:sz w:val="24"/>
        </w:rPr>
        <w:t xml:space="preserve">la Policía Local de Candelaria. </w:t>
      </w:r>
    </w:p>
    <w:p w:rsidR="00B064CF" w:rsidRDefault="00E32F70">
      <w:pPr>
        <w:spacing w:after="101" w:line="259" w:lineRule="auto"/>
        <w:ind w:left="360" w:firstLine="0"/>
        <w:jc w:val="left"/>
      </w:pPr>
      <w:r>
        <w:rPr>
          <w:b/>
        </w:rPr>
        <w:t xml:space="preserve"> </w:t>
      </w:r>
    </w:p>
    <w:p w:rsidR="00B064CF" w:rsidRDefault="00E32F70">
      <w:pPr>
        <w:spacing w:after="4"/>
        <w:ind w:left="355" w:right="145"/>
      </w:pPr>
      <w:r>
        <w:rPr>
          <w:b/>
        </w:rPr>
        <w:t>Consta en el expediente propuesta del Concejal delegado de Seguridad, Emergencias y Parque Móvil D. Olegario Francisco Alonso Bello, de fecha 11 de mayo de 2021 (con la incorporación en el pleno de la subsanación de error</w:t>
      </w:r>
      <w:r>
        <w:rPr>
          <w:b/>
        </w:rPr>
        <w:t xml:space="preserve">es según informe de 25 de mayo de 2021 del Subinspector en relación al agente citado en el nº 32), y que transcrito literalmente dice: </w:t>
      </w:r>
    </w:p>
    <w:p w:rsidR="00B064CF" w:rsidRDefault="00E32F70">
      <w:pPr>
        <w:spacing w:after="0" w:line="259" w:lineRule="auto"/>
        <w:ind w:left="360" w:firstLine="0"/>
        <w:jc w:val="left"/>
      </w:pPr>
      <w:r>
        <w:rPr>
          <w:rFonts w:ascii="Times New Roman" w:eastAsia="Times New Roman" w:hAnsi="Times New Roman" w:cs="Times New Roman"/>
          <w:b/>
          <w:sz w:val="24"/>
        </w:rPr>
        <w:t xml:space="preserve"> </w:t>
      </w:r>
    </w:p>
    <w:p w:rsidR="00B064CF" w:rsidRDefault="00E32F70">
      <w:pPr>
        <w:spacing w:after="135" w:line="259" w:lineRule="auto"/>
        <w:ind w:left="360" w:firstLine="0"/>
        <w:jc w:val="left"/>
      </w:pPr>
      <w:r>
        <w:rPr>
          <w:b/>
        </w:rPr>
        <w:t xml:space="preserve"> </w:t>
      </w:r>
    </w:p>
    <w:p w:rsidR="00B064CF" w:rsidRDefault="00E32F70">
      <w:pPr>
        <w:pStyle w:val="Ttulo2"/>
        <w:ind w:left="290" w:right="64"/>
      </w:pPr>
      <w:r>
        <w:t xml:space="preserve">“PROVIDENCIA </w:t>
      </w:r>
    </w:p>
    <w:p w:rsidR="00B064CF" w:rsidRDefault="00E32F70">
      <w:pPr>
        <w:spacing w:after="103" w:line="259" w:lineRule="auto"/>
        <w:ind w:left="273" w:firstLine="0"/>
        <w:jc w:val="center"/>
      </w:pPr>
      <w:r>
        <w:rPr>
          <w:b/>
        </w:rPr>
        <w:t xml:space="preserve"> </w:t>
      </w:r>
    </w:p>
    <w:p w:rsidR="00B064CF" w:rsidRDefault="00E32F70">
      <w:pPr>
        <w:spacing w:after="112"/>
        <w:ind w:left="355" w:right="146"/>
      </w:pPr>
      <w:r>
        <w:t xml:space="preserve">     Don Olegario Francisco Alonso Bello, Concejal delegado de Seguridad, Emergencias y Parque Móvil</w:t>
      </w:r>
      <w:r>
        <w:t xml:space="preserve"> (delegación por Decreto nº 2025/2019, de 24 de junio), al amparo de lo dispuesto en el Reglamento de Organización, Funcionamiento y Régimen Jurídico de las Entidades Locales, así como en la Ley 7/1985, de 2 abril, Reguladora de las Bases de Régimen Local,</w:t>
      </w:r>
      <w:r>
        <w:t xml:space="preserve"> realiza la siguiente propuesta: </w:t>
      </w:r>
    </w:p>
    <w:p w:rsidR="00B064CF" w:rsidRDefault="00E32F70">
      <w:pPr>
        <w:spacing w:after="100" w:line="259" w:lineRule="auto"/>
        <w:ind w:left="360" w:firstLine="0"/>
        <w:jc w:val="left"/>
      </w:pPr>
      <w:r>
        <w:rPr>
          <w:rFonts w:ascii="Calibri" w:eastAsia="Calibri" w:hAnsi="Calibri" w:cs="Calibri"/>
          <w:noProof/>
        </w:rPr>
        <mc:AlternateContent>
          <mc:Choice Requires="wpg">
            <w:drawing>
              <wp:anchor distT="0" distB="0" distL="114300" distR="114300" simplePos="0" relativeHeight="25175244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81639" name="Group 381639"/>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1559" name="Rectangle 21559"/>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1560" name="Rectangle 21560"/>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89 de 298 </w:t>
                              </w:r>
                            </w:p>
                          </w:txbxContent>
                        </wps:txbx>
                        <wps:bodyPr horzOverflow="overflow" vert="horz" lIns="0" tIns="0" rIns="0" bIns="0" rtlCol="0">
                          <a:noAutofit/>
                        </wps:bodyPr>
                      </wps:wsp>
                    </wpg:wgp>
                  </a:graphicData>
                </a:graphic>
              </wp:anchor>
            </w:drawing>
          </mc:Choice>
          <mc:Fallback xmlns:a="http://schemas.openxmlformats.org/drawingml/2006/main">
            <w:pict>
              <v:group id="Group 381639" style="width:12.7031pt;height:278.91pt;position:absolute;mso-position-horizontal-relative:page;mso-position-horizontal:absolute;margin-left:682.278pt;mso-position-vertical-relative:page;margin-top:533.01pt;" coordsize="1613,35421">
                <v:rect id="Rectangle 21559"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1560"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89 de 298 </w:t>
                        </w:r>
                      </w:p>
                    </w:txbxContent>
                  </v:textbox>
                </v:rect>
                <w10:wrap type="square"/>
              </v:group>
            </w:pict>
          </mc:Fallback>
        </mc:AlternateContent>
      </w:r>
      <w:r>
        <w:rPr>
          <w:b/>
        </w:rPr>
        <w:t xml:space="preserve"> </w:t>
      </w:r>
    </w:p>
    <w:p w:rsidR="00B064CF" w:rsidRDefault="00E32F70">
      <w:pPr>
        <w:spacing w:after="0"/>
        <w:ind w:left="355" w:right="145"/>
      </w:pPr>
      <w:r>
        <w:t>De conformidad con lo dispuesto en el artículo 37 del Decreto 75/2003, de 12 de mayo, por el que se establecen las normas marco y otras normas de Coordinación de Policías Locales de Canarias y en atención a las propuestas recibidas del Subinspector de la P</w:t>
      </w:r>
      <w:r>
        <w:t xml:space="preserve">olicía Local de Candelaria, se solicita se Inicien los trámites necesarios a los efectos de reconocer, felicitar y otorgar mención pública por su destacada labor a los/as siguientes agentes de la Policía Local de Candelaria: </w:t>
      </w:r>
    </w:p>
    <w:p w:rsidR="00B064CF" w:rsidRDefault="00E32F70">
      <w:pPr>
        <w:spacing w:after="0" w:line="259" w:lineRule="auto"/>
        <w:ind w:left="360" w:firstLine="0"/>
        <w:jc w:val="left"/>
      </w:pPr>
      <w:r>
        <w:t xml:space="preserve"> </w:t>
      </w:r>
    </w:p>
    <w:p w:rsidR="00B064CF" w:rsidRDefault="00E32F70">
      <w:pPr>
        <w:spacing w:after="0"/>
        <w:ind w:left="355" w:right="141"/>
      </w:pPr>
      <w:r>
        <w:t>1º.- Agente de la Policía lo</w:t>
      </w:r>
      <w:r>
        <w:t xml:space="preserve">cal de Candelaria </w:t>
      </w:r>
      <w:r>
        <w:rPr>
          <w:b/>
        </w:rPr>
        <w:t>D. Guillermo Rodríguez Febles</w:t>
      </w:r>
      <w:r>
        <w:t xml:space="preserve">, con número de identificación A17, TIP 10405, por la relevante actuación llevada a cabo en el servicio prestado el día 21 de junio de 2015, al intervenir en el Rescate y evacuación de una persona precipitada </w:t>
      </w:r>
      <w:r>
        <w:t>en las inmediaciones del barranco de Maja, colaborando de manera directa con los servicios de rescate del Consorcio de Bomberos de la Isla de Tenerife.</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4"/>
      </w:pPr>
      <w:r>
        <w:t xml:space="preserve">2º.- Agente de la Policía de Candelaria </w:t>
      </w:r>
      <w:r>
        <w:rPr>
          <w:b/>
        </w:rPr>
        <w:t>D. Víctor Miguel García Hernández</w:t>
      </w:r>
      <w:r>
        <w:t>, con número de identificaci</w:t>
      </w:r>
      <w:r>
        <w:t>ón A40, TIP 11253, por la relevante actuación llevada a cabo en el servicio prestado el día 21 de junio de 2015, al intervenir en el Rescate y evacuación de una persona precipitada en las inmediaciones del barranco de Maja, colaborando de manera directa co</w:t>
      </w:r>
      <w:r>
        <w:t>n los servicios de rescate del Consorcio de Bomberos de la Isla de Tenerife.</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2"/>
      </w:pPr>
      <w:r>
        <w:t xml:space="preserve">3º.- Agente de la Policía de Candelaria </w:t>
      </w:r>
      <w:r>
        <w:rPr>
          <w:b/>
        </w:rPr>
        <w:t>Dª María Loreto Rodríguez Monasterio</w:t>
      </w:r>
      <w:r>
        <w:t>, con número de identificación A38, TIP 10166, por la relevante actuación llevada a cabo en el servi</w:t>
      </w:r>
      <w:r>
        <w:t>cio prestado el día 21 de junio de 2015, al intervenir en el Rescate y evacuación de una persona precipitada en las inmediaciones del barranco de Maja, colaborando de manera directa con los servicios de rescate del Consorcio de Bomberos de la Isla de Tener</w:t>
      </w:r>
      <w:r>
        <w:t>ife.</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7"/>
      </w:pPr>
      <w:r>
        <w:t xml:space="preserve">4º.- Agente de la Policía de Candelaria </w:t>
      </w:r>
      <w:r>
        <w:rPr>
          <w:b/>
        </w:rPr>
        <w:t>D. José Carlos Mata González</w:t>
      </w:r>
      <w:r>
        <w:t>, con número de identificación A39, TIP 13547, por la relevante actuación llevada a cabo en el servicio prestado el día 21 de junio de 2015, al intervenir en el Rescate y evacuació</w:t>
      </w:r>
      <w:r>
        <w:t>n de una persona precipitada en las inmediaciones del barranco de Maja, colaborando de manera directa con los servicios de rescate del Consorcio de Bomberos de la Isla de Tenerife.</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5"/>
      </w:pPr>
      <w:r>
        <w:t xml:space="preserve">5º Agente de la Policía de Candelaria </w:t>
      </w:r>
      <w:r>
        <w:rPr>
          <w:b/>
        </w:rPr>
        <w:t>Dª Yurena García Calcines</w:t>
      </w:r>
      <w:r>
        <w:t>, con núm</w:t>
      </w:r>
      <w:r>
        <w:t>ero de identificación A35, TIP 13482, por la relevante actuación llevada a cabo en el servicio prestado el día 9 de abril de 2016, por su intervención en la intercepción y detención de un vehículo kamikaze en la TF01, interceptando al conductor, que puso e</w:t>
      </w:r>
      <w:r>
        <w:t>n riesgo su vida y la del resto de usuarios de la vida, anteponiendo la agente su propia integridad física para salvaguardar la de los usuarios.</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3"/>
      </w:pPr>
      <w:r>
        <w:t xml:space="preserve">6º Agente de la Policía de Candelaria </w:t>
      </w:r>
      <w:r>
        <w:rPr>
          <w:b/>
        </w:rPr>
        <w:t>D. Ruyman Cabrera Jiménez</w:t>
      </w:r>
      <w:r>
        <w:t>, con número de identificación A36, TIP 13755, por la relevante actuación llevada a cabo en el servicio prestado el día 9 de abril de 2016, por su intervención en la intercepción y detención de un vehículo kamikaze en la TF01, interceptando al conductor, q</w:t>
      </w:r>
      <w:r>
        <w:t>ue puso en riesgo su vida y la del resto de usuarios de la vida, anteponiendo el agente su propia integridad física para salvaguardar la de los usuarios.</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r>
        <w:tab/>
        <w:t xml:space="preserve"> </w:t>
      </w:r>
    </w:p>
    <w:p w:rsidR="00B064CF" w:rsidRDefault="00E32F70">
      <w:pPr>
        <w:spacing w:after="0"/>
        <w:ind w:left="355" w:right="142"/>
      </w:pPr>
      <w:r>
        <w:rPr>
          <w:rFonts w:ascii="Calibri" w:eastAsia="Calibri" w:hAnsi="Calibri" w:cs="Calibri"/>
          <w:noProof/>
        </w:rPr>
        <mc:AlternateContent>
          <mc:Choice Requires="wpg">
            <w:drawing>
              <wp:anchor distT="0" distB="0" distL="114300" distR="114300" simplePos="0" relativeHeight="25175347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81754" name="Group 381754"/>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1682" name="Rectangle 21682"/>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1683" name="Rectangle 21683"/>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90 de 298 </w:t>
                              </w:r>
                            </w:p>
                          </w:txbxContent>
                        </wps:txbx>
                        <wps:bodyPr horzOverflow="overflow" vert="horz" lIns="0" tIns="0" rIns="0" bIns="0" rtlCol="0">
                          <a:noAutofit/>
                        </wps:bodyPr>
                      </wps:wsp>
                    </wpg:wgp>
                  </a:graphicData>
                </a:graphic>
              </wp:anchor>
            </w:drawing>
          </mc:Choice>
          <mc:Fallback xmlns:a="http://schemas.openxmlformats.org/drawingml/2006/main">
            <w:pict>
              <v:group id="Group 381754" style="width:12.7031pt;height:278.91pt;position:absolute;mso-position-horizontal-relative:page;mso-position-horizontal:absolute;margin-left:682.278pt;mso-position-vertical-relative:page;margin-top:533.01pt;" coordsize="1613,35421">
                <v:rect id="Rectangle 21682"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1683"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90 de 298 </w:t>
                        </w:r>
                      </w:p>
                    </w:txbxContent>
                  </v:textbox>
                </v:rect>
                <w10:wrap type="square"/>
              </v:group>
            </w:pict>
          </mc:Fallback>
        </mc:AlternateContent>
      </w:r>
      <w:r>
        <w:t xml:space="preserve">7º Agente de la Policía de Candelaria </w:t>
      </w:r>
      <w:r>
        <w:rPr>
          <w:b/>
        </w:rPr>
        <w:t xml:space="preserve">D. Cristino Alexis Cruz </w:t>
      </w:r>
      <w:r>
        <w:rPr>
          <w:b/>
        </w:rPr>
        <w:t>Pestano</w:t>
      </w:r>
      <w:r>
        <w:t>, con número de identificación A12, TIP 12038, por la relevante actuación llevada a cabo en el servicio prestado el día 2 de abril de 2017, interceptando un vehículo sustraído por cuatro individuos con múltiples antecedentes penales, recuperando dic</w:t>
      </w:r>
      <w:r>
        <w:t>ho vehículo y deteniendo a los presuntos autores con celeridad, diligencia y eficacia.</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4"/>
      </w:pPr>
      <w:r>
        <w:t xml:space="preserve">8º Agente de la Policía de Candelaria </w:t>
      </w:r>
      <w:r>
        <w:rPr>
          <w:b/>
        </w:rPr>
        <w:t>D. Andrés Sixto Castro Marrero</w:t>
      </w:r>
      <w:r>
        <w:t>, con número de identificación A21, TIP 12798, por la relevante actuación llevada a cabo en el ser</w:t>
      </w:r>
      <w:r>
        <w:t>vicio prestado el día 2 de abril de 2017, interceptando un vehículo sustraído por cuatro individuos con múltiples antecedentes penales, recuperando dicho vehículo y deteniendo a los presuntos autores con celeridad, diligencia y eficacia.</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4"/>
      </w:pPr>
      <w:r>
        <w:t>9º Agente de la</w:t>
      </w:r>
      <w:r>
        <w:t xml:space="preserve"> Policía de Candelaria </w:t>
      </w:r>
      <w:r>
        <w:rPr>
          <w:b/>
        </w:rPr>
        <w:t>D. Tomás Jorge Pérez</w:t>
      </w:r>
      <w:r>
        <w:t>, con número de identificación A22, TIP 13470, por la relevante actuación llevada a cabo en el servicio prestado el día 2 de abril de 2017, interceptando un vehículo sustraído por cuatro individuos con múltiples a</w:t>
      </w:r>
      <w:r>
        <w:t>ntecedentes penales, recuperando dicho vehículo y deteniendo a los presuntos autores con celeridad, diligencia y eficacia.</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4"/>
      </w:pPr>
      <w:r>
        <w:t xml:space="preserve">10º Agente de la Policía de Candelaria </w:t>
      </w:r>
      <w:r>
        <w:rPr>
          <w:b/>
        </w:rPr>
        <w:t>D. Ruyman Cabrera Jiménez</w:t>
      </w:r>
      <w:r>
        <w:t>, con número de identificación A36, TIP 13755, por la relevante ac</w:t>
      </w:r>
      <w:r>
        <w:t>tuación llevada a cabo en el servicio prestado el día 2 de abril de 2017, interceptando un vehículo sustraído por cuatro individuos con múltiples antecedentes penales, recuperando dicho vehículo y deteniendo a los presuntos autores con celeridad, diligenci</w:t>
      </w:r>
      <w:r>
        <w:t>a y eficacia.</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4"/>
      </w:pPr>
      <w:r>
        <w:t xml:space="preserve">11º Agente de la Policía de Candelaria </w:t>
      </w:r>
      <w:r>
        <w:rPr>
          <w:b/>
        </w:rPr>
        <w:t>D. Jean Díaz Gómez</w:t>
      </w:r>
      <w:r>
        <w:t>, con número de identificación A15, TIP 13021, por la relevante actuación llevada a cabo en el servicio prestado el día 17 de septiembre de 2019, por la intervención en la localizaci</w:t>
      </w:r>
      <w:r>
        <w:t>ón y vigilancia activa de una vivienda en Bco Hondo en la cual se incautaron noventa plantas de marihuana, con resultado de tres detenidos por un presunto delito contra la salud pública.</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4"/>
      </w:pPr>
      <w:r>
        <w:t xml:space="preserve">12º Agente de la Policía de Candelaria </w:t>
      </w:r>
      <w:r>
        <w:rPr>
          <w:b/>
        </w:rPr>
        <w:t>D Ruyman Cabrera Jiménez</w:t>
      </w:r>
      <w:r>
        <w:t>, c</w:t>
      </w:r>
      <w:r>
        <w:t xml:space="preserve">on número de identificación A36, TIP 13755, por la relevante actuación llevada a cabo en el servicio prestado el día 17 de septiembre de 2019, por la intervención en la localización y vigilancia activa de una vivienda en Bco Hondo en la cual se incautaron </w:t>
      </w:r>
      <w:r>
        <w:t>noventa plantas de marihuana, con resultado de tres detenidos por un presunto delito contra la salud pública.</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2"/>
      </w:pPr>
      <w:r>
        <w:t xml:space="preserve">13º.- Agente de la Policía local de Candelaria </w:t>
      </w:r>
      <w:r>
        <w:rPr>
          <w:b/>
        </w:rPr>
        <w:t>D. Guillermo Rodríguez Febles</w:t>
      </w:r>
      <w:r>
        <w:t>, con número de identificación A17, TIP 10405, por la relevante act</w:t>
      </w:r>
      <w:r>
        <w:t>uación llevada a cabo en el servicio prestado el día 23 de octubre de 2018, en la intervención en la detención de 2 individuos con diversos antecedentes penales, los cuales habían realizado entrada con fuerza en las cosas en una vivienda en la comunidad El</w:t>
      </w:r>
      <w:r>
        <w:t xml:space="preserve"> Carmen, con la intención de apropiación de bienes ajenos y sin dilación, entereza y dedicación profesional procedió a la entrada y detención de los presuntos autores.</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4"/>
      </w:pPr>
      <w:r>
        <w:t xml:space="preserve">14º.- Agente de la Policía local de Candelaria </w:t>
      </w:r>
      <w:r>
        <w:rPr>
          <w:b/>
        </w:rPr>
        <w:t>D. Jose Carlos Mata González</w:t>
      </w:r>
      <w:r>
        <w:t>, con número de identificación A39, TIP 13547, por la relevante actuación llevada a cabo en el servicio prestado el día 23 de octubre de 2018, en la intervención en la detención de 2 individuos con diversos antecedentes penales, los cuales habían realizado</w:t>
      </w:r>
      <w:r>
        <w:t xml:space="preserve"> entrada con fuerza en las cosas en una vivienda en la comunidad El Carmen, con la intención de apropiación de bienes ajenos y sin dilación, entereza y dedicación profesional procedió a la entrada y detención de los presuntos autores.</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4"/>
      </w:pPr>
      <w:r>
        <w:rPr>
          <w:rFonts w:ascii="Calibri" w:eastAsia="Calibri" w:hAnsi="Calibri" w:cs="Calibri"/>
          <w:noProof/>
        </w:rPr>
        <mc:AlternateContent>
          <mc:Choice Requires="wpg">
            <w:drawing>
              <wp:anchor distT="0" distB="0" distL="114300" distR="114300" simplePos="0" relativeHeight="25175449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82033" name="Group 382033"/>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1818" name="Rectangle 21818"/>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w:t>
                              </w:r>
                              <w:r>
                                <w:rPr>
                                  <w:sz w:val="12"/>
                                </w:rPr>
                                <w:t xml:space="preserve">: 64SKSNYNJRFPNN5DLPPAAC3GS | Verificación: https://candelaria.sedelectronica.es/ </w:t>
                              </w:r>
                            </w:p>
                          </w:txbxContent>
                        </wps:txbx>
                        <wps:bodyPr horzOverflow="overflow" vert="horz" lIns="0" tIns="0" rIns="0" bIns="0" rtlCol="0">
                          <a:noAutofit/>
                        </wps:bodyPr>
                      </wps:wsp>
                      <wps:wsp>
                        <wps:cNvPr id="21819" name="Rectangle 21819"/>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91 de 298 </w:t>
                              </w:r>
                            </w:p>
                          </w:txbxContent>
                        </wps:txbx>
                        <wps:bodyPr horzOverflow="overflow" vert="horz" lIns="0" tIns="0" rIns="0" bIns="0" rtlCol="0">
                          <a:noAutofit/>
                        </wps:bodyPr>
                      </wps:wsp>
                    </wpg:wgp>
                  </a:graphicData>
                </a:graphic>
              </wp:anchor>
            </w:drawing>
          </mc:Choice>
          <mc:Fallback xmlns:a="http://schemas.openxmlformats.org/drawingml/2006/main">
            <w:pict>
              <v:group id="Group 382033" style="width:12.7031pt;height:278.91pt;position:absolute;mso-position-horizontal-relative:page;mso-position-horizontal:absolute;margin-left:682.278pt;mso-position-vertical-relative:page;margin-top:533.01pt;" coordsize="1613,35421">
                <v:rect id="Rectangle 21818"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1819"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91 de 298 </w:t>
                        </w:r>
                      </w:p>
                    </w:txbxContent>
                  </v:textbox>
                </v:rect>
                <w10:wrap type="square"/>
              </v:group>
            </w:pict>
          </mc:Fallback>
        </mc:AlternateContent>
      </w:r>
      <w:r>
        <w:t xml:space="preserve">15º.- Oficial de la Policía local de Candelaria </w:t>
      </w:r>
      <w:r>
        <w:rPr>
          <w:b/>
        </w:rPr>
        <w:t>D. Gregorio González Alonso</w:t>
      </w:r>
      <w:r>
        <w:t xml:space="preserve">, </w:t>
      </w:r>
      <w:r>
        <w:t>con número de identificación C4, TIP 1320, por la relevante actuación llevada a cabo en el servicio prestado el día 6 de mayo de 2019, en la intervención en un conato de incendio que se propagó de forma acelerada en el Edf. Balcones de Candelaria, particip</w:t>
      </w:r>
      <w:r>
        <w:t>ando de manera enérgica en: la aplicación y cortes del tráfico rodado con desvíos a fin de que no peligrase la seguridad de los transeúntes y desalojo de los ocupantes de las viviendas afectadas y adyacentes, incluidos los heridos por quemaduras de grado m</w:t>
      </w:r>
      <w:r>
        <w:t>edio. La Capacidad de reacción fue notable, poniendo en peligro su integridad física, con objeto de sofocar la viveza del fuego, conteniendo el conato hasta la llegada del servicio de extinción de incendios, lo que dio lugar, a que el responsable del cuerp</w:t>
      </w:r>
      <w:r>
        <w:t xml:space="preserve">o técnico de los bomberos señalase que </w:t>
      </w:r>
      <w:r>
        <w:rPr>
          <w:i/>
        </w:rPr>
        <w:t>“debido a la ágil respuesta policial, las consecuencias no fueron aun de mayor gravedad”.</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1"/>
      </w:pPr>
      <w:r>
        <w:t xml:space="preserve">16º.- Oficial de la Policía local de Candelaria </w:t>
      </w:r>
      <w:r>
        <w:rPr>
          <w:b/>
        </w:rPr>
        <w:t>D. Gustavo Oliver Cabrera Jiménez</w:t>
      </w:r>
      <w:r>
        <w:t>, con número de identificación C9, TIP 13530, por la relevante actuación llevada a cabo en el servicio prestado el día 6 de mayo de 2019, en la intervención en un conato de incendio que se propagó de forma acelerada en el Edf. Balcones de Candelaria, parti</w:t>
      </w:r>
      <w:r>
        <w:t>cipando de manera enérgica en: la aplicación y cortes del tráfico rodado con desvíos a fin de que no peligrase la seguridad de los transeúntes y desalojo de los ocupantes de las viviendas afectadas y adyacentes, incluidos los heridos por quemaduras de grad</w:t>
      </w:r>
      <w:r>
        <w:t>o medio. La Capacidad de reacción fue notable, poniendo en peligro su integridad física, con objeto de sofocar la viveza del fuego, conteniendo el conato hasta la llegada del servicio de extinción de incendios, lo que dio lugar, a que el responsable del cu</w:t>
      </w:r>
      <w:r>
        <w:t>erpo técnico de los bomberos señalase que “debido a la ágil respuesta policial, las consecuencias no fueron aun de mayor gravedad”.</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2"/>
      </w:pPr>
      <w:r>
        <w:t xml:space="preserve">17º.- Agente de la Policía local de Candelaria </w:t>
      </w:r>
      <w:r>
        <w:rPr>
          <w:b/>
        </w:rPr>
        <w:t>D. Guillermo Rodríguez Febles</w:t>
      </w:r>
      <w:r>
        <w:t>, con número de identificación A 17, TIP 1040</w:t>
      </w:r>
      <w:r>
        <w:t>5, por la relevante actuación llevada a cabo en el servicio prestado el día, en la intervención 6 de mayo de 2019, en la intervención en un conato de incendio que se propagó de forma acelerada en el Edf. Balcones de Candelaria, participando de manera enérg</w:t>
      </w:r>
      <w:r>
        <w:t>ica en: la aplicación y cortes del tráfico rodado con desvíos a fin de que no peligrase la seguridad de los transeúntes y desalojo de los ocupantes de las viviendas afectadas y adyacentes, incluidos los heridos por quemaduras de grado medio. La Capacidad d</w:t>
      </w:r>
      <w:r>
        <w:t>e reacción fue notable, poniendo en peligro su integridad física, con objeto de sofocar la viveza del fuego, conteniendo el conato hasta la llegada del servicio de extinción de incendios, lo que dio lugar, a que el responsable del cuerpo técnico de los bom</w:t>
      </w:r>
      <w:r>
        <w:t>beros señalase que “debido a la ágil respuesta policial, las consecuencias no fueron aun de mayor gravedad”.</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2"/>
      </w:pPr>
      <w:r>
        <w:t xml:space="preserve">18º.- Agente de la Policía local de Candelaria </w:t>
      </w:r>
      <w:r>
        <w:rPr>
          <w:b/>
        </w:rPr>
        <w:t>D Antonio de las Casas Henríquez</w:t>
      </w:r>
      <w:r>
        <w:t xml:space="preserve">, con número de identificación A 16, TIP 10142, por la relevante </w:t>
      </w:r>
      <w:r>
        <w:t>actuación llevada a cabo en el servicio prestado el día, 6 de mayo de 2019, en la intervención en un conato de incendio que se propagó de forma acelerada en el Edf. Balcones de Candelaria, participando de manera enérgica en: la aplicación y cortes del tráf</w:t>
      </w:r>
      <w:r>
        <w:t>ico rodado con desvíos a fin de que no peligrase la seguridad de los transeúntes y desalojo de los ocupantes de las viviendas afectadas y adyacentes, incluidos los heridos por quemaduras de grado medio. La Capacidad de reacción fue notable, poniendo en pel</w:t>
      </w:r>
      <w:r>
        <w:t>igro su integridad física, con objeto de sofocar la viveza del fuego, conteniendo el conato hasta la llegada del servicio de extinción de incendios, lo que dio lugar, a que el responsable del cuerpo técnico de los bomberos señalase que “debido a la ágil re</w:t>
      </w:r>
      <w:r>
        <w:t>spuesta policial, las consecuencias no fueron aun de mayor gravedad”.</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5"/>
      </w:pPr>
      <w:r>
        <w:rPr>
          <w:rFonts w:ascii="Calibri" w:eastAsia="Calibri" w:hAnsi="Calibri" w:cs="Calibri"/>
          <w:noProof/>
        </w:rPr>
        <mc:AlternateContent>
          <mc:Choice Requires="wpg">
            <w:drawing>
              <wp:anchor distT="0" distB="0" distL="114300" distR="114300" simplePos="0" relativeHeight="25175552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82336" name="Group 382336"/>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1946" name="Rectangle 21946"/>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1947" name="Rectangle 21947"/>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92 de 298 </w:t>
                              </w:r>
                            </w:p>
                          </w:txbxContent>
                        </wps:txbx>
                        <wps:bodyPr horzOverflow="overflow" vert="horz" lIns="0" tIns="0" rIns="0" bIns="0" rtlCol="0">
                          <a:noAutofit/>
                        </wps:bodyPr>
                      </wps:wsp>
                    </wpg:wgp>
                  </a:graphicData>
                </a:graphic>
              </wp:anchor>
            </w:drawing>
          </mc:Choice>
          <mc:Fallback xmlns:a="http://schemas.openxmlformats.org/drawingml/2006/main">
            <w:pict>
              <v:group id="Group 382336" style="width:12.7031pt;height:278.91pt;position:absolute;mso-position-horizontal-relative:page;mso-position-horizontal:absolute;margin-left:682.278pt;mso-position-vertical-relative:page;margin-top:533.01pt;" coordsize="1613,35421">
                <v:rect id="Rectangle 21946"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1947"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92 de 298 </w:t>
                        </w:r>
                      </w:p>
                    </w:txbxContent>
                  </v:textbox>
                </v:rect>
                <w10:wrap type="square"/>
              </v:group>
            </w:pict>
          </mc:Fallback>
        </mc:AlternateContent>
      </w:r>
      <w:r>
        <w:t xml:space="preserve">19º.- Agente de la Policía local de Candelaria </w:t>
      </w:r>
      <w:r>
        <w:rPr>
          <w:b/>
        </w:rPr>
        <w:t>D. Javier Barrera Acosta</w:t>
      </w:r>
      <w:r>
        <w:t>, con número de identificación A37, TIP 11105, por la relevante actuación llevada a cabo en</w:t>
      </w:r>
      <w:r>
        <w:t xml:space="preserve"> el servicio prestado, el día 6 de mayo de 2019, en la intervención en un conato de incendio que se propagó de forma acelerada en el Edf. Balcones de Candelaria, participando de manera enérgica en: la aplicación y cortes del tráfico rodado con desvíos a fi</w:t>
      </w:r>
      <w:r>
        <w:t xml:space="preserve">n de que no peligrase la seguridad de los transeúntes y desalojo de los ocupantes de las viviendas afectadas y adyacentes, incluidos los heridos por quemaduras de grado medio. La Capacidad de reacción fue notable, poniendo en peligro su integridad física, </w:t>
      </w:r>
      <w:r>
        <w:t>con objeto de sofocar la viveza del fuego, conteniendo el conato hasta la llegada del servicio de extinción de incendios, lo que dio lugar, a que el responsable del cuerpo técnico de los bomberos señalase que “debido a la ágil respuesta policial, las conse</w:t>
      </w:r>
      <w:r>
        <w:t>cuencias no fueron aun de mayor gravedad”.</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r>
        <w:tab/>
        <w:t xml:space="preserve"> </w:t>
      </w:r>
    </w:p>
    <w:p w:rsidR="00B064CF" w:rsidRDefault="00E32F70">
      <w:pPr>
        <w:spacing w:after="0"/>
        <w:ind w:left="355" w:right="144"/>
      </w:pPr>
      <w:r>
        <w:t xml:space="preserve">20º.- Agente de la Policía local de Candelaria </w:t>
      </w:r>
      <w:r>
        <w:rPr>
          <w:b/>
        </w:rPr>
        <w:t>D. Juan Andrés González Pérez</w:t>
      </w:r>
      <w:r>
        <w:t>, con número de identificación A10, TIP 11867, por la relevante actuación llevada a cabo en el servicio prestado el día 20 de agosto</w:t>
      </w:r>
      <w:r>
        <w:t xml:space="preserve"> de 2019, contribuyendo de forma rápida y eficiente a actuar ante una llamada que informa de una señora presuntamente ahogada, en el Edf. Afirama, personándose, realizando la RCP hasta la llegada de la ambulancia hasta conseguir constantes vitales positiva</w:t>
      </w:r>
      <w:r>
        <w:t>s. Acto que dio lugar al responsable del CECOES a trasladar felicitaciones de los policías intervinientes “ya que debido a su pronta intervención la Sra. Accidentada ingresó con vida en el hospital”</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r>
        <w:tab/>
        <w:t xml:space="preserve"> </w:t>
      </w:r>
    </w:p>
    <w:p w:rsidR="00B064CF" w:rsidRDefault="00E32F70">
      <w:pPr>
        <w:spacing w:after="1"/>
        <w:ind w:left="355" w:right="143"/>
      </w:pPr>
      <w:r>
        <w:t xml:space="preserve">21º.- Agente de la Policía local de Candelaria </w:t>
      </w:r>
      <w:r>
        <w:rPr>
          <w:b/>
        </w:rPr>
        <w:t>D. Ju</w:t>
      </w:r>
      <w:r>
        <w:rPr>
          <w:b/>
        </w:rPr>
        <w:t>an Manuel Pérez Ramallo</w:t>
      </w:r>
      <w:r>
        <w:t>, con número de identificación A20, TIP 12269, por la relevante actuación llevada a cabo en el servicio prestado el día, 20 de agosto de 2019, contribuyendo de forma rápida y eficiente a actuar ante una llamada que informa de una señ</w:t>
      </w:r>
      <w:r>
        <w:t>ora presuntamente ahogada, en el Edf. Afirama, personándose, realizando la RCP hasta la llegada de la ambulancia hasta conseguir constantes vitales positivas. Acto que dio lugar al responsable del CECOES a trasladar felicitaciones de los policías intervini</w:t>
      </w:r>
      <w:r>
        <w:t>entes “ya que debido a su pronta intervención la Sra. Accidentada ingresó con vida en el hospital”</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4"/>
      </w:pPr>
      <w:r>
        <w:t xml:space="preserve">22º.- Agente de la Policía local de Candelaria </w:t>
      </w:r>
      <w:r>
        <w:rPr>
          <w:b/>
        </w:rPr>
        <w:t>D. Antonio de las Casas Henríquez</w:t>
      </w:r>
      <w:r>
        <w:t xml:space="preserve">, con número de identificación A16, TIP 10142, por la relevante actuación </w:t>
      </w:r>
      <w:r>
        <w:t>llevada a cabo en el servicio prestado el día 20 de agosto de 2019, contribuyendo de forma rápida y eficiente a actuar ante una llamada que informa de una señora presuntamente ahogada, en el Edf. Afirama, personándose, realizando la RCP hasta la llegada de</w:t>
      </w:r>
      <w:r>
        <w:t xml:space="preserve"> la ambulancia hasta conseguir constantes vitales positivas. Acto que dio lugar al responsable del CECOES a trasladar felicitaciones de los policías intervinientes “ya que debido a su pronta intervención la Sra. Accidentada ingresó con vida en el hospital”</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1"/>
      </w:pPr>
      <w:r>
        <w:t xml:space="preserve">23º.- Oficial de la Policía local de Candelaria </w:t>
      </w:r>
      <w:r>
        <w:rPr>
          <w:b/>
        </w:rPr>
        <w:t>D. Gustavo Oliver Cabrera Jiménez</w:t>
      </w:r>
      <w:r>
        <w:t xml:space="preserve">, con número de identificación C9, TIP 13530, por la relevante actuación llevada a cabo en el servicio prestado el día 14 de enero de 2020, que estando fuera de servicio, </w:t>
      </w:r>
      <w:r>
        <w:t>esperando para coger vuelo de vuelta a Tenerife en el Aeropuerto Adolfo Suárez Madrid Barajas, observó como una pareja mantenía una discusión, resultando que el joven –que resultó ser un menor de edad- agarró a su pareja sentimental por el cuello propinánd</w:t>
      </w:r>
      <w:r>
        <w:t>ole un puñetazo en la boca, abalanzándose sobre dicho sujeto para interrumpir e impedir la agresión. Procediendo a su detención mientras dicho sujeto golpeaba a uno de los agentes intervinientes y a miembros de seguridad del propio aeropuerto.</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2"/>
      </w:pPr>
      <w:r>
        <w:rPr>
          <w:rFonts w:ascii="Calibri" w:eastAsia="Calibri" w:hAnsi="Calibri" w:cs="Calibri"/>
          <w:noProof/>
        </w:rPr>
        <mc:AlternateContent>
          <mc:Choice Requires="wpg">
            <w:drawing>
              <wp:anchor distT="0" distB="0" distL="114300" distR="114300" simplePos="0" relativeHeight="25175654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82934" name="Group 382934"/>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2092" name="Rectangle 22092"/>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w:t>
                              </w:r>
                              <w:r>
                                <w:rPr>
                                  <w:sz w:val="12"/>
                                </w:rPr>
                                <w:t xml:space="preserve">alidación: 64SKSNYNJRFPNN5DLPPAAC3GS | Verificación: https://candelaria.sedelectronica.es/ </w:t>
                              </w:r>
                            </w:p>
                          </w:txbxContent>
                        </wps:txbx>
                        <wps:bodyPr horzOverflow="overflow" vert="horz" lIns="0" tIns="0" rIns="0" bIns="0" rtlCol="0">
                          <a:noAutofit/>
                        </wps:bodyPr>
                      </wps:wsp>
                      <wps:wsp>
                        <wps:cNvPr id="22093" name="Rectangle 22093"/>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93 de 298 </w:t>
                              </w:r>
                            </w:p>
                          </w:txbxContent>
                        </wps:txbx>
                        <wps:bodyPr horzOverflow="overflow" vert="horz" lIns="0" tIns="0" rIns="0" bIns="0" rtlCol="0">
                          <a:noAutofit/>
                        </wps:bodyPr>
                      </wps:wsp>
                    </wpg:wgp>
                  </a:graphicData>
                </a:graphic>
              </wp:anchor>
            </w:drawing>
          </mc:Choice>
          <mc:Fallback xmlns:a="http://schemas.openxmlformats.org/drawingml/2006/main">
            <w:pict>
              <v:group id="Group 382934" style="width:12.7031pt;height:278.91pt;position:absolute;mso-position-horizontal-relative:page;mso-position-horizontal:absolute;margin-left:682.278pt;mso-position-vertical-relative:page;margin-top:533.01pt;" coordsize="1613,35421">
                <v:rect id="Rectangle 22092"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2093"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93 de 298 </w:t>
                        </w:r>
                      </w:p>
                    </w:txbxContent>
                  </v:textbox>
                </v:rect>
                <w10:wrap type="square"/>
              </v:group>
            </w:pict>
          </mc:Fallback>
        </mc:AlternateContent>
      </w:r>
      <w:r>
        <w:t xml:space="preserve">24º.- Agente de la Policía local de Candelaria </w:t>
      </w:r>
      <w:r>
        <w:rPr>
          <w:b/>
        </w:rPr>
        <w:t>D.Ruyman Cabrera Jiménez</w:t>
      </w:r>
      <w:r>
        <w:t>, con número de identificación A36, TIP 13755, por la relevante actuación llevada a cabo en el servicio prestado el día, 14 de enero de 2020, que estando fuera de servicio, esperando para coger vuelo de vuelta a Tenerife en el Aerop</w:t>
      </w:r>
      <w:r>
        <w:t>uerto Adolfo Suárez Madrid Barajas, observó como una pareja mantenía una discusión, resultando que el joven –que resultó ser un menor de edad- agarró a su pareja sentimental por el cuello propinándole un puñetazo en la boca, abalanzándose sobre dicho sujet</w:t>
      </w:r>
      <w:r>
        <w:t>o para interrumpir e impedir la agresión. Procediendo a su detención mientras dicho sujeto golpeaba a uno de los agentes intervinientes y a miembros de seguridad del propio aeropuerto.</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4"/>
      </w:pPr>
      <w:r>
        <w:t xml:space="preserve">25º.- Agente de la Policía local de Candelaria </w:t>
      </w:r>
      <w:r>
        <w:rPr>
          <w:b/>
        </w:rPr>
        <w:t>D. Ruyman Cabrera Jim</w:t>
      </w:r>
      <w:r>
        <w:rPr>
          <w:b/>
        </w:rPr>
        <w:t>énez</w:t>
      </w:r>
      <w:r>
        <w:t>, con número de identificación A36, TIP 13755, por la relevante actuación llevada a cabo en el servicio prestado el día 17 de abril de 2020, en la intervención de forma activa, diligente y eficaz, en beneficio de la seguridad ciudadana, en la intercept</w:t>
      </w:r>
      <w:r>
        <w:t>ación de sustancias estupefacientes de índole prohibida (once paquetes de hachís que suman aproximadamente 300 gr. Y otras sustancias), tras el seguimiento a pie, por varias calles (Rb de los Menceyes y Calle Arenitas) del portador de las señaladas sustanc</w:t>
      </w:r>
      <w:r>
        <w:t>ias, hasta su detención, con resistencia, y puesta a disposición judicial.</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1"/>
      </w:pPr>
      <w:r>
        <w:t xml:space="preserve">26º.- Agente de la Policía local de Candelaria  </w:t>
      </w:r>
      <w:r>
        <w:rPr>
          <w:b/>
        </w:rPr>
        <w:t>D Cristino Alexis Cruz Pestano</w:t>
      </w:r>
      <w:r>
        <w:t>, con número de identificación A12, TIP 12038, por la relevante actuación llevada a cabo en el servi</w:t>
      </w:r>
      <w:r>
        <w:t>cio prestado el día 13 de abril de 2021 en el que tras conocer sobre un intento de hurto en el Mercadona de Caletillas, procede a bloquear la vía en la zona de la rotonda del Mc Donals, siendo embestido por el vehículo – que había sido sustraído- que se da</w:t>
      </w:r>
      <w:r>
        <w:t>ba a la fuga, lo que causó graves desperfectos al coche policial y contusiones al agente que se encontraba en su interior y aún así comenzó una persecución policial por carretera hasta que se hace a pie, al abandonar el vehículo los presuntos delincuentes,</w:t>
      </w:r>
      <w:r>
        <w:t xml:space="preserve"> con la detención de uno de los individuos y huida de otro que fue buscado durante hora y media, incluso con la colaboración de la Policía Local de El Rosario., </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4"/>
      </w:pPr>
      <w:r>
        <w:t xml:space="preserve">27º.- Agente de la Policía local de Candelaria </w:t>
      </w:r>
      <w:r>
        <w:rPr>
          <w:b/>
        </w:rPr>
        <w:t>D. Juan Manuel Pérez Ramallo</w:t>
      </w:r>
      <w:r>
        <w:t xml:space="preserve">, con número de </w:t>
      </w:r>
      <w:r>
        <w:t>identificación A20, TIP12269, por la relevante actuación llevada a cabo en el servicio prestado el día 13 de abril de 2021 en el que tras conocer sobre un intento de hurto en el Mercadona de Caletillas, procede a bloquear la vía en la zona de la rotonda de</w:t>
      </w:r>
      <w:r>
        <w:t>l Mc Donals, siendo embestido por el vehículo – que había sido sustraído- que se daba a la fuga, lo que causó graves desperfectos al coche policial y contusiones al agente que se encontraba en su interior y aún así comenzó una persecución policial por carr</w:t>
      </w:r>
      <w:r>
        <w:t>etera hasta que se hace a pie, al abandonar el vehículo los presuntos delincuentes, con la detención de uno de los individuos y huida de otro que fue buscado durante hora y media, incluso con la colaboración de la Policía Local de El Rosario.</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4"/>
      </w:pPr>
      <w:r>
        <w:t>28º.- Agen</w:t>
      </w:r>
      <w:r>
        <w:t xml:space="preserve">te de la Policía local de Candelaria </w:t>
      </w:r>
      <w:r>
        <w:rPr>
          <w:b/>
        </w:rPr>
        <w:t>D Andrés Sixto Castro Marrero</w:t>
      </w:r>
      <w:r>
        <w:t xml:space="preserve">, con número de identificación A21, TIP 12798, por la relevante actuación llevada a cabo en el servicio prestado el día  13 de abril de 2021 en el que tras conocer sobre un intento de hurto </w:t>
      </w:r>
      <w:r>
        <w:t xml:space="preserve">en el Mercadona de Caletillas, procede a bloquear la vía en la zona de la rotonda del Mc Donals, siendo embestido por el vehículo – que había sido sustraído- que se daba a la fuga, lo que causó graves desperfectos al coche policial y contusiones al agente </w:t>
      </w:r>
      <w:r>
        <w:t>que se encontraba en su interior y aún así comenzó una persecución policial por carretera hasta que se hace a pie, al abandonar el vehículo los presuntos delincuentes, con la detención de uno de los individuos y huida de otro que fue buscado durante hora y</w:t>
      </w:r>
      <w:r>
        <w:t xml:space="preserve"> media, incluso con la colaboración de la Policía Local de El Rosario.</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1"/>
      </w:pPr>
      <w:r>
        <w:rPr>
          <w:rFonts w:ascii="Calibri" w:eastAsia="Calibri" w:hAnsi="Calibri" w:cs="Calibri"/>
          <w:noProof/>
        </w:rPr>
        <mc:AlternateContent>
          <mc:Choice Requires="wpg">
            <w:drawing>
              <wp:anchor distT="0" distB="0" distL="114300" distR="114300" simplePos="0" relativeHeight="25175756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82940" name="Group 382940"/>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2247" name="Rectangle 22247"/>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2248" name="Rectangle 22248"/>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Documento firmado electrónicamente desde la plataforma esPublico Gestiona | Pág</w:t>
                              </w:r>
                              <w:r>
                                <w:rPr>
                                  <w:sz w:val="12"/>
                                </w:rPr>
                                <w:t xml:space="preserve">ina 94 de 298 </w:t>
                              </w:r>
                            </w:p>
                          </w:txbxContent>
                        </wps:txbx>
                        <wps:bodyPr horzOverflow="overflow" vert="horz" lIns="0" tIns="0" rIns="0" bIns="0" rtlCol="0">
                          <a:noAutofit/>
                        </wps:bodyPr>
                      </wps:wsp>
                    </wpg:wgp>
                  </a:graphicData>
                </a:graphic>
              </wp:anchor>
            </w:drawing>
          </mc:Choice>
          <mc:Fallback xmlns:a="http://schemas.openxmlformats.org/drawingml/2006/main">
            <w:pict>
              <v:group id="Group 382940" style="width:12.7031pt;height:278.91pt;position:absolute;mso-position-horizontal-relative:page;mso-position-horizontal:absolute;margin-left:682.278pt;mso-position-vertical-relative:page;margin-top:533.01pt;" coordsize="1613,35421">
                <v:rect id="Rectangle 22247"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2248"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94 de 298 </w:t>
                        </w:r>
                      </w:p>
                    </w:txbxContent>
                  </v:textbox>
                </v:rect>
                <w10:wrap type="square"/>
              </v:group>
            </w:pict>
          </mc:Fallback>
        </mc:AlternateContent>
      </w:r>
      <w:r>
        <w:t xml:space="preserve">29º.- Agente de la Policía local de Candelaria </w:t>
      </w:r>
      <w:r>
        <w:rPr>
          <w:b/>
        </w:rPr>
        <w:t>D Tomás Jorge Pérez</w:t>
      </w:r>
      <w:r>
        <w:t>, con número de identificación A22, TIP 13470, por la relevante actuación llevada a cabo en el servicio prestado el día 13 de abril de 2021 en el que tras conocer sobre un int</w:t>
      </w:r>
      <w:r>
        <w:t>ento de hurto en el Mercadona de Caletillas, procede a bloquear la vía en la zona de la rotonda del Mc Donals, siendo embestido por el vehículo – que había sido sustraído- que se daba a la fuga, lo que causó graves desperfectos al coche policial y contusio</w:t>
      </w:r>
      <w:r>
        <w:t xml:space="preserve">nes al agente que se encontraba en su interior y aún así comenzó una persecución policial por carretera hasta que se hace a pie, al abandonar el vehículo los presuntos delincuentes, con la detención de uno de los individuos y huida de otro que fue buscado </w:t>
      </w:r>
      <w:r>
        <w:t>durante hora y media, incluso con la colaboración de la Policía Local de El Rosario.</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3"/>
      </w:pPr>
      <w:r>
        <w:t xml:space="preserve">30º.- Agente de la Policía local de Candelaria </w:t>
      </w:r>
      <w:r>
        <w:rPr>
          <w:b/>
        </w:rPr>
        <w:t>D Antonio de las Casas Henríquez</w:t>
      </w:r>
      <w:r>
        <w:t>, con número de identificación A 16, TIP 10142, por la relevante actuación llevada a cabo</w:t>
      </w:r>
      <w:r>
        <w:t xml:space="preserve"> en el servicio prestado el día 13 de abril de 2021 en el que tras conocer sobre un intento de hurto en el Mercadona de Caletillas, procede a bloquear la vía en la zona de la rotonda del Mc Donals, siendo embestido por el vehículo – que había sido sustraíd</w:t>
      </w:r>
      <w:r>
        <w:t>o- que se daba a la fuga, lo que causó graves desperfectos al coche policial y contusiones al agente que se encontraba en su interior y aún así comenzó una persecución policial por carretera hasta que se hace a pie, al abandonar el vehículo los presuntos d</w:t>
      </w:r>
      <w:r>
        <w:t>elincuentes, con la detención de uno de los individuos y huida de otro que fue buscado durante hora y media, incluso con la colaboración de la Policía Local de El Rosario.</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3"/>
      </w:pPr>
      <w:r>
        <w:t xml:space="preserve">31º.- Agente de la Policía local de Candelaria </w:t>
      </w:r>
      <w:r>
        <w:rPr>
          <w:b/>
        </w:rPr>
        <w:t>D. Sergio Martín Rodríguez</w:t>
      </w:r>
      <w:r>
        <w:t>, con número de identificación A 45, TIP 10295, por la relevante actuación llevada a cabo en el servicio prestado el día 13 de abril de 2021 en el que tras conocer sobre un intento de hurto en el Mercadona de Caletillas, procede a bloquear la vía en la zon</w:t>
      </w:r>
      <w:r>
        <w:t>a de la rotonda del Mc Donals, siendo embestido por el vehículo – que había sido sustraído- que se daba a la fuga, lo que causó graves desperfectos al coche policial y contusiones al agente que se encontraba en su interior y aun así comenzó una persecución</w:t>
      </w:r>
      <w:r>
        <w:t xml:space="preserve"> policial por carretera hasta que se hace a pie, al abandonar el vehículo los presuntos delincuentes, con la detención de uno de los individuos y huida de otro que fue buscado durante hora y media, incluso con la colaboración de la Policía Local de El Rosa</w:t>
      </w:r>
      <w:r>
        <w:t xml:space="preserve">rio. </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0"/>
        <w:ind w:left="355" w:right="142"/>
      </w:pPr>
      <w:r>
        <w:t xml:space="preserve">32º.- Agente de la Policía local de Candelaria </w:t>
      </w:r>
      <w:r>
        <w:rPr>
          <w:b/>
        </w:rPr>
        <w:t>D. Alejandro Rubén Pérez Quintero</w:t>
      </w:r>
      <w:r>
        <w:t>, con número de identificación A 57, TIP 11104, por la relevante actuación llevada a cabo en el servicio prestado el día 13 de abril de 2021 en el que tras conocer s</w:t>
      </w:r>
      <w:r>
        <w:t>obre un intento de hurto en el Mercadona de Caletillas, procede a bloquear la vía en la zona de la rotonda del Mc Donals, siendo embestido por el vehículo – que había sido sustraído- que se daba a la fuga, lo que causó graves desperfectos al coche policial</w:t>
      </w:r>
      <w:r>
        <w:t xml:space="preserve"> y contusiones al agente que se encontraba en su interior y aun así comenzó una persecución policial por carretera hasta que se hace a pie, al abandonar el vehículo los presuntos delincuentes, con la detención de uno de los individuos y huida de otro que f</w:t>
      </w:r>
      <w:r>
        <w:t>ue buscado durante hora y media, incluso con la colaboración de la Policía Local de El Rosario.”</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100" w:line="259" w:lineRule="auto"/>
        <w:ind w:left="360" w:firstLine="0"/>
        <w:jc w:val="left"/>
      </w:pPr>
      <w:r>
        <w:rPr>
          <w:b/>
        </w:rPr>
        <w:t xml:space="preserve"> </w:t>
      </w:r>
    </w:p>
    <w:p w:rsidR="00B064CF" w:rsidRDefault="00E32F70">
      <w:pPr>
        <w:spacing w:after="4"/>
        <w:ind w:left="355" w:right="68"/>
      </w:pPr>
      <w:r>
        <w:rPr>
          <w:b/>
        </w:rPr>
        <w:t xml:space="preserve">DICTAMEN FAVORABLE DE LA COMISIÓN INFORMATIVA DE HACIENDA, RECURSOS HUMANOS Y SERVICIOS GENERALES DE 24 DE MAYO DE  2021.  </w:t>
      </w:r>
    </w:p>
    <w:p w:rsidR="00B064CF" w:rsidRDefault="00E32F70">
      <w:pPr>
        <w:spacing w:after="0" w:line="259" w:lineRule="auto"/>
        <w:ind w:left="360" w:firstLine="0"/>
        <w:jc w:val="left"/>
      </w:pPr>
      <w:r>
        <w:rPr>
          <w:b/>
        </w:rPr>
        <w:t xml:space="preserve"> </w:t>
      </w:r>
    </w:p>
    <w:p w:rsidR="00B064CF" w:rsidRDefault="00E32F70">
      <w:pPr>
        <w:spacing w:after="11"/>
        <w:ind w:left="355" w:right="72"/>
      </w:pPr>
      <w:r>
        <w:t xml:space="preserve">Votos a favor: </w:t>
      </w:r>
    </w:p>
    <w:p w:rsidR="00B064CF" w:rsidRDefault="00E32F70">
      <w:pPr>
        <w:spacing w:after="11"/>
        <w:ind w:left="355" w:right="72"/>
      </w:pPr>
      <w:r>
        <w:t xml:space="preserve">La unanimidad de los 7 concejales presentes. </w:t>
      </w:r>
    </w:p>
    <w:p w:rsidR="00B064CF" w:rsidRDefault="00E32F70">
      <w:pPr>
        <w:spacing w:after="0" w:line="259" w:lineRule="auto"/>
        <w:ind w:left="360" w:firstLine="0"/>
        <w:jc w:val="left"/>
      </w:pPr>
      <w:r>
        <w:t xml:space="preserve"> </w:t>
      </w:r>
    </w:p>
    <w:p w:rsidR="00B064CF" w:rsidRDefault="00E32F70">
      <w:pPr>
        <w:spacing w:after="0"/>
        <w:ind w:left="355" w:right="72"/>
      </w:pPr>
      <w:r>
        <w:t xml:space="preserve">Los 4 concejales del Grupo Socialista: Don Airam Pérez Chinea, Don José Francisco Pinto Ramos, Don Olegario Francisco Alonso Bello y Doña Margarita Eva Tendero Barroso. </w:t>
      </w:r>
    </w:p>
    <w:p w:rsidR="00B064CF" w:rsidRDefault="00E32F70">
      <w:pPr>
        <w:spacing w:after="0" w:line="259" w:lineRule="auto"/>
        <w:ind w:left="360" w:firstLine="0"/>
        <w:jc w:val="left"/>
      </w:pPr>
      <w:r>
        <w:t xml:space="preserve"> </w:t>
      </w:r>
    </w:p>
    <w:p w:rsidR="00B064CF" w:rsidRDefault="00E32F70">
      <w:pPr>
        <w:spacing w:after="11"/>
        <w:ind w:left="355" w:right="72"/>
      </w:pPr>
      <w:r>
        <w:t>El concejal del Grupo Popular, Don J</w:t>
      </w:r>
      <w:r>
        <w:t xml:space="preserve">uan Miguel Olivera González.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La  concejal del Grupo Mixto (CC-PNC), Doña Ángela Cruz Perera. </w:t>
      </w:r>
    </w:p>
    <w:p w:rsidR="00B064CF" w:rsidRDefault="00E32F70">
      <w:pPr>
        <w:spacing w:after="0" w:line="259" w:lineRule="auto"/>
        <w:ind w:left="360" w:firstLine="0"/>
        <w:jc w:val="left"/>
      </w:pPr>
      <w:r>
        <w:rPr>
          <w:rFonts w:ascii="Calibri" w:eastAsia="Calibri" w:hAnsi="Calibri" w:cs="Calibri"/>
          <w:noProof/>
        </w:rPr>
        <mc:AlternateContent>
          <mc:Choice Requires="wpg">
            <w:drawing>
              <wp:anchor distT="0" distB="0" distL="114300" distR="114300" simplePos="0" relativeHeight="25175859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83038" name="Group 383038"/>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2367" name="Rectangle 22367"/>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2368" name="Rectangle 22368"/>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95 de 298 </w:t>
                              </w:r>
                            </w:p>
                          </w:txbxContent>
                        </wps:txbx>
                        <wps:bodyPr horzOverflow="overflow" vert="horz" lIns="0" tIns="0" rIns="0" bIns="0" rtlCol="0">
                          <a:noAutofit/>
                        </wps:bodyPr>
                      </wps:wsp>
                    </wpg:wgp>
                  </a:graphicData>
                </a:graphic>
              </wp:anchor>
            </w:drawing>
          </mc:Choice>
          <mc:Fallback xmlns:a="http://schemas.openxmlformats.org/drawingml/2006/main">
            <w:pict>
              <v:group id="Group 383038" style="width:12.7031pt;height:278.91pt;position:absolute;mso-position-horizontal-relative:page;mso-position-horizontal:absolute;margin-left:682.278pt;mso-position-vertical-relative:page;margin-top:533.01pt;" coordsize="1613,35421">
                <v:rect id="Rectangle 22367"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2368"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95 de 298 </w:t>
                        </w:r>
                      </w:p>
                    </w:txbxContent>
                  </v:textbox>
                </v:rect>
                <w10:wrap type="square"/>
              </v:group>
            </w:pict>
          </mc:Fallback>
        </mc:AlternateContent>
      </w:r>
      <w:r>
        <w:t xml:space="preserve"> </w:t>
      </w:r>
    </w:p>
    <w:p w:rsidR="00B064CF" w:rsidRDefault="00E32F70">
      <w:pPr>
        <w:spacing w:after="11"/>
        <w:ind w:left="355" w:right="72"/>
      </w:pPr>
      <w:r>
        <w:t xml:space="preserve">La concejal del Grupo Mixto (SSP), Doña Lourdes del Carmen Mondéjar Rondón. </w:t>
      </w:r>
    </w:p>
    <w:p w:rsidR="00B064CF" w:rsidRDefault="00E32F70">
      <w:pPr>
        <w:spacing w:after="0" w:line="259" w:lineRule="auto"/>
        <w:ind w:left="360" w:firstLine="0"/>
        <w:jc w:val="left"/>
      </w:pPr>
      <w:r>
        <w:rPr>
          <w:b/>
        </w:rPr>
        <w:t xml:space="preserve"> </w:t>
      </w:r>
    </w:p>
    <w:p w:rsidR="00B064CF" w:rsidRDefault="00E32F70">
      <w:pPr>
        <w:spacing w:after="0" w:line="259" w:lineRule="auto"/>
        <w:ind w:left="360" w:firstLine="0"/>
        <w:jc w:val="left"/>
      </w:pPr>
      <w:r>
        <w:rPr>
          <w:b/>
        </w:rPr>
        <w:t xml:space="preserve"> </w:t>
      </w:r>
    </w:p>
    <w:p w:rsidR="00B064CF" w:rsidRDefault="00E32F70">
      <w:pPr>
        <w:spacing w:after="4"/>
        <w:ind w:left="355" w:right="68"/>
      </w:pPr>
      <w:r>
        <w:rPr>
          <w:b/>
        </w:rPr>
        <w:t xml:space="preserve">JUNTA DE PORTAVOCES DE 24 DE MAYO DE 2021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Quedó oída.  </w:t>
      </w:r>
    </w:p>
    <w:p w:rsidR="00B064CF" w:rsidRDefault="00E32F70">
      <w:pPr>
        <w:spacing w:after="0" w:line="259" w:lineRule="auto"/>
        <w:ind w:left="360" w:firstLine="0"/>
        <w:jc w:val="left"/>
      </w:pPr>
      <w:r>
        <w:rPr>
          <w:b/>
        </w:rPr>
        <w:t xml:space="preserve"> </w:t>
      </w:r>
    </w:p>
    <w:p w:rsidR="00B064CF" w:rsidRDefault="00E32F70">
      <w:pPr>
        <w:spacing w:after="4"/>
        <w:ind w:left="355" w:right="143"/>
      </w:pPr>
      <w:r>
        <w:rPr>
          <w:b/>
        </w:rPr>
        <w:t>Se debatió y votó</w:t>
      </w:r>
      <w:r>
        <w:rPr>
          <w:b/>
        </w:rPr>
        <w:t xml:space="preserve"> de forma conjunta los puntos 4 y 5 del orden del día al tratarse de la misma propuesta del Concejal delegado pero que figuraba en dos expedientes diferentes abiertos en el Servicio de Recursos Humanos. </w:t>
      </w:r>
    </w:p>
    <w:p w:rsidR="00B064CF" w:rsidRDefault="00E32F70">
      <w:pPr>
        <w:spacing w:after="0" w:line="259" w:lineRule="auto"/>
        <w:ind w:left="360" w:firstLine="0"/>
        <w:jc w:val="left"/>
      </w:pPr>
      <w:r>
        <w:rPr>
          <w:b/>
        </w:rPr>
        <w:t xml:space="preserve"> </w:t>
      </w:r>
    </w:p>
    <w:p w:rsidR="00B064CF" w:rsidRDefault="00E32F70">
      <w:pPr>
        <w:spacing w:after="4"/>
        <w:ind w:left="355" w:right="68"/>
      </w:pPr>
      <w:r>
        <w:rPr>
          <w:b/>
        </w:rPr>
        <w:t xml:space="preserve">VOTACIÓN EN EL PLENO DE 27 DE MAYO DE 2021 DE LOS </w:t>
      </w:r>
      <w:r>
        <w:rPr>
          <w:b/>
        </w:rPr>
        <w:t xml:space="preserve">PUNTOS 4 Y 5 DEL ORDEN DEL DÍA: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La unanimidad de los 14 concejales presentes: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11 concejales del Grupo Socialista: Doña María Concepción Brito Núñez, Don Jorge Baute Delgado, </w:t>
      </w:r>
    </w:p>
    <w:p w:rsidR="00B064CF" w:rsidRDefault="00E32F70">
      <w:pPr>
        <w:spacing w:after="114"/>
        <w:ind w:left="355" w:right="147"/>
      </w:pPr>
      <w:r>
        <w:t>Doña Olivia Concepción Pérez Díaz, Don José Francisco Pinto Ramos, Doña Hilaria Cecilia Otazo González, Don Airam Pérez Chinea, Doña Margarita Eva Tendero Barroso, Don Manuel Alberto González Pestano, Doña María del Carmen Clemente Díaz, Don Olegario Franc</w:t>
      </w:r>
      <w:r>
        <w:t xml:space="preserve">isco Alonso Bello y Don Reinaldo José Triviño Blanco. </w:t>
      </w:r>
    </w:p>
    <w:p w:rsidR="00B064CF" w:rsidRDefault="00E32F70">
      <w:pPr>
        <w:spacing w:after="0" w:line="259" w:lineRule="auto"/>
        <w:ind w:left="360" w:firstLine="0"/>
        <w:jc w:val="left"/>
      </w:pPr>
      <w:r>
        <w:t xml:space="preserve"> </w:t>
      </w:r>
    </w:p>
    <w:p w:rsidR="00B064CF" w:rsidRDefault="00E32F70">
      <w:pPr>
        <w:spacing w:after="109"/>
        <w:ind w:left="355" w:right="72"/>
      </w:pPr>
      <w:r>
        <w:t xml:space="preserve">3 concejales del Grupo Mixto: Don Antonio Delgado García y Lourdes del Carmen Mondéjar Rondón (SSP) y Doña Ángela Cruz Perera (CC-PNC). </w:t>
      </w:r>
    </w:p>
    <w:p w:rsidR="00B064CF" w:rsidRDefault="00E32F70">
      <w:pPr>
        <w:spacing w:after="0" w:line="259" w:lineRule="auto"/>
        <w:ind w:left="360" w:firstLine="0"/>
        <w:jc w:val="left"/>
      </w:pPr>
      <w:r>
        <w:rPr>
          <w:b/>
        </w:rPr>
        <w:t xml:space="preserve"> </w:t>
      </w:r>
    </w:p>
    <w:p w:rsidR="00B064CF" w:rsidRDefault="00E32F70">
      <w:pPr>
        <w:spacing w:after="0" w:line="259" w:lineRule="auto"/>
        <w:ind w:left="360" w:firstLine="0"/>
        <w:jc w:val="left"/>
      </w:pPr>
      <w:r>
        <w:rPr>
          <w:b/>
        </w:rPr>
        <w:t xml:space="preserve"> </w:t>
      </w:r>
    </w:p>
    <w:p w:rsidR="00B064CF" w:rsidRDefault="00E32F70">
      <w:pPr>
        <w:spacing w:after="0" w:line="259" w:lineRule="auto"/>
        <w:ind w:left="273" w:firstLine="0"/>
        <w:jc w:val="center"/>
      </w:pPr>
      <w:r>
        <w:rPr>
          <w:b/>
        </w:rPr>
        <w:t xml:space="preserve"> </w:t>
      </w:r>
    </w:p>
    <w:p w:rsidR="00B064CF" w:rsidRDefault="00E32F70">
      <w:pPr>
        <w:spacing w:after="0" w:line="259" w:lineRule="auto"/>
        <w:ind w:left="273" w:firstLine="0"/>
        <w:jc w:val="center"/>
      </w:pPr>
      <w:r>
        <w:rPr>
          <w:b/>
        </w:rPr>
        <w:t xml:space="preserve"> </w:t>
      </w:r>
    </w:p>
    <w:p w:rsidR="00B064CF" w:rsidRDefault="00E32F70">
      <w:pPr>
        <w:spacing w:after="9" w:line="249" w:lineRule="auto"/>
        <w:ind w:left="290" w:right="71"/>
        <w:jc w:val="center"/>
      </w:pPr>
      <w:r>
        <w:rPr>
          <w:b/>
        </w:rPr>
        <w:t xml:space="preserve">ACUERDO DEL PLENO DE 27 DE MAYO DE 2021. </w:t>
      </w:r>
    </w:p>
    <w:p w:rsidR="00B064CF" w:rsidRDefault="00E32F70">
      <w:pPr>
        <w:spacing w:after="0" w:line="259" w:lineRule="auto"/>
        <w:ind w:left="360" w:firstLine="0"/>
        <w:jc w:val="left"/>
      </w:pPr>
      <w:r>
        <w:rPr>
          <w:b/>
        </w:rPr>
        <w:t xml:space="preserve"> </w:t>
      </w:r>
    </w:p>
    <w:p w:rsidR="00B064CF" w:rsidRDefault="00E32F70">
      <w:pPr>
        <w:spacing w:after="4"/>
        <w:ind w:left="355" w:right="68"/>
      </w:pPr>
      <w:r>
        <w:rPr>
          <w:b/>
        </w:rPr>
        <w:t>Reconocer,</w:t>
      </w:r>
      <w:r>
        <w:rPr>
          <w:b/>
        </w:rPr>
        <w:t xml:space="preserve"> felicitar y otorgar mención pública por su destacada labor a los/as siguientes agentes de la Policía Local de Candelaria: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0"/>
        <w:ind w:left="355" w:right="142"/>
      </w:pPr>
      <w:r>
        <w:t xml:space="preserve">1º.- Agente de la Policía local de Candelaria </w:t>
      </w:r>
      <w:r>
        <w:rPr>
          <w:b/>
        </w:rPr>
        <w:t>D. Guillermo Rodríguez Febles</w:t>
      </w:r>
      <w:r>
        <w:t>, con número de identificación A17, TIP 10405, por la</w:t>
      </w:r>
      <w:r>
        <w:t xml:space="preserve"> relevante actuación llevada a cabo en el servicio prestado el día 21 de junio de 2015, al intervenir en el Rescate y evacuación de una persona precipitada en las inmediaciones del barranco de Maja, colaborando de manera directa con los servicios de rescat</w:t>
      </w:r>
      <w:r>
        <w:t>e del Consorcio de Bomberos de la Isla de Tenerife.</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4"/>
      </w:pPr>
      <w:r>
        <w:t xml:space="preserve">2º.- Agente de la Policía de Candelaria </w:t>
      </w:r>
      <w:r>
        <w:rPr>
          <w:b/>
        </w:rPr>
        <w:t>D. Víctor Miguel García Hernández</w:t>
      </w:r>
      <w:r>
        <w:t>, con número de identificación A40, TIP 11253, por la relevante actuación llevada a cabo en el servicio prestado el día 21 de junio de 2015, al intervenir en el Rescate y evacuación de una persona precipitada en las inmediaciones del barranco de Maja, cola</w:t>
      </w:r>
      <w:r>
        <w:t>borando de manera directa con los servicios de rescate del Consorcio de Bomberos de la Isla de Tenerife.</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2"/>
      </w:pPr>
      <w:r>
        <w:rPr>
          <w:rFonts w:ascii="Calibri" w:eastAsia="Calibri" w:hAnsi="Calibri" w:cs="Calibri"/>
          <w:noProof/>
        </w:rPr>
        <mc:AlternateContent>
          <mc:Choice Requires="wpg">
            <w:drawing>
              <wp:anchor distT="0" distB="0" distL="114300" distR="114300" simplePos="0" relativeHeight="25175961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83435" name="Group 383435"/>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2496" name="Rectangle 22496"/>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2497" name="Rectangle 22497"/>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96 de 298 </w:t>
                              </w:r>
                            </w:p>
                          </w:txbxContent>
                        </wps:txbx>
                        <wps:bodyPr horzOverflow="overflow" vert="horz" lIns="0" tIns="0" rIns="0" bIns="0" rtlCol="0">
                          <a:noAutofit/>
                        </wps:bodyPr>
                      </wps:wsp>
                    </wpg:wgp>
                  </a:graphicData>
                </a:graphic>
              </wp:anchor>
            </w:drawing>
          </mc:Choice>
          <mc:Fallback xmlns:a="http://schemas.openxmlformats.org/drawingml/2006/main">
            <w:pict>
              <v:group id="Group 383435" style="width:12.7031pt;height:278.91pt;position:absolute;mso-position-horizontal-relative:page;mso-position-horizontal:absolute;margin-left:682.278pt;mso-position-vertical-relative:page;margin-top:533.01pt;" coordsize="1613,35421">
                <v:rect id="Rectangle 22496"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2497"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96 de 298 </w:t>
                        </w:r>
                      </w:p>
                    </w:txbxContent>
                  </v:textbox>
                </v:rect>
                <w10:wrap type="square"/>
              </v:group>
            </w:pict>
          </mc:Fallback>
        </mc:AlternateContent>
      </w:r>
      <w:r>
        <w:t xml:space="preserve">3º.- Agente de la Policía de Candelaria </w:t>
      </w:r>
      <w:r>
        <w:rPr>
          <w:b/>
        </w:rPr>
        <w:t>Dª María Loreto Rodríguez Monasterio</w:t>
      </w:r>
      <w:r>
        <w:t>, con número de identificación A38, TIP 10166, por la relevante actuación llevada a ca</w:t>
      </w:r>
      <w:r>
        <w:t>bo en el servicio prestado el día 21 de junio de 2015, al intervenir en el Rescate y evacuación de una persona precipitada en las inmediaciones del barranco de Maja, colaborando de manera directa con los servicios de rescate del Consorcio de Bomberos de la</w:t>
      </w:r>
      <w:r>
        <w:t xml:space="preserve"> Isla de Tenerife.</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6"/>
      </w:pPr>
      <w:r>
        <w:t xml:space="preserve">4º.- Agente de la Policía de Candelaria </w:t>
      </w:r>
      <w:r>
        <w:rPr>
          <w:b/>
        </w:rPr>
        <w:t>D. José Carlos Mata González</w:t>
      </w:r>
      <w:r>
        <w:t>, con número de identificación A39, TIP 13547, por la relevante actuación llevada a cabo en el servicio prestado el día 21 de junio de 2015, al intervenir en el Resca</w:t>
      </w:r>
      <w:r>
        <w:t>te y evacuación de una persona precipitada en las inmediaciones del barranco de Maja, colaborando de manera directa con los servicios de rescate del Consorcio de Bomberos de la Isla de Tenerife.</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3"/>
      </w:pPr>
      <w:r>
        <w:t xml:space="preserve">5º Agente de la Policía de Candelaria </w:t>
      </w:r>
      <w:r>
        <w:rPr>
          <w:b/>
        </w:rPr>
        <w:t>Dª Yurena García Cal</w:t>
      </w:r>
      <w:r>
        <w:rPr>
          <w:b/>
        </w:rPr>
        <w:t>cines</w:t>
      </w:r>
      <w:r>
        <w:t>, con número de identificación A35, TIP 13482, por la relevante actuación llevada a cabo en el servicio prestado el día 9 de abril de 2016, por su intervención en la intercepción y detención de un vehículo kamikaze en la TF01, interceptando al conduct</w:t>
      </w:r>
      <w:r>
        <w:t>or, que puso en riesgo su vida y la del resto de usuarios de la vida, anteponiendo la agente su propia integridad física para salvaguardar la de los usuarios.</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4"/>
      </w:pPr>
      <w:r>
        <w:t xml:space="preserve">6º Agente de la Policía de Candelaria </w:t>
      </w:r>
      <w:r>
        <w:rPr>
          <w:b/>
        </w:rPr>
        <w:t>D. Ruyman Cabrera Jiménez</w:t>
      </w:r>
      <w:r>
        <w:t xml:space="preserve">, con número de identificación </w:t>
      </w:r>
      <w:r>
        <w:t xml:space="preserve">A36, TIP 13755, por la relevante actuación llevada a cabo en el servicio prestado el día 9 de abril de 2016, por su intervención en la intercepción y detención de un vehículo kamikaze en la TF01, interceptando al conductor, que puso en riesgo su vida y la </w:t>
      </w:r>
      <w:r>
        <w:t>del resto de usuarios de la vida, anteponiendo el agente su propia integridad física para salvaguardar la de los usuarios.</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r>
        <w:tab/>
        <w:t xml:space="preserve"> </w:t>
      </w:r>
    </w:p>
    <w:p w:rsidR="00B064CF" w:rsidRDefault="00E32F70">
      <w:pPr>
        <w:spacing w:after="0"/>
        <w:ind w:left="355" w:right="72"/>
      </w:pPr>
      <w:r>
        <w:t xml:space="preserve">7º Agente de la Policía de Candelaria </w:t>
      </w:r>
      <w:r>
        <w:rPr>
          <w:b/>
        </w:rPr>
        <w:t>D. Cristino Alexis Cruz Pestano</w:t>
      </w:r>
      <w:r>
        <w:t>, con número de identificación A12, TIP 12038, por la relev</w:t>
      </w:r>
      <w:r>
        <w:t>ante actuación llevada a cabo en el servicio prestado el día 2 de abril de 2017, interceptando un vehículo sustraído por cuatro individuos con múltiples antecedentes penales, recuperando dicho vehículo y deteniendo a los presuntos autores con celeridad, di</w:t>
      </w:r>
      <w:r>
        <w:t>ligencia y eficacia.</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3"/>
      </w:pPr>
      <w:r>
        <w:t xml:space="preserve">8º Agente de la Policía de Candelaria </w:t>
      </w:r>
      <w:r>
        <w:rPr>
          <w:b/>
        </w:rPr>
        <w:t>D. Andrés Sixto Castro Marrero</w:t>
      </w:r>
      <w:r>
        <w:t>, con número de identificación A21, TIP 12798, por la relevante actuación llevada a cabo en el servicio prestado el día 2 de abril de 2017, interceptando un vehícul</w:t>
      </w:r>
      <w:r>
        <w:t>o sustraído por cuatro individuos con múltiples antecedentes penales, recuperando dicho vehículo y deteniendo a los presuntos autores con celeridad, diligencia y eficacia.</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6"/>
      </w:pPr>
      <w:r>
        <w:t xml:space="preserve">9º Agente de la Policía de Candelaria </w:t>
      </w:r>
      <w:r>
        <w:rPr>
          <w:b/>
        </w:rPr>
        <w:t>D. Tomás Jorge Pérez</w:t>
      </w:r>
      <w:r>
        <w:t>, con número de identificación A22, TIP 13470, por la relevante actuación llevada a cabo en el servicio prestado el día 2 de abril de 2017, interceptando un vehículo sustraído por cuatro individuos con múltiples antecedentes penales, recuperando dicho vehí</w:t>
      </w:r>
      <w:r>
        <w:t>culo y deteniendo a los presuntos autores con celeridad, diligencia y eficacia.</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4"/>
      </w:pPr>
      <w:r>
        <w:t xml:space="preserve">10º Agente de la Policía de Candelaria </w:t>
      </w:r>
      <w:r>
        <w:rPr>
          <w:b/>
        </w:rPr>
        <w:t>D. Ruyman Cabrera Jiménez</w:t>
      </w:r>
      <w:r>
        <w:t>, con número de identificación A36, TIP 13755, por la relevante actuación llevada a cabo en el servicio prest</w:t>
      </w:r>
      <w:r>
        <w:t>ado el día 2 de abril de 2017, interceptando un vehículo sustraído por cuatro individuos con múltiples antecedentes penales, recuperando dicho vehículo y deteniendo a los presuntos autores con celeridad, diligencia y eficacia.</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3"/>
      </w:pPr>
      <w:r>
        <w:rPr>
          <w:rFonts w:ascii="Calibri" w:eastAsia="Calibri" w:hAnsi="Calibri" w:cs="Calibri"/>
          <w:noProof/>
        </w:rPr>
        <mc:AlternateContent>
          <mc:Choice Requires="wpg">
            <w:drawing>
              <wp:anchor distT="0" distB="0" distL="114300" distR="114300" simplePos="0" relativeHeight="25176064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83562" name="Group 383562"/>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2624" name="Rectangle 22624"/>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w:t>
                              </w:r>
                              <w:r>
                                <w:rPr>
                                  <w:sz w:val="12"/>
                                </w:rPr>
                                <w:t xml:space="preserve">YNJRFPNN5DLPPAAC3GS | Verificación: https://candelaria.sedelectronica.es/ </w:t>
                              </w:r>
                            </w:p>
                          </w:txbxContent>
                        </wps:txbx>
                        <wps:bodyPr horzOverflow="overflow" vert="horz" lIns="0" tIns="0" rIns="0" bIns="0" rtlCol="0">
                          <a:noAutofit/>
                        </wps:bodyPr>
                      </wps:wsp>
                      <wps:wsp>
                        <wps:cNvPr id="22625" name="Rectangle 22625"/>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97 de 298 </w:t>
                              </w:r>
                            </w:p>
                          </w:txbxContent>
                        </wps:txbx>
                        <wps:bodyPr horzOverflow="overflow" vert="horz" lIns="0" tIns="0" rIns="0" bIns="0" rtlCol="0">
                          <a:noAutofit/>
                        </wps:bodyPr>
                      </wps:wsp>
                    </wpg:wgp>
                  </a:graphicData>
                </a:graphic>
              </wp:anchor>
            </w:drawing>
          </mc:Choice>
          <mc:Fallback xmlns:a="http://schemas.openxmlformats.org/drawingml/2006/main">
            <w:pict>
              <v:group id="Group 383562" style="width:12.7031pt;height:278.91pt;position:absolute;mso-position-horizontal-relative:page;mso-position-horizontal:absolute;margin-left:682.278pt;mso-position-vertical-relative:page;margin-top:533.01pt;" coordsize="1613,35421">
                <v:rect id="Rectangle 22624"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2625"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97 de 298 </w:t>
                        </w:r>
                      </w:p>
                    </w:txbxContent>
                  </v:textbox>
                </v:rect>
                <w10:wrap type="square"/>
              </v:group>
            </w:pict>
          </mc:Fallback>
        </mc:AlternateContent>
      </w:r>
      <w:r>
        <w:t xml:space="preserve">11º Agente de la Policía de Candelaria </w:t>
      </w:r>
      <w:r>
        <w:rPr>
          <w:b/>
        </w:rPr>
        <w:t>D. Jean Díaz Gómez</w:t>
      </w:r>
      <w:r>
        <w:t>, con número de identificación A15, TIP 13021, por la relevante actuación llevada a cabo en el servicio prestado el día 17 de septiembre de 2019, por la intervención en la localización y vigilancia activa de una vivienda en Bco Hondo en la cual se incautar</w:t>
      </w:r>
      <w:r>
        <w:t>on noventa plantas de marihuana, con resultado de tres detenidos por un presunto delito contra la salud pública.</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4"/>
      </w:pPr>
      <w:r>
        <w:t xml:space="preserve">12º Agente de la Policía de Candelaria </w:t>
      </w:r>
      <w:r>
        <w:rPr>
          <w:b/>
        </w:rPr>
        <w:t>D Ruyman Cabrera Jiménez</w:t>
      </w:r>
      <w:r>
        <w:t>, con número de identificación A36, TIP 13755, por la relevante actuación lle</w:t>
      </w:r>
      <w:r>
        <w:t>vada a cabo en el servicio prestado el día 17 de septiembre de 2019, por la intervención en la localización y vigilancia activa de una vivienda en Bco Hondo en la cual se incautaron noventa plantas de marihuana, con resultado de tres detenidos por un presu</w:t>
      </w:r>
      <w:r>
        <w:t>nto delito contra la salud pública.</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2"/>
      </w:pPr>
      <w:r>
        <w:t xml:space="preserve">13º.- Agente de la Policía local de Candelaria </w:t>
      </w:r>
      <w:r>
        <w:rPr>
          <w:b/>
        </w:rPr>
        <w:t>D. Guillermo Rodríguez Febles</w:t>
      </w:r>
      <w:r>
        <w:t>, con número de identificación A17, TIP 10405, por la relevante actuación llevada a cabo en el servicio prestado el día 23 de octubre de 2018</w:t>
      </w:r>
      <w:r>
        <w:t xml:space="preserve">, en la intervención en la detención de 2 individuos con diversos antecedentes penales, los cuales habían realizado entrada con fuerza en las cosas en una vivienda en la comunidad El Carmen, con la intención de apropiación de bienes ajenos y sin dilación, </w:t>
      </w:r>
      <w:r>
        <w:t>entereza y dedicación profesional procedió a la entrada y detención de los presuntos autores.</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4"/>
      </w:pPr>
      <w:r>
        <w:t xml:space="preserve">14º.- Agente de la Policía local de Candelaria </w:t>
      </w:r>
      <w:r>
        <w:rPr>
          <w:b/>
        </w:rPr>
        <w:t>D. Jose Carlos Mata González</w:t>
      </w:r>
      <w:r>
        <w:t xml:space="preserve">, con número de identificación A39, TIP 13547, por la relevante actuación llevada a </w:t>
      </w:r>
      <w:r>
        <w:t>cabo en el servicio prestado el día 23 de octubre de 2018, en la intervención en la detención de 2 individuos con diversos antecedentes penales, los cuales habían realizado entrada con fuerza en las cosas en una vivienda en la comunidad El Carmen, con la i</w:t>
      </w:r>
      <w:r>
        <w:t>ntención de apropiación de bienes ajenos y sin dilación, entereza y dedicación profesional procedió a la entrada y detención de los presuntos autores.</w:t>
      </w:r>
      <w:r>
        <w:rPr>
          <w:rFonts w:ascii="Times New Roman" w:eastAsia="Times New Roman" w:hAnsi="Times New Roman" w:cs="Times New Roman"/>
          <w:sz w:val="24"/>
        </w:rPr>
        <w:t xml:space="preserve"> </w:t>
      </w:r>
      <w:r>
        <w:t xml:space="preserve">15º.- Oficial de la Policía local de Candelaria </w:t>
      </w:r>
      <w:r>
        <w:rPr>
          <w:b/>
        </w:rPr>
        <w:t>D. Gregorio González Alonso</w:t>
      </w:r>
      <w:r>
        <w:t>, con número de identificación</w:t>
      </w:r>
      <w:r>
        <w:t xml:space="preserve"> C4, TIP 1320, por la relevante actuación llevada a cabo en el servicio prestado el día 6 de mayo de 2019, en la intervención en un conato de incendio que se propagó de forma acelerada en el Edf. Balcones de Candelaria, participando de manera enérgica en: </w:t>
      </w:r>
      <w:r>
        <w:t>la aplicación y cortes del tráfico rodado con desvíos a fin de que no peligrase la seguridad de los transeúntes y desalojo de los ocupantes de las viviendas afectadas y adyacentes, incluidos los heridos por quemaduras de grado medio. La Capacidad de reacci</w:t>
      </w:r>
      <w:r>
        <w:t>ón fue notable, poniendo en peligro su integridad física, con objeto de sofocar la viveza del fuego, conteniendo el conato hasta la llegada del servicio de extinción de incendios, lo que dio lugar, a que el responsable del cuerpo técnico de los bomberos se</w:t>
      </w:r>
      <w:r>
        <w:t xml:space="preserve">ñalase que </w:t>
      </w:r>
      <w:r>
        <w:rPr>
          <w:i/>
        </w:rPr>
        <w:t>“debido a la ágil respuesta policial, las consecuencias no fueron aun de mayor gravedad”.</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1"/>
      </w:pPr>
      <w:r>
        <w:rPr>
          <w:rFonts w:ascii="Calibri" w:eastAsia="Calibri" w:hAnsi="Calibri" w:cs="Calibri"/>
          <w:noProof/>
        </w:rPr>
        <mc:AlternateContent>
          <mc:Choice Requires="wpg">
            <w:drawing>
              <wp:anchor distT="0" distB="0" distL="114300" distR="114300" simplePos="0" relativeHeight="25176166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83716" name="Group 383716"/>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2752" name="Rectangle 22752"/>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2753" name="Rectangle 22753"/>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98 de 298 </w:t>
                              </w:r>
                            </w:p>
                          </w:txbxContent>
                        </wps:txbx>
                        <wps:bodyPr horzOverflow="overflow" vert="horz" lIns="0" tIns="0" rIns="0" bIns="0" rtlCol="0">
                          <a:noAutofit/>
                        </wps:bodyPr>
                      </wps:wsp>
                    </wpg:wgp>
                  </a:graphicData>
                </a:graphic>
              </wp:anchor>
            </w:drawing>
          </mc:Choice>
          <mc:Fallback xmlns:a="http://schemas.openxmlformats.org/drawingml/2006/main">
            <w:pict>
              <v:group id="Group 383716" style="width:12.7031pt;height:278.91pt;position:absolute;mso-position-horizontal-relative:page;mso-position-horizontal:absolute;margin-left:682.278pt;mso-position-vertical-relative:page;margin-top:533.01pt;" coordsize="1613,35421">
                <v:rect id="Rectangle 22752"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2753"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98 de 298 </w:t>
                        </w:r>
                      </w:p>
                    </w:txbxContent>
                  </v:textbox>
                </v:rect>
                <w10:wrap type="square"/>
              </v:group>
            </w:pict>
          </mc:Fallback>
        </mc:AlternateContent>
      </w:r>
      <w:r>
        <w:t xml:space="preserve">16º.- Oficial de la Policía local de Candelaria </w:t>
      </w:r>
      <w:r>
        <w:rPr>
          <w:b/>
        </w:rPr>
        <w:t>D. Gustavo Oliver Cabrera Jiménez</w:t>
      </w:r>
      <w:r>
        <w:t xml:space="preserve">, con número de identificación C9, TIP 13530, por la relevante actuación llevada </w:t>
      </w:r>
      <w:r>
        <w:t>a cabo en el servicio prestado el día 6 de mayo de 2019, en la intervención en un conato de incendio que se propagó de forma acelerada en el Edf. Balcones de Candelaria, participando de manera enérgica en: la aplicación y cortes del tráfico rodado con desv</w:t>
      </w:r>
      <w:r>
        <w:t xml:space="preserve">íos a fin de que no peligrase la seguridad de los transeúntes y desalojo de los ocupantes de las viviendas afectadas y adyacentes, incluidos los heridos por quemaduras de grado medio. La Capacidad de reacción fue notable, poniendo en peligro su integridad </w:t>
      </w:r>
      <w:r>
        <w:t>física, con objeto de sofocar la viveza del fuego, conteniendo el conato hasta la llegada del servicio de extinción de incendios, lo que dio lugar, a que el responsable del cuerpo técnico de los bomberos señalase que “debido a la ágil respuesta policial, l</w:t>
      </w:r>
      <w:r>
        <w:t>as consecuencias no fueron aun de mayor gravedad”.</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2"/>
      </w:pPr>
      <w:r>
        <w:t xml:space="preserve">17º.- Agente de la Policía local de Candelaria </w:t>
      </w:r>
      <w:r>
        <w:rPr>
          <w:b/>
        </w:rPr>
        <w:t>D. Guillermo Rodríguez Febles</w:t>
      </w:r>
      <w:r>
        <w:t>, con número de identificación A 17, TIP 10405, por la relevante actuación llevada a cabo en el servicio prestado el día, en l</w:t>
      </w:r>
      <w:r>
        <w:t>a intervención 6 de mayo de 2019, en la intervención en un conato de incendio que se propagó de forma acelerada en el Edf. Balcones de Candelaria, participando de manera enérgica en: la aplicación y cortes del tráfico rodado con desvíos a fin de que no pel</w:t>
      </w:r>
      <w:r>
        <w:t>igrase la seguridad de los transeúntes y desalojo de los ocupantes de las viviendas afectadas y adyacentes, incluidos los heridos por quemaduras de grado medio. La Capacidad de reacción fue notable, poniendo en peligro su integridad física, con objeto de s</w:t>
      </w:r>
      <w:r>
        <w:t>ofocar la viveza del fuego, conteniendo el conato hasta la llegada del servicio de extinción de incendios, lo que dio lugar, a que el responsable del cuerpo técnico de los bomberos señalase que “debido a la ágil respuesta policial, las consecuencias no fue</w:t>
      </w:r>
      <w:r>
        <w:t>ron aun de mayor gravedad”.</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3"/>
      </w:pPr>
      <w:r>
        <w:t xml:space="preserve">18º.- Agente de la Policía local de Candelaria </w:t>
      </w:r>
      <w:r>
        <w:rPr>
          <w:b/>
        </w:rPr>
        <w:t>D Antonio de las Casas Henríquez</w:t>
      </w:r>
      <w:r>
        <w:t>, con número de identificación A 16, TIP 10142, por la relevante actuación llevada a cabo en el servicio prestado el día, 6 de mayo de 2019, en la</w:t>
      </w:r>
      <w:r>
        <w:t xml:space="preserve"> intervención en un conato de incendio que se propagó de forma acelerada en el Edf. Balcones de Candelaria, participando de manera enérgica en: la aplicación y cortes del tráfico rodado con desvíos a fin de que no peligrase la seguridad de los transeúntes </w:t>
      </w:r>
      <w:r>
        <w:t>y desalojo de los ocupantes de las viviendas afectadas y adyacentes, incluidos los heridos por quemaduras de grado medio. La Capacidad de reacción fue notable, poniendo en peligro su integridad física, con objeto de sofocar la viveza del fuego, conteniendo</w:t>
      </w:r>
      <w:r>
        <w:t xml:space="preserve"> el conato hasta la llegada del servicio de extinción de incendios, lo que dio lugar, a que el responsable del cuerpo técnico de los bomberos señalase que “debido a la ágil respuesta policial, las consecuencias no fueron aun de mayor gravedad”.</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4"/>
      </w:pPr>
      <w:r>
        <w:t>19º.- Ag</w:t>
      </w:r>
      <w:r>
        <w:t xml:space="preserve">ente de la Policía local de Candelaria </w:t>
      </w:r>
      <w:r>
        <w:rPr>
          <w:b/>
        </w:rPr>
        <w:t>D. Javier Barrera Acosta</w:t>
      </w:r>
      <w:r>
        <w:t>, con número de identificación A37, TIP 11105, por la relevante actuación llevada a cabo en el servicio prestado, el día 6 de mayo de 2019, en la intervención en un conato de incendio que se pr</w:t>
      </w:r>
      <w:r>
        <w:t>opagó de forma acelerada en el Edf. Balcones de Candelaria, participando de manera enérgica en: la aplicación y cortes del tráfico rodado con desvíos a fin de que no peligrase la seguridad de los transeúntes y desalojo de los ocupantes de las viviendas afe</w:t>
      </w:r>
      <w:r>
        <w:t>ctadas y adyacentes, incluidos los heridos por quemaduras de grado medio. La Capacidad de reacción fue notable, poniendo en peligro su integridad física, con objeto de sofocar la viveza del fuego, conteniendo el conato hasta la llegada del servicio de exti</w:t>
      </w:r>
      <w:r>
        <w:t>nción de incendios, lo que dio lugar, a que el responsable del cuerpo técnico de los bomberos señalase que “debido a la ágil respuesta policial, las consecuencias no fueron aun de mayor gravedad”.</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r>
        <w:tab/>
        <w:t xml:space="preserve"> </w:t>
      </w:r>
    </w:p>
    <w:p w:rsidR="00B064CF" w:rsidRDefault="00E32F70">
      <w:pPr>
        <w:spacing w:after="0"/>
        <w:ind w:left="355" w:right="142"/>
      </w:pPr>
      <w:r>
        <w:t xml:space="preserve">20º.- Agente de la Policía local de Candelaria </w:t>
      </w:r>
      <w:r>
        <w:rPr>
          <w:b/>
        </w:rPr>
        <w:t>D. Juan</w:t>
      </w:r>
      <w:r>
        <w:rPr>
          <w:b/>
        </w:rPr>
        <w:t xml:space="preserve"> Andrés González Pérez</w:t>
      </w:r>
      <w:r>
        <w:t>, con número de identificación A10, TIP 11867, por la relevante actuación llevada a cabo en el servicio prestado el día 20 de agosto de 2019, contribuyendo de forma rápida y eficiente a actuar ante una llamada que informa de una señor</w:t>
      </w:r>
      <w:r>
        <w:t>a presuntamente ahogada, en el Edf. Afirama, personándose, realizando la RCP hasta la llegada de la ambulancia hasta conseguir constantes vitales positivas. Acto que dio lugar al responsable del CECOES a trasladar felicitaciones de los policías intervinien</w:t>
      </w:r>
      <w:r>
        <w:t>tes “ya que debido a su pronta intervención la Sra. Accidentada ingresó con vida en el hospital”</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r>
        <w:tab/>
        <w:t xml:space="preserve"> </w:t>
      </w:r>
    </w:p>
    <w:p w:rsidR="00B064CF" w:rsidRDefault="00E32F70">
      <w:pPr>
        <w:spacing w:after="0"/>
        <w:ind w:left="355" w:right="142"/>
      </w:pPr>
      <w:r>
        <w:rPr>
          <w:rFonts w:ascii="Calibri" w:eastAsia="Calibri" w:hAnsi="Calibri" w:cs="Calibri"/>
          <w:noProof/>
        </w:rPr>
        <mc:AlternateContent>
          <mc:Choice Requires="wpg">
            <w:drawing>
              <wp:anchor distT="0" distB="0" distL="114300" distR="114300" simplePos="0" relativeHeight="25176268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84178" name="Group 384178"/>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2891" name="Rectangle 22891"/>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2892" name="Rectangle 22892"/>
                        <wps:cNvSpPr/>
                        <wps:spPr>
                          <a:xfrm rot="-5399999">
                            <a:off x="-2070397" y="1282334"/>
                            <a:ext cx="440642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99 de 298 </w:t>
                              </w:r>
                            </w:p>
                          </w:txbxContent>
                        </wps:txbx>
                        <wps:bodyPr horzOverflow="overflow" vert="horz" lIns="0" tIns="0" rIns="0" bIns="0" rtlCol="0">
                          <a:noAutofit/>
                        </wps:bodyPr>
                      </wps:wsp>
                    </wpg:wgp>
                  </a:graphicData>
                </a:graphic>
              </wp:anchor>
            </w:drawing>
          </mc:Choice>
          <mc:Fallback xmlns:a="http://schemas.openxmlformats.org/drawingml/2006/main">
            <w:pict>
              <v:group id="Group 384178" style="width:12.7031pt;height:278.91pt;position:absolute;mso-position-horizontal-relative:page;mso-position-horizontal:absolute;margin-left:682.278pt;mso-position-vertical-relative:page;margin-top:533.01pt;" coordsize="1613,35421">
                <v:rect id="Rectangle 22891"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2892" style="position:absolute;width:44064;height:1132;left:-20703;top:128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99 de 298 </w:t>
                        </w:r>
                      </w:p>
                    </w:txbxContent>
                  </v:textbox>
                </v:rect>
                <w10:wrap type="square"/>
              </v:group>
            </w:pict>
          </mc:Fallback>
        </mc:AlternateContent>
      </w:r>
      <w:r>
        <w:t xml:space="preserve">21º.- Agente de la Policía local de Candelaria </w:t>
      </w:r>
      <w:r>
        <w:rPr>
          <w:b/>
        </w:rPr>
        <w:t>D. Juan Manuel Pérez Ramallo</w:t>
      </w:r>
      <w:r>
        <w:t>, con número de identificación A20, TIP 12269, por la relevante actuación llevada a cab</w:t>
      </w:r>
      <w:r>
        <w:t>o en el servicio prestado el día, 20 de agosto de 2019, contribuyendo de forma rápida y eficiente a actuar ante una llamada que informa de una señora presuntamente ahogada, en el Edf. Afirama, personándose, realizando la RCP hasta la llegada de la ambulanc</w:t>
      </w:r>
      <w:r>
        <w:t>ia hasta conseguir constantes vitales positivas. Acto que dio lugar al responsable del CECOES a trasladar felicitaciones de los policías intervinientes “ya que debido a su pronta intervención la Sra. Accidentada ingresó con vida en el hospital”</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4"/>
      </w:pPr>
      <w:r>
        <w:t>22º.- Ag</w:t>
      </w:r>
      <w:r>
        <w:t xml:space="preserve">ente de la Policía local de Candelaria </w:t>
      </w:r>
      <w:r>
        <w:rPr>
          <w:b/>
        </w:rPr>
        <w:t>D. Antonio de las Casas Henríquez</w:t>
      </w:r>
      <w:r>
        <w:t xml:space="preserve">, con número de identificación A16, TIP 10142, por la relevante actuación llevada a cabo en el servicio prestado el día 20 de agosto de 2019, contribuyendo de forma rápida y eficiente </w:t>
      </w:r>
      <w:r>
        <w:t>a actuar ante una llamada que informa de una señora presuntamente ahogada, en el Edf. Afirama, personándose, realizando la RCP hasta la llegada de la ambulancia hasta conseguir constantes vitales positivas. Acto que dio lugar al responsable del CECOES a tr</w:t>
      </w:r>
      <w:r>
        <w:t>asladar felicitaciones de los policías intervinientes “ya que debido a su pronta intervención la Sra. Accidentada ingresó con vida en el hospital”</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1"/>
      </w:pPr>
      <w:r>
        <w:t xml:space="preserve">23º.- Oficial de la Policía local de Candelaria </w:t>
      </w:r>
      <w:r>
        <w:rPr>
          <w:b/>
        </w:rPr>
        <w:t>D. Gustavo Oliver Cabrera Jiménez</w:t>
      </w:r>
      <w:r>
        <w:t>, con número de identific</w:t>
      </w:r>
      <w:r>
        <w:t>ación C9, TIP 13530, por la relevante actuación llevada a cabo en el servicio prestado el día 14 de enero de 2020, que estando fuera de servicio, esperando para coger vuelo de vuelta a Tenerife en el Aeropuerto Adolfo Suárez Madrid Barajas, observó como un</w:t>
      </w:r>
      <w:r>
        <w:t>a pareja mantenía una discusión, resultando que el joven –que resultó ser un menor de edad- agarró a su pareja sentimental por el cuello propinándole un puñetazo en la boca, abalanzándose sobre dicho sujeto para interrumpir e impedir la agresión. Procedien</w:t>
      </w:r>
      <w:r>
        <w:t>do a su detención mientras dicho sujeto golpeaba a uno de los agentes intervinientes y a miembros de seguridad del propio aeropuerto.</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72"/>
      </w:pPr>
      <w:r>
        <w:t xml:space="preserve">24º.- Agente de la Policía local de Candelaria </w:t>
      </w:r>
      <w:r>
        <w:rPr>
          <w:b/>
        </w:rPr>
        <w:t>D.Ruyman Cabrera Jiménez</w:t>
      </w:r>
      <w:r>
        <w:t>, con número de identificación A36, TIP 13755, p</w:t>
      </w:r>
      <w:r>
        <w:t>or la relevante actuación llevada a cabo en el servicio prestado el día, 14 de enero de 2020, que estando fuera de servicio, esperando para coger vuelo de vuelta a Tenerife en el Aeropuerto Adolfo Suárez Madrid Barajas, observó como una pareja mantenía una</w:t>
      </w:r>
      <w:r>
        <w:t xml:space="preserve"> discusión, resultando que el joven –que resultó ser un menor de edad- agarró a su pareja sentimental por el cuello propinándole un puñetazo en la boca, abalanzándose sobre dicho sujeto para interrumpir e impedir la agresión. Procediendo a su detención mie</w:t>
      </w:r>
      <w:r>
        <w:t>ntras dicho sujeto golpeaba a uno de los agentes intervinientes y a miembros de seguridad del propio aeropuerto.</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2"/>
      </w:pPr>
      <w:r>
        <w:t xml:space="preserve">25º.- Agente de la Policía local de Candelaria </w:t>
      </w:r>
      <w:r>
        <w:rPr>
          <w:b/>
        </w:rPr>
        <w:t>D. Ruyman Cabrera Jiménez</w:t>
      </w:r>
      <w:r>
        <w:t>, con número de identificación A36, TIP 13755, por la relevante actu</w:t>
      </w:r>
      <w:r>
        <w:t>ación llevada a cabo en el servicio prestado el día 17 de abril de 2020, en la intervención de forma activa, diligente y eficaz, en beneficio de la seguridad ciudadana, en la interceptación de sustancias estupefacientes de índole prohibida (once paquetes d</w:t>
      </w:r>
      <w:r>
        <w:t>e hachís que suman aproximadamente 300 gr. Y otras sustancias), tras el seguimiento a pie, por varias calles (Rb de los Menceyes y Calle Arenitas) del portador de las señaladas sustancias, hasta su detención, con resistencia, y puesta a disposición judicia</w:t>
      </w:r>
      <w:r>
        <w:t>l.</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1"/>
      </w:pPr>
      <w:r>
        <w:rPr>
          <w:rFonts w:ascii="Calibri" w:eastAsia="Calibri" w:hAnsi="Calibri" w:cs="Calibri"/>
          <w:noProof/>
        </w:rPr>
        <mc:AlternateContent>
          <mc:Choice Requires="wpg">
            <w:drawing>
              <wp:anchor distT="0" distB="0" distL="114300" distR="114300" simplePos="0" relativeHeight="25176371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84308" name="Group 384308"/>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3048" name="Rectangle 23048"/>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3049" name="Rectangle 23049"/>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100 de 298 </w:t>
                              </w:r>
                            </w:p>
                          </w:txbxContent>
                        </wps:txbx>
                        <wps:bodyPr horzOverflow="overflow" vert="horz" lIns="0" tIns="0" rIns="0" bIns="0" rtlCol="0">
                          <a:noAutofit/>
                        </wps:bodyPr>
                      </wps:wsp>
                    </wpg:wgp>
                  </a:graphicData>
                </a:graphic>
              </wp:anchor>
            </w:drawing>
          </mc:Choice>
          <mc:Fallback xmlns:a="http://schemas.openxmlformats.org/drawingml/2006/main">
            <w:pict>
              <v:group id="Group 384308" style="width:12.7031pt;height:278.91pt;position:absolute;mso-position-horizontal-relative:page;mso-position-horizontal:absolute;margin-left:682.278pt;mso-position-vertical-relative:page;margin-top:533.01pt;" coordsize="1613,35421">
                <v:rect id="Rectangle 23048"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3049"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100 de 298 </w:t>
                        </w:r>
                      </w:p>
                    </w:txbxContent>
                  </v:textbox>
                </v:rect>
                <w10:wrap type="square"/>
              </v:group>
            </w:pict>
          </mc:Fallback>
        </mc:AlternateContent>
      </w:r>
      <w:r>
        <w:t xml:space="preserve">26º.- Agente de la Policía local de Candelaria  </w:t>
      </w:r>
      <w:r>
        <w:rPr>
          <w:b/>
        </w:rPr>
        <w:t>D Cristino Alexis Cruz Pestano</w:t>
      </w:r>
      <w:r>
        <w:t>, con número de identificación A12, TIP 12038, por la relevante actuación llevada a cabo en el servicio prestado el día 13 de abril de 2021 en el que tras conocer sobre un intento de hurto en el Mercadona de Caletillas, proced</w:t>
      </w:r>
      <w:r>
        <w:t>e a bloquear la vía en la zona de la rotonda del Mc Donals, siendo embestido por el vehículo – que había sido sustraído- que se daba a la fuga, lo que causó graves desperfectos al coche policial y contusiones al agente que se encontraba en su interior y aú</w:t>
      </w:r>
      <w:r>
        <w:t>n así comenzó una persecución policial por carretera hasta que se hace a pie, al abandonar el vehículo los presuntos delincuentes, con la detención de uno de los individuos y huida de otro que fue buscado durante hora y media, incluso con la colaboración d</w:t>
      </w:r>
      <w:r>
        <w:t xml:space="preserve">e la Policía Local de El Rosario., </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5"/>
      </w:pPr>
      <w:r>
        <w:t xml:space="preserve">27º.- Agente de la Policía local de Candelaria </w:t>
      </w:r>
      <w:r>
        <w:rPr>
          <w:b/>
        </w:rPr>
        <w:t>D. Juan Manuel Pérez Ramallo</w:t>
      </w:r>
      <w:r>
        <w:t xml:space="preserve">, con número de identificación A20, TIP12269, por la relevante actuación llevada a cabo en el servicio prestado el día 13 de abril de 2021 en </w:t>
      </w:r>
      <w:r>
        <w:t>el que tras conocer sobre un intento de hurto en el Mercadona de Caletillas, procede a bloquear la vía en la zona de la rotonda del Mc Donals, siendo embestido por el vehículo – que había sido sustraído- que se daba a la fuga, lo que causó graves desperfec</w:t>
      </w:r>
      <w:r>
        <w:t xml:space="preserve">tos al coche policial y contusiones al agente que se encontraba en su interior y aún así comenzó una persecución policial por carretera hasta que se hace a pie, al abandonar el vehículo los presuntos delincuentes, con la detención de uno de los individuos </w:t>
      </w:r>
      <w:r>
        <w:t>y huida de otro que fue buscado durante hora y media, incluso con la colaboración de la Policía Local de El Rosario.</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2"/>
      </w:pPr>
      <w:r>
        <w:t xml:space="preserve">28º.- Agente de la Policía local de Candelaria </w:t>
      </w:r>
      <w:r>
        <w:rPr>
          <w:b/>
        </w:rPr>
        <w:t>D Andrés Sixto Castro Marrero</w:t>
      </w:r>
      <w:r>
        <w:t>, con número de identificación A21, TIP 12798, por la releva</w:t>
      </w:r>
      <w:r>
        <w:t>nte actuación llevada a cabo en el servicio prestado el día  13 de abril de 2021 en el que tras conocer sobre un intento de hurto en el Mercadona de Caletillas, procede a bloquear la vía en la zona de la rotonda del Mc Donals, siendo embestido por el vehíc</w:t>
      </w:r>
      <w:r>
        <w:t>ulo – que había sido sustraído- que se daba a la fuga, lo que causó graves desperfectos al coche policial y contusiones al agente que se encontraba en su interior y aún así comenzó una persecución policial por carretera hasta que se hace a pie, al abandona</w:t>
      </w:r>
      <w:r>
        <w:t>r el vehículo los presuntos delincuentes, con la detención de uno de los individuos y huida de otro que fue buscado durante hora y media, incluso con la colaboración de la Policía Local de El Rosario.</w:t>
      </w:r>
      <w:r>
        <w:rPr>
          <w:rFonts w:ascii="Times New Roman" w:eastAsia="Times New Roman" w:hAnsi="Times New Roman" w:cs="Times New Roman"/>
          <w:sz w:val="24"/>
        </w:rPr>
        <w:t xml:space="preserve"> </w:t>
      </w:r>
    </w:p>
    <w:p w:rsidR="00B064CF" w:rsidRDefault="00E32F70">
      <w:pPr>
        <w:spacing w:after="0"/>
        <w:ind w:left="355" w:right="141"/>
      </w:pPr>
      <w:r>
        <w:t xml:space="preserve">29º.- Agente de la Policía local de Candelaria </w:t>
      </w:r>
      <w:r>
        <w:rPr>
          <w:b/>
        </w:rPr>
        <w:t>D Tomás</w:t>
      </w:r>
      <w:r>
        <w:rPr>
          <w:b/>
        </w:rPr>
        <w:t xml:space="preserve"> Jorge Pérez</w:t>
      </w:r>
      <w:r>
        <w:t>, con número de identificación A22, TIP 13470, por la relevante actuación llevada a cabo en el servicio prestado el día 13 de abril de 2021 en el que tras conocer sobre un intento de hurto en el Mercadona de Caletillas, procede a bloquear la ví</w:t>
      </w:r>
      <w:r>
        <w:t xml:space="preserve">a en la zona de la rotonda del Mc Donals, siendo embestido por el vehículo – que había sido sustraído- que se daba a la fuga, lo que causó graves desperfectos al coche policial y contusiones al agente que se encontraba en su interior y aún así comenzó una </w:t>
      </w:r>
      <w:r>
        <w:t>persecución policial por carretera hasta que se hace a pie, al abandonar el vehículo los presuntos delincuentes, con la detención de uno de los individuos y huida de otro que fue buscado durante hora y media, incluso con la colaboración de la Policía Local</w:t>
      </w:r>
      <w:r>
        <w:t xml:space="preserve"> de El Rosario.</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3"/>
      </w:pPr>
      <w:r>
        <w:t xml:space="preserve">30º.- Agente de la Policía local de Candelaria </w:t>
      </w:r>
      <w:r>
        <w:rPr>
          <w:b/>
        </w:rPr>
        <w:t>D Antonio de las Casas Henríquez</w:t>
      </w:r>
      <w:r>
        <w:t>, con número de identificación A 16, TIP 10142, por la relevante actuación llevada a cabo en el servicio prestado el día 13 de abril de 2021 en el que tras co</w:t>
      </w:r>
      <w:r>
        <w:t>nocer sobre un intento de hurto en el Mercadona de Caletillas, procede a bloquear la vía en la zona de la rotonda del Mc Donals, siendo embestido por el vehículo – que había sido sustraído- que se daba a la fuga, lo que causó graves desperfectos al coche p</w:t>
      </w:r>
      <w:r>
        <w:t>olicial y contusiones al agente que se encontraba en su interior y aún así comenzó una persecución policial por carretera hasta que se hace a pie, al abandonar el vehículo los presuntos delincuentes, con la detención de uno de los individuos y huida de otr</w:t>
      </w:r>
      <w:r>
        <w:t>o que fue buscado durante hora y media, incluso con la colaboración de la Policía Local de El Rosario.</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1"/>
      </w:pPr>
      <w:r>
        <w:rPr>
          <w:rFonts w:ascii="Calibri" w:eastAsia="Calibri" w:hAnsi="Calibri" w:cs="Calibri"/>
          <w:noProof/>
        </w:rPr>
        <mc:AlternateContent>
          <mc:Choice Requires="wpg">
            <w:drawing>
              <wp:anchor distT="0" distB="0" distL="114300" distR="114300" simplePos="0" relativeHeight="25176473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84378" name="Group 384378"/>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3180" name="Rectangle 23180"/>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3181" name="Rectangle 23181"/>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101 de 298 </w:t>
                              </w:r>
                            </w:p>
                          </w:txbxContent>
                        </wps:txbx>
                        <wps:bodyPr horzOverflow="overflow" vert="horz" lIns="0" tIns="0" rIns="0" bIns="0" rtlCol="0">
                          <a:noAutofit/>
                        </wps:bodyPr>
                      </wps:wsp>
                    </wpg:wgp>
                  </a:graphicData>
                </a:graphic>
              </wp:anchor>
            </w:drawing>
          </mc:Choice>
          <mc:Fallback xmlns:a="http://schemas.openxmlformats.org/drawingml/2006/main">
            <w:pict>
              <v:group id="Group 384378" style="width:12.7031pt;height:278.91pt;position:absolute;mso-position-horizontal-relative:page;mso-position-horizontal:absolute;margin-left:682.278pt;mso-position-vertical-relative:page;margin-top:533.01pt;" coordsize="1613,35421">
                <v:rect id="Rectangle 23180"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3181"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101 de 298 </w:t>
                        </w:r>
                      </w:p>
                    </w:txbxContent>
                  </v:textbox>
                </v:rect>
                <w10:wrap type="square"/>
              </v:group>
            </w:pict>
          </mc:Fallback>
        </mc:AlternateContent>
      </w:r>
      <w:r>
        <w:t xml:space="preserve">31º.- Agente de la Policía local de Candelaria </w:t>
      </w:r>
      <w:r>
        <w:rPr>
          <w:b/>
        </w:rPr>
        <w:t>D. Sergio Martín Rodríguez</w:t>
      </w:r>
      <w:r>
        <w:t>, con número de identificación A 45, TIP 10295, por la relevante actuación llevada a cab</w:t>
      </w:r>
      <w:r>
        <w:t>o en el servicio prestado el día 13 de abril de 2021 en el que tras conocer sobre un intento de hurto en el Mercadona de Caletillas, procede a bloquear la vía en la zona de la rotonda del Mc Donals, siendo embestido por el vehículo – que había sido sustraí</w:t>
      </w:r>
      <w:r>
        <w:t xml:space="preserve">do- que se daba a la fuga, lo que causó graves desperfectos al coche policial y contusiones al agente que se encontraba en su interior y aun así comenzó una persecución policial por carretera hasta que se hace a pie, al abandonar el vehículo los presuntos </w:t>
      </w:r>
      <w:r>
        <w:t xml:space="preserve">delincuentes, con la detención de uno de los individuos y huida de otro que fue buscado durante hora y media, incluso con la colaboración de la Policía Local de El Rosario. </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20"/>
        <w:ind w:left="355" w:right="141"/>
      </w:pPr>
      <w:r>
        <w:t xml:space="preserve">32º.- Agente de la Policía local de Candelaria </w:t>
      </w:r>
      <w:r>
        <w:rPr>
          <w:b/>
        </w:rPr>
        <w:t>D. Alejandro Rubén Pérez Quinter</w:t>
      </w:r>
      <w:r>
        <w:rPr>
          <w:b/>
        </w:rPr>
        <w:t>o</w:t>
      </w:r>
      <w:r>
        <w:t>, con número de identificación A 57, TIP 11104, por la relevante actuación llevada a cabo en el servicio prestado el día 13 de abril de 2021 en el que tras conocer sobre un intento de hurto en el Mercadona de Caletillas, procede a bloquear la vía en la zo</w:t>
      </w:r>
      <w:r>
        <w:t>na de la rotonda del Mc Donals, siendo embestido por el vehículo – que había sido sustraído- que se daba a la fuga, lo que causó graves desperfectos al coche policial y contusiones al agente que se encontraba en su interior y aun así comenzó una persecució</w:t>
      </w:r>
      <w:r>
        <w:t>n policial por carretera hasta que se hace a pie, al abandonar el vehículo los presuntos delincuentes, con la detención de uno de los individuos y huida de otro que fue buscado durante hora y media, incluso con la colaboración de la Policía Local de El Ros</w:t>
      </w:r>
      <w:r>
        <w:t>ario.”</w:t>
      </w:r>
      <w:r>
        <w:rPr>
          <w:rFonts w:ascii="Times New Roman" w:eastAsia="Times New Roman" w:hAnsi="Times New Roman" w:cs="Times New Roman"/>
          <w:sz w:val="24"/>
        </w:rPr>
        <w:t xml:space="preserve"> </w:t>
      </w:r>
    </w:p>
    <w:p w:rsidR="00B064CF" w:rsidRDefault="00E32F70">
      <w:pPr>
        <w:spacing w:after="146" w:line="259" w:lineRule="auto"/>
        <w:ind w:left="360" w:firstLine="0"/>
        <w:jc w:val="left"/>
      </w:pPr>
      <w:r>
        <w:rPr>
          <w:i/>
          <w:color w:val="222222"/>
        </w:rPr>
        <w:t xml:space="preserve"> </w:t>
      </w:r>
    </w:p>
    <w:p w:rsidR="00B064CF" w:rsidRDefault="00E32F70">
      <w:pPr>
        <w:spacing w:after="98" w:line="259" w:lineRule="auto"/>
        <w:ind w:left="360" w:firstLine="0"/>
        <w:jc w:val="left"/>
      </w:pPr>
      <w:r>
        <w:rPr>
          <w:b/>
          <w:sz w:val="24"/>
        </w:rPr>
        <w:t xml:space="preserve"> </w:t>
      </w:r>
    </w:p>
    <w:p w:rsidR="00B064CF" w:rsidRDefault="00E32F70">
      <w:pPr>
        <w:spacing w:after="98" w:line="259" w:lineRule="auto"/>
        <w:ind w:left="360" w:firstLine="0"/>
        <w:jc w:val="left"/>
      </w:pPr>
      <w:r>
        <w:rPr>
          <w:b/>
          <w:sz w:val="24"/>
        </w:rPr>
        <w:t xml:space="preserve"> </w:t>
      </w:r>
    </w:p>
    <w:p w:rsidR="00B064CF" w:rsidRDefault="00E32F70">
      <w:pPr>
        <w:spacing w:after="98" w:line="259" w:lineRule="auto"/>
        <w:ind w:left="360" w:firstLine="0"/>
        <w:jc w:val="left"/>
      </w:pPr>
      <w:r>
        <w:rPr>
          <w:b/>
          <w:sz w:val="24"/>
        </w:rPr>
        <w:t xml:space="preserve"> </w:t>
      </w:r>
    </w:p>
    <w:p w:rsidR="00B064CF" w:rsidRDefault="00E32F70">
      <w:pPr>
        <w:spacing w:after="98" w:line="259" w:lineRule="auto"/>
        <w:ind w:left="360" w:firstLine="0"/>
        <w:jc w:val="left"/>
      </w:pPr>
      <w:r>
        <w:rPr>
          <w:b/>
          <w:sz w:val="24"/>
        </w:rPr>
        <w:t xml:space="preserve"> </w:t>
      </w:r>
    </w:p>
    <w:p w:rsidR="00B064CF" w:rsidRDefault="00E32F70">
      <w:pPr>
        <w:spacing w:after="98" w:line="259" w:lineRule="auto"/>
        <w:ind w:left="360" w:firstLine="0"/>
        <w:jc w:val="left"/>
      </w:pPr>
      <w:r>
        <w:rPr>
          <w:b/>
          <w:sz w:val="24"/>
        </w:rPr>
        <w:t xml:space="preserve"> </w:t>
      </w:r>
    </w:p>
    <w:p w:rsidR="00B064CF" w:rsidRDefault="00E32F70">
      <w:pPr>
        <w:spacing w:after="98" w:line="259" w:lineRule="auto"/>
        <w:ind w:left="360" w:firstLine="0"/>
        <w:jc w:val="left"/>
      </w:pPr>
      <w:r>
        <w:rPr>
          <w:b/>
          <w:sz w:val="24"/>
        </w:rPr>
        <w:t xml:space="preserve"> </w:t>
      </w:r>
    </w:p>
    <w:p w:rsidR="00B064CF" w:rsidRDefault="00E32F70">
      <w:pPr>
        <w:spacing w:after="98" w:line="259" w:lineRule="auto"/>
        <w:ind w:left="360" w:firstLine="0"/>
        <w:jc w:val="left"/>
      </w:pPr>
      <w:r>
        <w:rPr>
          <w:b/>
          <w:sz w:val="24"/>
        </w:rPr>
        <w:t xml:space="preserve"> </w:t>
      </w:r>
    </w:p>
    <w:p w:rsidR="00B064CF" w:rsidRDefault="00E32F70">
      <w:pPr>
        <w:spacing w:after="0" w:line="259" w:lineRule="auto"/>
        <w:ind w:left="360" w:firstLine="0"/>
        <w:jc w:val="left"/>
      </w:pPr>
      <w:r>
        <w:rPr>
          <w:b/>
          <w:sz w:val="24"/>
        </w:rPr>
        <w:t xml:space="preserve"> </w:t>
      </w:r>
    </w:p>
    <w:p w:rsidR="00B064CF" w:rsidRDefault="00E32F70">
      <w:pPr>
        <w:spacing w:after="98" w:line="259" w:lineRule="auto"/>
        <w:ind w:left="360" w:firstLine="0"/>
        <w:jc w:val="left"/>
      </w:pPr>
      <w:r>
        <w:rPr>
          <w:b/>
          <w:sz w:val="24"/>
        </w:rPr>
        <w:t xml:space="preserve"> </w:t>
      </w:r>
    </w:p>
    <w:p w:rsidR="00B064CF" w:rsidRDefault="00E32F70">
      <w:pPr>
        <w:spacing w:after="120" w:line="240" w:lineRule="auto"/>
        <w:ind w:left="355" w:right="135"/>
      </w:pPr>
      <w:r>
        <w:rPr>
          <w:b/>
          <w:sz w:val="24"/>
        </w:rPr>
        <w:t xml:space="preserve">5.- Expediente 5170/2019. Propuesta del Concejal delegado de Seguridad, </w:t>
      </w:r>
      <w:r>
        <w:rPr>
          <w:b/>
          <w:sz w:val="24"/>
        </w:rPr>
        <w:t>Emergencias y Parque Móvil de 11 de mayo de 2021 para reconocer premiar y felicitar a los Agentes de la Policía Local de Candelaria según los informes emitidos por el Subinspector Jefe de la Policía Local de Candelaria.</w:t>
      </w:r>
      <w:r>
        <w:t xml:space="preserve"> </w:t>
      </w:r>
    </w:p>
    <w:p w:rsidR="00B064CF" w:rsidRDefault="00E32F70">
      <w:pPr>
        <w:spacing w:after="99" w:line="259" w:lineRule="auto"/>
        <w:ind w:left="360" w:firstLine="0"/>
        <w:jc w:val="left"/>
      </w:pPr>
      <w:r>
        <w:rPr>
          <w:b/>
          <w:sz w:val="24"/>
        </w:rPr>
        <w:t xml:space="preserve"> </w:t>
      </w:r>
    </w:p>
    <w:p w:rsidR="00B064CF" w:rsidRDefault="00E32F70">
      <w:pPr>
        <w:spacing w:after="0" w:line="259" w:lineRule="auto"/>
        <w:ind w:left="360" w:firstLine="0"/>
        <w:jc w:val="left"/>
      </w:pPr>
      <w:r>
        <w:rPr>
          <w:rFonts w:ascii="Times New Roman" w:eastAsia="Times New Roman" w:hAnsi="Times New Roman" w:cs="Times New Roman"/>
          <w:b/>
          <w:sz w:val="24"/>
        </w:rPr>
        <w:t xml:space="preserve"> </w:t>
      </w:r>
    </w:p>
    <w:p w:rsidR="00B064CF" w:rsidRDefault="00E32F70">
      <w:pPr>
        <w:spacing w:after="4"/>
        <w:ind w:left="355" w:right="146"/>
      </w:pPr>
      <w:r>
        <w:rPr>
          <w:b/>
        </w:rPr>
        <w:t>Consta en el expediente propues</w:t>
      </w:r>
      <w:r>
        <w:rPr>
          <w:b/>
        </w:rPr>
        <w:t>ta del Concejal delegado de Seguridad, Emergencias y Parque Móvil D. Olegario Francisco Alonso Bello, de fecha 11 de mayo de 2021 (con la incorporación en el pleno de la subsanación de errores según informe de 25 de mayo de 2021 del Subinspector en relació</w:t>
      </w:r>
      <w:r>
        <w:rPr>
          <w:b/>
        </w:rPr>
        <w:t xml:space="preserve">n al agente citado en el nº 32), y que transcrito literalmente dice: </w:t>
      </w:r>
    </w:p>
    <w:p w:rsidR="00B064CF" w:rsidRDefault="00E32F70">
      <w:pPr>
        <w:spacing w:after="0" w:line="259" w:lineRule="auto"/>
        <w:ind w:left="360" w:firstLine="0"/>
        <w:jc w:val="left"/>
      </w:pPr>
      <w:r>
        <w:rPr>
          <w:rFonts w:ascii="Times New Roman" w:eastAsia="Times New Roman" w:hAnsi="Times New Roman" w:cs="Times New Roman"/>
          <w:b/>
          <w:sz w:val="24"/>
        </w:rPr>
        <w:t xml:space="preserve"> </w:t>
      </w:r>
    </w:p>
    <w:p w:rsidR="00B064CF" w:rsidRDefault="00E32F70">
      <w:pPr>
        <w:spacing w:after="138" w:line="259" w:lineRule="auto"/>
        <w:ind w:left="360" w:firstLine="0"/>
        <w:jc w:val="left"/>
      </w:pPr>
      <w:r>
        <w:rPr>
          <w:b/>
        </w:rPr>
        <w:t xml:space="preserve"> </w:t>
      </w:r>
    </w:p>
    <w:p w:rsidR="00B064CF" w:rsidRDefault="00E32F70">
      <w:pPr>
        <w:pStyle w:val="Ttulo2"/>
        <w:ind w:left="290" w:right="64"/>
      </w:pPr>
      <w:r>
        <w:t xml:space="preserve">“PROVIDENCIA </w:t>
      </w:r>
    </w:p>
    <w:p w:rsidR="00B064CF" w:rsidRDefault="00E32F70">
      <w:pPr>
        <w:spacing w:after="109"/>
        <w:ind w:left="355" w:right="140"/>
      </w:pPr>
      <w:r>
        <w:t>Don Olegario Francisco Alonso Bello, Concejal delegado de Seguridad, Emergencias y Parque Móvil (delegación por Decreto nº 2025/2019, de 24 de junio), al amparo de lo dispuesto en el Reglamento de Organización, Funcionamiento y Régimen Jurídico de las Enti</w:t>
      </w:r>
      <w:r>
        <w:t xml:space="preserve">dades Locales, así como en la Ley 7/1985, de 2 abril, Reguladora de las Bases de Régimen Local, realiza la siguiente propuesta: </w:t>
      </w:r>
    </w:p>
    <w:p w:rsidR="00B064CF" w:rsidRDefault="00E32F70">
      <w:pPr>
        <w:spacing w:after="100" w:line="259" w:lineRule="auto"/>
        <w:ind w:left="360" w:firstLine="0"/>
        <w:jc w:val="left"/>
      </w:pPr>
      <w:r>
        <w:rPr>
          <w:rFonts w:ascii="Calibri" w:eastAsia="Calibri" w:hAnsi="Calibri" w:cs="Calibri"/>
          <w:noProof/>
        </w:rPr>
        <mc:AlternateContent>
          <mc:Choice Requires="wpg">
            <w:drawing>
              <wp:anchor distT="0" distB="0" distL="114300" distR="114300" simplePos="0" relativeHeight="25176576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84981" name="Group 384981"/>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3295" name="Rectangle 23295"/>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3296" name="Rectangle 23296"/>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102 de 298 </w:t>
                              </w:r>
                            </w:p>
                          </w:txbxContent>
                        </wps:txbx>
                        <wps:bodyPr horzOverflow="overflow" vert="horz" lIns="0" tIns="0" rIns="0" bIns="0" rtlCol="0">
                          <a:noAutofit/>
                        </wps:bodyPr>
                      </wps:wsp>
                    </wpg:wgp>
                  </a:graphicData>
                </a:graphic>
              </wp:anchor>
            </w:drawing>
          </mc:Choice>
          <mc:Fallback xmlns:a="http://schemas.openxmlformats.org/drawingml/2006/main">
            <w:pict>
              <v:group id="Group 384981" style="width:12.7031pt;height:278.91pt;position:absolute;mso-position-horizontal-relative:page;mso-position-horizontal:absolute;margin-left:682.278pt;mso-position-vertical-relative:page;margin-top:533.01pt;" coordsize="1613,35421">
                <v:rect id="Rectangle 23295"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3296"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102 de 298 </w:t>
                        </w:r>
                      </w:p>
                    </w:txbxContent>
                  </v:textbox>
                </v:rect>
                <w10:wrap type="square"/>
              </v:group>
            </w:pict>
          </mc:Fallback>
        </mc:AlternateContent>
      </w:r>
      <w:r>
        <w:rPr>
          <w:b/>
        </w:rPr>
        <w:t xml:space="preserve"> </w:t>
      </w:r>
    </w:p>
    <w:p w:rsidR="00B064CF" w:rsidRDefault="00E32F70">
      <w:pPr>
        <w:spacing w:after="0"/>
        <w:ind w:left="355" w:right="146"/>
      </w:pPr>
      <w:r>
        <w:t xml:space="preserve">De conformidad con lo dispuesto en el artículo 37 del Decreto 75/2003, de 12 de mayo, por el que se establecen las normas marco y otras normas de Coordinación </w:t>
      </w:r>
      <w:r>
        <w:t>de Policías Locales de Canarias y en atención a las propuestas recibidas del Subinspector de la Policía Local de Candelaria, se solicita se Inicien los trámites necesarios a los efectos de reconocer, felicitar y otorgar mención pública por su destacada lab</w:t>
      </w:r>
      <w:r>
        <w:t xml:space="preserve">or a los/as siguientes agentes de la Policía Local de Candelaria: </w:t>
      </w:r>
    </w:p>
    <w:p w:rsidR="00B064CF" w:rsidRDefault="00E32F70">
      <w:pPr>
        <w:spacing w:after="0" w:line="259" w:lineRule="auto"/>
        <w:ind w:left="360" w:firstLine="0"/>
        <w:jc w:val="left"/>
      </w:pPr>
      <w:r>
        <w:t xml:space="preserve"> </w:t>
      </w:r>
    </w:p>
    <w:p w:rsidR="00B064CF" w:rsidRDefault="00E32F70">
      <w:pPr>
        <w:spacing w:after="0"/>
        <w:ind w:left="355" w:right="142"/>
      </w:pPr>
      <w:r>
        <w:t xml:space="preserve">1º.- Agente de la Policía local de Candelaria </w:t>
      </w:r>
      <w:r>
        <w:rPr>
          <w:b/>
        </w:rPr>
        <w:t>D. Guillermo Rodríguez Febles</w:t>
      </w:r>
      <w:r>
        <w:t>, con número de identificación A17, TIP 10405, por la relevante actuación llevada a cabo en el servicio prestado</w:t>
      </w:r>
      <w:r>
        <w:t xml:space="preserve"> el día 21 de junio de 2015, al intervenir en el Rescate y evacuación de una persona precipitada en las inmediaciones del barranco de Maja, colaborando de manera directa con los servicios de rescate del Consorcio de Bomberos de la Isla de Tenerife.</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4"/>
      </w:pPr>
      <w:r>
        <w:t>2º.-</w:t>
      </w:r>
      <w:r>
        <w:t xml:space="preserve"> Agente de la Policía de Candelaria </w:t>
      </w:r>
      <w:r>
        <w:rPr>
          <w:b/>
        </w:rPr>
        <w:t>D. Víctor Miguel García Hernández</w:t>
      </w:r>
      <w:r>
        <w:t>, con número de identificación A40, TIP 11253, por la relevante actuación llevada a cabo en el servicio prestado el día 21 de junio de 2015, al intervenir en el Rescate y evacuación de un</w:t>
      </w:r>
      <w:r>
        <w:t>a persona precipitada en las inmediaciones del barranco de Maja, colaborando de manera directa con los servicios de rescate del Consorcio de Bomberos de la Isla de Tenerife.</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2"/>
      </w:pPr>
      <w:r>
        <w:t xml:space="preserve">3º.- Agente de la Policía de Candelaria </w:t>
      </w:r>
      <w:r>
        <w:rPr>
          <w:b/>
        </w:rPr>
        <w:t>Dª María Loreto Rodríguez Monasterio</w:t>
      </w:r>
      <w:r>
        <w:t>, c</w:t>
      </w:r>
      <w:r>
        <w:t>on número de identificación A38, TIP 10166, por la relevante actuación llevada a cabo en el servicio prestado el día 21 de junio de 2015, al intervenir en el Rescate y evacuación de una persona precipitada en las inmediaciones del barranco de Maja, colabor</w:t>
      </w:r>
      <w:r>
        <w:t>ando de manera directa con los servicios de rescate del Consorcio de Bomberos de la Isla de Tenerife.</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7"/>
      </w:pPr>
      <w:r>
        <w:t xml:space="preserve">4º.- Agente de la Policía de Candelaria </w:t>
      </w:r>
      <w:r>
        <w:rPr>
          <w:b/>
        </w:rPr>
        <w:t>D. José Carlos Mata González</w:t>
      </w:r>
      <w:r>
        <w:t>, con número de identificación A39, TIP 13547, por la relevante actuación llevada a cabo en el servicio prestado el día 21 de junio de 2015, al intervenir en el Rescate y evacuación de una persona precipitada en las inmediaciones del barranco de Maja, cola</w:t>
      </w:r>
      <w:r>
        <w:t>borando de manera directa con los servicios de rescate del Consorcio de Bomberos de la Isla de Tenerife.</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5"/>
      </w:pPr>
      <w:r>
        <w:t xml:space="preserve">5º Agente de la Policía de Candelaria </w:t>
      </w:r>
      <w:r>
        <w:rPr>
          <w:b/>
        </w:rPr>
        <w:t>Dª Yurena García Calcines</w:t>
      </w:r>
      <w:r>
        <w:t>, con número de identificación A35, TIP 13482, por la relevante actuación llevada a c</w:t>
      </w:r>
      <w:r>
        <w:t>abo en el servicio prestado el día 9 de abril de 2016, por su intervención en la intercepción y detención de un vehículo kamikaze en la TF01, interceptando al conductor, que puso en riesgo su vida y la del resto de usuarios de la vida, anteponiendo la agen</w:t>
      </w:r>
      <w:r>
        <w:t>te su propia integridad física para salvaguardar la de los usuarios.</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4"/>
      </w:pPr>
      <w:r>
        <w:t xml:space="preserve">6º Agente de la Policía de Candelaria </w:t>
      </w:r>
      <w:r>
        <w:rPr>
          <w:b/>
        </w:rPr>
        <w:t>D. Ruyman Cabrera Jiménez</w:t>
      </w:r>
      <w:r>
        <w:t>, con número de identificación A36, TIP 13755, por la relevante actuación llevada a cabo en el servicio prestado el día 9</w:t>
      </w:r>
      <w:r>
        <w:t xml:space="preserve"> de abril de 2016, por su intervención en la intercepción y detención de un vehículo kamikaze en la TF01, interceptando al conductor, que puso en riesgo su vida y la del resto de usuarios de la vida, anteponiendo el agente su propia integridad física para </w:t>
      </w:r>
      <w:r>
        <w:t>salvaguardar la de los usuarios.</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r>
        <w:tab/>
        <w:t xml:space="preserve"> </w:t>
      </w:r>
    </w:p>
    <w:p w:rsidR="00B064CF" w:rsidRDefault="00E32F70">
      <w:pPr>
        <w:spacing w:after="0"/>
        <w:ind w:left="355" w:right="142"/>
      </w:pPr>
      <w:r>
        <w:rPr>
          <w:rFonts w:ascii="Calibri" w:eastAsia="Calibri" w:hAnsi="Calibri" w:cs="Calibri"/>
          <w:noProof/>
        </w:rPr>
        <mc:AlternateContent>
          <mc:Choice Requires="wpg">
            <w:drawing>
              <wp:anchor distT="0" distB="0" distL="114300" distR="114300" simplePos="0" relativeHeight="25176678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85102" name="Group 385102"/>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3417" name="Rectangle 23417"/>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3418" name="Rectangle 23418"/>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103 de 298 </w:t>
                              </w:r>
                            </w:p>
                          </w:txbxContent>
                        </wps:txbx>
                        <wps:bodyPr horzOverflow="overflow" vert="horz" lIns="0" tIns="0" rIns="0" bIns="0" rtlCol="0">
                          <a:noAutofit/>
                        </wps:bodyPr>
                      </wps:wsp>
                    </wpg:wgp>
                  </a:graphicData>
                </a:graphic>
              </wp:anchor>
            </w:drawing>
          </mc:Choice>
          <mc:Fallback xmlns:a="http://schemas.openxmlformats.org/drawingml/2006/main">
            <w:pict>
              <v:group id="Group 385102" style="width:12.7031pt;height:278.91pt;position:absolute;mso-position-horizontal-relative:page;mso-position-horizontal:absolute;margin-left:682.278pt;mso-position-vertical-relative:page;margin-top:533.01pt;" coordsize="1613,35421">
                <v:rect id="Rectangle 23417"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3418"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103 de 298 </w:t>
                        </w:r>
                      </w:p>
                    </w:txbxContent>
                  </v:textbox>
                </v:rect>
                <w10:wrap type="square"/>
              </v:group>
            </w:pict>
          </mc:Fallback>
        </mc:AlternateContent>
      </w:r>
      <w:r>
        <w:t>7º Agente de la Poli</w:t>
      </w:r>
      <w:r>
        <w:t xml:space="preserve">cía de Candelaria </w:t>
      </w:r>
      <w:r>
        <w:rPr>
          <w:b/>
        </w:rPr>
        <w:t>D. Cristino Alexis Cruz Pestano</w:t>
      </w:r>
      <w:r>
        <w:t>, con número de identificación A12, TIP 12038, por la relevante actuación llevada a cabo en el servicio prestado el día 2 de abril de 2017, interceptando un vehículo sustraído por cuatro individuos con múlti</w:t>
      </w:r>
      <w:r>
        <w:t>ples antecedentes penales, recuperando dicho vehículo y deteniendo a los presuntos autores con celeridad, diligencia y eficacia.</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4"/>
      </w:pPr>
      <w:r>
        <w:t xml:space="preserve">8º Agente de la Policía de Candelaria </w:t>
      </w:r>
      <w:r>
        <w:rPr>
          <w:b/>
        </w:rPr>
        <w:t>D. Andrés Sixto Castro Marrero</w:t>
      </w:r>
      <w:r>
        <w:t>, con número de identificación A21, TIP 12798, por la re</w:t>
      </w:r>
      <w:r>
        <w:t>levante actuación llevada a cabo en el servicio prestado el día 2 de abril de 2017, interceptando un vehículo sustraído por cuatro individuos con múltiples antecedentes penales, recuperando dicho vehículo y deteniendo a los presuntos autores con celeridad,</w:t>
      </w:r>
      <w:r>
        <w:t xml:space="preserve"> diligencia y eficacia.</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5"/>
      </w:pPr>
      <w:r>
        <w:t xml:space="preserve">9º Agente de la Policía de Candelaria </w:t>
      </w:r>
      <w:r>
        <w:rPr>
          <w:b/>
        </w:rPr>
        <w:t>D. Tomás Jorge Pérez</w:t>
      </w:r>
      <w:r>
        <w:t>, con número de identificación A22, TIP 13470, por la relevante actuación llevada a cabo en el servicio prestado el día 2 de abril de 2017, interceptando un vehículo sustr</w:t>
      </w:r>
      <w:r>
        <w:t>aído por cuatro individuos con múltiples antecedentes penales, recuperando dicho vehículo y deteniendo a los presuntos autores con celeridad, diligencia y eficacia.</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3"/>
      </w:pPr>
      <w:r>
        <w:t xml:space="preserve">10º Agente de la Policía de Candelaria </w:t>
      </w:r>
      <w:r>
        <w:rPr>
          <w:b/>
        </w:rPr>
        <w:t>D. Ruyman Cabrera Jiménez</w:t>
      </w:r>
      <w:r>
        <w:t>, con número de identificación A36, TIP 13755, por la relevante actuación llevada a cabo en el servicio prestado el día 2 de abril de 2017, interceptando un vehículo sustraído por cuatro individuos con múltiples antecedentes penales, recuperando dicho vehí</w:t>
      </w:r>
      <w:r>
        <w:t>culo y deteniendo a los presuntos autores con celeridad, diligencia y eficacia.</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4"/>
      </w:pPr>
      <w:r>
        <w:t xml:space="preserve">11º Agente de la Policía de Candelaria </w:t>
      </w:r>
      <w:r>
        <w:rPr>
          <w:b/>
        </w:rPr>
        <w:t>D. Jean Díaz Gómez</w:t>
      </w:r>
      <w:r>
        <w:t xml:space="preserve">, con número de identificación A15, TIP 13021, por la relevante actuación llevada a cabo en el servicio prestado el </w:t>
      </w:r>
      <w:r>
        <w:t>día 17 de septiembre de 2019, por la intervención en la localización y vigilancia activa de una vivienda en Bco Hondo en la cual se incautaron noventa plantas de marihuana, con resultado de tres detenidos por un presunto delito contra la salud pública.</w:t>
      </w:r>
      <w:r>
        <w:rPr>
          <w:rFonts w:ascii="Times New Roman" w:eastAsia="Times New Roman" w:hAnsi="Times New Roman" w:cs="Times New Roman"/>
          <w:sz w:val="24"/>
        </w:rPr>
        <w:t xml:space="preserve"> </w:t>
      </w:r>
    </w:p>
    <w:p w:rsidR="00B064CF" w:rsidRDefault="00E32F70">
      <w:pPr>
        <w:spacing w:after="0"/>
        <w:ind w:left="355" w:right="144"/>
      </w:pPr>
      <w:r>
        <w:t>12</w:t>
      </w:r>
      <w:r>
        <w:t xml:space="preserve">º Agente de la Policía de Candelaria </w:t>
      </w:r>
      <w:r>
        <w:rPr>
          <w:b/>
        </w:rPr>
        <w:t>D Ruyman Cabrera Jiménez</w:t>
      </w:r>
      <w:r>
        <w:t>, con número de identificación A36, TIP 13755, por la relevante actuación llevada a cabo en el servicio prestado el día 17 de septiembre de 2019, por la intervención en la localización y vigilanc</w:t>
      </w:r>
      <w:r>
        <w:t>ia activa de una vivienda en Bco Hondo en la cual se incautaron noventa plantas de marihuana, con resultado de tres detenidos por un presunto delito contra la salud pública.</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2"/>
      </w:pPr>
      <w:r>
        <w:t xml:space="preserve">13º.- Agente de la Policía local de Candelaria </w:t>
      </w:r>
      <w:r>
        <w:rPr>
          <w:b/>
        </w:rPr>
        <w:t>D. Guillermo Rodríguez Febles</w:t>
      </w:r>
      <w:r>
        <w:t>, c</w:t>
      </w:r>
      <w:r>
        <w:t>on número de identificación A17, TIP 10405, por la relevante actuación llevada a cabo en el servicio prestado el día 23 de octubre de 2018, en la intervención en la detención de 2 individuos con diversos antecedentes penales, los cuales habían realizado en</w:t>
      </w:r>
      <w:r>
        <w:t>trada con fuerza en las cosas en una vivienda en la comunidad El Carmen, con la intención de apropiación de bienes ajenos y sin dilación, entereza y dedicación profesional procedió a la entrada y detención de los presuntos autores.</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4"/>
      </w:pPr>
      <w:r>
        <w:t>14º.- Agente de la Po</w:t>
      </w:r>
      <w:r>
        <w:t xml:space="preserve">licía local de Candelaria </w:t>
      </w:r>
      <w:r>
        <w:rPr>
          <w:b/>
        </w:rPr>
        <w:t>D. Jose Carlos Mata González</w:t>
      </w:r>
      <w:r>
        <w:t>, con número de identificación A39, TIP 13547, por la relevante actuación llevada a cabo en el servicio prestado el día 23 de octubre de 2018, en la intervención en la detención de 2 individuos con dive</w:t>
      </w:r>
      <w:r>
        <w:t>rsos antecedentes penales, los cuales habían realizado entrada con fuerza en las cosas en una vivienda en la comunidad El Carmen, con la intención de apropiación de bienes ajenos y sin dilación, entereza y dedicación profesional procedió a la entrada y det</w:t>
      </w:r>
      <w:r>
        <w:t>ención de los presuntos autores.</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4"/>
      </w:pPr>
      <w:r>
        <w:rPr>
          <w:rFonts w:ascii="Calibri" w:eastAsia="Calibri" w:hAnsi="Calibri" w:cs="Calibri"/>
          <w:noProof/>
        </w:rPr>
        <mc:AlternateContent>
          <mc:Choice Requires="wpg">
            <w:drawing>
              <wp:anchor distT="0" distB="0" distL="114300" distR="114300" simplePos="0" relativeHeight="25176780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85230" name="Group 385230"/>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3559" name="Rectangle 23559"/>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3560" name="Rectangle 23560"/>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104 de 298 </w:t>
                              </w:r>
                            </w:p>
                          </w:txbxContent>
                        </wps:txbx>
                        <wps:bodyPr horzOverflow="overflow" vert="horz" lIns="0" tIns="0" rIns="0" bIns="0" rtlCol="0">
                          <a:noAutofit/>
                        </wps:bodyPr>
                      </wps:wsp>
                    </wpg:wgp>
                  </a:graphicData>
                </a:graphic>
              </wp:anchor>
            </w:drawing>
          </mc:Choice>
          <mc:Fallback xmlns:a="http://schemas.openxmlformats.org/drawingml/2006/main">
            <w:pict>
              <v:group id="Group 385230" style="width:12.7031pt;height:278.91pt;position:absolute;mso-position-horizontal-relative:page;mso-position-horizontal:absolute;margin-left:682.278pt;mso-position-vertical-relative:page;margin-top:533.01pt;" coordsize="1613,35421">
                <v:rect id="Rectangle 23559"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3560"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104 de 298 </w:t>
                        </w:r>
                      </w:p>
                    </w:txbxContent>
                  </v:textbox>
                </v:rect>
                <w10:wrap type="square"/>
              </v:group>
            </w:pict>
          </mc:Fallback>
        </mc:AlternateContent>
      </w:r>
      <w:r>
        <w:t>15º.- Oficial de la Po</w:t>
      </w:r>
      <w:r>
        <w:t xml:space="preserve">licía local de Candelaria </w:t>
      </w:r>
      <w:r>
        <w:rPr>
          <w:b/>
        </w:rPr>
        <w:t>D. Gregorio González Alonso</w:t>
      </w:r>
      <w:r>
        <w:t>, con número de identificación C4, TIP 1320, por la relevante actuación llevada a cabo en el servicio prestado el día 6 de mayo de 2019, en la intervención en un conato de incendio que se propagó de form</w:t>
      </w:r>
      <w:r>
        <w:t>a acelerada en el Edf. Balcones de Candelaria, participando de manera enérgica en: la aplicación y cortes del tráfico rodado con desvíos a fin de que no peligrase la seguridad de los transeúntes y desalojo de los ocupantes de las viviendas afectadas y adya</w:t>
      </w:r>
      <w:r>
        <w:t>centes, incluidos los heridos por quemaduras de grado medio. La Capacidad de reacción fue notable, poniendo en peligro su integridad física, con objeto de sofocar la viveza del fuego, conteniendo el conato hasta la llegada del servicio de extinción de ince</w:t>
      </w:r>
      <w:r>
        <w:t xml:space="preserve">ndios, lo que dio lugar, a que el responsable del cuerpo técnico de los bomberos señalase que </w:t>
      </w:r>
      <w:r>
        <w:rPr>
          <w:i/>
        </w:rPr>
        <w:t>“debido a la ágil respuesta policial, las consecuencias no fueron aun de mayor gravedad”.</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1"/>
      </w:pPr>
      <w:r>
        <w:t xml:space="preserve">16º.- Oficial de la Policía local de Candelaria </w:t>
      </w:r>
      <w:r>
        <w:rPr>
          <w:b/>
        </w:rPr>
        <w:t>D. Gustavo Oliver Cab</w:t>
      </w:r>
      <w:r>
        <w:rPr>
          <w:b/>
        </w:rPr>
        <w:t>rera Jiménez</w:t>
      </w:r>
      <w:r>
        <w:t>, con número de identificación C9, TIP 13530, por la relevante actuación llevada a cabo en el servicio prestado el día 6 de mayo de 2019, en la intervención en un conato de incendio que se propagó de forma acelerada en el Edf. Balcones de Cande</w:t>
      </w:r>
      <w:r>
        <w:t>laria, participando de manera enérgica en: la aplicación y cortes del tráfico rodado con desvíos a fin de que no peligrase la seguridad de los transeúntes y desalojo de los ocupantes de las viviendas afectadas y adyacentes, incluidos los heridos por quemad</w:t>
      </w:r>
      <w:r>
        <w:t>uras de grado medio. La Capacidad de reacción fue notable, poniendo en peligro su integridad física, con objeto de sofocar la viveza del fuego, conteniendo el conato hasta la llegada del servicio de extinción de incendios, lo que dio lugar, a que el respon</w:t>
      </w:r>
      <w:r>
        <w:t>sable del cuerpo técnico de los bomberos señalase que “debido a la ágil respuesta policial, las consecuencias no fueron aun de mayor gravedad”.</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2"/>
      </w:pPr>
      <w:r>
        <w:t xml:space="preserve">17º.- Agente de la Policía local de Candelaria </w:t>
      </w:r>
      <w:r>
        <w:rPr>
          <w:b/>
        </w:rPr>
        <w:t>D. Guillermo Rodríguez Febles</w:t>
      </w:r>
      <w:r>
        <w:t>, con número de identificación A 17, TIP 10405, por la relevante actuación llevada a cabo en el servicio prestado el día, en la intervención 6 de mayo de 2019, en la intervención en un conato de incendio que se propagó de forma acelerada en el Edf. Balcone</w:t>
      </w:r>
      <w:r>
        <w:t xml:space="preserve">s de Candelaria, participando de manera enérgica en: la aplicación y cortes del tráfico rodado con desvíos a fin de que no peligrase la seguridad de los transeúntes y desalojo de los ocupantes de las viviendas afectadas y adyacentes, incluidos los heridos </w:t>
      </w:r>
      <w:r>
        <w:t>por quemaduras de grado medio. La Capacidad de reacción fue notable, poniendo en peligro su integridad física, con objeto de sofocar la viveza del fuego, conteniendo el conato hasta la llegada del servicio de extinción de incendios, lo que dio lugar, a que</w:t>
      </w:r>
      <w:r>
        <w:t xml:space="preserve"> el responsable del cuerpo técnico de los bomberos señalase que “debido a la ágil respuesta policial, las consecuencias no fueron aun de mayor gravedad”.</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3"/>
      </w:pPr>
      <w:r>
        <w:t xml:space="preserve">18º.- Agente de la Policía local de Candelaria </w:t>
      </w:r>
      <w:r>
        <w:rPr>
          <w:b/>
        </w:rPr>
        <w:t>D Antonio de las Casas Henríquez</w:t>
      </w:r>
      <w:r>
        <w:t>, con número de iden</w:t>
      </w:r>
      <w:r>
        <w:t>tificación A 16, TIP 10142, por la relevante actuación llevada a cabo en el servicio prestado el día, 6 de mayo de 2019, en la intervención en un conato de incendio que se propagó de forma acelerada en el Edf. Balcones de Candelaria, participando de manera</w:t>
      </w:r>
      <w:r>
        <w:t xml:space="preserve"> enérgica en: la aplicación y cortes del tráfico rodado con desvíos a fin de que no peligrase la seguridad de los transeúntes y desalojo de los ocupantes de las viviendas afectadas y adyacentes, incluidos los heridos por quemaduras de grado medio. La Capac</w:t>
      </w:r>
      <w:r>
        <w:t>idad de reacción fue notable, poniendo en peligro su integridad física, con objeto de sofocar la viveza del fuego, conteniendo el conato hasta la llegada del servicio de extinción de incendios, lo que dio lugar, a que el responsable del cuerpo técnico de l</w:t>
      </w:r>
      <w:r>
        <w:t>os bomberos señalase que “debido a la ágil respuesta policial, las consecuencias no fueron aun de mayor gravedad”.</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3"/>
      </w:pPr>
      <w:r>
        <w:rPr>
          <w:rFonts w:ascii="Calibri" w:eastAsia="Calibri" w:hAnsi="Calibri" w:cs="Calibri"/>
          <w:noProof/>
        </w:rPr>
        <mc:AlternateContent>
          <mc:Choice Requires="wpg">
            <w:drawing>
              <wp:anchor distT="0" distB="0" distL="114300" distR="114300" simplePos="0" relativeHeight="25176883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85306" name="Group 385306"/>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3689" name="Rectangle 23689"/>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3690" name="Rectangle 23690"/>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w:t>
                              </w:r>
                              <w:r>
                                <w:rPr>
                                  <w:sz w:val="12"/>
                                </w:rPr>
                                <w:t xml:space="preserve">desde la plataforma esPublico Gestiona | Página 105 de 298 </w:t>
                              </w:r>
                            </w:p>
                          </w:txbxContent>
                        </wps:txbx>
                        <wps:bodyPr horzOverflow="overflow" vert="horz" lIns="0" tIns="0" rIns="0" bIns="0" rtlCol="0">
                          <a:noAutofit/>
                        </wps:bodyPr>
                      </wps:wsp>
                    </wpg:wgp>
                  </a:graphicData>
                </a:graphic>
              </wp:anchor>
            </w:drawing>
          </mc:Choice>
          <mc:Fallback xmlns:a="http://schemas.openxmlformats.org/drawingml/2006/main">
            <w:pict>
              <v:group id="Group 385306" style="width:12.7031pt;height:278.91pt;position:absolute;mso-position-horizontal-relative:page;mso-position-horizontal:absolute;margin-left:682.278pt;mso-position-vertical-relative:page;margin-top:533.01pt;" coordsize="1613,35421">
                <v:rect id="Rectangle 23689"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3690"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105 de 298 </w:t>
                        </w:r>
                      </w:p>
                    </w:txbxContent>
                  </v:textbox>
                </v:rect>
                <w10:wrap type="square"/>
              </v:group>
            </w:pict>
          </mc:Fallback>
        </mc:AlternateContent>
      </w:r>
      <w:r>
        <w:t xml:space="preserve">19º.- Agente de la Policía local de Candelaria </w:t>
      </w:r>
      <w:r>
        <w:rPr>
          <w:b/>
        </w:rPr>
        <w:t>D. Javier Barrera Acosta</w:t>
      </w:r>
      <w:r>
        <w:t>, con número de identificación A37, TIP 11105, por la relevante actuación llevada a cabo en el servicio prestado, el día 6 de mayo de 2019, en la intervención en un conato de incendio que se propagó de forma acelerada en el Edf. Balcones de Candelaria, par</w:t>
      </w:r>
      <w:r>
        <w:t>ticipando de manera enérgica en: la aplicación y cortes del tráfico rodado con desvíos a fin de que no peligrase la seguridad de los transeúntes y desalojo de los ocupantes de las viviendas afectadas y adyacentes, incluidos los heridos por quemaduras de gr</w:t>
      </w:r>
      <w:r>
        <w:t xml:space="preserve">ado medio. La Capacidad de reacción fue notable, poniendo en peligro su integridad física, con objeto de sofocar la viveza del fuego, conteniendo el conato hasta la llegada del servicio de extinción de incendios, lo que dio lugar, a que el responsable del </w:t>
      </w:r>
      <w:r>
        <w:t>cuerpo técnico de los bomberos señalase que “debido a la ágil respuesta policial, las consecuencias no fueron aun de mayor gravedad”.</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r>
        <w:tab/>
        <w:t xml:space="preserve"> </w:t>
      </w:r>
    </w:p>
    <w:p w:rsidR="00B064CF" w:rsidRDefault="00E32F70">
      <w:pPr>
        <w:spacing w:after="0"/>
        <w:ind w:left="355" w:right="144"/>
      </w:pPr>
      <w:r>
        <w:t xml:space="preserve">20º.- Agente de la Policía local de Candelaria </w:t>
      </w:r>
      <w:r>
        <w:rPr>
          <w:b/>
        </w:rPr>
        <w:t>D. Juan Andrés González Pérez</w:t>
      </w:r>
      <w:r>
        <w:t>, con número de identificación A10, TIP 1</w:t>
      </w:r>
      <w:r>
        <w:t>1867, por la relevante actuación llevada a cabo en el servicio prestado el día 20 de agosto de 2019, contribuyendo de forma rápida y eficiente a actuar ante una llamada que informa de una señora presuntamente ahogada, en el Edf. Afirama, personándose, real</w:t>
      </w:r>
      <w:r>
        <w:t>izando la RCP hasta la llegada de la ambulancia hasta conseguir constantes vitales positivas. Acto que dio lugar al responsable del CECOES a trasladar felicitaciones de los policías intervinientes “ya que debido a su pronta intervención la Sra. Accidentada</w:t>
      </w:r>
      <w:r>
        <w:t xml:space="preserve"> ingresó con vida en el hospital”</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r>
        <w:tab/>
        <w:t xml:space="preserve"> </w:t>
      </w:r>
    </w:p>
    <w:p w:rsidR="00B064CF" w:rsidRDefault="00E32F70">
      <w:pPr>
        <w:spacing w:after="1"/>
        <w:ind w:left="355" w:right="145"/>
      </w:pPr>
      <w:r>
        <w:t xml:space="preserve">21º.- Agente de la Policía local de Candelaria </w:t>
      </w:r>
      <w:r>
        <w:rPr>
          <w:b/>
        </w:rPr>
        <w:t>D. Juan Manuel Pérez Ramallo</w:t>
      </w:r>
      <w:r>
        <w:t>, con número de identificación A20, TIP 12269, por la relevante actuación llevada a cabo en el servicio prestado el día, 20 de agosto de 2019,</w:t>
      </w:r>
      <w:r>
        <w:t xml:space="preserve"> contribuyendo de forma rápida y eficiente a actuar ante una llamada que informa de una señora presuntamente ahogada, en el Edf. Afirama, personándose, realizando la RCP hasta la llegada de la ambulancia hasta conseguir constantes vitales positivas. Acto q</w:t>
      </w:r>
      <w:r>
        <w:t>ue dio lugar al responsable del CECOES a trasladar felicitaciones de los policías intervinientes “ya que debido a su pronta intervención la Sra. Accidentada ingresó con vida en el hospital”</w:t>
      </w:r>
      <w:r>
        <w:rPr>
          <w:rFonts w:ascii="Times New Roman" w:eastAsia="Times New Roman" w:hAnsi="Times New Roman" w:cs="Times New Roman"/>
          <w:sz w:val="24"/>
        </w:rPr>
        <w:t xml:space="preserve"> </w:t>
      </w:r>
    </w:p>
    <w:p w:rsidR="00B064CF" w:rsidRDefault="00E32F70">
      <w:pPr>
        <w:spacing w:after="0"/>
        <w:ind w:left="355" w:right="144"/>
      </w:pPr>
      <w:r>
        <w:t xml:space="preserve">22º.- Agente de la Policía local de Candelaria </w:t>
      </w:r>
      <w:r>
        <w:rPr>
          <w:b/>
        </w:rPr>
        <w:t xml:space="preserve">D. Antonio de las </w:t>
      </w:r>
      <w:r>
        <w:rPr>
          <w:b/>
        </w:rPr>
        <w:t>Casas Henríquez</w:t>
      </w:r>
      <w:r>
        <w:t>, con número de identificación A16, TIP 10142, por la relevante actuación llevada a cabo en el servicio prestado el día 20 de agosto de 2019, contribuyendo de forma rápida y eficiente a actuar ante una llamada que informa de una señora presu</w:t>
      </w:r>
      <w:r>
        <w:t>ntamente ahogada, en el Edf. Afirama, personándose, realizando la RCP hasta la llegada de la ambulancia hasta conseguir constantes vitales positivas. Acto que dio lugar al responsable del CECOES a trasladar felicitaciones de los policías intervinientes “ya</w:t>
      </w:r>
      <w:r>
        <w:t xml:space="preserve"> que debido a su pronta intervención la Sra. Accidentada ingresó con vida en el hospital”</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1"/>
      </w:pPr>
      <w:r>
        <w:t xml:space="preserve">23º.- Oficial de la Policía local de Candelaria </w:t>
      </w:r>
      <w:r>
        <w:rPr>
          <w:b/>
        </w:rPr>
        <w:t>D. Gustavo Oliver Cabrera Jiménez</w:t>
      </w:r>
      <w:r>
        <w:t>, con número de identificación C9, TIP 13530, por la relevante actuación llevada a</w:t>
      </w:r>
      <w:r>
        <w:t xml:space="preserve"> cabo en el servicio prestado el día 14 de enero de 2020, que estando fuera de servicio, esperando para coger vuelo de vuelta a Tenerife en el Aeropuerto Adolfo Suárez Madrid Barajas, observó como una pareja mantenía una discusión, resultando que el joven </w:t>
      </w:r>
      <w:r>
        <w:t>–que resultó ser un menor de edad- agarró a su pareja sentimental por el cuello propinándole un puñetazo en la boca, abalanzándose sobre dicho sujeto para interrumpir e impedir la agresión. Procediendo a su detención mientras dicho sujeto golpeaba a uno de</w:t>
      </w:r>
      <w:r>
        <w:t xml:space="preserve"> los agentes intervinientes y a miembros de seguridad del propio aeropuerto.</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1"/>
      </w:pPr>
      <w:r>
        <w:rPr>
          <w:rFonts w:ascii="Calibri" w:eastAsia="Calibri" w:hAnsi="Calibri" w:cs="Calibri"/>
          <w:noProof/>
        </w:rPr>
        <mc:AlternateContent>
          <mc:Choice Requires="wpg">
            <w:drawing>
              <wp:anchor distT="0" distB="0" distL="114300" distR="114300" simplePos="0" relativeHeight="25176985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85600" name="Group 385600"/>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3837" name="Rectangle 23837"/>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3838" name="Rectangle 23838"/>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106 de 298 </w:t>
                              </w:r>
                            </w:p>
                          </w:txbxContent>
                        </wps:txbx>
                        <wps:bodyPr horzOverflow="overflow" vert="horz" lIns="0" tIns="0" rIns="0" bIns="0" rtlCol="0">
                          <a:noAutofit/>
                        </wps:bodyPr>
                      </wps:wsp>
                    </wpg:wgp>
                  </a:graphicData>
                </a:graphic>
              </wp:anchor>
            </w:drawing>
          </mc:Choice>
          <mc:Fallback xmlns:a="http://schemas.openxmlformats.org/drawingml/2006/main">
            <w:pict>
              <v:group id="Group 385600" style="width:12.7031pt;height:278.91pt;position:absolute;mso-position-horizontal-relative:page;mso-position-horizontal:absolute;margin-left:682.278pt;mso-position-vertical-relative:page;margin-top:533.01pt;" coordsize="1613,35421">
                <v:rect id="Rectangle 23837"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3838"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106 de 298 </w:t>
                        </w:r>
                      </w:p>
                    </w:txbxContent>
                  </v:textbox>
                </v:rect>
                <w10:wrap type="square"/>
              </v:group>
            </w:pict>
          </mc:Fallback>
        </mc:AlternateContent>
      </w:r>
      <w:r>
        <w:t xml:space="preserve">24º.- Agente de la Policía local de Candelaria </w:t>
      </w:r>
      <w:r>
        <w:rPr>
          <w:b/>
        </w:rPr>
        <w:t>D.Ruyman Cabrera Jiménez</w:t>
      </w:r>
      <w:r>
        <w:t>, con número de identificación A36, TIP 13755, por la relevante actuación llevada a cabo e</w:t>
      </w:r>
      <w:r>
        <w:t>n el servicio prestado el día, 14 de enero de 2020, que estando fuera de servicio, esperando para coger vuelo de vuelta a Tenerife en el Aeropuerto Adolfo Suárez Madrid Barajas, observó como una pareja mantenía una discusión, resultando que el joven –que r</w:t>
      </w:r>
      <w:r>
        <w:t>esultó ser un menor de edad- agarró a su pareja sentimental por el cuello propinándole un puñetazo en la boca, abalanzándose sobre dicho sujeto para interrumpir e impedir la agresión. Procediendo a su detención mientras dicho sujeto golpeaba a uno de los a</w:t>
      </w:r>
      <w:r>
        <w:t>gentes intervinientes y a miembros de seguridad del propio aeropuerto.</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4"/>
      </w:pPr>
      <w:r>
        <w:t xml:space="preserve">25º.- Agente de la Policía local de Candelaria </w:t>
      </w:r>
      <w:r>
        <w:rPr>
          <w:b/>
        </w:rPr>
        <w:t>D. Ruyman Cabrera Jiménez</w:t>
      </w:r>
      <w:r>
        <w:t>, con número de identificación A36, TIP 13755, por la relevante actuación llevada a cabo en el servicio presta</w:t>
      </w:r>
      <w:r>
        <w:t>do el día 17 de abril de 2020, en la intervención de forma activa, diligente y eficaz, en beneficio de la seguridad ciudadana, en la interceptación de sustancias estupefacientes de índole prohibida (once paquetes de hachís que suman aproximadamente 300 gr.</w:t>
      </w:r>
      <w:r>
        <w:t xml:space="preserve"> Y otras sustancias), tras el seguimiento a pie, por varias calles (Rb de los Menceyes y Calle Arenitas) del portador de las señaladas sustancias, hasta su detención, con resistencia, y puesta a disposición judicial.</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1"/>
      </w:pPr>
      <w:r>
        <w:t xml:space="preserve">26º.- Agente de la Policía local de </w:t>
      </w:r>
      <w:r>
        <w:t xml:space="preserve">Candelaria  </w:t>
      </w:r>
      <w:r>
        <w:rPr>
          <w:b/>
        </w:rPr>
        <w:t>D Cristino Alexis Cruz Pestano</w:t>
      </w:r>
      <w:r>
        <w:t>, con número de identificación A12, TIP 12038, por la relevante actuación llevada a cabo en el servicio prestado el día 13 de abril de 2021 en el que tras conocer sobre un intento de hurto en el Mercadona de Caleti</w:t>
      </w:r>
      <w:r>
        <w:t>llas, procede a bloquear la vía en la zona de la rotonda del Mc Donals, siendo embestido por el vehículo – que había sido sustraído- que se daba a la fuga, lo que causó graves desperfectos al coche policial y contusiones al agente que se encontraba en su i</w:t>
      </w:r>
      <w:r>
        <w:t>nterior y aún así comenzó una persecución policial por carretera hasta que se hace a pie, al abandonar el vehículo los presuntos delincuentes, con la detención de uno de los individuos y huida de otro que fue buscado durante hora y media, incluso con la co</w:t>
      </w:r>
      <w:r>
        <w:t xml:space="preserve">laboración de la Policía Local de El Rosario., </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5"/>
      </w:pPr>
      <w:r>
        <w:t xml:space="preserve">27º.- Agente de la Policía local de Candelaria </w:t>
      </w:r>
      <w:r>
        <w:rPr>
          <w:b/>
        </w:rPr>
        <w:t>D. Juan Manuel Pérez Ramallo</w:t>
      </w:r>
      <w:r>
        <w:t>, con número de identificación A20, TIP12269, por la relevante actuación llevada a cabo en el servicio prestado el día 13 de abril</w:t>
      </w:r>
      <w:r>
        <w:t xml:space="preserve"> de 2021 en el que tras conocer sobre un intento de hurto en el Mercadona de Caletillas, procede a bloquear la vía en la zona de la rotonda del Mc Donals, siendo embestido por el vehículo – que había sido sustraído- que se daba a la fuga, lo que causó grav</w:t>
      </w:r>
      <w:r>
        <w:t>es desperfectos al coche policial y contusiones al agente que se encontraba en su interior y aún así comenzó una persecución policial por carretera hasta que se hace a pie, al abandonar el vehículo los presuntos delincuentes, con la detención de uno de los</w:t>
      </w:r>
      <w:r>
        <w:t xml:space="preserve"> individuos y huida de otro que fue buscado durante hora y media, incluso con la colaboración de la Policía Local de El Rosario.</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4"/>
      </w:pPr>
      <w:r>
        <w:t xml:space="preserve">28º.- Agente de la Policía local de Candelaria </w:t>
      </w:r>
      <w:r>
        <w:rPr>
          <w:b/>
        </w:rPr>
        <w:t>D Andrés Sixto Castro Marrero</w:t>
      </w:r>
      <w:r>
        <w:t>, con número de identificación A21, TIP 12798, p</w:t>
      </w:r>
      <w:r>
        <w:t xml:space="preserve">or la relevante actuación llevada a cabo en el servicio prestado el día  13 de abril de 2021 en el que tras conocer sobre un intento de hurto en el Mercadona de Caletillas, procede a bloquear la vía en la zona de la rotonda del Mc Donals, siendo embestido </w:t>
      </w:r>
      <w:r>
        <w:t>por el vehículo – que había sido sustraído- que se daba a la fuga, lo que causó graves desperfectos al coche policial y contusiones al agente que se encontraba en su interior y aún así comenzó una persecución policial por carretera hasta que se hace a pie,</w:t>
      </w:r>
      <w:r>
        <w:t xml:space="preserve"> al abandonar el vehículo los presuntos delincuentes, con la detención de uno de los individuos y huida de otro que fue buscado durante hora y media, incluso con la colaboración de la Policía Local de El Rosario.</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1"/>
      </w:pPr>
      <w:r>
        <w:rPr>
          <w:rFonts w:ascii="Calibri" w:eastAsia="Calibri" w:hAnsi="Calibri" w:cs="Calibri"/>
          <w:noProof/>
        </w:rPr>
        <mc:AlternateContent>
          <mc:Choice Requires="wpg">
            <w:drawing>
              <wp:anchor distT="0" distB="0" distL="114300" distR="114300" simplePos="0" relativeHeight="25177088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85958" name="Group 385958"/>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3992" name="Rectangle 23992"/>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w:t>
                              </w:r>
                              <w:r>
                                <w:rPr>
                                  <w:sz w:val="12"/>
                                </w:rPr>
                                <w:t xml:space="preserve">AC3GS | Verificación: https://candelaria.sedelectronica.es/ </w:t>
                              </w:r>
                            </w:p>
                          </w:txbxContent>
                        </wps:txbx>
                        <wps:bodyPr horzOverflow="overflow" vert="horz" lIns="0" tIns="0" rIns="0" bIns="0" rtlCol="0">
                          <a:noAutofit/>
                        </wps:bodyPr>
                      </wps:wsp>
                      <wps:wsp>
                        <wps:cNvPr id="23993" name="Rectangle 23993"/>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107 de 298 </w:t>
                              </w:r>
                            </w:p>
                          </w:txbxContent>
                        </wps:txbx>
                        <wps:bodyPr horzOverflow="overflow" vert="horz" lIns="0" tIns="0" rIns="0" bIns="0" rtlCol="0">
                          <a:noAutofit/>
                        </wps:bodyPr>
                      </wps:wsp>
                    </wpg:wgp>
                  </a:graphicData>
                </a:graphic>
              </wp:anchor>
            </w:drawing>
          </mc:Choice>
          <mc:Fallback xmlns:a="http://schemas.openxmlformats.org/drawingml/2006/main">
            <w:pict>
              <v:group id="Group 385958" style="width:12.7031pt;height:278.91pt;position:absolute;mso-position-horizontal-relative:page;mso-position-horizontal:absolute;margin-left:682.278pt;mso-position-vertical-relative:page;margin-top:533.01pt;" coordsize="1613,35421">
                <v:rect id="Rectangle 23992"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3993"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107 de 298 </w:t>
                        </w:r>
                      </w:p>
                    </w:txbxContent>
                  </v:textbox>
                </v:rect>
                <w10:wrap type="square"/>
              </v:group>
            </w:pict>
          </mc:Fallback>
        </mc:AlternateContent>
      </w:r>
      <w:r>
        <w:t xml:space="preserve">29º.- Agente de la Policía local de Candelaria </w:t>
      </w:r>
      <w:r>
        <w:rPr>
          <w:b/>
        </w:rPr>
        <w:t>D Tomás Jorge Pérez</w:t>
      </w:r>
      <w:r>
        <w:t>, con número de identificación A22, TIP 13470, por la relevante actuación llevada a cabo en el servicio prestado el día 13 de abril de 2021 en el que tras conocer sobre un intento de hurto en el Mercadona de Caletillas, procede a bloquear la vía en la zona</w:t>
      </w:r>
      <w:r>
        <w:t xml:space="preserve"> de la rotonda del Mc Donals, siendo embestido por el vehículo – que había sido sustraído- que se daba a la fuga, lo que causó graves desperfectos al coche policial y contusiones al agente que se encontraba en su interior y aún así comenzó una persecución </w:t>
      </w:r>
      <w:r>
        <w:t>policial por carretera hasta que se hace a pie, al abandonar el vehículo los presuntos delincuentes, con la detención de uno de los individuos y huida de otro que fue buscado durante hora y media, incluso con la colaboración de la Policía Local de El Rosar</w:t>
      </w:r>
      <w:r>
        <w:t>io.</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3"/>
      </w:pPr>
      <w:r>
        <w:t xml:space="preserve">30º.- Agente de la Policía local de Candelaria </w:t>
      </w:r>
      <w:r>
        <w:rPr>
          <w:b/>
        </w:rPr>
        <w:t>D Antonio de las Casas Henríquez</w:t>
      </w:r>
      <w:r>
        <w:t xml:space="preserve">, con número de identificación A 16, TIP 10142, por la relevante actuación llevada a cabo en el servicio prestado el día 13 de abril de 2021 en el que tras conocer sobre </w:t>
      </w:r>
      <w:r>
        <w:t>un intento de hurto en el Mercadona de Caletillas, procede a bloquear la vía en la zona de la rotonda del Mc Donals, siendo embestido por el vehículo – que había sido sustraído- que se daba a la fuga, lo que causó graves desperfectos al coche policial y co</w:t>
      </w:r>
      <w:r>
        <w:t>ntusiones al agente que se encontraba en su interior y aún así comenzó una persecución policial por carretera hasta que se hace a pie, al abandonar el vehículo los presuntos delincuentes, con la detención de uno de los individuos y huida de otro que fue bu</w:t>
      </w:r>
      <w:r>
        <w:t>scado durante hora y media, incluso con la colaboración de la Policía Local de El Rosario.</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3"/>
      </w:pPr>
      <w:r>
        <w:t xml:space="preserve">31º.- Agente de la Policía local de Candelaria </w:t>
      </w:r>
      <w:r>
        <w:rPr>
          <w:b/>
        </w:rPr>
        <w:t>D. Sergio Martín Rodríguez</w:t>
      </w:r>
      <w:r>
        <w:t>, con número de identificación A 45, TIP 10295, por la relevante actuación llevada a cabo</w:t>
      </w:r>
      <w:r>
        <w:t xml:space="preserve"> en el servicio prestado el día 13 de abril de 2021 en el que tras conocer sobre un intento de hurto en el Mercadona de Caletillas, procede a bloquear la vía en la zona de la rotonda del Mc Donals, siendo embestido por el vehículo – que había sido sustraíd</w:t>
      </w:r>
      <w:r>
        <w:t>o- que se daba a la fuga, lo que causó graves desperfectos al coche policial y contusiones al agente que se encontraba en su interior y aun así comenzó una persecución policial por carretera hasta que se hace a pie, al abandonar el vehículo los presuntos d</w:t>
      </w:r>
      <w:r>
        <w:t xml:space="preserve">elincuentes, con la detención de uno de los individuos y huida de otro que fue buscado durante hora y media, incluso con la colaboración de la Policía Local de El Rosario. </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0"/>
        <w:ind w:left="355" w:right="143"/>
      </w:pPr>
      <w:r>
        <w:t xml:space="preserve">32º.- Agente de la Policía local de Candelaria </w:t>
      </w:r>
      <w:r>
        <w:rPr>
          <w:b/>
        </w:rPr>
        <w:t>D. Alejandro Rubén Pérez Quinte</w:t>
      </w:r>
      <w:r>
        <w:rPr>
          <w:b/>
        </w:rPr>
        <w:t>ro</w:t>
      </w:r>
      <w:r>
        <w:t>, con número de identificación A 57, TIP 11104, por la relevante actuación llevada a cabo en el servicio prestado el día 13 de abril de 2021 en el que tras conocer sobre un intento de hurto en el Mercadona de Caletillas, procede a bloquear la vía en la z</w:t>
      </w:r>
      <w:r>
        <w:t>ona de la rotonda del Mc Donals, siendo embestido por el vehículo – que había sido sustraído- que se daba a la fuga, lo que causó graves desperfectos al coche policial y contusiones al agente que se encontraba en su interior y aun así comenzó una persecuci</w:t>
      </w:r>
      <w:r>
        <w:t>ón policial por carretera hasta que se hace a pie, al abandonar el vehículo los presuntos delincuentes, con la detención de uno de los individuos y huida de otro que fue buscado durante hora y media, incluso con la colaboración de la Policía Local de El Ro</w:t>
      </w:r>
      <w:r>
        <w:t>sario.”</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98" w:line="259" w:lineRule="auto"/>
        <w:ind w:left="360" w:firstLine="0"/>
        <w:jc w:val="left"/>
      </w:pPr>
      <w:r>
        <w:rPr>
          <w:b/>
        </w:rPr>
        <w:t xml:space="preserve"> </w:t>
      </w:r>
    </w:p>
    <w:p w:rsidR="00B064CF" w:rsidRDefault="00E32F70">
      <w:pPr>
        <w:spacing w:after="4"/>
        <w:ind w:left="355" w:right="68"/>
      </w:pPr>
      <w:r>
        <w:rPr>
          <w:b/>
        </w:rPr>
        <w:t xml:space="preserve">DICTAMEN FAVORABLE DE LA COMISIÓN INFORMATIVA DE HACIENDA, RECURSOS HUMANOS Y SERVICIOS GENERALES DE 24 DE MAYO DE  2021.  </w:t>
      </w:r>
    </w:p>
    <w:p w:rsidR="00B064CF" w:rsidRDefault="00E32F70">
      <w:pPr>
        <w:spacing w:after="0" w:line="259" w:lineRule="auto"/>
        <w:ind w:left="360" w:firstLine="0"/>
        <w:jc w:val="left"/>
      </w:pPr>
      <w:r>
        <w:rPr>
          <w:b/>
        </w:rPr>
        <w:t xml:space="preserve"> </w:t>
      </w:r>
    </w:p>
    <w:p w:rsidR="00B064CF" w:rsidRDefault="00E32F70">
      <w:pPr>
        <w:spacing w:after="11"/>
        <w:ind w:left="355" w:right="72"/>
      </w:pPr>
      <w:r>
        <w:t xml:space="preserve">Votos a favor: </w:t>
      </w:r>
    </w:p>
    <w:p w:rsidR="00B064CF" w:rsidRDefault="00E32F70">
      <w:pPr>
        <w:spacing w:after="11"/>
        <w:ind w:left="355" w:right="72"/>
      </w:pPr>
      <w:r>
        <w:t xml:space="preserve">La unanimidad de los 7 concejales presentes. </w:t>
      </w:r>
    </w:p>
    <w:p w:rsidR="00B064CF" w:rsidRDefault="00E32F70">
      <w:pPr>
        <w:spacing w:after="0" w:line="259" w:lineRule="auto"/>
        <w:ind w:left="360" w:firstLine="0"/>
        <w:jc w:val="left"/>
      </w:pPr>
      <w:r>
        <w:t xml:space="preserve"> </w:t>
      </w:r>
    </w:p>
    <w:p w:rsidR="00B064CF" w:rsidRDefault="00E32F70">
      <w:pPr>
        <w:spacing w:after="0"/>
        <w:ind w:left="355" w:right="72"/>
      </w:pPr>
      <w:r>
        <w:t xml:space="preserve">Los 4 concejales del Grupo Socialista: Don Airam Pérez Chinea, Don José Francisco Pinto Ramos, Don Olegario Francisco Alonso Bello y Doña Margarita Eva Tendero Barroso.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El concejal del Grupo Popular, Don Juan Miguel Olivera González. </w:t>
      </w:r>
    </w:p>
    <w:p w:rsidR="00B064CF" w:rsidRDefault="00E32F70">
      <w:pPr>
        <w:spacing w:after="0" w:line="259" w:lineRule="auto"/>
        <w:ind w:left="360" w:firstLine="0"/>
        <w:jc w:val="left"/>
      </w:pPr>
      <w:r>
        <w:t xml:space="preserve"> </w:t>
      </w:r>
    </w:p>
    <w:p w:rsidR="00B064CF" w:rsidRDefault="00E32F70">
      <w:pPr>
        <w:spacing w:after="11"/>
        <w:ind w:left="355" w:right="72"/>
      </w:pPr>
      <w:r>
        <w:rPr>
          <w:rFonts w:ascii="Calibri" w:eastAsia="Calibri" w:hAnsi="Calibri" w:cs="Calibri"/>
          <w:noProof/>
        </w:rPr>
        <mc:AlternateContent>
          <mc:Choice Requires="wpg">
            <w:drawing>
              <wp:anchor distT="0" distB="0" distL="114300" distR="114300" simplePos="0" relativeHeight="25177190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86221" name="Group 386221"/>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4111" name="Rectangle 24111"/>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w:t>
                              </w:r>
                              <w:r>
                                <w:rPr>
                                  <w:sz w:val="12"/>
                                </w:rPr>
                                <w:t xml:space="preserve">ón: 64SKSNYNJRFPNN5DLPPAAC3GS | Verificación: https://candelaria.sedelectronica.es/ </w:t>
                              </w:r>
                            </w:p>
                          </w:txbxContent>
                        </wps:txbx>
                        <wps:bodyPr horzOverflow="overflow" vert="horz" lIns="0" tIns="0" rIns="0" bIns="0" rtlCol="0">
                          <a:noAutofit/>
                        </wps:bodyPr>
                      </wps:wsp>
                      <wps:wsp>
                        <wps:cNvPr id="24112" name="Rectangle 24112"/>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108 de 298 </w:t>
                              </w:r>
                            </w:p>
                          </w:txbxContent>
                        </wps:txbx>
                        <wps:bodyPr horzOverflow="overflow" vert="horz" lIns="0" tIns="0" rIns="0" bIns="0" rtlCol="0">
                          <a:noAutofit/>
                        </wps:bodyPr>
                      </wps:wsp>
                    </wpg:wgp>
                  </a:graphicData>
                </a:graphic>
              </wp:anchor>
            </w:drawing>
          </mc:Choice>
          <mc:Fallback xmlns:a="http://schemas.openxmlformats.org/drawingml/2006/main">
            <w:pict>
              <v:group id="Group 386221" style="width:12.7031pt;height:278.91pt;position:absolute;mso-position-horizontal-relative:page;mso-position-horizontal:absolute;margin-left:682.278pt;mso-position-vertical-relative:page;margin-top:533.01pt;" coordsize="1613,35421">
                <v:rect id="Rectangle 24111"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4112"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108 de 298 </w:t>
                        </w:r>
                      </w:p>
                    </w:txbxContent>
                  </v:textbox>
                </v:rect>
                <w10:wrap type="square"/>
              </v:group>
            </w:pict>
          </mc:Fallback>
        </mc:AlternateContent>
      </w:r>
      <w:r>
        <w:t xml:space="preserve">La  concejal del Grupo Mixto (CC-PNC), Doña Ángela Cruz Perera. </w:t>
      </w:r>
    </w:p>
    <w:p w:rsidR="00B064CF" w:rsidRDefault="00E32F70">
      <w:pPr>
        <w:spacing w:after="0" w:line="259" w:lineRule="auto"/>
        <w:ind w:left="360" w:firstLine="0"/>
        <w:jc w:val="left"/>
      </w:pPr>
      <w:r>
        <w:t xml:space="preserve"> </w:t>
      </w:r>
    </w:p>
    <w:p w:rsidR="00B064CF" w:rsidRDefault="00E32F70">
      <w:pPr>
        <w:spacing w:after="11"/>
        <w:ind w:left="355" w:right="72"/>
      </w:pPr>
      <w:r>
        <w:t>La conc</w:t>
      </w:r>
      <w:r>
        <w:t xml:space="preserve">ejal del Grupo Mixto (SSP), Doña Lourdes del Carmen Mondéjar Rondón. </w:t>
      </w:r>
    </w:p>
    <w:p w:rsidR="00B064CF" w:rsidRDefault="00E32F70">
      <w:pPr>
        <w:spacing w:after="0" w:line="259" w:lineRule="auto"/>
        <w:ind w:left="360" w:firstLine="0"/>
        <w:jc w:val="left"/>
      </w:pPr>
      <w:r>
        <w:rPr>
          <w:b/>
        </w:rPr>
        <w:t xml:space="preserve"> </w:t>
      </w:r>
    </w:p>
    <w:p w:rsidR="00B064CF" w:rsidRDefault="00E32F70">
      <w:pPr>
        <w:spacing w:after="0" w:line="259" w:lineRule="auto"/>
        <w:ind w:left="360" w:firstLine="0"/>
        <w:jc w:val="left"/>
      </w:pPr>
      <w:r>
        <w:rPr>
          <w:b/>
        </w:rPr>
        <w:t xml:space="preserve"> </w:t>
      </w:r>
    </w:p>
    <w:p w:rsidR="00B064CF" w:rsidRDefault="00E32F70">
      <w:pPr>
        <w:spacing w:after="4"/>
        <w:ind w:left="355" w:right="68"/>
      </w:pPr>
      <w:r>
        <w:rPr>
          <w:b/>
        </w:rPr>
        <w:t xml:space="preserve">JUNTA DE PORTAVOCES DE 24 DE MAYO DE 2021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Quedó oída.  </w:t>
      </w:r>
    </w:p>
    <w:p w:rsidR="00B064CF" w:rsidRDefault="00E32F70">
      <w:pPr>
        <w:spacing w:after="0" w:line="259" w:lineRule="auto"/>
        <w:ind w:left="360" w:firstLine="0"/>
        <w:jc w:val="left"/>
      </w:pPr>
      <w:r>
        <w:rPr>
          <w:b/>
        </w:rPr>
        <w:t xml:space="preserve"> </w:t>
      </w:r>
    </w:p>
    <w:p w:rsidR="00B064CF" w:rsidRDefault="00E32F70">
      <w:pPr>
        <w:spacing w:after="4"/>
        <w:ind w:left="355" w:right="145"/>
      </w:pPr>
      <w:r>
        <w:rPr>
          <w:b/>
        </w:rPr>
        <w:t xml:space="preserve">Se debatió y votó de forma conjunta los puntos 4 y 5 del orden del día al tratarse de la misma propuesta del Concejal delegado pero que figuraba en dos expedientes diferentes abiertos en el Servicio de Recursos Humanos. </w:t>
      </w:r>
    </w:p>
    <w:p w:rsidR="00B064CF" w:rsidRDefault="00E32F70">
      <w:pPr>
        <w:spacing w:after="0" w:line="259" w:lineRule="auto"/>
        <w:ind w:left="360" w:firstLine="0"/>
        <w:jc w:val="left"/>
      </w:pPr>
      <w:r>
        <w:rPr>
          <w:b/>
        </w:rPr>
        <w:t xml:space="preserve"> </w:t>
      </w:r>
    </w:p>
    <w:p w:rsidR="00B064CF" w:rsidRDefault="00E32F70">
      <w:pPr>
        <w:spacing w:after="4"/>
        <w:ind w:left="355" w:right="68"/>
      </w:pPr>
      <w:r>
        <w:rPr>
          <w:b/>
        </w:rPr>
        <w:t>VOTACIÓN EN EL PLENO DE 27 DE MAY</w:t>
      </w:r>
      <w:r>
        <w:rPr>
          <w:b/>
        </w:rPr>
        <w:t xml:space="preserve">O DE 2021 DE LOS PUNTOS 4 Y 5 DEL ORDEN DEL DÍA: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La unanimidad de los 14 concejales presentes: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11 concejales del Grupo Socialista: Doña María Concepción Brito Núñez, Don Jorge Baute Delgado, </w:t>
      </w:r>
    </w:p>
    <w:p w:rsidR="00B064CF" w:rsidRDefault="00E32F70">
      <w:pPr>
        <w:spacing w:after="111"/>
        <w:ind w:left="355" w:right="147"/>
      </w:pPr>
      <w:r>
        <w:t>Doña Olivia Concepción Pérez Díaz, Don José Francisco Pint</w:t>
      </w:r>
      <w:r>
        <w:t xml:space="preserve">o Ramos, Doña Hilaria Cecilia Otazo González, Don Airam Pérez Chinea, Doña Margarita Eva Tendero Barroso, Don Manuel Alberto González Pestano, Doña María del Carmen Clemente Díaz, Don Olegario Francisco Alonso Bello y Don Reinaldo José Triviño Blanco. </w:t>
      </w:r>
    </w:p>
    <w:p w:rsidR="00B064CF" w:rsidRDefault="00E32F70">
      <w:pPr>
        <w:spacing w:after="0" w:line="259" w:lineRule="auto"/>
        <w:ind w:left="360" w:firstLine="0"/>
        <w:jc w:val="left"/>
      </w:pPr>
      <w:r>
        <w:t xml:space="preserve"> </w:t>
      </w:r>
    </w:p>
    <w:p w:rsidR="00B064CF" w:rsidRDefault="00E32F70">
      <w:pPr>
        <w:spacing w:after="109"/>
        <w:ind w:left="355" w:right="72"/>
      </w:pPr>
      <w:r>
        <w:t>3</w:t>
      </w:r>
      <w:r>
        <w:t xml:space="preserve"> concejales del Grupo Mixto: Don Antonio Delgado García y Lourdes del Carmen Mondéjar Rondón (SSP) y Doña Ángela Cruz Perera (CC-PNC). </w:t>
      </w:r>
    </w:p>
    <w:p w:rsidR="00B064CF" w:rsidRDefault="00E32F70">
      <w:pPr>
        <w:spacing w:after="0" w:line="259" w:lineRule="auto"/>
        <w:ind w:left="360" w:firstLine="0"/>
        <w:jc w:val="left"/>
      </w:pPr>
      <w:r>
        <w:rPr>
          <w:b/>
        </w:rPr>
        <w:t xml:space="preserve"> </w:t>
      </w:r>
    </w:p>
    <w:p w:rsidR="00B064CF" w:rsidRDefault="00E32F70">
      <w:pPr>
        <w:spacing w:after="0" w:line="259" w:lineRule="auto"/>
        <w:ind w:left="360" w:firstLine="0"/>
        <w:jc w:val="left"/>
      </w:pPr>
      <w:r>
        <w:rPr>
          <w:b/>
        </w:rPr>
        <w:t xml:space="preserve"> </w:t>
      </w:r>
    </w:p>
    <w:p w:rsidR="00B064CF" w:rsidRDefault="00E32F70">
      <w:pPr>
        <w:spacing w:after="0" w:line="259" w:lineRule="auto"/>
        <w:ind w:left="273" w:firstLine="0"/>
        <w:jc w:val="center"/>
      </w:pPr>
      <w:r>
        <w:rPr>
          <w:b/>
        </w:rPr>
        <w:t xml:space="preserve"> </w:t>
      </w:r>
    </w:p>
    <w:p w:rsidR="00B064CF" w:rsidRDefault="00E32F70">
      <w:pPr>
        <w:spacing w:after="9" w:line="249" w:lineRule="auto"/>
        <w:ind w:left="290" w:right="68"/>
        <w:jc w:val="center"/>
      </w:pPr>
      <w:r>
        <w:rPr>
          <w:b/>
        </w:rPr>
        <w:t xml:space="preserve">ACUERDO DEL PLENO DE 27 DE MAYO DE 2021. </w:t>
      </w:r>
    </w:p>
    <w:p w:rsidR="00B064CF" w:rsidRDefault="00E32F70">
      <w:pPr>
        <w:spacing w:after="0" w:line="259" w:lineRule="auto"/>
        <w:ind w:left="360" w:firstLine="0"/>
        <w:jc w:val="left"/>
      </w:pPr>
      <w:r>
        <w:rPr>
          <w:b/>
        </w:rPr>
        <w:t xml:space="preserve"> </w:t>
      </w:r>
    </w:p>
    <w:p w:rsidR="00B064CF" w:rsidRDefault="00E32F70">
      <w:pPr>
        <w:spacing w:after="4"/>
        <w:ind w:left="355" w:right="68"/>
      </w:pPr>
      <w:r>
        <w:rPr>
          <w:b/>
        </w:rPr>
        <w:t xml:space="preserve">Reconocer, felicitar y otorgar mención pública por su destacada labor </w:t>
      </w:r>
      <w:r>
        <w:rPr>
          <w:b/>
        </w:rPr>
        <w:t xml:space="preserve">a los/as siguientes agentes de la Policía Local de Candelaria: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0"/>
        <w:ind w:left="355" w:right="142"/>
      </w:pPr>
      <w:r>
        <w:t xml:space="preserve">1º.- Agente de la Policía local de Candelaria </w:t>
      </w:r>
      <w:r>
        <w:rPr>
          <w:b/>
        </w:rPr>
        <w:t>D. Guillermo Rodríguez Febles</w:t>
      </w:r>
      <w:r>
        <w:t>, con número de identificación A17, TIP 10405, por la relevante actuación llevada a cabo en el servicio prestado el día 21 de junio de 2015, al intervenir en el Rescate y evacuación de una persona precipitada en las inmediaciones del barranco de Maja, cola</w:t>
      </w:r>
      <w:r>
        <w:t>borando de manera directa con los servicios de rescate del Consorcio de Bomberos de la Isla de Tenerife.</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2"/>
      </w:pPr>
      <w:r>
        <w:t xml:space="preserve">2º.- Agente de la Policía de Candelaria </w:t>
      </w:r>
      <w:r>
        <w:rPr>
          <w:b/>
        </w:rPr>
        <w:t>D. Víctor Miguel García Hernández</w:t>
      </w:r>
      <w:r>
        <w:t>, con número de identificación A40, TIP 11253, por la relevante actuación l</w:t>
      </w:r>
      <w:r>
        <w:t>levada a cabo en el servicio prestado el día 21 de junio de 2015, al intervenir en el Rescate y evacuación de una persona precipitada en las inmediaciones del barranco de Maja, colaborando de manera directa con los servicios de rescate del Consorcio de Bom</w:t>
      </w:r>
      <w:r>
        <w:t>beros de la Isla de Tenerife.</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2"/>
      </w:pPr>
      <w:r>
        <w:rPr>
          <w:rFonts w:ascii="Calibri" w:eastAsia="Calibri" w:hAnsi="Calibri" w:cs="Calibri"/>
          <w:noProof/>
        </w:rPr>
        <mc:AlternateContent>
          <mc:Choice Requires="wpg">
            <w:drawing>
              <wp:anchor distT="0" distB="0" distL="114300" distR="114300" simplePos="0" relativeHeight="25177292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86427" name="Group 386427"/>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4240" name="Rectangle 24240"/>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4241" name="Rectangle 24241"/>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109 de 298 </w:t>
                              </w:r>
                            </w:p>
                          </w:txbxContent>
                        </wps:txbx>
                        <wps:bodyPr horzOverflow="overflow" vert="horz" lIns="0" tIns="0" rIns="0" bIns="0" rtlCol="0">
                          <a:noAutofit/>
                        </wps:bodyPr>
                      </wps:wsp>
                    </wpg:wgp>
                  </a:graphicData>
                </a:graphic>
              </wp:anchor>
            </w:drawing>
          </mc:Choice>
          <mc:Fallback xmlns:a="http://schemas.openxmlformats.org/drawingml/2006/main">
            <w:pict>
              <v:group id="Group 386427" style="width:12.7031pt;height:278.91pt;position:absolute;mso-position-horizontal-relative:page;mso-position-horizontal:absolute;margin-left:682.278pt;mso-position-vertical-relative:page;margin-top:533.01pt;" coordsize="1613,35421">
                <v:rect id="Rectangle 24240"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4241"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109 de 298 </w:t>
                        </w:r>
                      </w:p>
                    </w:txbxContent>
                  </v:textbox>
                </v:rect>
                <w10:wrap type="square"/>
              </v:group>
            </w:pict>
          </mc:Fallback>
        </mc:AlternateContent>
      </w:r>
      <w:r>
        <w:t>3º.- Agente de la Policía</w:t>
      </w:r>
      <w:r>
        <w:t xml:space="preserve"> de Candelaria </w:t>
      </w:r>
      <w:r>
        <w:rPr>
          <w:b/>
        </w:rPr>
        <w:t>Dª María Loreto Rodríguez Monasterio</w:t>
      </w:r>
      <w:r>
        <w:t>, con número de identificación A38, TIP 10166, por la relevante actuación llevada a cabo en el servicio prestado el día 21 de junio de 2015, al intervenir en el Rescate y evacuación de una persona precipit</w:t>
      </w:r>
      <w:r>
        <w:t>ada en las inmediaciones del barranco de Maja, colaborando de manera directa con los servicios de rescate del Consorcio de Bomberos de la Isla de Tenerife.</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6"/>
      </w:pPr>
      <w:r>
        <w:t xml:space="preserve">4º.- Agente de la Policía de Candelaria </w:t>
      </w:r>
      <w:r>
        <w:rPr>
          <w:b/>
        </w:rPr>
        <w:t>D. José Carlos Mata González</w:t>
      </w:r>
      <w:r>
        <w:t>, con número de identificació</w:t>
      </w:r>
      <w:r>
        <w:t>n A39, TIP 13547, por la relevante actuación llevada a cabo en el servicio prestado el día 21 de junio de 2015, al intervenir en el Rescate y evacuación de una persona precipitada en las inmediaciones del barranco de Maja, colaborando de manera directa con</w:t>
      </w:r>
      <w:r>
        <w:t xml:space="preserve"> los servicios de rescate del Consorcio de Bomberos de la Isla de Tenerife.</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5"/>
      </w:pPr>
      <w:r>
        <w:t xml:space="preserve">5º Agente de la Policía de Candelaria </w:t>
      </w:r>
      <w:r>
        <w:rPr>
          <w:b/>
        </w:rPr>
        <w:t>Dª Yurena García Calcines</w:t>
      </w:r>
      <w:r>
        <w:t>, con número de identificación A35, TIP 13482, por la relevante actuación llevada a cabo en el servicio prestado e</w:t>
      </w:r>
      <w:r>
        <w:t>l día 9 de abril de 2016, por su intervención en la intercepción y detención de un vehículo kamikaze en la TF01, interceptando al conductor, que puso en riesgo su vida y la del resto de usuarios de la vida, anteponiendo la agente su propia integridad físic</w:t>
      </w:r>
      <w:r>
        <w:t>a para salvaguardar la de los usuarios.</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4"/>
      </w:pPr>
      <w:r>
        <w:t xml:space="preserve">6º Agente de la Policía de Candelaria </w:t>
      </w:r>
      <w:r>
        <w:rPr>
          <w:b/>
        </w:rPr>
        <w:t>D. Ruyman Cabrera Jiménez</w:t>
      </w:r>
      <w:r>
        <w:t xml:space="preserve">, con número de identificación A36, TIP 13755, por la relevante actuación llevada a cabo en el servicio prestado el día 9 de abril de 2016, </w:t>
      </w:r>
      <w:r>
        <w:t xml:space="preserve">por su intervención en la intercepción y detención de un vehículo kamikaze en la TF01, interceptando al conductor, que puso en riesgo su vida y la del resto de usuarios de la vida, anteponiendo el agente su propia integridad física para salvaguardar la de </w:t>
      </w:r>
      <w:r>
        <w:t>los usuarios.</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r>
        <w:tab/>
        <w:t xml:space="preserve"> </w:t>
      </w:r>
    </w:p>
    <w:p w:rsidR="00B064CF" w:rsidRDefault="00E32F70">
      <w:pPr>
        <w:spacing w:after="0"/>
        <w:ind w:left="355" w:right="72"/>
      </w:pPr>
      <w:r>
        <w:t xml:space="preserve">7º Agente de la Policía de Candelaria </w:t>
      </w:r>
      <w:r>
        <w:rPr>
          <w:b/>
        </w:rPr>
        <w:t>D. Cristino Alexis Cruz Pestano</w:t>
      </w:r>
      <w:r>
        <w:t xml:space="preserve">, con número de </w:t>
      </w:r>
      <w:r>
        <w:t>identificación A12, TIP 12038, por la relevante actuación llevada a cabo en el servicio prestado el día 2 de abril de 2017, interceptando un vehículo sustraído por cuatro individuos con múltiples antecedentes penales, recuperando dicho vehículo y deteniend</w:t>
      </w:r>
      <w:r>
        <w:t>o a los presuntos autores con celeridad, diligencia y eficacia.</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4"/>
      </w:pPr>
      <w:r>
        <w:t xml:space="preserve">8º Agente de la Policía de Candelaria </w:t>
      </w:r>
      <w:r>
        <w:rPr>
          <w:b/>
        </w:rPr>
        <w:t>D. Andrés Sixto Castro Marrero</w:t>
      </w:r>
      <w:r>
        <w:t>, con número de identificación A21, TIP 12798, por la relevante actuación llevada a cabo en el servicio prestado el día 2</w:t>
      </w:r>
      <w:r>
        <w:t xml:space="preserve"> de abril de 2017, interceptando un vehículo sustraído por cuatro individuos con múltiples antecedentes penales, recuperando dicho vehículo y deteniendo a los presuntos autores con celeridad, diligencia y eficacia.</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6"/>
      </w:pPr>
      <w:r>
        <w:t xml:space="preserve">9º Agente de la Policía de Candelaria </w:t>
      </w:r>
      <w:r>
        <w:rPr>
          <w:b/>
        </w:rPr>
        <w:t>D. Tomás Jorge Pérez</w:t>
      </w:r>
      <w:r>
        <w:t>, con número de identificación A22, TIP 13470, por la relevante actuación llevada a cabo en el servicio prestado el día 2 de abril de 2017, interceptando un vehículo sustraído por cuatro individuos con múltiples antecedentes penales, re</w:t>
      </w:r>
      <w:r>
        <w:t>cuperando dicho vehículo y deteniendo a los presuntos autores con celeridad, diligencia y eficacia.</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4"/>
      </w:pPr>
      <w:r>
        <w:t xml:space="preserve">10º Agente de la Policía de Candelaria </w:t>
      </w:r>
      <w:r>
        <w:rPr>
          <w:b/>
        </w:rPr>
        <w:t>D. Ruyman Cabrera Jiménez</w:t>
      </w:r>
      <w:r>
        <w:t xml:space="preserve">, con número de identificación A36, TIP 13755, por la relevante actuación llevada a cabo </w:t>
      </w:r>
      <w:r>
        <w:t>en el servicio prestado el día 2 de abril de 2017, interceptando un vehículo sustraído por cuatro individuos con múltiples antecedentes penales, recuperando dicho vehículo y deteniendo a los presuntos autores con celeridad, diligencia y eficacia.</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4"/>
      </w:pPr>
      <w:r>
        <w:rPr>
          <w:rFonts w:ascii="Calibri" w:eastAsia="Calibri" w:hAnsi="Calibri" w:cs="Calibri"/>
          <w:noProof/>
        </w:rPr>
        <mc:AlternateContent>
          <mc:Choice Requires="wpg">
            <w:drawing>
              <wp:anchor distT="0" distB="0" distL="114300" distR="114300" simplePos="0" relativeHeight="25177395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86514" name="Group 386514"/>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4368" name="Rectangle 24368"/>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w:t>
                              </w:r>
                              <w:r>
                                <w:rPr>
                                  <w:sz w:val="12"/>
                                </w:rPr>
                                <w:t xml:space="preserve">. Validación: 64SKSNYNJRFPNN5DLPPAAC3GS | Verificación: https://candelaria.sedelectronica.es/ </w:t>
                              </w:r>
                            </w:p>
                          </w:txbxContent>
                        </wps:txbx>
                        <wps:bodyPr horzOverflow="overflow" vert="horz" lIns="0" tIns="0" rIns="0" bIns="0" rtlCol="0">
                          <a:noAutofit/>
                        </wps:bodyPr>
                      </wps:wsp>
                      <wps:wsp>
                        <wps:cNvPr id="24369" name="Rectangle 24369"/>
                        <wps:cNvSpPr/>
                        <wps:spPr>
                          <a:xfrm rot="-5399999">
                            <a:off x="-2094822" y="1257909"/>
                            <a:ext cx="44552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110 de 298 </w:t>
                              </w:r>
                            </w:p>
                          </w:txbxContent>
                        </wps:txbx>
                        <wps:bodyPr horzOverflow="overflow" vert="horz" lIns="0" tIns="0" rIns="0" bIns="0" rtlCol="0">
                          <a:noAutofit/>
                        </wps:bodyPr>
                      </wps:wsp>
                    </wpg:wgp>
                  </a:graphicData>
                </a:graphic>
              </wp:anchor>
            </w:drawing>
          </mc:Choice>
          <mc:Fallback xmlns:a="http://schemas.openxmlformats.org/drawingml/2006/main">
            <w:pict>
              <v:group id="Group 386514" style="width:12.7031pt;height:278.91pt;position:absolute;mso-position-horizontal-relative:page;mso-position-horizontal:absolute;margin-left:682.278pt;mso-position-vertical-relative:page;margin-top:533.01pt;" coordsize="1613,35421">
                <v:rect id="Rectangle 24368"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4369" style="position:absolute;width:44552;height:1132;left:-20948;top:1257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110 de 298 </w:t>
                        </w:r>
                      </w:p>
                    </w:txbxContent>
                  </v:textbox>
                </v:rect>
                <w10:wrap type="square"/>
              </v:group>
            </w:pict>
          </mc:Fallback>
        </mc:AlternateContent>
      </w:r>
      <w:r>
        <w:t xml:space="preserve">11º Agente de la Policía de Candelaria </w:t>
      </w:r>
      <w:r>
        <w:rPr>
          <w:b/>
        </w:rPr>
        <w:t>D. Jean Díaz Gómez</w:t>
      </w:r>
      <w:r>
        <w:t>, con n</w:t>
      </w:r>
      <w:r>
        <w:t>úmero de identificación A15, TIP 13021, por la relevante actuación llevada a cabo en el servicio prestado el día 17 de septiembre de 2019, por la intervención en la localización y vigilancia activa de una vivienda en Bco Hondo en la cual se incautaron nove</w:t>
      </w:r>
      <w:r>
        <w:t>nta plantas de marihuana, con resultado de tres detenidos por un presunto delito contra la salud pública.</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4"/>
      </w:pPr>
      <w:r>
        <w:t xml:space="preserve">12º Agente de la Policía de Candelaria </w:t>
      </w:r>
      <w:r>
        <w:rPr>
          <w:b/>
        </w:rPr>
        <w:t>D Ruyman Cabrera Jiménez</w:t>
      </w:r>
      <w:r>
        <w:t xml:space="preserve">, con número de identificación A36, TIP 13755, por la relevante actuación llevada a </w:t>
      </w:r>
      <w:r>
        <w:t>cabo en el servicio prestado el día 17 de septiembre de 2019, por la intervención en la localización y vigilancia activa de una vivienda en Bco Hondo en la cual se incautaron noventa plantas de marihuana, con resultado de tres detenidos por un presunto del</w:t>
      </w:r>
      <w:r>
        <w:t>ito contra la salud pública.</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2"/>
      </w:pPr>
      <w:r>
        <w:t xml:space="preserve">13º.- Agente de la Policía local de Candelaria </w:t>
      </w:r>
      <w:r>
        <w:rPr>
          <w:b/>
        </w:rPr>
        <w:t>D. Guillermo Rodríguez Febles</w:t>
      </w:r>
      <w:r>
        <w:t>, con número de identificación A17, TIP 10405, por la relevante actuación llevada a cabo en el servicio prestado el día 23 de octubre de 2018, en la intervención en la detención de 2 individuos con diversos antecedentes penales, los cuales habían realizado</w:t>
      </w:r>
      <w:r>
        <w:t xml:space="preserve"> entrada con fuerza en las cosas en una vivienda en la comunidad El Carmen, con la intención de apropiación de bienes ajenos y sin dilación, entereza y dedicación profesional procedió a la entrada y detención de los presuntos autores.</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4"/>
      </w:pPr>
      <w:r>
        <w:t>14º.- Agente de la</w:t>
      </w:r>
      <w:r>
        <w:t xml:space="preserve"> Policía local de Candelaria </w:t>
      </w:r>
      <w:r>
        <w:rPr>
          <w:b/>
        </w:rPr>
        <w:t>D. Jose Carlos Mata González</w:t>
      </w:r>
      <w:r>
        <w:t>, con número de identificación A39, TIP 13547, por la relevante actuación llevada a cabo en el servicio prestado el día 23 de octubre de 2018, en la intervención en la detención de 2 individuos con d</w:t>
      </w:r>
      <w:r>
        <w:t xml:space="preserve">iversos antecedentes penales, los cuales habían realizado entrada con fuerza en las cosas en una vivienda en la comunidad El Carmen, con la intención de apropiación de bienes ajenos y sin dilación, entereza y dedicación profesional procedió a la entrada y </w:t>
      </w:r>
      <w:r>
        <w:t>detención de los presuntos autores.</w:t>
      </w:r>
      <w:r>
        <w:rPr>
          <w:rFonts w:ascii="Times New Roman" w:eastAsia="Times New Roman" w:hAnsi="Times New Roman" w:cs="Times New Roman"/>
          <w:sz w:val="24"/>
        </w:rPr>
        <w:t xml:space="preserve"> </w:t>
      </w:r>
      <w:r>
        <w:t xml:space="preserve">15º.- Oficial de la Policía local de Candelaria </w:t>
      </w:r>
      <w:r>
        <w:rPr>
          <w:b/>
        </w:rPr>
        <w:t>D. Gregorio González Alonso</w:t>
      </w:r>
      <w:r>
        <w:t>, con número de identificación C4, TIP 1320, por la relevante actuación llevada a cabo en el servicio prestado el día 6 de mayo de 2019, en la in</w:t>
      </w:r>
      <w:r>
        <w:t>tervención en un conato de incendio que se propagó de forma acelerada en el Edf. Balcones de Candelaria, participando de manera enérgica en: la aplicación y cortes del tráfico rodado con desvíos a fin de que no peligrase la seguridad de los transeúntes y d</w:t>
      </w:r>
      <w:r>
        <w:t>esalojo de los ocupantes de las viviendas afectadas y adyacentes, incluidos los heridos por quemaduras de grado medio. La Capacidad de reacción fue notable, poniendo en peligro su integridad física, con objeto de sofocar la viveza del fuego, conteniendo el</w:t>
      </w:r>
      <w:r>
        <w:t xml:space="preserve"> conato hasta la llegada del servicio de extinción de incendios, lo que dio lugar, a que el responsable del cuerpo técnico de los bomberos señalase que </w:t>
      </w:r>
      <w:r>
        <w:rPr>
          <w:i/>
        </w:rPr>
        <w:t>“debido a la ágil respuesta policial, las consecuencias no fueron aun de mayor gravedad”.</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1"/>
      </w:pPr>
      <w:r>
        <w:rPr>
          <w:rFonts w:ascii="Calibri" w:eastAsia="Calibri" w:hAnsi="Calibri" w:cs="Calibri"/>
          <w:noProof/>
        </w:rPr>
        <mc:AlternateContent>
          <mc:Choice Requires="wpg">
            <w:drawing>
              <wp:anchor distT="0" distB="0" distL="114300" distR="114300" simplePos="0" relativeHeight="25177497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86702" name="Group 386702"/>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4492" name="Rectangle 24492"/>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4493" name="Rectangle 24493"/>
                        <wps:cNvSpPr/>
                        <wps:spPr>
                          <a:xfrm rot="-5399999">
                            <a:off x="-2091074" y="1261659"/>
                            <a:ext cx="4447773"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111 de 298 </w:t>
                              </w:r>
                            </w:p>
                          </w:txbxContent>
                        </wps:txbx>
                        <wps:bodyPr horzOverflow="overflow" vert="horz" lIns="0" tIns="0" rIns="0" bIns="0" rtlCol="0">
                          <a:noAutofit/>
                        </wps:bodyPr>
                      </wps:wsp>
                    </wpg:wgp>
                  </a:graphicData>
                </a:graphic>
              </wp:anchor>
            </w:drawing>
          </mc:Choice>
          <mc:Fallback xmlns:a="http://schemas.openxmlformats.org/drawingml/2006/main">
            <w:pict>
              <v:group id="Group 386702" style="width:12.7031pt;height:278.91pt;position:absolute;mso-position-horizontal-relative:page;mso-position-horizontal:absolute;margin-left:682.278pt;mso-position-vertical-relative:page;margin-top:533.01pt;" coordsize="1613,35421">
                <v:rect id="Rectangle 24492"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4493" style="position:absolute;width:44477;height:1132;left:-20910;top:12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111 de 298 </w:t>
                        </w:r>
                      </w:p>
                    </w:txbxContent>
                  </v:textbox>
                </v:rect>
                <w10:wrap type="square"/>
              </v:group>
            </w:pict>
          </mc:Fallback>
        </mc:AlternateContent>
      </w:r>
      <w:r>
        <w:t xml:space="preserve">16º.- Oficial de la Policía local de Candelaria </w:t>
      </w:r>
      <w:r>
        <w:rPr>
          <w:b/>
        </w:rPr>
        <w:t>D. Gustavo Ol</w:t>
      </w:r>
      <w:r>
        <w:rPr>
          <w:b/>
        </w:rPr>
        <w:t>iver Cabrera Jiménez</w:t>
      </w:r>
      <w:r>
        <w:t xml:space="preserve">, con número de identificación C9, TIP 13530, por la relevante actuación llevada a cabo en el servicio prestado el día 6 de mayo de 2019, en la intervención en un conato de incendio que se propagó de forma acelerada en el Edf. Balcones </w:t>
      </w:r>
      <w:r>
        <w:t>de Candelaria, participando de manera enérgica en: la aplicación y cortes del tráfico rodado con desvíos a fin de que no peligrase la seguridad de los transeúntes y desalojo de los ocupantes de las viviendas afectadas y adyacentes, incluidos los heridos po</w:t>
      </w:r>
      <w:r>
        <w:t>r quemaduras de grado medio. La Capacidad de reacción fue notable, poniendo en peligro su integridad física, con objeto de sofocar la viveza del fuego, conteniendo el conato hasta la llegada del servicio de extinción de incendios, lo que dio lugar, a que e</w:t>
      </w:r>
      <w:r>
        <w:t>l responsable del cuerpo técnico de los bomberos señalase que “debido a la ágil respuesta policial, las consecuencias no fueron aun de mayor gravedad”.</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2"/>
      </w:pPr>
      <w:r>
        <w:t xml:space="preserve">17º.- Agente de la Policía local de Candelaria </w:t>
      </w:r>
      <w:r>
        <w:rPr>
          <w:b/>
        </w:rPr>
        <w:t>D. Guillermo Rodríguez Febles</w:t>
      </w:r>
      <w:r>
        <w:t>, con número de identific</w:t>
      </w:r>
      <w:r>
        <w:t>ación A 17, TIP 10405, por la relevante actuación llevada a cabo en el servicio prestado el día, en la intervención 6 de mayo de 2019, en la intervención en un conato de incendio que se propagó de forma acelerada en el Edf. Balcones de Candelaria, particip</w:t>
      </w:r>
      <w:r>
        <w:t>ando de manera enérgica en: la aplicación y cortes del tráfico rodado con desvíos a fin de que no peligrase la seguridad de los transeúntes y desalojo de los ocupantes de las viviendas afectadas y adyacentes, incluidos los heridos por quemaduras de grado m</w:t>
      </w:r>
      <w:r>
        <w:t>edio. La Capacidad de reacción fue notable, poniendo en peligro su integridad física, con objeto de sofocar la viveza del fuego, conteniendo el conato hasta la llegada del servicio de extinción de incendios, lo que dio lugar, a que el responsable del cuerp</w:t>
      </w:r>
      <w:r>
        <w:t>o técnico de los bomberos señalase que “debido a la ágil respuesta policial, las consecuencias no fueron aun de mayor gravedad”.</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3"/>
      </w:pPr>
      <w:r>
        <w:t xml:space="preserve">18º.- Agente de la Policía local de Candelaria </w:t>
      </w:r>
      <w:r>
        <w:rPr>
          <w:b/>
        </w:rPr>
        <w:t>D Antonio de las Casas Henríquez</w:t>
      </w:r>
      <w:r>
        <w:t>, con número de identificación A 16, TIP 1014</w:t>
      </w:r>
      <w:r>
        <w:t>2, por la relevante actuación llevada a cabo en el servicio prestado el día, 6 de mayo de 2019, en la intervención en un conato de incendio que se propagó de forma acelerada en el Edf. Balcones de Candelaria, participando de manera enérgica en: la aplicaci</w:t>
      </w:r>
      <w:r>
        <w:t>ón y cortes del tráfico rodado con desvíos a fin de que no peligrase la seguridad de los transeúntes y desalojo de los ocupantes de las viviendas afectadas y adyacentes, incluidos los heridos por quemaduras de grado medio. La Capacidad de reacción fue nota</w:t>
      </w:r>
      <w:r>
        <w:t xml:space="preserve">ble, poniendo en peligro su integridad física, con objeto de sofocar la viveza del fuego, conteniendo el conato hasta la llegada del servicio de extinción de incendios, lo que dio lugar, a que el responsable del cuerpo técnico de los bomberos señalase que </w:t>
      </w:r>
      <w:r>
        <w:t>“debido a la ágil respuesta policial, las consecuencias no fueron aun de mayor gravedad”.</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5"/>
      </w:pPr>
      <w:r>
        <w:t xml:space="preserve">19º.- Agente de la Policía local de Candelaria </w:t>
      </w:r>
      <w:r>
        <w:rPr>
          <w:b/>
        </w:rPr>
        <w:t>D. Javier Barrera Acosta</w:t>
      </w:r>
      <w:r>
        <w:t xml:space="preserve">, con número de identificación A37, TIP 11105, por la relevante actuación llevada a cabo en </w:t>
      </w:r>
      <w:r>
        <w:t>el servicio prestado, el día 6 de mayo de 2019, en la intervención en un conato de incendio que se propagó de forma acelerada en el Edf. Balcones de Candelaria, participando de manera enérgica en: la aplicación y cortes del tráfico rodado con desvíos a fin</w:t>
      </w:r>
      <w:r>
        <w:t xml:space="preserve"> de que no peligrase la seguridad de los transeúntes y desalojo de los ocupantes de las viviendas afectadas y adyacentes, incluidos los heridos por quemaduras de grado medio. La Capacidad de reacción fue notable, poniendo en peligro su integridad física, c</w:t>
      </w:r>
      <w:r>
        <w:t>on objeto de sofocar la viveza del fuego, conteniendo el conato hasta la llegada del servicio de extinción de incendios, lo que dio lugar, a que el responsable del cuerpo técnico de los bomberos señalase que “debido a la ágil respuesta policial, las consec</w:t>
      </w:r>
      <w:r>
        <w:t>uencias no fueron aun de mayor gravedad”.</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r>
        <w:tab/>
        <w:t xml:space="preserve"> </w:t>
      </w:r>
    </w:p>
    <w:p w:rsidR="00B064CF" w:rsidRDefault="00E32F70">
      <w:pPr>
        <w:spacing w:after="0"/>
        <w:ind w:left="355" w:right="143"/>
      </w:pPr>
      <w:r>
        <w:t xml:space="preserve">20º.- Agente de la Policía local de Candelaria </w:t>
      </w:r>
      <w:r>
        <w:rPr>
          <w:b/>
        </w:rPr>
        <w:t>D. Juan Andrés González Pérez</w:t>
      </w:r>
      <w:r>
        <w:t>, con número de identificación A10, TIP 11867, por la relevante actuación llevada a cabo en el servicio prestado el día 20 de agosto de 2019, contribuyendo de forma rápida y eficiente a actuar ante una llamada que informa de una señora presuntamente ahogad</w:t>
      </w:r>
      <w:r>
        <w:t>a, en el Edf. Afirama, personándose, realizando la RCP hasta la llegada de la ambulancia hasta conseguir constantes vitales positivas. Acto que dio lugar al responsable del CECOES a trasladar felicitaciones de los policías intervinientes “ya que debido a s</w:t>
      </w:r>
      <w:r>
        <w:t>u pronta intervención la Sra. Accidentada ingresó con vida en el hospital”</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r>
        <w:tab/>
        <w:t xml:space="preserve"> </w:t>
      </w:r>
    </w:p>
    <w:p w:rsidR="00B064CF" w:rsidRDefault="00E32F70">
      <w:pPr>
        <w:spacing w:after="0"/>
        <w:ind w:left="355" w:right="141"/>
      </w:pPr>
      <w:r>
        <w:rPr>
          <w:rFonts w:ascii="Calibri" w:eastAsia="Calibri" w:hAnsi="Calibri" w:cs="Calibri"/>
          <w:noProof/>
        </w:rPr>
        <mc:AlternateContent>
          <mc:Choice Requires="wpg">
            <w:drawing>
              <wp:anchor distT="0" distB="0" distL="114300" distR="114300" simplePos="0" relativeHeight="25177600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87240" name="Group 387240"/>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4631" name="Rectangle 24631"/>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4632" name="Rectangle 24632"/>
                        <wps:cNvSpPr/>
                        <wps:spPr>
                          <a:xfrm rot="-5399999">
                            <a:off x="-2094822" y="1257909"/>
                            <a:ext cx="4455272" cy="113224"/>
                          </a:xfrm>
                          <a:prstGeom prst="rect">
                            <a:avLst/>
                          </a:prstGeom>
                          <a:ln>
                            <a:noFill/>
                          </a:ln>
                        </wps:spPr>
                        <wps:txbx>
                          <w:txbxContent>
                            <w:p w:rsidR="00B064CF" w:rsidRDefault="00E32F70">
                              <w:pPr>
                                <w:spacing w:after="160" w:line="259" w:lineRule="auto"/>
                                <w:ind w:left="0" w:firstLine="0"/>
                                <w:jc w:val="left"/>
                              </w:pPr>
                              <w:r>
                                <w:rPr>
                                  <w:sz w:val="12"/>
                                </w:rPr>
                                <w:t>Documento firmado electrónicamente desde la plataforma esPublico Gestiona</w:t>
                              </w:r>
                              <w:r>
                                <w:rPr>
                                  <w:sz w:val="12"/>
                                </w:rPr>
                                <w:t xml:space="preserve"> | Página 112 de 298 </w:t>
                              </w:r>
                            </w:p>
                          </w:txbxContent>
                        </wps:txbx>
                        <wps:bodyPr horzOverflow="overflow" vert="horz" lIns="0" tIns="0" rIns="0" bIns="0" rtlCol="0">
                          <a:noAutofit/>
                        </wps:bodyPr>
                      </wps:wsp>
                    </wpg:wgp>
                  </a:graphicData>
                </a:graphic>
              </wp:anchor>
            </w:drawing>
          </mc:Choice>
          <mc:Fallback xmlns:a="http://schemas.openxmlformats.org/drawingml/2006/main">
            <w:pict>
              <v:group id="Group 387240" style="width:12.7031pt;height:278.91pt;position:absolute;mso-position-horizontal-relative:page;mso-position-horizontal:absolute;margin-left:682.278pt;mso-position-vertical-relative:page;margin-top:533.01pt;" coordsize="1613,35421">
                <v:rect id="Rectangle 24631"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4632" style="position:absolute;width:44552;height:1132;left:-20948;top:1257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112 de 298 </w:t>
                        </w:r>
                      </w:p>
                    </w:txbxContent>
                  </v:textbox>
                </v:rect>
                <w10:wrap type="square"/>
              </v:group>
            </w:pict>
          </mc:Fallback>
        </mc:AlternateContent>
      </w:r>
      <w:r>
        <w:t xml:space="preserve">21º.- Agente de la Policía local de Candelaria </w:t>
      </w:r>
      <w:r>
        <w:rPr>
          <w:b/>
        </w:rPr>
        <w:t>D. Juan Manuel Pérez Ramallo</w:t>
      </w:r>
      <w:r>
        <w:t>, con número de identificación A20, TIP 12269, por la relevante actuación llevada a cabo en el servicio prestado el día, 20 de agosto de 2019, contribuyendo de</w:t>
      </w:r>
      <w:r>
        <w:t xml:space="preserve"> forma rápida y eficiente a actuar ante una llamada que informa de una señora presuntamente ahogada, en el Edf. Afirama, personándose, realizando la RCP hasta la llegada de la ambulancia hasta conseguir constantes vitales positivas. Acto que dio lugar al r</w:t>
      </w:r>
      <w:r>
        <w:t>esponsable del CECOES a trasladar felicitaciones de los policías intervinientes “ya que debido a su pronta intervención la Sra. Accidentada ingresó con vida en el hospital”</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3"/>
      </w:pPr>
      <w:r>
        <w:t xml:space="preserve">22º.- Agente de la Policía local de Candelaria </w:t>
      </w:r>
      <w:r>
        <w:rPr>
          <w:b/>
        </w:rPr>
        <w:t>D. Antonio de las Casas Henríquez</w:t>
      </w:r>
      <w:r>
        <w:t>, con número de identificación A16, TIP 10142, por la relevante actuación llevada a cabo en el servicio prestado el día 20 de agosto de 2019, contribuyendo de forma rápida y eficiente a actuar ante una llamada que informa de una señora presuntamente ahogad</w:t>
      </w:r>
      <w:r>
        <w:t>a, en el Edf. Afirama, personándose, realizando la RCP hasta la llegada de la ambulancia hasta conseguir constantes vitales positivas. Acto que dio lugar al responsable del CECOES a trasladar felicitaciones de los policías intervinientes “ya que debido a s</w:t>
      </w:r>
      <w:r>
        <w:t>u pronta intervención la Sra. Accidentada ingresó con vida en el hospital”</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1"/>
      </w:pPr>
      <w:r>
        <w:t xml:space="preserve">23º.- Oficial de la Policía local de Candelaria </w:t>
      </w:r>
      <w:r>
        <w:rPr>
          <w:b/>
        </w:rPr>
        <w:t>D. Gustavo Oliver Cabrera Jiménez</w:t>
      </w:r>
      <w:r>
        <w:t>, con número de identificación C9, TIP 13530, por la relevante actuación llevada a cabo en el ser</w:t>
      </w:r>
      <w:r>
        <w:t>vicio prestado el día 14 de enero de 2020, que estando fuera de servicio, esperando para coger vuelo de vuelta a Tenerife en el Aeropuerto Adolfo Suárez Madrid Barajas, observó como una pareja mantenía una discusión, resultando que el joven –que resultó se</w:t>
      </w:r>
      <w:r>
        <w:t>r un menor de edad- agarró a su pareja sentimental por el cuello propinándole un puñetazo en la boca, abalanzándose sobre dicho sujeto para interrumpir e impedir la agresión. Procediendo a su detención mientras dicho sujeto golpeaba a uno de los agentes in</w:t>
      </w:r>
      <w:r>
        <w:t>tervinientes y a miembros de seguridad del propio aeropuerto.</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72"/>
      </w:pPr>
      <w:r>
        <w:t xml:space="preserve">24º.- Agente de la Policía local de Candelaria </w:t>
      </w:r>
      <w:r>
        <w:rPr>
          <w:b/>
        </w:rPr>
        <w:t>D.Ruyman Cabrera Jiménez</w:t>
      </w:r>
      <w:r>
        <w:t>, con número de identificación A36, TIP 13755, por la relevante actuación llevada a cabo en el servicio prestado el día,</w:t>
      </w:r>
      <w:r>
        <w:t xml:space="preserve"> 14 de enero de 2020, que estando fuera de servicio, esperando para coger vuelo de vuelta a Tenerife en el Aeropuerto Adolfo Suárez Madrid Barajas, observó como una pareja mantenía una discusión, resultando que el joven –que resultó ser un menor de edad- a</w:t>
      </w:r>
      <w:r>
        <w:t>garró a su pareja sentimental por el cuello propinándole un puñetazo en la boca, abalanzándose sobre dicho sujeto para interrumpir e impedir la agresión. Procediendo a su detención mientras dicho sujeto golpeaba a uno de los agentes intervinientes y a miem</w:t>
      </w:r>
      <w:r>
        <w:t>bros de seguridad del propio aeropuerto.</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3"/>
      </w:pPr>
      <w:r>
        <w:t xml:space="preserve">25º.- Agente de la Policía local de Candelaria </w:t>
      </w:r>
      <w:r>
        <w:rPr>
          <w:b/>
        </w:rPr>
        <w:t>D. Ruyman Cabrera Jiménez</w:t>
      </w:r>
      <w:r>
        <w:t>, con número de identificación A36, TIP 13755, por la relevante actuación llevada a cabo en el servicio prestado el día 17 de abril de 2020,</w:t>
      </w:r>
      <w:r>
        <w:t xml:space="preserve"> en la intervención de forma activa, diligente y eficaz, en beneficio de la seguridad ciudadana, en la interceptación de sustancias estupefacientes de índole prohibida (once paquetes de hachís que suman aproximadamente 300 gr. Y otras sustancias), tras el </w:t>
      </w:r>
      <w:r>
        <w:t>seguimiento a pie, por varias calles (Rb de los Menceyes y Calle Arenitas) del portador de las señaladas sustancias, hasta su detención, con resistencia, y puesta a disposición judicial.</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1"/>
      </w:pPr>
      <w:r>
        <w:rPr>
          <w:rFonts w:ascii="Calibri" w:eastAsia="Calibri" w:hAnsi="Calibri" w:cs="Calibri"/>
          <w:noProof/>
        </w:rPr>
        <mc:AlternateContent>
          <mc:Choice Requires="wpg">
            <w:drawing>
              <wp:anchor distT="0" distB="0" distL="114300" distR="114300" simplePos="0" relativeHeight="25177702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87444" name="Group 387444"/>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4786" name="Rectangle 24786"/>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4787" name="Rectangle 24787"/>
                        <wps:cNvSpPr/>
                        <wps:spPr>
                          <a:xfrm rot="-5399999">
                            <a:off x="-2094822" y="1257909"/>
                            <a:ext cx="44552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113 de 298 </w:t>
                              </w:r>
                            </w:p>
                          </w:txbxContent>
                        </wps:txbx>
                        <wps:bodyPr horzOverflow="overflow" vert="horz" lIns="0" tIns="0" rIns="0" bIns="0" rtlCol="0">
                          <a:noAutofit/>
                        </wps:bodyPr>
                      </wps:wsp>
                    </wpg:wgp>
                  </a:graphicData>
                </a:graphic>
              </wp:anchor>
            </w:drawing>
          </mc:Choice>
          <mc:Fallback xmlns:a="http://schemas.openxmlformats.org/drawingml/2006/main">
            <w:pict>
              <v:group id="Group 387444" style="width:12.7031pt;height:278.91pt;position:absolute;mso-position-horizontal-relative:page;mso-position-horizontal:absolute;margin-left:682.278pt;mso-position-vertical-relative:page;margin-top:533.01pt;" coordsize="1613,35421">
                <v:rect id="Rectangle 24786"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4787" style="position:absolute;width:44552;height:1132;left:-20948;top:1257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113 de 298 </w:t>
                        </w:r>
                      </w:p>
                    </w:txbxContent>
                  </v:textbox>
                </v:rect>
                <w10:wrap type="square"/>
              </v:group>
            </w:pict>
          </mc:Fallback>
        </mc:AlternateContent>
      </w:r>
      <w:r>
        <w:t xml:space="preserve">26º.- Agente de la Policía local de Candelaria  </w:t>
      </w:r>
      <w:r>
        <w:rPr>
          <w:b/>
        </w:rPr>
        <w:t>D Cristino Al</w:t>
      </w:r>
      <w:r>
        <w:rPr>
          <w:b/>
        </w:rPr>
        <w:t>exis Cruz Pestano</w:t>
      </w:r>
      <w:r>
        <w:t xml:space="preserve">, con número de identificación A12, TIP 12038, por la relevante actuación llevada a cabo en el servicio prestado el día 13 de abril de 2021 en el que tras conocer sobre un intento de hurto en el Mercadona de Caletillas, procede a bloquear </w:t>
      </w:r>
      <w:r>
        <w:t>la vía en la zona de la rotonda del Mc Donals, siendo embestido por el vehículo – que había sido sustraído- que se daba a la fuga, lo que causó graves desperfectos al coche policial y contusiones al agente que se encontraba en su interior y aún así comenzó</w:t>
      </w:r>
      <w:r>
        <w:t xml:space="preserve"> una persecución policial por carretera hasta que se hace a pie, al abandonar el vehículo los presuntos delincuentes, con la detención de uno de los individuos y huida de otro que fue buscado durante hora y media, incluso con la colaboración de la Policía </w:t>
      </w:r>
      <w:r>
        <w:t xml:space="preserve">Local de El Rosario., </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5"/>
      </w:pPr>
      <w:r>
        <w:t xml:space="preserve">27º.- Agente de la Policía local de Candelaria </w:t>
      </w:r>
      <w:r>
        <w:rPr>
          <w:b/>
        </w:rPr>
        <w:t>D. Juan Manuel Pérez Ramallo</w:t>
      </w:r>
      <w:r>
        <w:t>, con número de identificación A20, TIP12269, por la relevante actuación llevada a cabo en el servicio prestado el día 13 de abril de 2021 en el que tras c</w:t>
      </w:r>
      <w:r>
        <w:t xml:space="preserve">onocer sobre un intento de hurto en el Mercadona de Caletillas, procede a bloquear la vía en la zona de la rotonda del Mc Donals, siendo embestido por el vehículo – que había sido sustraído- que se daba a la fuga, lo que causó graves desperfectos al coche </w:t>
      </w:r>
      <w:r>
        <w:t>policial y contusiones al agente que se encontraba en su interior y aún así comenzó una persecución policial por carretera hasta que se hace a pie, al abandonar el vehículo los presuntos delincuentes, con la detención de uno de los individuos y huida de ot</w:t>
      </w:r>
      <w:r>
        <w:t>ro que fue buscado durante hora y media, incluso con la colaboración de la Policía Local de El Rosario.</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3"/>
      </w:pPr>
      <w:r>
        <w:t xml:space="preserve">28º.- Agente de la Policía local de Candelaria </w:t>
      </w:r>
      <w:r>
        <w:rPr>
          <w:b/>
        </w:rPr>
        <w:t>D Andrés Sixto Castro Marrero</w:t>
      </w:r>
      <w:r>
        <w:t>, con número de identificación A21, TIP 12798, por la relevante actuación</w:t>
      </w:r>
      <w:r>
        <w:t xml:space="preserve"> llevada a cabo en el servicio prestado el día  13 de abril de 2021 en el que tras conocer sobre un intento de hurto en el Mercadona de Caletillas, procede a bloquear la vía en la zona de la rotonda del Mc Donals, siendo embestido por el vehículo – que hab</w:t>
      </w:r>
      <w:r>
        <w:t>ía sido sustraído- que se daba a la fuga, lo que causó graves desperfectos al coche policial y contusiones al agente que se encontraba en su interior y aún así comenzó una persecución policial por carretera hasta que se hace a pie, al abandonar el vehículo</w:t>
      </w:r>
      <w:r>
        <w:t xml:space="preserve"> los presuntos delincuentes, con la detención de uno de los individuos y huida de otro que fue buscado durante hora y media, incluso con la colaboración de la Policía Local de El Rosario.</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4"/>
      </w:pPr>
      <w:r>
        <w:t xml:space="preserve">29º.- Agente de la Policía local de Candelaria </w:t>
      </w:r>
      <w:r>
        <w:rPr>
          <w:b/>
        </w:rPr>
        <w:t>D Tomás Jorge Pére</w:t>
      </w:r>
      <w:r>
        <w:rPr>
          <w:b/>
        </w:rPr>
        <w:t>z</w:t>
      </w:r>
      <w:r>
        <w:t>, con número de identificación A22, TIP 13470, por la relevante actuación llevada a cabo en el servicio prestado el día 13 de abril de 2021 en el que tras conocer sobre un intento de hurto en el Mercadona de Caletillas, procede a bloquear la vía en la zon</w:t>
      </w:r>
      <w:r>
        <w:t>a de la rotonda del Mc Donals, siendo embestido por el vehículo – que había sido sustraído- que se daba a la fuga, lo que causó graves desperfectos al coche policial y contusiones al agente que se encontraba en su interior y aún así comenzó una persecución</w:t>
      </w:r>
      <w:r>
        <w:t xml:space="preserve"> policial por carretera hasta que se hace a pie, al abandonar el vehículo los presuntos delincuentes, con la detención de uno de los individuos y huida de otro que fue buscado durante hora y media, incluso con la colaboración de la Policía Local de El Rosa</w:t>
      </w:r>
      <w:r>
        <w:t>rio.</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3"/>
      </w:pPr>
      <w:r>
        <w:t xml:space="preserve">30º.- Agente de la Policía local de Candelaria </w:t>
      </w:r>
      <w:r>
        <w:rPr>
          <w:b/>
        </w:rPr>
        <w:t>D Antonio de las Casas Henríquez</w:t>
      </w:r>
      <w:r>
        <w:t>, con número de identificación A 16, TIP 10142, por la relevante actuación llevada a cabo en el servicio prestado el día 13 de abril de 2021 en el que tras conocer sobre</w:t>
      </w:r>
      <w:r>
        <w:t xml:space="preserve"> un intento de hurto en el Mercadona de Caletillas, procede a bloquear la vía en la zona de la rotonda del Mc Donals, siendo embestido por el vehículo – que había sido sustraído- que se daba a la fuga, lo que causó graves desperfectos al coche policial y c</w:t>
      </w:r>
      <w:r>
        <w:t>ontusiones al agente que se encontraba en su interior y aún así comenzó una persecución policial por carretera hasta que se hace a pie, al abandonar el vehículo los presuntos delincuentes, con la detención de uno de los individuos y huida de otro que fue b</w:t>
      </w:r>
      <w:r>
        <w:t>uscado durante hora y media, incluso con la colaboración de la Policía Local de El Rosario.</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143"/>
      </w:pPr>
      <w:r>
        <w:rPr>
          <w:rFonts w:ascii="Calibri" w:eastAsia="Calibri" w:hAnsi="Calibri" w:cs="Calibri"/>
          <w:noProof/>
        </w:rPr>
        <mc:AlternateContent>
          <mc:Choice Requires="wpg">
            <w:drawing>
              <wp:anchor distT="0" distB="0" distL="114300" distR="114300" simplePos="0" relativeHeight="25177804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87530" name="Group 387530"/>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4918" name="Rectangle 24918"/>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4919" name="Rectangle 24919"/>
                        <wps:cNvSpPr/>
                        <wps:spPr>
                          <a:xfrm rot="-5399999">
                            <a:off x="-2094822" y="1257909"/>
                            <a:ext cx="4455272" cy="113224"/>
                          </a:xfrm>
                          <a:prstGeom prst="rect">
                            <a:avLst/>
                          </a:prstGeom>
                          <a:ln>
                            <a:noFill/>
                          </a:ln>
                        </wps:spPr>
                        <wps:txbx>
                          <w:txbxContent>
                            <w:p w:rsidR="00B064CF" w:rsidRDefault="00E32F70">
                              <w:pPr>
                                <w:spacing w:after="160" w:line="259" w:lineRule="auto"/>
                                <w:ind w:left="0" w:firstLine="0"/>
                                <w:jc w:val="left"/>
                              </w:pPr>
                              <w:r>
                                <w:rPr>
                                  <w:sz w:val="12"/>
                                </w:rPr>
                                <w:t>Documento firmado electrónicamente desde la plataforma esP</w:t>
                              </w:r>
                              <w:r>
                                <w:rPr>
                                  <w:sz w:val="12"/>
                                </w:rPr>
                                <w:t xml:space="preserve">ublico Gestiona | Página 114 de 298 </w:t>
                              </w:r>
                            </w:p>
                          </w:txbxContent>
                        </wps:txbx>
                        <wps:bodyPr horzOverflow="overflow" vert="horz" lIns="0" tIns="0" rIns="0" bIns="0" rtlCol="0">
                          <a:noAutofit/>
                        </wps:bodyPr>
                      </wps:wsp>
                    </wpg:wgp>
                  </a:graphicData>
                </a:graphic>
              </wp:anchor>
            </w:drawing>
          </mc:Choice>
          <mc:Fallback xmlns:a="http://schemas.openxmlformats.org/drawingml/2006/main">
            <w:pict>
              <v:group id="Group 387530" style="width:12.7031pt;height:278.91pt;position:absolute;mso-position-horizontal-relative:page;mso-position-horizontal:absolute;margin-left:682.278pt;mso-position-vertical-relative:page;margin-top:533.01pt;" coordsize="1613,35421">
                <v:rect id="Rectangle 24918"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4919" style="position:absolute;width:44552;height:1132;left:-20948;top:1257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114 de 298 </w:t>
                        </w:r>
                      </w:p>
                    </w:txbxContent>
                  </v:textbox>
                </v:rect>
                <w10:wrap type="square"/>
              </v:group>
            </w:pict>
          </mc:Fallback>
        </mc:AlternateContent>
      </w:r>
      <w:r>
        <w:t xml:space="preserve">31º.- Agente de la Policía local de Candelaria </w:t>
      </w:r>
      <w:r>
        <w:rPr>
          <w:b/>
        </w:rPr>
        <w:t>D. Sergio Martín Rodríguez</w:t>
      </w:r>
      <w:r>
        <w:t>, con número de identificación A 45, TIP 10295, por la relevante actuación llevada a cabo en el servicio prestado el día 13 de abril de 2021 en el</w:t>
      </w:r>
      <w:r>
        <w:t xml:space="preserve"> que tras conocer sobre un intento de hurto en el Mercadona de Caletillas, procede a bloquear la vía en la zona de la rotonda del Mc Donals, siendo embestido por el vehículo – que había sido sustraído- que se daba a la fuga, lo que causó graves desperfecto</w:t>
      </w:r>
      <w:r>
        <w:t xml:space="preserve">s al coche policial y contusiones al agente que se encontraba en su interior y aun así comenzó una persecución policial por carretera hasta que se hace a pie, al abandonar el vehículo los presuntos delincuentes, con la detención de uno de los individuos y </w:t>
      </w:r>
      <w:r>
        <w:t xml:space="preserve">huida de otro que fue buscado durante hora y media, incluso con la colaboración de la Policía Local de El Rosario. </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17"/>
        <w:ind w:left="355" w:right="142"/>
      </w:pPr>
      <w:r>
        <w:t xml:space="preserve">32º.- Agente de la Policía local de Candelaria </w:t>
      </w:r>
      <w:r>
        <w:rPr>
          <w:b/>
        </w:rPr>
        <w:t>D. Alejandro Rubén Pérez Quintero</w:t>
      </w:r>
      <w:r>
        <w:t>, con número de identificación A 57, TIP 11104, por la relevante actuación llevada a cabo en el servicio prestado el día 13 de abril de 2021 en el que tras conocer sobre un intento de hurto en el Mercadona de Caletillas, procede a bloquear la vía en la zon</w:t>
      </w:r>
      <w:r>
        <w:t>a de la rotonda del Mc Donals, siendo embestido por el vehículo – que había sido sustraído- que se daba a la fuga, lo que causó graves desperfectos al coche policial y contusiones al agente que se encontraba en su interior y aun así comenzó una persecución</w:t>
      </w:r>
      <w:r>
        <w:t xml:space="preserve"> policial por carretera hasta que se hace a pie, al abandonar el vehículo los presuntos delincuentes, con la detención de uno de los individuos y huida de otro que fue buscado durante hora y media, incluso con la colaboración de la Policía Local de El Rosa</w:t>
      </w:r>
      <w:r>
        <w:t>rio.”</w:t>
      </w:r>
      <w:r>
        <w:rPr>
          <w:rFonts w:ascii="Times New Roman" w:eastAsia="Times New Roman" w:hAnsi="Times New Roman" w:cs="Times New Roman"/>
          <w:sz w:val="24"/>
        </w:rPr>
        <w:t xml:space="preserve"> </w:t>
      </w:r>
    </w:p>
    <w:p w:rsidR="00B064CF" w:rsidRDefault="00E32F70">
      <w:pPr>
        <w:spacing w:after="146" w:line="259" w:lineRule="auto"/>
        <w:ind w:left="360" w:firstLine="0"/>
        <w:jc w:val="left"/>
      </w:pPr>
      <w:r>
        <w:rPr>
          <w:i/>
          <w:color w:val="222222"/>
        </w:rPr>
        <w:t xml:space="preserve"> </w:t>
      </w:r>
    </w:p>
    <w:p w:rsidR="00B064CF" w:rsidRDefault="00E32F70">
      <w:pPr>
        <w:spacing w:after="98" w:line="259" w:lineRule="auto"/>
        <w:ind w:left="360" w:firstLine="0"/>
        <w:jc w:val="left"/>
      </w:pPr>
      <w:r>
        <w:rPr>
          <w:b/>
          <w:sz w:val="24"/>
        </w:rPr>
        <w:t xml:space="preserve"> </w:t>
      </w:r>
    </w:p>
    <w:p w:rsidR="00B064CF" w:rsidRDefault="00E32F70">
      <w:pPr>
        <w:spacing w:after="98" w:line="259" w:lineRule="auto"/>
        <w:ind w:left="360" w:firstLine="0"/>
        <w:jc w:val="left"/>
      </w:pPr>
      <w:r>
        <w:rPr>
          <w:b/>
          <w:sz w:val="24"/>
        </w:rPr>
        <w:t xml:space="preserve"> </w:t>
      </w:r>
    </w:p>
    <w:p w:rsidR="00B064CF" w:rsidRDefault="00E32F70">
      <w:pPr>
        <w:spacing w:after="98" w:line="259" w:lineRule="auto"/>
        <w:ind w:left="360" w:firstLine="0"/>
        <w:jc w:val="left"/>
      </w:pPr>
      <w:r>
        <w:rPr>
          <w:b/>
          <w:sz w:val="24"/>
        </w:rPr>
        <w:t xml:space="preserve"> </w:t>
      </w:r>
    </w:p>
    <w:p w:rsidR="00B064CF" w:rsidRDefault="00E32F70">
      <w:pPr>
        <w:spacing w:after="98" w:line="259" w:lineRule="auto"/>
        <w:ind w:left="360" w:firstLine="0"/>
        <w:jc w:val="left"/>
      </w:pPr>
      <w:r>
        <w:rPr>
          <w:b/>
          <w:sz w:val="24"/>
        </w:rPr>
        <w:t xml:space="preserve"> </w:t>
      </w:r>
    </w:p>
    <w:p w:rsidR="00B064CF" w:rsidRDefault="00E32F70">
      <w:pPr>
        <w:spacing w:after="98" w:line="259" w:lineRule="auto"/>
        <w:ind w:left="360" w:firstLine="0"/>
        <w:jc w:val="left"/>
      </w:pPr>
      <w:r>
        <w:rPr>
          <w:b/>
          <w:sz w:val="24"/>
        </w:rPr>
        <w:t xml:space="preserve"> </w:t>
      </w:r>
    </w:p>
    <w:p w:rsidR="00B064CF" w:rsidRDefault="00E32F70">
      <w:pPr>
        <w:spacing w:after="98" w:line="259" w:lineRule="auto"/>
        <w:ind w:left="360" w:firstLine="0"/>
        <w:jc w:val="left"/>
      </w:pPr>
      <w:r>
        <w:rPr>
          <w:b/>
          <w:sz w:val="24"/>
        </w:rPr>
        <w:t xml:space="preserve"> </w:t>
      </w:r>
    </w:p>
    <w:p w:rsidR="00B064CF" w:rsidRDefault="00E32F70">
      <w:pPr>
        <w:spacing w:after="0" w:line="259" w:lineRule="auto"/>
        <w:ind w:left="360" w:firstLine="0"/>
        <w:jc w:val="left"/>
      </w:pPr>
      <w:r>
        <w:rPr>
          <w:b/>
          <w:sz w:val="24"/>
        </w:rPr>
        <w:t xml:space="preserve"> </w:t>
      </w:r>
    </w:p>
    <w:p w:rsidR="00B064CF" w:rsidRDefault="00E32F70">
      <w:pPr>
        <w:spacing w:after="98" w:line="259" w:lineRule="auto"/>
        <w:ind w:left="360" w:firstLine="0"/>
        <w:jc w:val="left"/>
      </w:pPr>
      <w:r>
        <w:rPr>
          <w:b/>
          <w:sz w:val="24"/>
        </w:rPr>
        <w:t xml:space="preserve"> </w:t>
      </w:r>
    </w:p>
    <w:p w:rsidR="00B064CF" w:rsidRDefault="00E32F70">
      <w:pPr>
        <w:spacing w:after="120" w:line="240" w:lineRule="auto"/>
        <w:ind w:left="355" w:right="135"/>
      </w:pPr>
      <w:r>
        <w:rPr>
          <w:b/>
          <w:sz w:val="24"/>
        </w:rPr>
        <w:t>6.-</w:t>
      </w:r>
      <w:r>
        <w:rPr>
          <w:sz w:val="24"/>
        </w:rPr>
        <w:t xml:space="preserve"> </w:t>
      </w:r>
      <w:r>
        <w:rPr>
          <w:b/>
          <w:sz w:val="24"/>
        </w:rPr>
        <w:t>Expediente 3633/2020. Propuesta de la Concejal delegada de Planificación y Gestión Urbanística y Ambiental de 19 de mayo de 2021 al Pleno sobre la aprobación inicial de la Ordenanza de ocupación del dominio público de Candelaria.</w:t>
      </w:r>
      <w:r>
        <w:t xml:space="preserve"> </w:t>
      </w:r>
    </w:p>
    <w:p w:rsidR="00B064CF" w:rsidRDefault="00E32F70">
      <w:pPr>
        <w:spacing w:after="100" w:line="259" w:lineRule="auto"/>
        <w:ind w:left="360" w:firstLine="0"/>
        <w:jc w:val="left"/>
      </w:pPr>
      <w:r>
        <w:rPr>
          <w:b/>
        </w:rPr>
        <w:t xml:space="preserve"> </w:t>
      </w:r>
    </w:p>
    <w:p w:rsidR="00B064CF" w:rsidRDefault="00E32F70">
      <w:pPr>
        <w:spacing w:after="4"/>
        <w:ind w:left="355" w:right="68"/>
      </w:pPr>
      <w:r>
        <w:rPr>
          <w:b/>
        </w:rPr>
        <w:t>Consta en el expediente</w:t>
      </w:r>
      <w:r>
        <w:rPr>
          <w:b/>
        </w:rPr>
        <w:t xml:space="preserve"> Informe Técnico emitido por Don Gerhard Alejandro Pagel Cambeiro, que desempeña el puesto de trabajo de Arquitecto Técnico, de 14 de mayo de 2021, del siguiente tenor literal: </w:t>
      </w:r>
    </w:p>
    <w:p w:rsidR="00B064CF" w:rsidRDefault="00E32F70">
      <w:pPr>
        <w:spacing w:after="0" w:line="259" w:lineRule="auto"/>
        <w:ind w:left="360" w:firstLine="0"/>
        <w:jc w:val="left"/>
      </w:pPr>
      <w:r>
        <w:rPr>
          <w:b/>
        </w:rPr>
        <w:t xml:space="preserve"> </w:t>
      </w:r>
    </w:p>
    <w:p w:rsidR="00B064CF" w:rsidRDefault="00E32F70">
      <w:pPr>
        <w:spacing w:after="21" w:line="259" w:lineRule="auto"/>
        <w:ind w:left="360" w:firstLine="0"/>
        <w:jc w:val="left"/>
      </w:pPr>
      <w:r>
        <w:rPr>
          <w:b/>
        </w:rPr>
        <w:t xml:space="preserve"> </w:t>
      </w:r>
    </w:p>
    <w:p w:rsidR="00B064CF" w:rsidRDefault="00E32F70">
      <w:pPr>
        <w:spacing w:after="112"/>
        <w:ind w:left="355" w:right="147"/>
      </w:pPr>
      <w:r>
        <w:t xml:space="preserve">  </w:t>
      </w:r>
      <w:r>
        <w:t>“En relación con el expediente antedicho, que se tramita para la elaboración de la Ordenanza municipal de Ocupación del Dominio Público en el municipio de Candelaria tramitado mediante procedimiento de Gestiona número 3633/2020, Gerhard Alejandro Pagel Cam</w:t>
      </w:r>
      <w:r>
        <w:t xml:space="preserve">beiro, Arquitecto Técnico municipal, con motivo del asunto antedicho, emite el siguiente: </w:t>
      </w:r>
    </w:p>
    <w:p w:rsidR="00B064CF" w:rsidRDefault="00E32F70">
      <w:pPr>
        <w:spacing w:after="98" w:line="259" w:lineRule="auto"/>
        <w:ind w:left="360" w:firstLine="0"/>
        <w:jc w:val="left"/>
      </w:pPr>
      <w:r>
        <w:t xml:space="preserve"> </w:t>
      </w:r>
    </w:p>
    <w:p w:rsidR="00B064CF" w:rsidRDefault="00E32F70">
      <w:pPr>
        <w:pStyle w:val="Ttulo2"/>
        <w:ind w:left="290" w:right="71"/>
      </w:pPr>
      <w:r>
        <w:t xml:space="preserve">INFORME DE LOS SERVICIOS TÉCNICOS MUNICIPALES </w:t>
      </w:r>
    </w:p>
    <w:p w:rsidR="00B064CF" w:rsidRDefault="00E32F70">
      <w:pPr>
        <w:spacing w:after="103" w:line="259" w:lineRule="auto"/>
        <w:ind w:left="273" w:firstLine="0"/>
        <w:jc w:val="center"/>
      </w:pPr>
      <w:r>
        <w:rPr>
          <w:b/>
        </w:rPr>
        <w:t xml:space="preserve"> </w:t>
      </w:r>
    </w:p>
    <w:p w:rsidR="00B064CF" w:rsidRDefault="00E32F70">
      <w:pPr>
        <w:spacing w:after="114"/>
        <w:ind w:left="355" w:right="142"/>
      </w:pPr>
      <w:r>
        <w:rPr>
          <w:rFonts w:ascii="Calibri" w:eastAsia="Calibri" w:hAnsi="Calibri" w:cs="Calibri"/>
          <w:noProof/>
        </w:rPr>
        <mc:AlternateContent>
          <mc:Choice Requires="wpg">
            <w:drawing>
              <wp:anchor distT="0" distB="0" distL="114300" distR="114300" simplePos="0" relativeHeight="25177907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87602" name="Group 387602"/>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5017" name="Rectangle 25017"/>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5018" name="Rectangle 25018"/>
                        <wps:cNvSpPr/>
                        <wps:spPr>
                          <a:xfrm rot="-5399999">
                            <a:off x="-2094822" y="1257909"/>
                            <a:ext cx="4455272" cy="113224"/>
                          </a:xfrm>
                          <a:prstGeom prst="rect">
                            <a:avLst/>
                          </a:prstGeom>
                          <a:ln>
                            <a:noFill/>
                          </a:ln>
                        </wps:spPr>
                        <wps:txbx>
                          <w:txbxContent>
                            <w:p w:rsidR="00B064CF" w:rsidRDefault="00E32F70">
                              <w:pPr>
                                <w:spacing w:after="160" w:line="259" w:lineRule="auto"/>
                                <w:ind w:left="0" w:firstLine="0"/>
                                <w:jc w:val="left"/>
                              </w:pPr>
                              <w:r>
                                <w:rPr>
                                  <w:sz w:val="12"/>
                                </w:rPr>
                                <w:t>Documento f</w:t>
                              </w:r>
                              <w:r>
                                <w:rPr>
                                  <w:sz w:val="12"/>
                                </w:rPr>
                                <w:t xml:space="preserve">irmado electrónicamente desde la plataforma esPublico Gestiona | Página 115 de 298 </w:t>
                              </w:r>
                            </w:p>
                          </w:txbxContent>
                        </wps:txbx>
                        <wps:bodyPr horzOverflow="overflow" vert="horz" lIns="0" tIns="0" rIns="0" bIns="0" rtlCol="0">
                          <a:noAutofit/>
                        </wps:bodyPr>
                      </wps:wsp>
                    </wpg:wgp>
                  </a:graphicData>
                </a:graphic>
              </wp:anchor>
            </w:drawing>
          </mc:Choice>
          <mc:Fallback xmlns:a="http://schemas.openxmlformats.org/drawingml/2006/main">
            <w:pict>
              <v:group id="Group 387602" style="width:12.7031pt;height:278.91pt;position:absolute;mso-position-horizontal-relative:page;mso-position-horizontal:absolute;margin-left:682.278pt;mso-position-vertical-relative:page;margin-top:533.01pt;" coordsize="1613,35421">
                <v:rect id="Rectangle 25017"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5018" style="position:absolute;width:44552;height:1132;left:-20948;top:1257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115 de 298 </w:t>
                        </w:r>
                      </w:p>
                    </w:txbxContent>
                  </v:textbox>
                </v:rect>
                <w10:wrap type="square"/>
              </v:group>
            </w:pict>
          </mc:Fallback>
        </mc:AlternateContent>
      </w:r>
      <w:r>
        <w:t>La Ordenanza de Ocupación de Dominio Público del municipio de Candelaria se ha redactado con el fin de establecer y regular los parámetros técnicos específicos para la ocup</w:t>
      </w:r>
      <w:r>
        <w:t xml:space="preserve">ación del dominio público en el municipio, respetando los criterios técnicos de aplicación, establecidos en la normativa urbanística vigente, con especial atención a la protección y conservación del dominio público, así como del patrimonio del municipio.  </w:t>
      </w:r>
    </w:p>
    <w:p w:rsidR="00B064CF" w:rsidRDefault="00E32F70">
      <w:pPr>
        <w:spacing w:after="98" w:line="259" w:lineRule="auto"/>
        <w:ind w:left="360" w:firstLine="0"/>
        <w:jc w:val="left"/>
      </w:pPr>
      <w:r>
        <w:t xml:space="preserve"> </w:t>
      </w:r>
    </w:p>
    <w:p w:rsidR="00B064CF" w:rsidRDefault="00E32F70">
      <w:pPr>
        <w:spacing w:after="114"/>
        <w:ind w:left="355" w:right="141"/>
      </w:pPr>
      <w:r>
        <w:t>Del mismo modo, se pretende que las ocupaciones de dominio público se lleven a cabo respetando las condiciones de accesibilidad y no discriminación de las personas con limitación, movilidad o comunicación reducida, establecidas en la normativa vigente e</w:t>
      </w:r>
      <w:r>
        <w:t xml:space="preserve">n materia de accesibilidad, para el acceso y uso del dominio público en igualdad de oportunidades.  </w:t>
      </w:r>
    </w:p>
    <w:p w:rsidR="00B064CF" w:rsidRDefault="00E32F70">
      <w:pPr>
        <w:spacing w:after="98" w:line="259" w:lineRule="auto"/>
        <w:ind w:left="360" w:firstLine="0"/>
        <w:jc w:val="left"/>
      </w:pPr>
      <w:r>
        <w:t xml:space="preserve"> </w:t>
      </w:r>
    </w:p>
    <w:p w:rsidR="00B064CF" w:rsidRDefault="00E32F70">
      <w:pPr>
        <w:spacing w:after="112"/>
        <w:ind w:left="355" w:right="150"/>
      </w:pPr>
      <w:r>
        <w:t xml:space="preserve">Esta Ordenanza se estructura en: Una exposición de motivos, 4 Títulos, 61 Artículos, 1 Disposición Transitoria, 1 Disposición Derogatoria y 2 Disposiciones Finales, destacando el Título III por su contenido fundamentalmente técnico. </w:t>
      </w:r>
    </w:p>
    <w:p w:rsidR="00B064CF" w:rsidRDefault="00E32F70">
      <w:pPr>
        <w:spacing w:after="100" w:line="259" w:lineRule="auto"/>
        <w:ind w:left="360" w:firstLine="0"/>
        <w:jc w:val="left"/>
      </w:pPr>
      <w:r>
        <w:t xml:space="preserve"> </w:t>
      </w:r>
    </w:p>
    <w:p w:rsidR="00B064CF" w:rsidRDefault="00E32F70">
      <w:pPr>
        <w:spacing w:after="109"/>
        <w:ind w:left="355" w:right="72"/>
      </w:pPr>
      <w:r>
        <w:t>Normativa de aplicac</w:t>
      </w:r>
      <w:r>
        <w:t xml:space="preserve">ión:  </w:t>
      </w:r>
    </w:p>
    <w:p w:rsidR="00B064CF" w:rsidRDefault="00E32F70">
      <w:pPr>
        <w:spacing w:after="115" w:line="259" w:lineRule="auto"/>
        <w:ind w:left="360" w:firstLine="0"/>
        <w:jc w:val="left"/>
      </w:pPr>
      <w:r>
        <w:t xml:space="preserve"> </w:t>
      </w:r>
    </w:p>
    <w:p w:rsidR="00B064CF" w:rsidRDefault="00E32F70">
      <w:pPr>
        <w:spacing w:after="129"/>
        <w:ind w:left="355" w:right="144"/>
      </w:pPr>
      <w:r>
        <w:rPr>
          <w:rFonts w:ascii="Segoe UI Symbol" w:eastAsia="Segoe UI Symbol" w:hAnsi="Segoe UI Symbol" w:cs="Segoe UI Symbol"/>
        </w:rPr>
        <w:t></w:t>
      </w:r>
      <w:r>
        <w:t xml:space="preserve"> PLAN GENERAL DE ORDENACIÓN, planeamiento municipal en vigor, con publicaciones en B.O.C. de fecha 10 de mayo de 2007 y B.O.P. de fecha 17 de mayo de 2007 y Modificaciones Puntuales, aprobadas definitivamente por acuerdo del Ayuntamiento Pleno, e</w:t>
      </w:r>
      <w:r>
        <w:t xml:space="preserve">n sesiones ordinarias de fecha 26 de marzo de 2009 y 29 de diciembre de 2011 y publicada en el BOP de Santa Cruz de Tenerife de fecha 17 de junio de 2009 y 3 de febrero de 2012.  </w:t>
      </w:r>
    </w:p>
    <w:p w:rsidR="00B064CF" w:rsidRDefault="00E32F70">
      <w:pPr>
        <w:spacing w:after="128"/>
        <w:ind w:left="355" w:right="72"/>
      </w:pPr>
      <w:r>
        <w:rPr>
          <w:rFonts w:ascii="Segoe UI Symbol" w:eastAsia="Segoe UI Symbol" w:hAnsi="Segoe UI Symbol" w:cs="Segoe UI Symbol"/>
        </w:rPr>
        <w:t></w:t>
      </w:r>
      <w:r>
        <w:t xml:space="preserve"> Orden VIV/561/2010, de 1 de febrero, por la que se desarrolla el documento</w:t>
      </w:r>
      <w:r>
        <w:t xml:space="preserve"> técnico de condiciones básicas de accesibilidad y no discriminación para el acceso y utilización de los espacios públicos urbanizados.  </w:t>
      </w:r>
    </w:p>
    <w:p w:rsidR="00B064CF" w:rsidRDefault="00E32F70">
      <w:pPr>
        <w:spacing w:after="85"/>
        <w:ind w:left="355" w:right="72"/>
      </w:pPr>
      <w:r>
        <w:rPr>
          <w:rFonts w:ascii="Segoe UI Symbol" w:eastAsia="Segoe UI Symbol" w:hAnsi="Segoe UI Symbol" w:cs="Segoe UI Symbol"/>
        </w:rPr>
        <w:t></w:t>
      </w:r>
      <w:r>
        <w:t xml:space="preserve"> Ley 8/1995, de 6 de abril, de accesibilidad y supresión de barreras físicas y de la comunicación.  </w:t>
      </w:r>
    </w:p>
    <w:p w:rsidR="00B064CF" w:rsidRDefault="00E32F70">
      <w:pPr>
        <w:spacing w:after="111"/>
        <w:ind w:left="355" w:right="72"/>
      </w:pPr>
      <w:r>
        <w:rPr>
          <w:rFonts w:ascii="Segoe UI Symbol" w:eastAsia="Segoe UI Symbol" w:hAnsi="Segoe UI Symbol" w:cs="Segoe UI Symbol"/>
        </w:rPr>
        <w:t></w:t>
      </w:r>
      <w:r>
        <w:t xml:space="preserve"> Decreto 227/19</w:t>
      </w:r>
      <w:r>
        <w:t xml:space="preserve">97, de 18 de septiembre, por el que se aprueba el Reglamento de la Ley 8/1995, de 6 de abril, de accesibilidad y supresión de barreras físicas y de la comunicación. </w:t>
      </w:r>
    </w:p>
    <w:p w:rsidR="00B064CF" w:rsidRDefault="00E32F70">
      <w:pPr>
        <w:spacing w:after="98" w:line="259" w:lineRule="auto"/>
        <w:ind w:left="360" w:firstLine="0"/>
        <w:jc w:val="left"/>
      </w:pPr>
      <w:r>
        <w:t xml:space="preserve"> </w:t>
      </w:r>
    </w:p>
    <w:p w:rsidR="00B064CF" w:rsidRDefault="00E32F70">
      <w:pPr>
        <w:spacing w:after="111"/>
        <w:ind w:left="355" w:right="146"/>
      </w:pPr>
      <w:r>
        <w:t xml:space="preserve">De lo anteriormente expuesto, se informa que el proyecto de ordenanza es compatible con </w:t>
      </w:r>
      <w:r>
        <w:t>el Plan General vigente en el municipio de Candelaria y con la legislación sectorial correspondiente, y se ajusta a las disposiciones sectoriales reguladoras de la seguridad, actividades, salubridad, habitabilidad, protección del medio ambiente urbano, pat</w:t>
      </w:r>
      <w:r>
        <w:t xml:space="preserve">rimonio arquitectónico e histórico artístico.  </w:t>
      </w:r>
    </w:p>
    <w:p w:rsidR="00B064CF" w:rsidRDefault="00E32F70">
      <w:pPr>
        <w:spacing w:after="106"/>
        <w:ind w:left="355" w:right="72"/>
      </w:pPr>
      <w:r>
        <w:t xml:space="preserve">En conclusión, se emite informe técnico favorable sobre el proyecto de Ordenanza de Dominio Público del municipio de Candelaria para su aprobación inicial.” </w:t>
      </w:r>
    </w:p>
    <w:p w:rsidR="00B064CF" w:rsidRDefault="00E32F70">
      <w:pPr>
        <w:spacing w:after="98" w:line="259" w:lineRule="auto"/>
        <w:ind w:left="360" w:firstLine="0"/>
        <w:jc w:val="left"/>
      </w:pPr>
      <w:r>
        <w:t xml:space="preserve"> </w:t>
      </w:r>
    </w:p>
    <w:p w:rsidR="00B064CF" w:rsidRDefault="00E32F70">
      <w:pPr>
        <w:spacing w:after="98" w:line="259" w:lineRule="auto"/>
        <w:ind w:left="360" w:firstLine="0"/>
        <w:jc w:val="left"/>
      </w:pPr>
      <w:r>
        <w:t xml:space="preserve"> </w:t>
      </w:r>
    </w:p>
    <w:p w:rsidR="00B064CF" w:rsidRDefault="00E32F70">
      <w:pPr>
        <w:spacing w:after="112"/>
        <w:ind w:left="355" w:right="145"/>
      </w:pPr>
      <w:r>
        <w:rPr>
          <w:b/>
        </w:rPr>
        <w:t>Consta en el expediente Informe Jurídico emitido por Don Octavio Manuel Fernández Hernández, que desempeña el puesto de trabajo de Secretario General, de 19 de mayo de 2021, del siguiente tenor literal:</w:t>
      </w:r>
      <w:r>
        <w:t xml:space="preserve"> </w:t>
      </w:r>
    </w:p>
    <w:p w:rsidR="00B064CF" w:rsidRDefault="00E32F70">
      <w:pPr>
        <w:spacing w:after="98" w:line="259" w:lineRule="auto"/>
        <w:ind w:left="360" w:firstLine="0"/>
        <w:jc w:val="left"/>
      </w:pPr>
      <w:r>
        <w:rPr>
          <w:b/>
        </w:rPr>
        <w:t xml:space="preserve"> </w:t>
      </w:r>
    </w:p>
    <w:p w:rsidR="00B064CF" w:rsidRDefault="00E32F70">
      <w:pPr>
        <w:spacing w:after="100" w:line="259" w:lineRule="auto"/>
        <w:ind w:left="360" w:firstLine="0"/>
        <w:jc w:val="left"/>
      </w:pPr>
      <w:r>
        <w:rPr>
          <w:rFonts w:ascii="Calibri" w:eastAsia="Calibri" w:hAnsi="Calibri" w:cs="Calibri"/>
          <w:noProof/>
        </w:rPr>
        <mc:AlternateContent>
          <mc:Choice Requires="wpg">
            <w:drawing>
              <wp:anchor distT="0" distB="0" distL="114300" distR="114300" simplePos="0" relativeHeight="25178009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87891" name="Group 387891"/>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5132" name="Rectangle 25132"/>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64SKSNYNJRFPNN5DLPPAAC3GS | Ve</w:t>
                              </w:r>
                              <w:r>
                                <w:rPr>
                                  <w:sz w:val="12"/>
                                </w:rPr>
                                <w:t xml:space="preserve">rificación: https://candelaria.sedelectronica.es/ </w:t>
                              </w:r>
                            </w:p>
                          </w:txbxContent>
                        </wps:txbx>
                        <wps:bodyPr horzOverflow="overflow" vert="horz" lIns="0" tIns="0" rIns="0" bIns="0" rtlCol="0">
                          <a:noAutofit/>
                        </wps:bodyPr>
                      </wps:wsp>
                      <wps:wsp>
                        <wps:cNvPr id="25133" name="Rectangle 25133"/>
                        <wps:cNvSpPr/>
                        <wps:spPr>
                          <a:xfrm rot="-5399999">
                            <a:off x="-2094822" y="1257909"/>
                            <a:ext cx="44552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116 de 298 </w:t>
                              </w:r>
                            </w:p>
                          </w:txbxContent>
                        </wps:txbx>
                        <wps:bodyPr horzOverflow="overflow" vert="horz" lIns="0" tIns="0" rIns="0" bIns="0" rtlCol="0">
                          <a:noAutofit/>
                        </wps:bodyPr>
                      </wps:wsp>
                    </wpg:wgp>
                  </a:graphicData>
                </a:graphic>
              </wp:anchor>
            </w:drawing>
          </mc:Choice>
          <mc:Fallback xmlns:a="http://schemas.openxmlformats.org/drawingml/2006/main">
            <w:pict>
              <v:group id="Group 387891" style="width:12.7031pt;height:278.91pt;position:absolute;mso-position-horizontal-relative:page;mso-position-horizontal:absolute;margin-left:682.278pt;mso-position-vertical-relative:page;margin-top:533.01pt;" coordsize="1613,35421">
                <v:rect id="Rectangle 25132"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5133" style="position:absolute;width:44552;height:1132;left:-20948;top:1257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116 de 298 </w:t>
                        </w:r>
                      </w:p>
                    </w:txbxContent>
                  </v:textbox>
                </v:rect>
                <w10:wrap type="square"/>
              </v:group>
            </w:pict>
          </mc:Fallback>
        </mc:AlternateContent>
      </w:r>
      <w:r>
        <w:rPr>
          <w:b/>
        </w:rPr>
        <w:t xml:space="preserve"> </w:t>
      </w:r>
    </w:p>
    <w:p w:rsidR="00B064CF" w:rsidRDefault="00E32F70">
      <w:pPr>
        <w:spacing w:after="114"/>
        <w:ind w:left="345" w:right="68" w:firstLine="708"/>
      </w:pPr>
      <w:r>
        <w:rPr>
          <w:b/>
        </w:rPr>
        <w:t xml:space="preserve">“Visto el presente expediente sobre Ordenanza de ocupación del dominio público de Candelaria, se emite el </w:t>
      </w:r>
      <w:r>
        <w:rPr>
          <w:b/>
        </w:rPr>
        <w:t xml:space="preserve">siguiente informe jurídico: </w:t>
      </w:r>
    </w:p>
    <w:p w:rsidR="00B064CF" w:rsidRDefault="00E32F70">
      <w:pPr>
        <w:spacing w:after="98" w:line="259" w:lineRule="auto"/>
        <w:ind w:left="1068" w:firstLine="0"/>
        <w:jc w:val="left"/>
      </w:pPr>
      <w:r>
        <w:rPr>
          <w:b/>
        </w:rPr>
        <w:t xml:space="preserve"> </w:t>
      </w:r>
    </w:p>
    <w:p w:rsidR="00B064CF" w:rsidRDefault="00E32F70">
      <w:pPr>
        <w:spacing w:after="109"/>
        <w:ind w:left="2497" w:right="68"/>
      </w:pPr>
      <w:r>
        <w:rPr>
          <w:b/>
        </w:rPr>
        <w:t xml:space="preserve">         ANTECEDENTES DE HECHO  </w:t>
      </w:r>
    </w:p>
    <w:p w:rsidR="00B064CF" w:rsidRDefault="00E32F70">
      <w:pPr>
        <w:spacing w:after="114"/>
        <w:ind w:left="1078" w:right="68"/>
      </w:pPr>
      <w:r>
        <w:rPr>
          <w:b/>
        </w:rPr>
        <w:t xml:space="preserve">Único. -  Constan en el expediente los siguientes documentos: </w:t>
      </w:r>
    </w:p>
    <w:p w:rsidR="00B064CF" w:rsidRDefault="00E32F70">
      <w:pPr>
        <w:spacing w:after="115"/>
        <w:ind w:left="345" w:right="72" w:firstLine="708"/>
      </w:pPr>
      <w:r>
        <w:t>1.-</w:t>
      </w:r>
      <w:r>
        <w:t xml:space="preserve">El expediente comienza con una providencia de la Alcaldesa de 26 de mayo de 2020 y un anuncio en el portal web firmado igualmente por la Alcaldesa de 26 de mayo de 2020.  </w:t>
      </w:r>
    </w:p>
    <w:p w:rsidR="00B064CF" w:rsidRDefault="00E32F70">
      <w:pPr>
        <w:spacing w:after="112"/>
        <w:ind w:left="345" w:right="72" w:firstLine="708"/>
      </w:pPr>
      <w:r>
        <w:t>2.- Durante 5 meses: desde mayo de 2020 a septiembre de 2020 no figura ningún trámit</w:t>
      </w:r>
      <w:r>
        <w:t xml:space="preserve">e o informe realizado en el expediente.  </w:t>
      </w:r>
    </w:p>
    <w:p w:rsidR="00B064CF" w:rsidRDefault="00E32F70">
      <w:pPr>
        <w:spacing w:after="114"/>
        <w:ind w:left="345" w:right="151" w:firstLine="708"/>
      </w:pPr>
      <w:r>
        <w:t xml:space="preserve">3.-Posteriormente en el mes de septiembre hay un escrito del Técnico de Accesibilidad dirigido a Gesplan de 29 de septiembre de 2020 al objeto de que colabore en la redacción de la Ordenanza.  </w:t>
      </w:r>
    </w:p>
    <w:p w:rsidR="00B064CF" w:rsidRDefault="00E32F70">
      <w:pPr>
        <w:spacing w:after="112"/>
        <w:ind w:left="345" w:right="72" w:firstLine="708"/>
      </w:pPr>
      <w:r>
        <w:t xml:space="preserve">4.-Durante 5 meses: </w:t>
      </w:r>
      <w:r>
        <w:t xml:space="preserve">desde finales de septiembre de 2020 a marzo de 2021 no figura ningún trámite o informe realizado en el expediente.  </w:t>
      </w:r>
    </w:p>
    <w:p w:rsidR="00B064CF" w:rsidRDefault="00E32F70">
      <w:pPr>
        <w:spacing w:after="11"/>
        <w:ind w:left="1078" w:right="72"/>
      </w:pPr>
      <w:r>
        <w:t xml:space="preserve">5. -Se ha incluido el 3 de marzo de 2020 un borrador de texto de Ordenanza en formato </w:t>
      </w:r>
    </w:p>
    <w:p w:rsidR="00B064CF" w:rsidRDefault="00E32F70">
      <w:pPr>
        <w:spacing w:after="110"/>
        <w:ind w:left="355" w:right="72"/>
      </w:pPr>
      <w:r>
        <w:t>Word que según el título dice que “Borrador Ordenanz</w:t>
      </w:r>
      <w:r>
        <w:t xml:space="preserve">a Dominio Público Candelaria en fase de redacción” de 66 páginas </w:t>
      </w:r>
    </w:p>
    <w:p w:rsidR="00B064CF" w:rsidRDefault="00E32F70">
      <w:pPr>
        <w:spacing w:after="109"/>
        <w:ind w:left="1078" w:right="72"/>
      </w:pPr>
      <w:r>
        <w:t xml:space="preserve">6.- Diligencia para hacer consta de la Secretaría General de fecha 13 de marzo de 2021. </w:t>
      </w:r>
    </w:p>
    <w:p w:rsidR="00B064CF" w:rsidRDefault="00E32F70">
      <w:pPr>
        <w:spacing w:after="11"/>
        <w:ind w:left="1078" w:right="72"/>
      </w:pPr>
      <w:r>
        <w:t xml:space="preserve">7.- Recibí de Alcaldía y de la Concejal de Recursos Humanos de fecha 9 de abril de 2021. </w:t>
      </w:r>
    </w:p>
    <w:p w:rsidR="00B064CF" w:rsidRDefault="00E32F70">
      <w:pPr>
        <w:spacing w:after="111"/>
        <w:ind w:left="345" w:right="72" w:firstLine="708"/>
      </w:pPr>
      <w:r>
        <w:t>8.- Informe</w:t>
      </w:r>
      <w:r>
        <w:t xml:space="preserve"> de 14 de abril de 2021 del Técnico de Artesanía sobre que no se ha recibido ninguna alegación en el proceso de consulta pública. </w:t>
      </w:r>
    </w:p>
    <w:p w:rsidR="00B064CF" w:rsidRDefault="00E32F70">
      <w:pPr>
        <w:spacing w:after="109"/>
        <w:ind w:left="1078" w:right="72"/>
      </w:pPr>
      <w:r>
        <w:t xml:space="preserve">9.- Providencia de 26 de abril de 2021 de la Concejal delegada de Urbanismo que dice: </w:t>
      </w:r>
    </w:p>
    <w:p w:rsidR="00B064CF" w:rsidRDefault="00E32F70">
      <w:pPr>
        <w:spacing w:after="112"/>
        <w:ind w:left="345" w:right="144" w:firstLine="708"/>
      </w:pPr>
      <w:r>
        <w:rPr>
          <w:i/>
        </w:rPr>
        <w:t>Con motivo de la asignación de la reda</w:t>
      </w:r>
      <w:r>
        <w:rPr>
          <w:i/>
        </w:rPr>
        <w:t xml:space="preserve">cción técnica de la Ordenanza Reguladora de Ocupación de Dominio Público, al técnico Gerhard Alejandro Pagel Cambeiro, se solicita la paralización de sus atribuciones, debido a la necesidad inaplazable de redacción de dicha Ordenanza. </w:t>
      </w:r>
    </w:p>
    <w:p w:rsidR="00B064CF" w:rsidRDefault="00E32F70">
      <w:pPr>
        <w:spacing w:after="112"/>
        <w:ind w:left="345" w:right="141" w:firstLine="708"/>
      </w:pPr>
      <w:r>
        <w:t>10.- Consta en el ex</w:t>
      </w:r>
      <w:r>
        <w:t xml:space="preserve">pediente Ordenanza de 14 de mayo de 2021 firmada por el Arquitecto Técnico y la Técnico de Administración General y posteriormente de 19 de mayo de 2021 donde se han subsanado lo manifestado por el Secretario en su informe de 17 de mayo de 2021. </w:t>
      </w:r>
    </w:p>
    <w:p w:rsidR="00B064CF" w:rsidRDefault="00E32F70">
      <w:pPr>
        <w:spacing w:after="100" w:line="259" w:lineRule="auto"/>
        <w:ind w:left="1068" w:firstLine="0"/>
        <w:jc w:val="left"/>
      </w:pPr>
      <w:r>
        <w:t xml:space="preserve"> </w:t>
      </w:r>
    </w:p>
    <w:p w:rsidR="00B064CF" w:rsidRDefault="00E32F70">
      <w:pPr>
        <w:spacing w:after="98" w:line="259" w:lineRule="auto"/>
        <w:ind w:left="1068" w:firstLine="0"/>
        <w:jc w:val="left"/>
      </w:pPr>
      <w:r>
        <w:t xml:space="preserve"> </w:t>
      </w:r>
    </w:p>
    <w:p w:rsidR="00B064CF" w:rsidRDefault="00E32F70">
      <w:pPr>
        <w:spacing w:after="100" w:line="259" w:lineRule="auto"/>
        <w:ind w:left="1068" w:firstLine="0"/>
        <w:jc w:val="left"/>
      </w:pPr>
      <w:r>
        <w:t xml:space="preserve"> </w:t>
      </w:r>
    </w:p>
    <w:p w:rsidR="00B064CF" w:rsidRDefault="00E32F70">
      <w:pPr>
        <w:spacing w:after="98" w:line="259" w:lineRule="auto"/>
        <w:ind w:left="1068" w:firstLine="0"/>
        <w:jc w:val="left"/>
      </w:pPr>
      <w:r>
        <w:t xml:space="preserve"> </w:t>
      </w:r>
    </w:p>
    <w:p w:rsidR="00B064CF" w:rsidRDefault="00E32F70">
      <w:pPr>
        <w:spacing w:after="130"/>
        <w:ind w:left="345" w:right="72" w:firstLine="708"/>
      </w:pPr>
      <w:r>
        <w:t xml:space="preserve">11.- Consta en el expediente informe técnico del Arquitecto Técnico de 14 de mayo de 2021 en el que se concluye: </w:t>
      </w:r>
    </w:p>
    <w:p w:rsidR="00B064CF" w:rsidRDefault="00E32F70">
      <w:pPr>
        <w:spacing w:after="111"/>
        <w:ind w:left="345" w:right="144" w:firstLine="708"/>
      </w:pPr>
      <w:r>
        <w:rPr>
          <w:rFonts w:ascii="Calibri" w:eastAsia="Calibri" w:hAnsi="Calibri" w:cs="Calibri"/>
          <w:noProof/>
        </w:rPr>
        <mc:AlternateContent>
          <mc:Choice Requires="wpg">
            <w:drawing>
              <wp:anchor distT="0" distB="0" distL="114300" distR="114300" simplePos="0" relativeHeight="25178112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88397" name="Group 388397"/>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5247" name="Rectangle 25247"/>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5248" name="Rectangle 25248"/>
                        <wps:cNvSpPr/>
                        <wps:spPr>
                          <a:xfrm rot="-5399999">
                            <a:off x="-2094822" y="1257909"/>
                            <a:ext cx="4455272" cy="113224"/>
                          </a:xfrm>
                          <a:prstGeom prst="rect">
                            <a:avLst/>
                          </a:prstGeom>
                          <a:ln>
                            <a:noFill/>
                          </a:ln>
                        </wps:spPr>
                        <wps:txbx>
                          <w:txbxContent>
                            <w:p w:rsidR="00B064CF" w:rsidRDefault="00E32F70">
                              <w:pPr>
                                <w:spacing w:after="160" w:line="259" w:lineRule="auto"/>
                                <w:ind w:left="0" w:firstLine="0"/>
                                <w:jc w:val="left"/>
                              </w:pPr>
                              <w:r>
                                <w:rPr>
                                  <w:sz w:val="12"/>
                                </w:rPr>
                                <w:t>Documento firmado electrónicamente desd</w:t>
                              </w:r>
                              <w:r>
                                <w:rPr>
                                  <w:sz w:val="12"/>
                                </w:rPr>
                                <w:t xml:space="preserve">e la plataforma esPublico Gestiona | Página 117 de 298 </w:t>
                              </w:r>
                            </w:p>
                          </w:txbxContent>
                        </wps:txbx>
                        <wps:bodyPr horzOverflow="overflow" vert="horz" lIns="0" tIns="0" rIns="0" bIns="0" rtlCol="0">
                          <a:noAutofit/>
                        </wps:bodyPr>
                      </wps:wsp>
                    </wpg:wgp>
                  </a:graphicData>
                </a:graphic>
              </wp:anchor>
            </w:drawing>
          </mc:Choice>
          <mc:Fallback xmlns:a="http://schemas.openxmlformats.org/drawingml/2006/main">
            <w:pict>
              <v:group id="Group 388397" style="width:12.7031pt;height:278.91pt;position:absolute;mso-position-horizontal-relative:page;mso-position-horizontal:absolute;margin-left:682.278pt;mso-position-vertical-relative:page;margin-top:533.01pt;" coordsize="1613,35421">
                <v:rect id="Rectangle 25247"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5248" style="position:absolute;width:44552;height:1132;left:-20948;top:1257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117 de 298 </w:t>
                        </w:r>
                      </w:p>
                    </w:txbxContent>
                  </v:textbox>
                </v:rect>
                <w10:wrap type="square"/>
              </v:group>
            </w:pict>
          </mc:Fallback>
        </mc:AlternateContent>
      </w:r>
      <w:r>
        <w:rPr>
          <w:i/>
        </w:rPr>
        <w:t>“De lo anteriormente expuesto, se informa que el proyecto de ordenanza es compatible con el Plan General vigente en el municipio de Candelaria y con la legislación sectorial correspondiente, y se ajus</w:t>
      </w:r>
      <w:r>
        <w:rPr>
          <w:i/>
        </w:rPr>
        <w:t xml:space="preserve">ta a las disposiciones sectoriales reguladoras de la seguridad, actividades, salubridad, habitabilidad, protección del medio ambiente urbano, patrimonio arquitectónico e histórico artístico.  </w:t>
      </w:r>
    </w:p>
    <w:p w:rsidR="00B064CF" w:rsidRDefault="00E32F70">
      <w:pPr>
        <w:spacing w:after="106"/>
        <w:ind w:left="345" w:right="144" w:firstLine="708"/>
      </w:pPr>
      <w:r>
        <w:rPr>
          <w:i/>
        </w:rPr>
        <w:t>En conclusión, se emite informe técnico favorable sobre el proy</w:t>
      </w:r>
      <w:r>
        <w:rPr>
          <w:i/>
        </w:rPr>
        <w:t xml:space="preserve">ecto de Ordenanza de Dominio Público del municipio de Candelaria para su aprobación inicial” </w:t>
      </w:r>
    </w:p>
    <w:p w:rsidR="00B064CF" w:rsidRDefault="00E32F70">
      <w:pPr>
        <w:spacing w:after="113" w:line="249" w:lineRule="auto"/>
        <w:ind w:left="345" w:right="126" w:firstLine="708"/>
      </w:pPr>
      <w:r>
        <w:rPr>
          <w:u w:val="single" w:color="000000"/>
        </w:rPr>
        <w:t>Es de resaltar por la Secretaría General el trabajo realizado por el Arquitecto Técnico don</w:t>
      </w:r>
      <w:r>
        <w:t xml:space="preserve"> </w:t>
      </w:r>
      <w:r>
        <w:rPr>
          <w:u w:val="single" w:color="000000"/>
        </w:rPr>
        <w:t>Gerhard Alejandro Pagel Cambeiro</w:t>
      </w:r>
      <w:r>
        <w:t xml:space="preserve"> que en tan solo un mes y medio aproxi</w:t>
      </w:r>
      <w:r>
        <w:t xml:space="preserve">madamente </w:t>
      </w:r>
      <w:r>
        <w:rPr>
          <w:u w:val="single" w:color="000000"/>
        </w:rPr>
        <w:t>ha</w:t>
      </w:r>
      <w:r>
        <w:t xml:space="preserve"> </w:t>
      </w:r>
      <w:r>
        <w:rPr>
          <w:u w:val="single" w:color="000000"/>
        </w:rPr>
        <w:t>redactado la presente Ordenanza</w:t>
      </w:r>
      <w:r>
        <w:t xml:space="preserve"> de 61 artículos que llevaba años sin tramitarse en el Área de Urbanismo </w:t>
      </w:r>
      <w:r>
        <w:rPr>
          <w:u w:val="single" w:color="000000"/>
        </w:rPr>
        <w:t>y también posteriormente es de resaltar el trabajo realizado por la Técnico de</w:t>
      </w:r>
      <w:r>
        <w:t xml:space="preserve"> </w:t>
      </w:r>
      <w:r>
        <w:rPr>
          <w:u w:val="single" w:color="000000"/>
        </w:rPr>
        <w:t>Administración General, Doña Helena Larrinaga Doval, que se ha encargado de supervisar la parte</w:t>
      </w:r>
      <w:r>
        <w:t xml:space="preserve"> </w:t>
      </w:r>
      <w:r>
        <w:rPr>
          <w:u w:val="single" w:color="000000"/>
        </w:rPr>
        <w:t>jurídica-procedimental y sustancial de la Ordenanza redactada por el Arqutecto Técnico.</w:t>
      </w:r>
      <w:r>
        <w:t xml:space="preserve"> </w:t>
      </w:r>
    </w:p>
    <w:p w:rsidR="00B064CF" w:rsidRDefault="00E32F70">
      <w:pPr>
        <w:spacing w:after="109"/>
        <w:ind w:left="345" w:right="146" w:firstLine="708"/>
      </w:pPr>
      <w:r>
        <w:t xml:space="preserve">Sin embargo, el informe técnico emitido por dicho Arquitecto Técnico de 2 páginas es insuficiente ya que no detalla en relación a la Ordenanza el amparo a la normativa técnica de cada uno de los requisitos técnicos de la Ordenanza ya que se limita a decir </w:t>
      </w:r>
      <w:r>
        <w:t>que cumple con las normas urbanísticas y de accesibilidad sin entrar a detallar los preceptos concretos de la normativa técnica en relación a los preceptos de la Ordenanza, ni tan siquiera citar lo más destacados (especialmente falta concretar de los artíc</w:t>
      </w:r>
      <w:r>
        <w:t xml:space="preserve">ulos 19 al 28 que es la parte más técnica de la Ordenanza la concreta normativa concreta aplicable y no una simple remisión general a la ley o reglamento de aplicación) por lo que deberá ampliarse hasta el día de la comisión: el 24 de mayo. </w:t>
      </w:r>
    </w:p>
    <w:p w:rsidR="00B064CF" w:rsidRDefault="00E32F70">
      <w:pPr>
        <w:spacing w:after="98" w:line="259" w:lineRule="auto"/>
        <w:ind w:left="2487" w:firstLine="0"/>
        <w:jc w:val="left"/>
      </w:pPr>
      <w:r>
        <w:rPr>
          <w:b/>
        </w:rPr>
        <w:t xml:space="preserve"> </w:t>
      </w:r>
    </w:p>
    <w:p w:rsidR="00B064CF" w:rsidRDefault="00E32F70">
      <w:pPr>
        <w:spacing w:after="100" w:line="259" w:lineRule="auto"/>
        <w:ind w:left="2487" w:firstLine="0"/>
        <w:jc w:val="left"/>
      </w:pPr>
      <w:r>
        <w:rPr>
          <w:b/>
        </w:rPr>
        <w:t xml:space="preserve"> </w:t>
      </w:r>
    </w:p>
    <w:p w:rsidR="00B064CF" w:rsidRDefault="00E32F70">
      <w:pPr>
        <w:spacing w:after="98" w:line="259" w:lineRule="auto"/>
        <w:ind w:left="2487" w:firstLine="0"/>
        <w:jc w:val="left"/>
      </w:pPr>
      <w:r>
        <w:rPr>
          <w:b/>
        </w:rPr>
        <w:t xml:space="preserve"> </w:t>
      </w:r>
    </w:p>
    <w:p w:rsidR="00B064CF" w:rsidRDefault="00E32F70">
      <w:pPr>
        <w:spacing w:after="0" w:line="259" w:lineRule="auto"/>
        <w:ind w:left="2487" w:firstLine="0"/>
        <w:jc w:val="left"/>
      </w:pPr>
      <w:r>
        <w:rPr>
          <w:b/>
        </w:rPr>
        <w:t xml:space="preserve"> </w:t>
      </w:r>
    </w:p>
    <w:p w:rsidR="00B064CF" w:rsidRDefault="00E32F70">
      <w:pPr>
        <w:spacing w:after="100" w:line="259" w:lineRule="auto"/>
        <w:ind w:left="2487" w:firstLine="0"/>
        <w:jc w:val="left"/>
      </w:pPr>
      <w:r>
        <w:rPr>
          <w:b/>
        </w:rPr>
        <w:t xml:space="preserve"> </w:t>
      </w:r>
    </w:p>
    <w:p w:rsidR="00B064CF" w:rsidRDefault="00E32F70">
      <w:pPr>
        <w:spacing w:after="98" w:line="259" w:lineRule="auto"/>
        <w:ind w:left="2487" w:firstLine="0"/>
        <w:jc w:val="left"/>
      </w:pPr>
      <w:r>
        <w:rPr>
          <w:b/>
        </w:rPr>
        <w:t xml:space="preserve"> </w:t>
      </w:r>
    </w:p>
    <w:p w:rsidR="00B064CF" w:rsidRDefault="00E32F70">
      <w:pPr>
        <w:spacing w:after="109"/>
        <w:ind w:left="2497" w:right="68"/>
      </w:pPr>
      <w:r>
        <w:rPr>
          <w:b/>
        </w:rPr>
        <w:t>FU</w:t>
      </w:r>
      <w:r>
        <w:rPr>
          <w:b/>
        </w:rPr>
        <w:t xml:space="preserve">NDAMENTOS DE DERECHO  </w:t>
      </w:r>
    </w:p>
    <w:p w:rsidR="00B064CF" w:rsidRDefault="00E32F70">
      <w:pPr>
        <w:spacing w:after="100" w:line="259" w:lineRule="auto"/>
        <w:ind w:left="2487" w:firstLine="0"/>
        <w:jc w:val="left"/>
      </w:pPr>
      <w:r>
        <w:rPr>
          <w:b/>
        </w:rPr>
        <w:t xml:space="preserve"> </w:t>
      </w:r>
    </w:p>
    <w:p w:rsidR="00B064CF" w:rsidRDefault="00E32F70">
      <w:pPr>
        <w:spacing w:after="112"/>
        <w:ind w:left="1078" w:right="68"/>
      </w:pPr>
      <w:r>
        <w:rPr>
          <w:b/>
        </w:rPr>
        <w:t xml:space="preserve">Primero.- Procedimiento para la ocupación del dominio público municipal: </w:t>
      </w:r>
    </w:p>
    <w:p w:rsidR="00B064CF" w:rsidRDefault="00E32F70">
      <w:pPr>
        <w:spacing w:after="112"/>
        <w:ind w:left="345" w:right="145" w:firstLine="708"/>
      </w:pPr>
      <w:r>
        <w:t xml:space="preserve">Toda ocupación del dominio público municipal exige de forma preceptiva que el órgano competente, la Alcaldía-Presidencia, con carácter general, (actualmente </w:t>
      </w:r>
      <w:r>
        <w:t>delegado en la Concejal delegada de Planificación y Gestión Urbanística y Ambiental) incoe la tramitación de un expediente administrativo en plataforma electrónica “Gestiona” conducente a la obtención de una licencia como establece el artículo 77 del Regla</w:t>
      </w:r>
      <w:r>
        <w:t xml:space="preserve">mento de Bienes de las Entidades locales aprobado por el Real Decreto 1732/1986, de 13 de junio por el que aprueba el Reglamento de Bienes de las Entidades locales (RBEL) </w:t>
      </w:r>
    </w:p>
    <w:p w:rsidR="00B064CF" w:rsidRDefault="00E32F70">
      <w:pPr>
        <w:spacing w:after="111"/>
        <w:ind w:left="1078" w:right="72"/>
      </w:pPr>
      <w:r>
        <w:t xml:space="preserve">1.- Solicitud del interesado. </w:t>
      </w:r>
    </w:p>
    <w:p w:rsidR="00B064CF" w:rsidRDefault="00E32F70">
      <w:pPr>
        <w:spacing w:after="113" w:line="246" w:lineRule="auto"/>
        <w:ind w:left="345" w:right="58" w:firstLine="698"/>
        <w:jc w:val="left"/>
      </w:pPr>
      <w:r>
        <w:t xml:space="preserve">2.- </w:t>
      </w:r>
      <w:r>
        <w:t xml:space="preserve">Providencia del órgano competente de petición de informe técnico de la Oficina Técnica encargado de la accesibilidad y/o al Aparejador correspondiente y de informe jurídico a la Técnico en Derecho o de la Técnico de Administración General encargada de las </w:t>
      </w:r>
      <w:r>
        <w:t xml:space="preserve">actividades clasificadas y en consecuencia de las ocupaciones en la vía pública de las mismas. </w:t>
      </w:r>
    </w:p>
    <w:p w:rsidR="00B064CF" w:rsidRDefault="00E32F70">
      <w:pPr>
        <w:spacing w:after="111"/>
        <w:ind w:left="345" w:right="72" w:firstLine="708"/>
      </w:pPr>
      <w:r>
        <w:t xml:space="preserve">3.- Informe técnico de la Oficina Técnica encargado de la accesibilidad y/o al Aparejador correspondiente </w:t>
      </w:r>
    </w:p>
    <w:p w:rsidR="00B064CF" w:rsidRDefault="00E32F70">
      <w:pPr>
        <w:spacing w:after="114"/>
        <w:ind w:left="345" w:right="145" w:firstLine="708"/>
      </w:pPr>
      <w:r>
        <w:rPr>
          <w:rFonts w:ascii="Calibri" w:eastAsia="Calibri" w:hAnsi="Calibri" w:cs="Calibri"/>
          <w:noProof/>
        </w:rPr>
        <mc:AlternateContent>
          <mc:Choice Requires="wpg">
            <w:drawing>
              <wp:anchor distT="0" distB="0" distL="114300" distR="114300" simplePos="0" relativeHeight="25178214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88398" name="Group 388398"/>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5362" name="Rectangle 25362"/>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64SKSNYNJRFPNN5DLPPAAC3GS | Verif</w:t>
                              </w:r>
                              <w:r>
                                <w:rPr>
                                  <w:sz w:val="12"/>
                                </w:rPr>
                                <w:t xml:space="preserve">icación: https://candelaria.sedelectronica.es/ </w:t>
                              </w:r>
                            </w:p>
                          </w:txbxContent>
                        </wps:txbx>
                        <wps:bodyPr horzOverflow="overflow" vert="horz" lIns="0" tIns="0" rIns="0" bIns="0" rtlCol="0">
                          <a:noAutofit/>
                        </wps:bodyPr>
                      </wps:wsp>
                      <wps:wsp>
                        <wps:cNvPr id="25363" name="Rectangle 25363"/>
                        <wps:cNvSpPr/>
                        <wps:spPr>
                          <a:xfrm rot="-5399999">
                            <a:off x="-2094822" y="1257909"/>
                            <a:ext cx="44552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118 de 298 </w:t>
                              </w:r>
                            </w:p>
                          </w:txbxContent>
                        </wps:txbx>
                        <wps:bodyPr horzOverflow="overflow" vert="horz" lIns="0" tIns="0" rIns="0" bIns="0" rtlCol="0">
                          <a:noAutofit/>
                        </wps:bodyPr>
                      </wps:wsp>
                    </wpg:wgp>
                  </a:graphicData>
                </a:graphic>
              </wp:anchor>
            </w:drawing>
          </mc:Choice>
          <mc:Fallback xmlns:a="http://schemas.openxmlformats.org/drawingml/2006/main">
            <w:pict>
              <v:group id="Group 388398" style="width:12.7031pt;height:278.91pt;position:absolute;mso-position-horizontal-relative:page;mso-position-horizontal:absolute;margin-left:682.278pt;mso-position-vertical-relative:page;margin-top:533.01pt;" coordsize="1613,35421">
                <v:rect id="Rectangle 25362"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5363" style="position:absolute;width:44552;height:1132;left:-20948;top:1257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118 de 298 </w:t>
                        </w:r>
                      </w:p>
                    </w:txbxContent>
                  </v:textbox>
                </v:rect>
                <w10:wrap type="square"/>
              </v:group>
            </w:pict>
          </mc:Fallback>
        </mc:AlternateContent>
      </w:r>
      <w:r>
        <w:t>4.- Informe jurídico de la Técnico Jurídico o Técnico de Administración General del Área de Urbanismo encargado</w:t>
      </w:r>
      <w:r>
        <w:t xml:space="preserve"> de las licencias de actividades de bares, hostelería y restauración y en consecuencia de la ocupación en la vía pública que, en su caso, hayan solicitado los titulares de dichos establecimientos.  </w:t>
      </w:r>
    </w:p>
    <w:p w:rsidR="00B064CF" w:rsidRDefault="00E32F70">
      <w:pPr>
        <w:spacing w:after="114"/>
        <w:ind w:left="345" w:right="149" w:firstLine="708"/>
      </w:pPr>
      <w:r>
        <w:t>5.- Decreto de la Alcaldía o Concejal delegada de Planifi</w:t>
      </w:r>
      <w:r>
        <w:t xml:space="preserve">cación y Gestión Urbanística y Ambiental sobre la concesión o denegación de las licencias de ocupación de la vía pública según el sentido de los informes emitidos.  </w:t>
      </w:r>
    </w:p>
    <w:p w:rsidR="00B064CF" w:rsidRDefault="00E32F70">
      <w:pPr>
        <w:spacing w:after="109"/>
        <w:ind w:left="1078" w:right="72"/>
      </w:pPr>
      <w:r>
        <w:t xml:space="preserve">6.- Notificación a los interesados. </w:t>
      </w:r>
    </w:p>
    <w:p w:rsidR="00B064CF" w:rsidRDefault="00E32F70">
      <w:pPr>
        <w:spacing w:after="98" w:line="259" w:lineRule="auto"/>
        <w:ind w:left="1068" w:firstLine="0"/>
        <w:jc w:val="left"/>
      </w:pPr>
      <w:r>
        <w:t xml:space="preserve"> </w:t>
      </w:r>
    </w:p>
    <w:p w:rsidR="00B064CF" w:rsidRDefault="00E32F70">
      <w:pPr>
        <w:spacing w:after="174"/>
        <w:ind w:left="345" w:right="68" w:firstLine="708"/>
      </w:pPr>
      <w:r>
        <w:rPr>
          <w:b/>
        </w:rPr>
        <w:t>Así el artículo 84.1 de la ley 33/2003, de Patrimon</w:t>
      </w:r>
      <w:r>
        <w:rPr>
          <w:b/>
        </w:rPr>
        <w:t xml:space="preserve">io de las Administraciones Públicas </w:t>
      </w:r>
      <w:r>
        <w:rPr>
          <w:b/>
          <w:u w:val="single" w:color="000000"/>
        </w:rPr>
        <w:t>consagra la necesidad del título habilitante:</w:t>
      </w:r>
      <w:r>
        <w:rPr>
          <w:b/>
        </w:rPr>
        <w:t xml:space="preserve"> </w:t>
      </w:r>
      <w:r>
        <w:t xml:space="preserve"> </w:t>
      </w:r>
    </w:p>
    <w:p w:rsidR="00B064CF" w:rsidRDefault="00E32F70">
      <w:pPr>
        <w:spacing w:after="174"/>
        <w:ind w:left="345" w:right="144" w:firstLine="360"/>
      </w:pPr>
      <w:r>
        <w:rPr>
          <w:i/>
        </w:rPr>
        <w:t xml:space="preserve">Nadie puede, sin título que lo autorice otorgado por la autoridad competente, ocupar bienes de dominio público o utilizarlos en forma que exceda el derecho de </w:t>
      </w:r>
      <w:r>
        <w:rPr>
          <w:i/>
        </w:rPr>
        <w:t xml:space="preserve">uso que, en su caso, corresponde a todos. </w:t>
      </w:r>
    </w:p>
    <w:p w:rsidR="00B064CF" w:rsidRDefault="00E32F70">
      <w:pPr>
        <w:spacing w:after="95" w:line="259" w:lineRule="auto"/>
        <w:ind w:left="360" w:firstLine="0"/>
        <w:jc w:val="left"/>
      </w:pPr>
      <w:r>
        <w:t xml:space="preserve"> </w:t>
      </w:r>
    </w:p>
    <w:p w:rsidR="00B064CF" w:rsidRDefault="00E32F70">
      <w:pPr>
        <w:spacing w:after="111"/>
        <w:ind w:left="345" w:right="68" w:firstLine="360"/>
      </w:pPr>
      <w:r>
        <w:rPr>
          <w:b/>
        </w:rPr>
        <w:t xml:space="preserve">Segundo.- Infracción muy grave en el caso de la ocupación en precario o sin licencia del dominio público mediante actividades clasificadas: </w:t>
      </w:r>
    </w:p>
    <w:p w:rsidR="00B064CF" w:rsidRDefault="00E32F70">
      <w:pPr>
        <w:spacing w:after="4"/>
        <w:ind w:left="345" w:right="146" w:firstLine="708"/>
      </w:pPr>
      <w:r>
        <w:rPr>
          <w:b/>
        </w:rPr>
        <w:t>Es de aplicación el artículo 62 de la Ley 7/2011, de 5 de abril de act</w:t>
      </w:r>
      <w:r>
        <w:rPr>
          <w:b/>
        </w:rPr>
        <w:t xml:space="preserve">ividades clasificadas y espectáculos públicos y otras medidas administrativas complementarias que establece como infracción muy grave: </w:t>
      </w:r>
    </w:p>
    <w:p w:rsidR="00B064CF" w:rsidRDefault="00E32F70">
      <w:pPr>
        <w:spacing w:after="109"/>
        <w:ind w:left="355" w:right="144"/>
      </w:pPr>
      <w:r>
        <w:rPr>
          <w:i/>
        </w:rPr>
        <w:t>El desarrollo de una actividad o la apertura de un establecimiento de los sujetos a esta ley, sin la previa licencia cor</w:t>
      </w:r>
      <w:r>
        <w:rPr>
          <w:i/>
        </w:rPr>
        <w:t xml:space="preserve">respondiente o sin haber cursado la comunicación previa, o declaración responsable cuando fueren exigibles. </w:t>
      </w:r>
      <w:r>
        <w:rPr>
          <w:b/>
          <w:i/>
        </w:rPr>
        <w:t xml:space="preserve"> </w:t>
      </w:r>
      <w:r>
        <w:t xml:space="preserve"> </w:t>
      </w:r>
    </w:p>
    <w:p w:rsidR="00B064CF" w:rsidRDefault="00E32F70">
      <w:pPr>
        <w:spacing w:after="116"/>
        <w:ind w:left="345" w:right="144" w:firstLine="708"/>
      </w:pPr>
      <w:r>
        <w:rPr>
          <w:b/>
        </w:rPr>
        <w:t xml:space="preserve">Tercero.- </w:t>
      </w:r>
      <w:r>
        <w:rPr>
          <w:b/>
        </w:rPr>
        <w:t>Es de aplicación el artículo 69 de la ley 7/2011, de 5 de abril, de actividades clasificadas y espectáculos públicos y otras medidas administrativas complementarias que establece la obligatoriedad de incoar expediente sancionador en los siguientes términos</w:t>
      </w:r>
      <w:r>
        <w:rPr>
          <w:b/>
        </w:rPr>
        <w:t xml:space="preserve">: </w:t>
      </w:r>
    </w:p>
    <w:p w:rsidR="00B064CF" w:rsidRDefault="00E32F70">
      <w:pPr>
        <w:spacing w:after="109"/>
        <w:ind w:left="355" w:right="144"/>
      </w:pPr>
      <w:r>
        <w:rPr>
          <w:i/>
        </w:rPr>
        <w:t>Artículo 69. Procedimiento. 1. La imposición de sanciones en materia de actividades clasificadas y espectáculos públicos se hará previo expediente, que se ajustará a las prescripciones de la legislación general sobre el ejercicio de la potestad sanciona</w:t>
      </w:r>
      <w:r>
        <w:rPr>
          <w:i/>
        </w:rPr>
        <w:t>dora y del procedimiento administrativo común, con las particularidades previstas en los artículos siguientes.</w:t>
      </w:r>
      <w:r>
        <w:t xml:space="preserve"> </w:t>
      </w:r>
    </w:p>
    <w:p w:rsidR="00B064CF" w:rsidRDefault="00E32F70">
      <w:pPr>
        <w:spacing w:after="114"/>
        <w:ind w:left="345" w:right="146" w:firstLine="708"/>
      </w:pPr>
      <w:r>
        <w:rPr>
          <w:b/>
        </w:rPr>
        <w:t>Cuarto.-  Es de aplicación los artículo 56 y 57 de la ley 7/2011, de 5 de abril, de actividades clasificadas y espectáculos públicos y otras med</w:t>
      </w:r>
      <w:r>
        <w:rPr>
          <w:b/>
        </w:rPr>
        <w:t xml:space="preserve">idas administrativas complementarias que establece el procedimiento para  la adopción de medidas provisionales entre las que se encuentran las siguientes: </w:t>
      </w:r>
    </w:p>
    <w:p w:rsidR="00B064CF" w:rsidRDefault="00E32F70">
      <w:pPr>
        <w:numPr>
          <w:ilvl w:val="0"/>
          <w:numId w:val="28"/>
        </w:numPr>
        <w:spacing w:after="9" w:line="250" w:lineRule="auto"/>
        <w:ind w:left="838" w:right="138" w:hanging="304"/>
      </w:pPr>
      <w:r>
        <w:rPr>
          <w:i/>
        </w:rPr>
        <w:t xml:space="preserve">Precintado de locales, establecimientos, recintos, instalaciones, aparatos, equipos y </w:t>
      </w:r>
    </w:p>
    <w:p w:rsidR="00B064CF" w:rsidRDefault="00E32F70">
      <w:pPr>
        <w:spacing w:after="111"/>
        <w:ind w:left="355" w:right="144"/>
      </w:pPr>
      <w:r>
        <w:rPr>
          <w:i/>
        </w:rPr>
        <w:t>demás enseres</w:t>
      </w:r>
      <w:r>
        <w:rPr>
          <w:i/>
        </w:rPr>
        <w:t xml:space="preserve"> relacionados con la actividad o espectáculo objeto de las medidas.  </w:t>
      </w:r>
    </w:p>
    <w:p w:rsidR="00B064CF" w:rsidRDefault="00E32F70">
      <w:pPr>
        <w:numPr>
          <w:ilvl w:val="0"/>
          <w:numId w:val="28"/>
        </w:numPr>
        <w:spacing w:after="107"/>
        <w:ind w:left="838" w:right="138" w:hanging="304"/>
      </w:pPr>
      <w:r>
        <w:rPr>
          <w:i/>
        </w:rPr>
        <w:t xml:space="preserve">Clausura temporal, parcial o total, de las instalaciones.  </w:t>
      </w:r>
    </w:p>
    <w:p w:rsidR="00B064CF" w:rsidRDefault="00E32F70">
      <w:pPr>
        <w:spacing w:after="112"/>
        <w:ind w:left="345" w:right="147" w:firstLine="708"/>
      </w:pPr>
      <w:r>
        <w:rPr>
          <w:b/>
        </w:rPr>
        <w:t xml:space="preserve">Quinto.- </w:t>
      </w:r>
      <w:r>
        <w:rPr>
          <w:b/>
        </w:rPr>
        <w:t xml:space="preserve">Es de aplicación el artículo 5.4.25 de la normativa pormenorizada del Plan General de Ordenación de Candelaria que prohíbe que los toldos puedan invadir el dominio público. </w:t>
      </w:r>
    </w:p>
    <w:p w:rsidR="00B064CF" w:rsidRDefault="00E32F70">
      <w:pPr>
        <w:spacing w:after="174"/>
        <w:ind w:left="345" w:right="68" w:firstLine="708"/>
      </w:pPr>
      <w:r>
        <w:rPr>
          <w:rFonts w:ascii="Calibri" w:eastAsia="Calibri" w:hAnsi="Calibri" w:cs="Calibri"/>
          <w:noProof/>
        </w:rPr>
        <mc:AlternateContent>
          <mc:Choice Requires="wpg">
            <w:drawing>
              <wp:anchor distT="0" distB="0" distL="114300" distR="114300" simplePos="0" relativeHeight="25178316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88537" name="Group 388537"/>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5474" name="Rectangle 25474"/>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64SKSNYNJRFPNN5DLPPAAC3GS | Verificación: https://candelaria.s</w:t>
                              </w:r>
                              <w:r>
                                <w:rPr>
                                  <w:sz w:val="12"/>
                                </w:rPr>
                                <w:t xml:space="preserve">edelectronica.es/ </w:t>
                              </w:r>
                            </w:p>
                          </w:txbxContent>
                        </wps:txbx>
                        <wps:bodyPr horzOverflow="overflow" vert="horz" lIns="0" tIns="0" rIns="0" bIns="0" rtlCol="0">
                          <a:noAutofit/>
                        </wps:bodyPr>
                      </wps:wsp>
                      <wps:wsp>
                        <wps:cNvPr id="25475" name="Rectangle 25475"/>
                        <wps:cNvSpPr/>
                        <wps:spPr>
                          <a:xfrm rot="-5399999">
                            <a:off x="-2094822" y="1257909"/>
                            <a:ext cx="44552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119 de 298 </w:t>
                              </w:r>
                            </w:p>
                          </w:txbxContent>
                        </wps:txbx>
                        <wps:bodyPr horzOverflow="overflow" vert="horz" lIns="0" tIns="0" rIns="0" bIns="0" rtlCol="0">
                          <a:noAutofit/>
                        </wps:bodyPr>
                      </wps:wsp>
                    </wpg:wgp>
                  </a:graphicData>
                </a:graphic>
              </wp:anchor>
            </w:drawing>
          </mc:Choice>
          <mc:Fallback xmlns:a="http://schemas.openxmlformats.org/drawingml/2006/main">
            <w:pict>
              <v:group id="Group 388537" style="width:12.7031pt;height:278.91pt;position:absolute;mso-position-horizontal-relative:page;mso-position-horizontal:absolute;margin-left:682.278pt;mso-position-vertical-relative:page;margin-top:533.01pt;" coordsize="1613,35421">
                <v:rect id="Rectangle 25474"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5475" style="position:absolute;width:44552;height:1132;left:-20948;top:1257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119 de 298 </w:t>
                        </w:r>
                      </w:p>
                    </w:txbxContent>
                  </v:textbox>
                </v:rect>
                <w10:wrap type="square"/>
              </v:group>
            </w:pict>
          </mc:Fallback>
        </mc:AlternateContent>
      </w:r>
      <w:r>
        <w:rPr>
          <w:b/>
        </w:rPr>
        <w:t xml:space="preserve">Sexta.- Es de aplicación el artículo 78 del Reglamento de Bienes de las Entidades Locales aprobado por Real Decreto 1732/986 que establece: </w:t>
      </w:r>
    </w:p>
    <w:p w:rsidR="00B064CF" w:rsidRDefault="00E32F70">
      <w:pPr>
        <w:spacing w:after="171"/>
        <w:ind w:left="730" w:right="144"/>
      </w:pPr>
      <w:r>
        <w:rPr>
          <w:i/>
        </w:rPr>
        <w:t xml:space="preserve">1. Estarán sujetos a concesión administrativa: </w:t>
      </w:r>
    </w:p>
    <w:p w:rsidR="00B064CF" w:rsidRDefault="00E32F70">
      <w:pPr>
        <w:numPr>
          <w:ilvl w:val="0"/>
          <w:numId w:val="29"/>
        </w:numPr>
        <w:spacing w:after="169"/>
        <w:ind w:right="144" w:hanging="259"/>
      </w:pPr>
      <w:r>
        <w:rPr>
          <w:i/>
        </w:rPr>
        <w:t xml:space="preserve">El uso privativo de bienes de dominio público. </w:t>
      </w:r>
    </w:p>
    <w:p w:rsidR="00B064CF" w:rsidRDefault="00E32F70">
      <w:pPr>
        <w:numPr>
          <w:ilvl w:val="0"/>
          <w:numId w:val="29"/>
        </w:numPr>
        <w:spacing w:after="169"/>
        <w:ind w:right="144" w:hanging="259"/>
      </w:pPr>
      <w:r>
        <w:rPr>
          <w:i/>
        </w:rPr>
        <w:t xml:space="preserve">El uso anormal de los mismos. </w:t>
      </w:r>
    </w:p>
    <w:p w:rsidR="00B064CF" w:rsidRDefault="00E32F70">
      <w:pPr>
        <w:spacing w:after="169"/>
        <w:ind w:left="345" w:right="144" w:firstLine="360"/>
      </w:pPr>
      <w:r>
        <w:rPr>
          <w:i/>
        </w:rPr>
        <w:t>2. Las concesiones se otorgarán previa licitación, con arreglo a los artículos siguientes y a la normativa reguladora de la cont</w:t>
      </w:r>
      <w:r>
        <w:rPr>
          <w:i/>
        </w:rPr>
        <w:t xml:space="preserve">ratación de las Corporaciones locales. </w:t>
      </w:r>
    </w:p>
    <w:p w:rsidR="00B064CF" w:rsidRDefault="00E32F70">
      <w:pPr>
        <w:spacing w:after="100" w:line="259" w:lineRule="auto"/>
        <w:ind w:left="720" w:firstLine="0"/>
        <w:jc w:val="left"/>
      </w:pPr>
      <w:r>
        <w:rPr>
          <w:b/>
        </w:rPr>
        <w:t xml:space="preserve"> </w:t>
      </w:r>
    </w:p>
    <w:p w:rsidR="00B064CF" w:rsidRDefault="00E32F70">
      <w:pPr>
        <w:spacing w:after="155"/>
        <w:ind w:left="345" w:right="146" w:firstLine="360"/>
      </w:pPr>
      <w:r>
        <w:rPr>
          <w:b/>
        </w:rPr>
        <w:t xml:space="preserve">Séptimo.- Es de aplicación la Orden VIV/561/2010, de 1 de febrero, por la que se desarrolla el documento técnico de condiciones básicas de accesibilidad y no </w:t>
      </w:r>
      <w:r>
        <w:rPr>
          <w:b/>
        </w:rPr>
        <w:t>discriminación para el acceso y utilización de los espacios públicos urbanizados.</w:t>
      </w:r>
      <w:r>
        <w:rPr>
          <w:sz w:val="24"/>
        </w:rPr>
        <w:t xml:space="preserve"> </w:t>
      </w:r>
    </w:p>
    <w:p w:rsidR="00B064CF" w:rsidRDefault="00E32F70">
      <w:pPr>
        <w:spacing w:after="116"/>
        <w:ind w:left="355" w:right="144"/>
      </w:pPr>
      <w:r>
        <w:rPr>
          <w:i/>
        </w:rPr>
        <w:t>Artículo 5. Condiciones generales del itinerario peatonal accesible.</w:t>
      </w:r>
      <w:r>
        <w:rPr>
          <w:sz w:val="24"/>
        </w:rPr>
        <w:t xml:space="preserve"> </w:t>
      </w:r>
    </w:p>
    <w:p w:rsidR="00B064CF" w:rsidRDefault="00E32F70">
      <w:pPr>
        <w:numPr>
          <w:ilvl w:val="0"/>
          <w:numId w:val="30"/>
        </w:numPr>
        <w:spacing w:after="4"/>
        <w:ind w:right="144" w:firstLine="341"/>
      </w:pPr>
      <w:r>
        <w:rPr>
          <w:i/>
        </w:rPr>
        <w:t>Son itinerarios peatonales accesibles aquellos que garantizan el uso no discriminatorio y la circulació</w:t>
      </w:r>
      <w:r>
        <w:rPr>
          <w:i/>
        </w:rPr>
        <w:t>n de forma autónoma y continua de todas las personas. Siempre que exista más de un itinerario posible entre dos puntos, y en la eventualidad de que todos no puedan ser accesibles, se habilitarán las medidas necesarias para que el recorrido del itinerario p</w:t>
      </w:r>
      <w:r>
        <w:rPr>
          <w:i/>
        </w:rPr>
        <w:t xml:space="preserve">eatonal accesible no resulte en ningún caso discriminatorio, ni por su longitud, ni por transcurrir fuera de las áreas de mayor afluencia de personas. </w:t>
      </w:r>
    </w:p>
    <w:p w:rsidR="00B064CF" w:rsidRDefault="00E32F70">
      <w:pPr>
        <w:numPr>
          <w:ilvl w:val="0"/>
          <w:numId w:val="30"/>
        </w:numPr>
        <w:spacing w:after="4"/>
        <w:ind w:right="144" w:firstLine="341"/>
      </w:pPr>
      <w:r>
        <w:rPr>
          <w:i/>
        </w:rPr>
        <w:t xml:space="preserve">Todo itinerario peatonal accesible deberá cumplir los siguientes requisitos: </w:t>
      </w:r>
    </w:p>
    <w:p w:rsidR="00B064CF" w:rsidRDefault="00E32F70">
      <w:pPr>
        <w:spacing w:after="4"/>
        <w:ind w:left="355" w:right="144"/>
      </w:pPr>
      <w:r>
        <w:rPr>
          <w:i/>
        </w:rPr>
        <w:t>a) Discurrirá siempre de m</w:t>
      </w:r>
      <w:r>
        <w:rPr>
          <w:i/>
        </w:rPr>
        <w:t>anera colindante o adyacente a la línea de fachada o elemento horizontal que materialice físicamente el límite edificado a nivel del suelo.</w:t>
      </w:r>
      <w:r>
        <w:rPr>
          <w:sz w:val="24"/>
        </w:rPr>
        <w:t xml:space="preserve"> </w:t>
      </w:r>
    </w:p>
    <w:p w:rsidR="00B064CF" w:rsidRDefault="00E32F70">
      <w:pPr>
        <w:spacing w:after="98" w:line="259" w:lineRule="auto"/>
        <w:ind w:left="720" w:firstLine="0"/>
        <w:jc w:val="left"/>
      </w:pPr>
      <w:r>
        <w:rPr>
          <w:b/>
        </w:rPr>
        <w:t xml:space="preserve"> </w:t>
      </w:r>
    </w:p>
    <w:p w:rsidR="00B064CF" w:rsidRDefault="00E32F70">
      <w:pPr>
        <w:spacing w:after="133"/>
        <w:ind w:left="345" w:right="148" w:firstLine="708"/>
      </w:pPr>
      <w:r>
        <w:rPr>
          <w:b/>
        </w:rPr>
        <w:t>Octavo. - Es de aplicación la reciente Sentencia del Tribunal Supremo de fecha 11 de febrero de 2019 que anula la</w:t>
      </w:r>
      <w:r>
        <w:rPr>
          <w:b/>
        </w:rPr>
        <w:t xml:space="preserve"> Ordenanza de ocupación de la vía pública de Elche al permitir las terrazas en la vía pública sin la debida separación de las fachadas de los edificios impidiendo el paso de personas con movilidad reducida o invidentes. </w:t>
      </w:r>
    </w:p>
    <w:p w:rsidR="00B064CF" w:rsidRDefault="00E32F70">
      <w:pPr>
        <w:spacing w:after="11"/>
        <w:ind w:left="355" w:right="72"/>
      </w:pPr>
      <w:r>
        <w:t>“Roj: STS 354/2019 - ECLI: ES:TS:20</w:t>
      </w:r>
      <w:r>
        <w:t>19:354</w:t>
      </w:r>
      <w:r>
        <w:rPr>
          <w:rFonts w:ascii="Times New Roman" w:eastAsia="Times New Roman" w:hAnsi="Times New Roman" w:cs="Times New Roman"/>
          <w:sz w:val="24"/>
        </w:rPr>
        <w:t xml:space="preserve"> </w:t>
      </w:r>
    </w:p>
    <w:p w:rsidR="00B064CF" w:rsidRDefault="00E32F70">
      <w:pPr>
        <w:spacing w:after="11"/>
        <w:ind w:left="355" w:right="72"/>
      </w:pPr>
      <w:r>
        <w:rPr>
          <w:color w:val="827F8D"/>
        </w:rPr>
        <w:t xml:space="preserve">Id Cendoj: </w:t>
      </w:r>
      <w:r>
        <w:t>28079130052019100037</w:t>
      </w:r>
      <w:r>
        <w:rPr>
          <w:rFonts w:ascii="Times New Roman" w:eastAsia="Times New Roman" w:hAnsi="Times New Roman" w:cs="Times New Roman"/>
          <w:sz w:val="24"/>
        </w:rPr>
        <w:t xml:space="preserve"> </w:t>
      </w:r>
    </w:p>
    <w:p w:rsidR="00B064CF" w:rsidRDefault="00E32F70">
      <w:pPr>
        <w:spacing w:after="11"/>
        <w:ind w:left="355" w:right="72"/>
      </w:pPr>
      <w:r>
        <w:rPr>
          <w:color w:val="827F8D"/>
        </w:rPr>
        <w:t xml:space="preserve">Órgano: </w:t>
      </w:r>
      <w:r>
        <w:t>Tribunal Supremo. Sala de lo Contencioso</w:t>
      </w:r>
      <w:r>
        <w:rPr>
          <w:rFonts w:ascii="Times New Roman" w:eastAsia="Times New Roman" w:hAnsi="Times New Roman" w:cs="Times New Roman"/>
          <w:sz w:val="24"/>
        </w:rPr>
        <w:t xml:space="preserve"> </w:t>
      </w:r>
    </w:p>
    <w:p w:rsidR="00B064CF" w:rsidRDefault="00E32F70">
      <w:pPr>
        <w:spacing w:after="11"/>
        <w:ind w:left="355" w:right="72"/>
      </w:pPr>
      <w:r>
        <w:rPr>
          <w:color w:val="827F8D"/>
        </w:rPr>
        <w:t xml:space="preserve">Sede: </w:t>
      </w:r>
      <w:r>
        <w:t>Madrid</w:t>
      </w:r>
      <w:r>
        <w:rPr>
          <w:rFonts w:ascii="Times New Roman" w:eastAsia="Times New Roman" w:hAnsi="Times New Roman" w:cs="Times New Roman"/>
          <w:sz w:val="24"/>
        </w:rPr>
        <w:t xml:space="preserve"> </w:t>
      </w:r>
    </w:p>
    <w:p w:rsidR="00B064CF" w:rsidRDefault="00E32F70">
      <w:pPr>
        <w:spacing w:after="0" w:line="259" w:lineRule="auto"/>
        <w:ind w:left="355"/>
        <w:jc w:val="left"/>
      </w:pPr>
      <w:r>
        <w:rPr>
          <w:color w:val="827F8D"/>
        </w:rPr>
        <w:t xml:space="preserve">Sección: </w:t>
      </w:r>
      <w:r>
        <w:t>5</w:t>
      </w:r>
      <w:r>
        <w:rPr>
          <w:rFonts w:ascii="Times New Roman" w:eastAsia="Times New Roman" w:hAnsi="Times New Roman" w:cs="Times New Roman"/>
          <w:sz w:val="24"/>
        </w:rPr>
        <w:t xml:space="preserve"> </w:t>
      </w:r>
    </w:p>
    <w:p w:rsidR="00B064CF" w:rsidRDefault="00E32F70">
      <w:pPr>
        <w:spacing w:after="11"/>
        <w:ind w:left="355" w:right="72"/>
      </w:pPr>
      <w:r>
        <w:rPr>
          <w:color w:val="827F8D"/>
        </w:rPr>
        <w:t xml:space="preserve">Fecha: </w:t>
      </w:r>
      <w:r>
        <w:t>11/02/2019</w:t>
      </w:r>
      <w:r>
        <w:rPr>
          <w:rFonts w:ascii="Times New Roman" w:eastAsia="Times New Roman" w:hAnsi="Times New Roman" w:cs="Times New Roman"/>
          <w:sz w:val="24"/>
        </w:rPr>
        <w:t xml:space="preserve"> </w:t>
      </w:r>
    </w:p>
    <w:p w:rsidR="00B064CF" w:rsidRDefault="00E32F70">
      <w:pPr>
        <w:spacing w:after="0" w:line="259" w:lineRule="auto"/>
        <w:ind w:left="355"/>
        <w:jc w:val="left"/>
      </w:pPr>
      <w:r>
        <w:rPr>
          <w:color w:val="827F8D"/>
        </w:rPr>
        <w:t xml:space="preserve">Nº de Recurso: </w:t>
      </w:r>
      <w:r>
        <w:t>1152/2016</w:t>
      </w:r>
      <w:r>
        <w:rPr>
          <w:rFonts w:ascii="Times New Roman" w:eastAsia="Times New Roman" w:hAnsi="Times New Roman" w:cs="Times New Roman"/>
          <w:sz w:val="24"/>
        </w:rPr>
        <w:t xml:space="preserve"> </w:t>
      </w:r>
    </w:p>
    <w:p w:rsidR="00B064CF" w:rsidRDefault="00E32F70">
      <w:pPr>
        <w:spacing w:after="0" w:line="259" w:lineRule="auto"/>
        <w:ind w:left="355"/>
        <w:jc w:val="left"/>
      </w:pPr>
      <w:r>
        <w:rPr>
          <w:color w:val="827F8D"/>
        </w:rPr>
        <w:t xml:space="preserve">Nº de Resolución: </w:t>
      </w:r>
      <w:r>
        <w:t>159/2019</w:t>
      </w:r>
      <w:r>
        <w:rPr>
          <w:rFonts w:ascii="Times New Roman" w:eastAsia="Times New Roman" w:hAnsi="Times New Roman" w:cs="Times New Roman"/>
          <w:sz w:val="24"/>
        </w:rPr>
        <w:t xml:space="preserve"> </w:t>
      </w:r>
    </w:p>
    <w:p w:rsidR="00B064CF" w:rsidRDefault="00E32F70">
      <w:pPr>
        <w:spacing w:after="11"/>
        <w:ind w:left="355" w:right="72"/>
      </w:pPr>
      <w:r>
        <w:rPr>
          <w:color w:val="827F8D"/>
        </w:rPr>
        <w:t xml:space="preserve">Procedimiento: </w:t>
      </w:r>
      <w:r>
        <w:t>Recurso de casación</w:t>
      </w:r>
      <w:r>
        <w:rPr>
          <w:rFonts w:ascii="Times New Roman" w:eastAsia="Times New Roman" w:hAnsi="Times New Roman" w:cs="Times New Roman"/>
          <w:sz w:val="24"/>
        </w:rPr>
        <w:t xml:space="preserve"> </w:t>
      </w:r>
    </w:p>
    <w:p w:rsidR="00B064CF" w:rsidRDefault="00E32F70">
      <w:pPr>
        <w:spacing w:after="11"/>
        <w:ind w:left="355" w:right="72"/>
      </w:pPr>
      <w:r>
        <w:rPr>
          <w:color w:val="827F8D"/>
        </w:rPr>
        <w:t xml:space="preserve">Ponente: </w:t>
      </w:r>
      <w:r>
        <w:t>JUAN CARLOS TRILLO ALONSO</w:t>
      </w:r>
      <w:r>
        <w:rPr>
          <w:rFonts w:ascii="Times New Roman" w:eastAsia="Times New Roman" w:hAnsi="Times New Roman" w:cs="Times New Roman"/>
          <w:sz w:val="24"/>
        </w:rPr>
        <w:t xml:space="preserve"> </w:t>
      </w:r>
    </w:p>
    <w:p w:rsidR="00B064CF" w:rsidRDefault="00E32F70">
      <w:pPr>
        <w:spacing w:after="0" w:line="259" w:lineRule="auto"/>
        <w:ind w:left="355"/>
        <w:jc w:val="left"/>
      </w:pPr>
      <w:r>
        <w:rPr>
          <w:color w:val="827F8D"/>
        </w:rPr>
        <w:t xml:space="preserve">Tipo de Resolución: </w:t>
      </w:r>
      <w:r>
        <w:t>Sentencia</w:t>
      </w:r>
      <w:r>
        <w:rPr>
          <w:rFonts w:ascii="Times New Roman" w:eastAsia="Times New Roman" w:hAnsi="Times New Roman" w:cs="Times New Roman"/>
          <w:sz w:val="24"/>
        </w:rPr>
        <w:t xml:space="preserve"> </w:t>
      </w:r>
    </w:p>
    <w:p w:rsidR="00B064CF" w:rsidRDefault="00E32F70">
      <w:pPr>
        <w:spacing w:after="0" w:line="259" w:lineRule="auto"/>
        <w:ind w:left="355"/>
        <w:jc w:val="left"/>
      </w:pPr>
      <w:r>
        <w:rPr>
          <w:color w:val="827F8D"/>
        </w:rPr>
        <w:t xml:space="preserve">Resoluciones del caso: </w:t>
      </w:r>
      <w:r>
        <w:rPr>
          <w:color w:val="2A4770"/>
        </w:rPr>
        <w:t>STSJ CV 1500/2016,</w:t>
      </w:r>
      <w:r>
        <w:rPr>
          <w:rFonts w:ascii="Times New Roman" w:eastAsia="Times New Roman" w:hAnsi="Times New Roman" w:cs="Times New Roman"/>
          <w:sz w:val="24"/>
        </w:rPr>
        <w:t xml:space="preserve"> </w:t>
      </w:r>
    </w:p>
    <w:p w:rsidR="00B064CF" w:rsidRDefault="00E32F70">
      <w:pPr>
        <w:spacing w:after="109"/>
        <w:ind w:left="1078" w:right="72"/>
      </w:pPr>
      <w:r>
        <w:t xml:space="preserve">STS 354/2019 </w:t>
      </w:r>
    </w:p>
    <w:p w:rsidR="00B064CF" w:rsidRDefault="00E32F70">
      <w:pPr>
        <w:spacing w:after="4"/>
        <w:ind w:left="345" w:right="144" w:firstLine="708"/>
      </w:pPr>
      <w:r>
        <w:rPr>
          <w:rFonts w:ascii="Calibri" w:eastAsia="Calibri" w:hAnsi="Calibri" w:cs="Calibri"/>
          <w:noProof/>
        </w:rPr>
        <mc:AlternateContent>
          <mc:Choice Requires="wpg">
            <w:drawing>
              <wp:anchor distT="0" distB="0" distL="114300" distR="114300" simplePos="0" relativeHeight="25178419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88722" name="Group 388722"/>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5611" name="Rectangle 25611"/>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5612" name="Rectangle 25612"/>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Documento firmado electrónicamente des</w:t>
                              </w:r>
                              <w:r>
                                <w:rPr>
                                  <w:sz w:val="12"/>
                                </w:rPr>
                                <w:t xml:space="preserve">de la plataforma esPublico Gestiona | Página 120 de 298 </w:t>
                              </w:r>
                            </w:p>
                          </w:txbxContent>
                        </wps:txbx>
                        <wps:bodyPr horzOverflow="overflow" vert="horz" lIns="0" tIns="0" rIns="0" bIns="0" rtlCol="0">
                          <a:noAutofit/>
                        </wps:bodyPr>
                      </wps:wsp>
                    </wpg:wgp>
                  </a:graphicData>
                </a:graphic>
              </wp:anchor>
            </w:drawing>
          </mc:Choice>
          <mc:Fallback xmlns:a="http://schemas.openxmlformats.org/drawingml/2006/main">
            <w:pict>
              <v:group id="Group 388722" style="width:12.7031pt;height:278.91pt;position:absolute;mso-position-horizontal-relative:page;mso-position-horizontal:absolute;margin-left:682.278pt;mso-position-vertical-relative:page;margin-top:533.01pt;" coordsize="1613,35421">
                <v:rect id="Rectangle 25611"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5612"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120 de 298 </w:t>
                        </w:r>
                      </w:p>
                    </w:txbxContent>
                  </v:textbox>
                </v:rect>
                <w10:wrap type="square"/>
              </v:group>
            </w:pict>
          </mc:Fallback>
        </mc:AlternateContent>
      </w:r>
      <w:r>
        <w:rPr>
          <w:i/>
        </w:rPr>
        <w:t>CUARTO. - La aprobación de las condiciones básicas de accesibilidad y utilización de los espacios públicos constituye una obligación de las administraciones públicas impuesto por el artículo 9.2 de l</w:t>
      </w:r>
      <w:r>
        <w:rPr>
          <w:i/>
        </w:rPr>
        <w:t>a Constitución.</w:t>
      </w:r>
      <w:r>
        <w:rPr>
          <w:rFonts w:ascii="Times New Roman" w:eastAsia="Times New Roman" w:hAnsi="Times New Roman" w:cs="Times New Roman"/>
          <w:sz w:val="24"/>
        </w:rPr>
        <w:t xml:space="preserve"> </w:t>
      </w:r>
    </w:p>
    <w:p w:rsidR="00B064CF" w:rsidRDefault="00E32F70">
      <w:pPr>
        <w:spacing w:after="4"/>
        <w:ind w:left="355" w:right="144"/>
      </w:pPr>
      <w:r>
        <w:rPr>
          <w:i/>
        </w:rPr>
        <w:t>La necesidad de una política de integración de los disminuidos físicos, sensoriales y psíquicos constituye un mandato de nuestra Carta Magna que exige la adopción de una serie de medidas tendentes a facilitar la movilidad y accesibilidad a</w:t>
      </w:r>
      <w:r>
        <w:rPr>
          <w:i/>
        </w:rPr>
        <w:t xml:space="preserve"> este grupo social, a cuyo fin las administraciones públicas competentes deberán aprobar las normas urbanísticas y arquitectónicas básicas que persigan la finalidad expresada. </w:t>
      </w:r>
    </w:p>
    <w:p w:rsidR="00B064CF" w:rsidRDefault="00E32F70">
      <w:pPr>
        <w:spacing w:after="0" w:line="259" w:lineRule="auto"/>
        <w:ind w:left="360" w:firstLine="0"/>
        <w:jc w:val="left"/>
      </w:pPr>
      <w:r>
        <w:rPr>
          <w:i/>
        </w:rPr>
        <w:t xml:space="preserve"> </w:t>
      </w:r>
    </w:p>
    <w:p w:rsidR="00B064CF" w:rsidRDefault="00E32F70">
      <w:pPr>
        <w:spacing w:after="4"/>
        <w:ind w:left="345" w:right="144" w:firstLine="708"/>
      </w:pPr>
      <w:r>
        <w:rPr>
          <w:i/>
        </w:rPr>
        <w:t>El Real decreto 505/2007, de 20 de abril, por el que se aprueban las condicio</w:t>
      </w:r>
      <w:r>
        <w:rPr>
          <w:i/>
        </w:rPr>
        <w:t>nes básicas de accesibilidad y no discriminación de las personas con discapacidad para el acceso y utilidad de los espacios públicos urbanizados y edificaciones, la Ley 13/1982, de 7 de abril, de integración social de los minusválidos, así como la Ley 51/2</w:t>
      </w:r>
      <w:r>
        <w:rPr>
          <w:i/>
        </w:rPr>
        <w:t xml:space="preserve">003, de 2 de diciembre, de igualdad de oportunidades, no discriminación y accesibilidad universal de las personas con discapacidad, son un reflejo nítido de la obligación que referenciamos. </w:t>
      </w:r>
    </w:p>
    <w:p w:rsidR="00B064CF" w:rsidRDefault="00E32F70">
      <w:pPr>
        <w:spacing w:after="0" w:line="259" w:lineRule="auto"/>
        <w:ind w:left="360" w:firstLine="0"/>
        <w:jc w:val="left"/>
      </w:pPr>
      <w:r>
        <w:rPr>
          <w:b/>
        </w:rPr>
        <w:t xml:space="preserve"> </w:t>
      </w:r>
    </w:p>
    <w:p w:rsidR="00B064CF" w:rsidRDefault="00E32F70">
      <w:pPr>
        <w:spacing w:after="4"/>
        <w:ind w:left="355" w:right="144"/>
      </w:pPr>
      <w:r>
        <w:rPr>
          <w:i/>
        </w:rPr>
        <w:t>También la Orden del Ministerio de la Vivienda 561/2010, de 1 d</w:t>
      </w:r>
      <w:r>
        <w:rPr>
          <w:i/>
        </w:rPr>
        <w:t>e febrero, por la que, en cumplimiento de la disposición final cuarta del Real Decreto 305/2007 , se desarrolla el documento técnico de condiciones básicas de accesibilidad y no discriminación para el acceso y utilización de los espacios públicos urbanizad</w:t>
      </w:r>
      <w:r>
        <w:rPr>
          <w:i/>
        </w:rPr>
        <w:t xml:space="preserve">os. </w:t>
      </w:r>
    </w:p>
    <w:p w:rsidR="00B064CF" w:rsidRDefault="00E32F70">
      <w:pPr>
        <w:spacing w:after="0" w:line="259" w:lineRule="auto"/>
        <w:ind w:left="360" w:firstLine="0"/>
        <w:jc w:val="left"/>
      </w:pPr>
      <w:r>
        <w:rPr>
          <w:i/>
        </w:rPr>
        <w:t xml:space="preserve"> </w:t>
      </w:r>
    </w:p>
    <w:p w:rsidR="00B064CF" w:rsidRDefault="00E32F70">
      <w:pPr>
        <w:spacing w:after="4"/>
        <w:ind w:left="355" w:right="144"/>
      </w:pPr>
      <w:r>
        <w:rPr>
          <w:i/>
        </w:rPr>
        <w:t xml:space="preserve">Se previene en dicha Orden, en su artículo 5, bajo el epígrafe &lt;&lt;Condiciones generales del itinerario peatonal accesible&gt;&gt;, que ese itinerario ha de cumplir los siguientes requisitos: </w:t>
      </w:r>
    </w:p>
    <w:p w:rsidR="00B064CF" w:rsidRDefault="00E32F70">
      <w:pPr>
        <w:spacing w:after="0" w:line="259" w:lineRule="auto"/>
        <w:ind w:left="360" w:firstLine="0"/>
        <w:jc w:val="left"/>
      </w:pPr>
      <w:r>
        <w:rPr>
          <w:i/>
        </w:rPr>
        <w:t xml:space="preserve"> </w:t>
      </w:r>
    </w:p>
    <w:p w:rsidR="00B064CF" w:rsidRDefault="00E32F70">
      <w:pPr>
        <w:spacing w:after="4"/>
        <w:ind w:left="355" w:right="144"/>
      </w:pPr>
      <w:r>
        <w:rPr>
          <w:i/>
        </w:rPr>
        <w:t xml:space="preserve">&lt;&lt; a) Discurrirá siempre de manera colindante o </w:t>
      </w:r>
      <w:r>
        <w:rPr>
          <w:i/>
        </w:rPr>
        <w:t xml:space="preserve">adyacente a la línea de fachada o elemento horizontal que materialice físicamente el límite edificado a nivel del suelo. </w:t>
      </w:r>
    </w:p>
    <w:p w:rsidR="00B064CF" w:rsidRDefault="00E32F70">
      <w:pPr>
        <w:spacing w:after="0" w:line="259" w:lineRule="auto"/>
        <w:ind w:left="360" w:firstLine="0"/>
        <w:jc w:val="left"/>
      </w:pPr>
      <w:r>
        <w:rPr>
          <w:i/>
        </w:rPr>
        <w:t xml:space="preserve"> </w:t>
      </w:r>
    </w:p>
    <w:p w:rsidR="00B064CF" w:rsidRDefault="00E32F70">
      <w:pPr>
        <w:numPr>
          <w:ilvl w:val="0"/>
          <w:numId w:val="31"/>
        </w:numPr>
        <w:spacing w:after="4"/>
        <w:ind w:right="144" w:hanging="259"/>
      </w:pPr>
      <w:r>
        <w:rPr>
          <w:i/>
        </w:rPr>
        <w:t xml:space="preserve">En todo su desarrollo poseerá una anchura libre de paso no inferior a 1,80 m, que garantice el giro, cruce y cambio de dirección de </w:t>
      </w:r>
      <w:r>
        <w:rPr>
          <w:i/>
        </w:rPr>
        <w:t xml:space="preserve">las personas independientemente de sus características o modo de desplazamiento. </w:t>
      </w:r>
    </w:p>
    <w:p w:rsidR="00B064CF" w:rsidRDefault="00E32F70">
      <w:pPr>
        <w:spacing w:after="0" w:line="259" w:lineRule="auto"/>
        <w:ind w:left="360" w:firstLine="0"/>
        <w:jc w:val="left"/>
      </w:pPr>
      <w:r>
        <w:rPr>
          <w:i/>
        </w:rPr>
        <w:t xml:space="preserve"> </w:t>
      </w:r>
    </w:p>
    <w:p w:rsidR="00B064CF" w:rsidRDefault="00E32F70">
      <w:pPr>
        <w:numPr>
          <w:ilvl w:val="0"/>
          <w:numId w:val="31"/>
        </w:numPr>
        <w:spacing w:after="4"/>
        <w:ind w:right="144" w:hanging="259"/>
      </w:pPr>
      <w:r>
        <w:rPr>
          <w:i/>
        </w:rPr>
        <w:t xml:space="preserve">En todo su desarrollo poseerá una altura libre de paso no inferior a 2,20 m. </w:t>
      </w:r>
    </w:p>
    <w:p w:rsidR="00B064CF" w:rsidRDefault="00E32F70">
      <w:pPr>
        <w:spacing w:after="0" w:line="259" w:lineRule="auto"/>
        <w:ind w:left="360" w:firstLine="0"/>
        <w:jc w:val="left"/>
      </w:pPr>
      <w:r>
        <w:rPr>
          <w:i/>
        </w:rPr>
        <w:t xml:space="preserve"> </w:t>
      </w:r>
    </w:p>
    <w:p w:rsidR="00B064CF" w:rsidRDefault="00E32F70">
      <w:pPr>
        <w:numPr>
          <w:ilvl w:val="0"/>
          <w:numId w:val="31"/>
        </w:numPr>
        <w:spacing w:after="4"/>
        <w:ind w:right="144" w:hanging="259"/>
      </w:pPr>
      <w:r>
        <w:rPr>
          <w:i/>
        </w:rPr>
        <w:t xml:space="preserve">No presentará escalones aislados ni resaltes. </w:t>
      </w:r>
    </w:p>
    <w:p w:rsidR="00B064CF" w:rsidRDefault="00E32F70">
      <w:pPr>
        <w:spacing w:after="0" w:line="259" w:lineRule="auto"/>
        <w:ind w:left="360" w:firstLine="0"/>
        <w:jc w:val="left"/>
      </w:pPr>
      <w:r>
        <w:rPr>
          <w:i/>
        </w:rPr>
        <w:t xml:space="preserve"> </w:t>
      </w:r>
    </w:p>
    <w:p w:rsidR="00B064CF" w:rsidRDefault="00E32F70">
      <w:pPr>
        <w:numPr>
          <w:ilvl w:val="0"/>
          <w:numId w:val="31"/>
        </w:numPr>
        <w:spacing w:after="1" w:line="239" w:lineRule="auto"/>
        <w:ind w:right="144" w:hanging="259"/>
      </w:pPr>
      <w:r>
        <w:rPr>
          <w:i/>
        </w:rPr>
        <w:t xml:space="preserve">Los desniveles serán salvados de acuerdo con las características establecidas en los artículos 14, 15, 16 y 17. </w:t>
      </w:r>
    </w:p>
    <w:p w:rsidR="00B064CF" w:rsidRDefault="00E32F70">
      <w:pPr>
        <w:numPr>
          <w:ilvl w:val="0"/>
          <w:numId w:val="31"/>
        </w:numPr>
        <w:spacing w:after="109"/>
        <w:ind w:right="144" w:hanging="259"/>
      </w:pPr>
      <w:r>
        <w:rPr>
          <w:i/>
        </w:rPr>
        <w:t>Su pavimentación reunirá las características definidas en el artículo 11.</w:t>
      </w:r>
      <w:r>
        <w:t xml:space="preserve"> </w:t>
      </w:r>
    </w:p>
    <w:p w:rsidR="00B064CF" w:rsidRDefault="00E32F70">
      <w:pPr>
        <w:numPr>
          <w:ilvl w:val="0"/>
          <w:numId w:val="31"/>
        </w:numPr>
        <w:spacing w:after="4"/>
        <w:ind w:right="144" w:hanging="259"/>
      </w:pPr>
      <w:r>
        <w:rPr>
          <w:i/>
        </w:rPr>
        <w:t xml:space="preserve">La pendiente transversal máxima será del 2%. </w:t>
      </w:r>
    </w:p>
    <w:p w:rsidR="00B064CF" w:rsidRDefault="00E32F70">
      <w:pPr>
        <w:spacing w:after="0" w:line="259" w:lineRule="auto"/>
        <w:ind w:left="360" w:firstLine="0"/>
        <w:jc w:val="left"/>
      </w:pPr>
      <w:r>
        <w:rPr>
          <w:i/>
        </w:rPr>
        <w:t xml:space="preserve"> </w:t>
      </w:r>
    </w:p>
    <w:p w:rsidR="00B064CF" w:rsidRDefault="00E32F70">
      <w:pPr>
        <w:numPr>
          <w:ilvl w:val="0"/>
          <w:numId w:val="31"/>
        </w:numPr>
        <w:spacing w:after="4"/>
        <w:ind w:right="144" w:hanging="259"/>
      </w:pPr>
      <w:r>
        <w:rPr>
          <w:i/>
        </w:rPr>
        <w:t>La pendiente longitu</w:t>
      </w:r>
      <w:r>
        <w:rPr>
          <w:i/>
        </w:rPr>
        <w:t xml:space="preserve">dinal máxima será del 6%. </w:t>
      </w:r>
    </w:p>
    <w:p w:rsidR="00B064CF" w:rsidRDefault="00E32F70">
      <w:pPr>
        <w:numPr>
          <w:ilvl w:val="0"/>
          <w:numId w:val="31"/>
        </w:numPr>
        <w:spacing w:after="4"/>
        <w:ind w:right="144" w:hanging="259"/>
      </w:pPr>
      <w:r>
        <w:rPr>
          <w:i/>
        </w:rPr>
        <w:t xml:space="preserve">En todo su desarrollo dispondrá de un nivel mínimo de iluminación de 20 luxes, proyectada de forma homogénea, evitándose el deslumbramiento. </w:t>
      </w:r>
    </w:p>
    <w:p w:rsidR="00B064CF" w:rsidRDefault="00E32F70">
      <w:pPr>
        <w:numPr>
          <w:ilvl w:val="0"/>
          <w:numId w:val="31"/>
        </w:numPr>
        <w:spacing w:after="4"/>
        <w:ind w:right="144" w:hanging="259"/>
      </w:pPr>
      <w:r>
        <w:rPr>
          <w:i/>
        </w:rPr>
        <w:t>Dispondrá de una correcta señalización y comunicación siguiendo las condiciones</w:t>
      </w:r>
      <w:r>
        <w:t xml:space="preserve"> estable</w:t>
      </w:r>
      <w:r>
        <w:t>cidas en el capítulo</w:t>
      </w:r>
      <w:r>
        <w:rPr>
          <w:rFonts w:ascii="Times New Roman" w:eastAsia="Times New Roman" w:hAnsi="Times New Roman" w:cs="Times New Roman"/>
          <w:sz w:val="24"/>
        </w:rPr>
        <w:t xml:space="preserve"> </w:t>
      </w:r>
      <w:r>
        <w:rPr>
          <w:u w:val="single" w:color="000000"/>
        </w:rPr>
        <w:t>XI&gt;&gt;.</w:t>
      </w:r>
      <w:r>
        <w:t xml:space="preserve"> </w:t>
      </w:r>
    </w:p>
    <w:p w:rsidR="00B064CF" w:rsidRDefault="00E32F70">
      <w:pPr>
        <w:spacing w:after="1" w:line="239" w:lineRule="auto"/>
        <w:ind w:left="355" w:right="132"/>
      </w:pPr>
      <w:r>
        <w:rPr>
          <w:rFonts w:ascii="Calibri" w:eastAsia="Calibri" w:hAnsi="Calibri" w:cs="Calibri"/>
          <w:noProof/>
        </w:rPr>
        <mc:AlternateContent>
          <mc:Choice Requires="wpg">
            <w:drawing>
              <wp:anchor distT="0" distB="0" distL="114300" distR="114300" simplePos="0" relativeHeight="25178521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89732" name="Group 389732"/>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5724" name="Rectangle 25724"/>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5725" name="Rectangle 25725"/>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121 de 298 </w:t>
                              </w:r>
                            </w:p>
                          </w:txbxContent>
                        </wps:txbx>
                        <wps:bodyPr horzOverflow="overflow" vert="horz" lIns="0" tIns="0" rIns="0" bIns="0" rtlCol="0">
                          <a:noAutofit/>
                        </wps:bodyPr>
                      </wps:wsp>
                    </wpg:wgp>
                  </a:graphicData>
                </a:graphic>
              </wp:anchor>
            </w:drawing>
          </mc:Choice>
          <mc:Fallback xmlns:a="http://schemas.openxmlformats.org/drawingml/2006/main">
            <w:pict>
              <v:group id="Group 389732" style="width:12.7031pt;height:278.91pt;position:absolute;mso-position-horizontal-relative:page;mso-position-horizontal:absolute;margin-left:682.278pt;mso-position-vertical-relative:page;margin-top:533.01pt;" coordsize="1613,35421">
                <v:rect id="Rectangle 25724"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5725"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121 de 298 </w:t>
                        </w:r>
                      </w:p>
                    </w:txbxContent>
                  </v:textbox>
                </v:rect>
                <w10:wrap type="square"/>
              </v:group>
            </w:pict>
          </mc:Fallback>
        </mc:AlternateContent>
      </w:r>
      <w:r>
        <w:rPr>
          <w:b/>
          <w:i/>
          <w:u w:val="single" w:color="000000"/>
        </w:rPr>
        <w:t>Pues bien, parece olvidarse por el Ayuntamiento recurrido que el requisito contemplado en</w:t>
      </w:r>
      <w:r>
        <w:rPr>
          <w:b/>
          <w:i/>
        </w:rPr>
        <w:t xml:space="preserve"> </w:t>
      </w:r>
      <w:r>
        <w:rPr>
          <w:b/>
          <w:i/>
          <w:u w:val="single" w:color="000000"/>
        </w:rPr>
        <w:t>la letra a) tiene por finalidad que un invidente pueda en su deambular orientarse con la línea</w:t>
      </w:r>
      <w:r>
        <w:rPr>
          <w:b/>
          <w:i/>
        </w:rPr>
        <w:t xml:space="preserve"> </w:t>
      </w:r>
      <w:r>
        <w:rPr>
          <w:b/>
          <w:i/>
          <w:u w:val="single" w:color="000000"/>
        </w:rPr>
        <w:t xml:space="preserve">de fachada o elemento horizontal que materialice físicamente el límite </w:t>
      </w:r>
      <w:r>
        <w:rPr>
          <w:b/>
          <w:i/>
          <w:u w:val="single" w:color="000000"/>
        </w:rPr>
        <w:t>edificado a nivel del</w:t>
      </w:r>
      <w:r>
        <w:rPr>
          <w:b/>
          <w:i/>
        </w:rPr>
        <w:t xml:space="preserve"> </w:t>
      </w:r>
      <w:r>
        <w:rPr>
          <w:b/>
          <w:i/>
          <w:u w:val="single" w:color="000000"/>
        </w:rPr>
        <w:t>suelo. Al efecto, haciendo un inciso, parece oportuno constatar una realidad fácilmente comprobable en nuestras ciudades, cual es la de cómo los invidentes pretenden orientarse con</w:t>
      </w:r>
      <w:r>
        <w:rPr>
          <w:b/>
          <w:i/>
        </w:rPr>
        <w:t xml:space="preserve"> </w:t>
      </w:r>
      <w:r>
        <w:rPr>
          <w:b/>
          <w:i/>
          <w:u w:val="single" w:color="000000"/>
        </w:rPr>
        <w:t>su bastón, por razones evidentes de seguridad, siguie</w:t>
      </w:r>
      <w:r>
        <w:rPr>
          <w:b/>
          <w:i/>
          <w:u w:val="single" w:color="000000"/>
        </w:rPr>
        <w:t>ndo la línea de fachada de las edificaciones o el elemento horizontal de mención.</w:t>
      </w:r>
      <w:r>
        <w:rPr>
          <w:b/>
          <w:i/>
        </w:rPr>
        <w:t xml:space="preserve"> </w:t>
      </w:r>
    </w:p>
    <w:p w:rsidR="00B064CF" w:rsidRDefault="00E32F70">
      <w:pPr>
        <w:spacing w:after="0" w:line="259" w:lineRule="auto"/>
        <w:ind w:left="360" w:firstLine="0"/>
        <w:jc w:val="left"/>
      </w:pPr>
      <w:r>
        <w:rPr>
          <w:i/>
        </w:rPr>
        <w:t xml:space="preserve"> </w:t>
      </w:r>
    </w:p>
    <w:p w:rsidR="00B064CF" w:rsidRDefault="00E32F70">
      <w:pPr>
        <w:spacing w:after="1" w:line="239" w:lineRule="auto"/>
        <w:ind w:left="355" w:right="127"/>
      </w:pPr>
      <w:r>
        <w:rPr>
          <w:i/>
          <w:u w:val="single" w:color="000000"/>
        </w:rPr>
        <w:t>Y es que siendo ello así, ninguna duda debe ofrecer que la ocupación del espacio inmediato a esa</w:t>
      </w:r>
      <w:r>
        <w:rPr>
          <w:i/>
        </w:rPr>
        <w:t xml:space="preserve"> </w:t>
      </w:r>
      <w:r>
        <w:rPr>
          <w:i/>
          <w:u w:val="single" w:color="000000"/>
        </w:rPr>
        <w:t>línea de fachada o de la correspondiente a ese elemento horizontal, supone</w:t>
      </w:r>
      <w:r>
        <w:rPr>
          <w:i/>
          <w:u w:val="single" w:color="000000"/>
        </w:rPr>
        <w:t xml:space="preserve"> un obstáculo para</w:t>
      </w:r>
      <w:r>
        <w:rPr>
          <w:i/>
        </w:rPr>
        <w:t xml:space="preserve"> </w:t>
      </w:r>
      <w:r>
        <w:rPr>
          <w:i/>
          <w:u w:val="single" w:color="000000"/>
        </w:rPr>
        <w:t>quien siendo invidente no puede tomar como referencia la línea de fachada o elemento horizontal</w:t>
      </w:r>
      <w:r>
        <w:rPr>
          <w:i/>
        </w:rPr>
        <w:t xml:space="preserve"> </w:t>
      </w:r>
      <w:r>
        <w:rPr>
          <w:i/>
          <w:u w:val="single" w:color="000000"/>
        </w:rPr>
        <w:t>y, en definitiva, una limitación de su derecho de movilidad por los espacios públicos cuales son las</w:t>
      </w:r>
      <w:r>
        <w:rPr>
          <w:i/>
        </w:rPr>
        <w:t xml:space="preserve"> </w:t>
      </w:r>
      <w:r>
        <w:rPr>
          <w:i/>
          <w:u w:val="single" w:color="000000"/>
        </w:rPr>
        <w:t>aceras.</w:t>
      </w:r>
      <w:r>
        <w:rPr>
          <w:i/>
        </w:rPr>
        <w:t xml:space="preserve"> </w:t>
      </w:r>
    </w:p>
    <w:p w:rsidR="00B064CF" w:rsidRDefault="00E32F70">
      <w:pPr>
        <w:spacing w:after="0" w:line="259" w:lineRule="auto"/>
        <w:ind w:left="360" w:firstLine="0"/>
        <w:jc w:val="left"/>
      </w:pPr>
      <w:r>
        <w:rPr>
          <w:i/>
        </w:rPr>
        <w:t xml:space="preserve"> </w:t>
      </w:r>
    </w:p>
    <w:p w:rsidR="00B064CF" w:rsidRDefault="00E32F70">
      <w:pPr>
        <w:spacing w:after="1" w:line="239" w:lineRule="auto"/>
        <w:ind w:left="355" w:right="130"/>
        <w:jc w:val="left"/>
      </w:pPr>
      <w:r>
        <w:rPr>
          <w:i/>
        </w:rPr>
        <w:t>Esa limitación u obstáculo es</w:t>
      </w:r>
      <w:r>
        <w:rPr>
          <w:i/>
        </w:rPr>
        <w:t xml:space="preserve"> lo que se origina con la ordenanza impugnada cuando en su artículo 63 permite autorizar la instalación en aceras de terrazas pegadas a la alineación de fachadas (artículo 63.b).i)), cuando para calles peatonales o de acceso restringido se contempla la ins</w:t>
      </w:r>
      <w:r>
        <w:rPr>
          <w:i/>
        </w:rPr>
        <w:t>talación de terrazas adosadas a fachadas o pegadas a la alienación de ellas (artículo 63.b).i).), o cuando en el artículo 65 se contemplan diversos modelos de terrazas en posición interior, en aceras o en calles peatonales, parques, plazas o bulevares (art</w:t>
      </w:r>
      <w:r>
        <w:rPr>
          <w:i/>
        </w:rPr>
        <w:t xml:space="preserve">ículo 65.1.1.a) y 2). </w:t>
      </w:r>
    </w:p>
    <w:p w:rsidR="00B064CF" w:rsidRDefault="00E32F70">
      <w:pPr>
        <w:spacing w:after="0" w:line="259" w:lineRule="auto"/>
        <w:ind w:left="360" w:firstLine="0"/>
        <w:jc w:val="left"/>
      </w:pPr>
      <w:r>
        <w:rPr>
          <w:i/>
        </w:rPr>
        <w:t xml:space="preserve"> </w:t>
      </w:r>
    </w:p>
    <w:p w:rsidR="00B064CF" w:rsidRDefault="00E32F70">
      <w:pPr>
        <w:spacing w:after="4"/>
        <w:ind w:left="355" w:right="144"/>
      </w:pPr>
      <w:r>
        <w:rPr>
          <w:i/>
        </w:rPr>
        <w:t>Conviene advertir que la circunstancia de que se atribuya en la ordenanza a los servicios técnicos municipales la decisión de la instalación en aceras de terrazas en posición interior o exterior (artículo 63.1.b).iii) o en calles peatonales o de acceso rod</w:t>
      </w:r>
      <w:r>
        <w:rPr>
          <w:i/>
        </w:rPr>
        <w:t>ado restringido (art. 63.1.b).iii), o de la que se atribuya también a dichos servicios la decisión del modelo de terraza (art. 65.2), para nada impide que, de conformidad con lo hasta aquí expuesto, concluyamos que los artículos 63 y 65, en cuanto contempl</w:t>
      </w:r>
      <w:r>
        <w:rPr>
          <w:i/>
        </w:rPr>
        <w:t xml:space="preserve">an autorizaciones de las llamadas terrazas interiores, infringen la normativa estatal de aplicación y que por ello deben anularse. </w:t>
      </w:r>
    </w:p>
    <w:p w:rsidR="00B064CF" w:rsidRDefault="00E32F70">
      <w:pPr>
        <w:spacing w:after="0" w:line="259" w:lineRule="auto"/>
        <w:ind w:left="360" w:firstLine="0"/>
        <w:jc w:val="left"/>
      </w:pPr>
      <w:r>
        <w:t xml:space="preserve"> </w:t>
      </w:r>
    </w:p>
    <w:p w:rsidR="00B064CF" w:rsidRDefault="00E32F70">
      <w:pPr>
        <w:spacing w:after="4"/>
        <w:ind w:left="355" w:right="144"/>
      </w:pPr>
      <w:r>
        <w:rPr>
          <w:i/>
        </w:rPr>
        <w:t xml:space="preserve">Solo nos resta añadir que la referencia en la sentencia recurrida a la extensión y complejidad de la Orden ministerial no </w:t>
      </w:r>
      <w:r>
        <w:rPr>
          <w:i/>
        </w:rPr>
        <w:t>es motivo para la desestimación de la impugnación ejercitada por la asociación recurrente, como no lo es tampoco la abstracta y desnuda mención a prioridades y excepciones, nunca concretadas, máxime cuando además de omitirse toda consideración sobre las te</w:t>
      </w:r>
      <w:r>
        <w:rPr>
          <w:i/>
        </w:rPr>
        <w:t>rrazas interiores, centrándose exclusivamente la sala a quo en el ancho del itinerario peatonal accesible, no repara en que nos encontramos ante la protección de un derecho fundamental y sensible”.</w:t>
      </w:r>
      <w:r>
        <w:rPr>
          <w:rFonts w:ascii="Times New Roman" w:eastAsia="Times New Roman" w:hAnsi="Times New Roman" w:cs="Times New Roman"/>
          <w:sz w:val="24"/>
        </w:rPr>
        <w:t xml:space="preserve"> </w:t>
      </w:r>
    </w:p>
    <w:p w:rsidR="00B064CF" w:rsidRDefault="00E32F70">
      <w:pPr>
        <w:spacing w:after="98" w:line="259" w:lineRule="auto"/>
        <w:ind w:left="720" w:firstLine="0"/>
        <w:jc w:val="left"/>
      </w:pPr>
      <w:r>
        <w:rPr>
          <w:b/>
        </w:rPr>
        <w:t xml:space="preserve"> </w:t>
      </w:r>
    </w:p>
    <w:p w:rsidR="00B064CF" w:rsidRDefault="00E32F70">
      <w:pPr>
        <w:spacing w:after="176"/>
        <w:ind w:left="345" w:right="142" w:firstLine="360"/>
      </w:pPr>
      <w:r>
        <w:rPr>
          <w:b/>
        </w:rPr>
        <w:t>Noveno. - Es de aplicación el artículo 20 del Texto Ref</w:t>
      </w:r>
      <w:r>
        <w:rPr>
          <w:b/>
        </w:rPr>
        <w:t xml:space="preserve">undido de la Ley Reguladora de las Haciendas Locales aprobado por Real Decreto Legislativo 2/2004, de 5 de marzo, que establece:  </w:t>
      </w:r>
    </w:p>
    <w:p w:rsidR="00B064CF" w:rsidRDefault="00E32F70">
      <w:pPr>
        <w:spacing w:after="172"/>
        <w:ind w:left="345" w:right="144" w:firstLine="360"/>
      </w:pPr>
      <w:r>
        <w:rPr>
          <w:i/>
        </w:rPr>
        <w:t xml:space="preserve">En todo caso, tendrán la consideración de tasas las prestaciones patrimoniales que establezcan las entidades locales por: </w:t>
      </w:r>
    </w:p>
    <w:p w:rsidR="00B064CF" w:rsidRDefault="00E32F70">
      <w:pPr>
        <w:spacing w:after="169"/>
        <w:ind w:left="730" w:right="144"/>
      </w:pPr>
      <w:r>
        <w:rPr>
          <w:i/>
        </w:rPr>
        <w:t xml:space="preserve">A) La utilización privativa o el aprovechamiento especial del dominio público local. </w:t>
      </w:r>
    </w:p>
    <w:p w:rsidR="00B064CF" w:rsidRDefault="00E32F70">
      <w:pPr>
        <w:spacing w:after="112"/>
        <w:ind w:left="345" w:right="143" w:firstLine="360"/>
      </w:pPr>
      <w:r>
        <w:rPr>
          <w:rFonts w:ascii="Calibri" w:eastAsia="Calibri" w:hAnsi="Calibri" w:cs="Calibri"/>
          <w:noProof/>
        </w:rPr>
        <mc:AlternateContent>
          <mc:Choice Requires="wpg">
            <w:drawing>
              <wp:anchor distT="0" distB="0" distL="114300" distR="114300" simplePos="0" relativeHeight="25178624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89666" name="Group 389666"/>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5834" name="Rectangle 25834"/>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5835" name="Rectangle 25835"/>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Documento firmado electrónicamente desde la plataforma esPublico Ge</w:t>
                              </w:r>
                              <w:r>
                                <w:rPr>
                                  <w:sz w:val="12"/>
                                </w:rPr>
                                <w:t xml:space="preserve">stiona | Página 122 de 298 </w:t>
                              </w:r>
                            </w:p>
                          </w:txbxContent>
                        </wps:txbx>
                        <wps:bodyPr horzOverflow="overflow" vert="horz" lIns="0" tIns="0" rIns="0" bIns="0" rtlCol="0">
                          <a:noAutofit/>
                        </wps:bodyPr>
                      </wps:wsp>
                    </wpg:wgp>
                  </a:graphicData>
                </a:graphic>
              </wp:anchor>
            </w:drawing>
          </mc:Choice>
          <mc:Fallback xmlns:a="http://schemas.openxmlformats.org/drawingml/2006/main">
            <w:pict>
              <v:group id="Group 389666" style="width:12.7031pt;height:278.91pt;position:absolute;mso-position-horizontal-relative:page;mso-position-horizontal:absolute;margin-left:682.278pt;mso-position-vertical-relative:page;margin-top:533.01pt;" coordsize="1613,35421">
                <v:rect id="Rectangle 25834"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5835"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122 de 298 </w:t>
                        </w:r>
                      </w:p>
                    </w:txbxContent>
                  </v:textbox>
                </v:rect>
                <w10:wrap type="square"/>
              </v:group>
            </w:pict>
          </mc:Fallback>
        </mc:AlternateContent>
      </w:r>
      <w:r>
        <w:rPr>
          <w:b/>
        </w:rPr>
        <w:t>Es de aplicación en el mismo sentido la Ordenanza fiscal reguladora de la tasa por ocupación de terrenos de uso público con mesas y sillas con finalidad lucrativa e instalación de kioskos en la vía pública publicada en el BOP de</w:t>
      </w:r>
      <w:r>
        <w:rPr>
          <w:b/>
        </w:rPr>
        <w:t xml:space="preserve"> fecha 29 de diciembre de 2005 que obliga al Ayuntamiento de Candelaria a cobrar tasa por el uso de dominio público ( salvo en los años 2021 y 2022 que el Pleno según informe del Tesorero y acuerdo del pleno del año 2020 ha habido una exención de la misma </w:t>
      </w:r>
      <w:r>
        <w:rPr>
          <w:b/>
        </w:rPr>
        <w:t xml:space="preserve">por el covid-19). </w:t>
      </w:r>
    </w:p>
    <w:p w:rsidR="00B064CF" w:rsidRDefault="00E32F70">
      <w:pPr>
        <w:spacing w:after="100" w:line="259" w:lineRule="auto"/>
        <w:ind w:left="720" w:firstLine="0"/>
        <w:jc w:val="left"/>
      </w:pPr>
      <w:r>
        <w:rPr>
          <w:b/>
        </w:rPr>
        <w:t xml:space="preserve"> </w:t>
      </w:r>
    </w:p>
    <w:p w:rsidR="00B064CF" w:rsidRDefault="00E32F70">
      <w:pPr>
        <w:spacing w:after="174"/>
        <w:ind w:left="345" w:right="68" w:firstLine="360"/>
      </w:pPr>
      <w:r>
        <w:rPr>
          <w:b/>
        </w:rPr>
        <w:t xml:space="preserve">Décimo. - Es de aplicación el artículo 7 de la ley 49/1960, de 21 de julio, sobre propiedad horizontal que establece: </w:t>
      </w:r>
    </w:p>
    <w:p w:rsidR="00B064CF" w:rsidRDefault="00E32F70">
      <w:pPr>
        <w:spacing w:after="172"/>
        <w:ind w:left="345" w:right="144" w:firstLine="360"/>
      </w:pPr>
      <w:r>
        <w:rPr>
          <w:i/>
        </w:rPr>
        <w:t xml:space="preserve"> El propietario de cada piso o local podrá modificar los elementos arquitectónicos, instalaciones o servicios de aqu</w:t>
      </w:r>
      <w:r>
        <w:rPr>
          <w:i/>
        </w:rPr>
        <w:t xml:space="preserve">él cuando no menoscabe o altere la seguridad del edificio, su estructura general, su configuración o estado exteriores, o perjudique los derechos de otro propietario, debiendo dar cuenta de tales obras previamente a quien represente a la comunidad. </w:t>
      </w:r>
    </w:p>
    <w:p w:rsidR="00B064CF" w:rsidRDefault="00E32F70">
      <w:pPr>
        <w:spacing w:after="174"/>
        <w:ind w:left="345" w:right="144" w:firstLine="360"/>
      </w:pPr>
      <w:r>
        <w:rPr>
          <w:i/>
        </w:rPr>
        <w:t xml:space="preserve">En el </w:t>
      </w:r>
      <w:r>
        <w:rPr>
          <w:i/>
        </w:rPr>
        <w:t xml:space="preserve">resto del inmueble no podrá realizar alteración alguna y si advirtiere la necesidad de reparaciones urgentes deberá comunicarlo sin dilación al administrador. </w:t>
      </w:r>
    </w:p>
    <w:p w:rsidR="00B064CF" w:rsidRDefault="00E32F70">
      <w:pPr>
        <w:spacing w:after="154"/>
        <w:ind w:left="345" w:right="144" w:firstLine="360"/>
      </w:pPr>
      <w:r>
        <w:rPr>
          <w:i/>
        </w:rPr>
        <w:t>2. Al propietario y al ocupante del piso o local no les está permitido desarrollar en él o en el</w:t>
      </w:r>
      <w:r>
        <w:rPr>
          <w:i/>
        </w:rPr>
        <w:t xml:space="preserve"> resto del inmueble actividades prohibidas en los estatutos, que resulten dañosas para la finca o que contravengan las disposiciones generales sobre actividades molestas, insalubres, nocivas, peligrosas o ilícitas</w:t>
      </w:r>
      <w:r>
        <w:t>.</w:t>
      </w:r>
      <w:r>
        <w:rPr>
          <w:rFonts w:ascii="Times New Roman" w:eastAsia="Times New Roman" w:hAnsi="Times New Roman" w:cs="Times New Roman"/>
          <w:sz w:val="24"/>
        </w:rPr>
        <w:t xml:space="preserve"> </w:t>
      </w:r>
    </w:p>
    <w:p w:rsidR="00B064CF" w:rsidRDefault="00E32F70">
      <w:pPr>
        <w:spacing w:after="98" w:line="259" w:lineRule="auto"/>
        <w:ind w:left="720" w:firstLine="0"/>
        <w:jc w:val="left"/>
      </w:pPr>
      <w:r>
        <w:rPr>
          <w:b/>
        </w:rPr>
        <w:t xml:space="preserve"> </w:t>
      </w:r>
    </w:p>
    <w:p w:rsidR="00B064CF" w:rsidRDefault="00E32F70">
      <w:pPr>
        <w:spacing w:after="4" w:line="353" w:lineRule="auto"/>
        <w:ind w:left="345" w:right="150" w:firstLine="360"/>
      </w:pPr>
      <w:r>
        <w:rPr>
          <w:b/>
        </w:rPr>
        <w:t xml:space="preserve">Undécimo. - </w:t>
      </w:r>
      <w:r>
        <w:rPr>
          <w:b/>
        </w:rPr>
        <w:t xml:space="preserve">Es de aplicación el artículo 49 de la Ley de Bases del Régimen local que regula el procedimiento de aprobación de un reglamento u ordenanza: </w:t>
      </w:r>
      <w:r>
        <w:rPr>
          <w:i/>
        </w:rPr>
        <w:t>La aprobación de las Ordenanzas locales se ajustará al siguiente procedimiento: a) Aprobación inicial por el Pleno.</w:t>
      </w:r>
      <w:r>
        <w:rPr>
          <w:i/>
        </w:rPr>
        <w:t xml:space="preserve"> </w:t>
      </w:r>
    </w:p>
    <w:p w:rsidR="00B064CF" w:rsidRDefault="00E32F70">
      <w:pPr>
        <w:numPr>
          <w:ilvl w:val="0"/>
          <w:numId w:val="32"/>
        </w:numPr>
        <w:spacing w:after="9" w:line="250" w:lineRule="auto"/>
        <w:ind w:right="132" w:hanging="257"/>
        <w:jc w:val="right"/>
      </w:pPr>
      <w:r>
        <w:rPr>
          <w:i/>
        </w:rPr>
        <w:t xml:space="preserve">Información pública y audiencia a los interesados por el plazo mínimo de treinta días para la </w:t>
      </w:r>
    </w:p>
    <w:p w:rsidR="00B064CF" w:rsidRDefault="00E32F70">
      <w:pPr>
        <w:spacing w:after="169"/>
        <w:ind w:left="355" w:right="144"/>
      </w:pPr>
      <w:r>
        <w:rPr>
          <w:i/>
        </w:rPr>
        <w:t xml:space="preserve">presentación de reclamaciones y sugerencias. </w:t>
      </w:r>
    </w:p>
    <w:p w:rsidR="00B064CF" w:rsidRDefault="00E32F70">
      <w:pPr>
        <w:numPr>
          <w:ilvl w:val="0"/>
          <w:numId w:val="32"/>
        </w:numPr>
        <w:spacing w:after="9" w:line="250" w:lineRule="auto"/>
        <w:ind w:right="132" w:hanging="257"/>
        <w:jc w:val="right"/>
      </w:pPr>
      <w:r>
        <w:rPr>
          <w:i/>
        </w:rPr>
        <w:t>Resolución de todas las reclamaciones y sugerencias presentadas dentro del plazo y apro-</w:t>
      </w:r>
    </w:p>
    <w:p w:rsidR="00B064CF" w:rsidRDefault="00E32F70">
      <w:pPr>
        <w:spacing w:after="171"/>
        <w:ind w:left="355" w:right="144"/>
      </w:pPr>
      <w:r>
        <w:rPr>
          <w:i/>
        </w:rPr>
        <w:t>bación definitiva por el</w:t>
      </w:r>
      <w:r>
        <w:rPr>
          <w:i/>
        </w:rPr>
        <w:t xml:space="preserve"> Pleno. </w:t>
      </w:r>
    </w:p>
    <w:p w:rsidR="00B064CF" w:rsidRDefault="00E32F70">
      <w:pPr>
        <w:spacing w:after="172"/>
        <w:ind w:left="345" w:right="144" w:firstLine="360"/>
      </w:pPr>
      <w:r>
        <w:rPr>
          <w:i/>
        </w:rPr>
        <w:t xml:space="preserve">En el caso de que no se hubiera presentado ninguna reclamación o sugerencia, se entenderá definitivamente adoptado el acuerdo hasta entonces provisional. </w:t>
      </w:r>
    </w:p>
    <w:p w:rsidR="00B064CF" w:rsidRDefault="00E32F70">
      <w:pPr>
        <w:spacing w:after="98" w:line="259" w:lineRule="auto"/>
        <w:ind w:left="720" w:firstLine="0"/>
        <w:jc w:val="left"/>
      </w:pPr>
      <w:r>
        <w:rPr>
          <w:b/>
        </w:rPr>
        <w:t xml:space="preserve"> </w:t>
      </w:r>
    </w:p>
    <w:p w:rsidR="00B064CF" w:rsidRDefault="00E32F70">
      <w:pPr>
        <w:spacing w:after="111"/>
        <w:ind w:left="730" w:right="68"/>
      </w:pPr>
      <w:r>
        <w:rPr>
          <w:b/>
        </w:rPr>
        <w:t xml:space="preserve">Duodécimo. - Preceptos objeto de modificación de la Ordenanza. </w:t>
      </w:r>
    </w:p>
    <w:p w:rsidR="00B064CF" w:rsidRDefault="00E32F70">
      <w:pPr>
        <w:spacing w:after="112"/>
        <w:ind w:left="345" w:right="68" w:firstLine="360"/>
      </w:pPr>
      <w:r>
        <w:rPr>
          <w:b/>
        </w:rPr>
        <w:t>En relación a los mismos y</w:t>
      </w:r>
      <w:r>
        <w:rPr>
          <w:b/>
        </w:rPr>
        <w:t xml:space="preserve"> al informe emitido el día 17 de mayo de 2019 por Secretaría General ya han sido subsanados.  </w:t>
      </w:r>
    </w:p>
    <w:p w:rsidR="00B064CF" w:rsidRDefault="00E32F70">
      <w:pPr>
        <w:spacing w:after="111"/>
        <w:ind w:left="345" w:right="68" w:firstLine="360"/>
      </w:pPr>
      <w:r>
        <w:rPr>
          <w:b/>
        </w:rPr>
        <w:t>Falta por subsanar la mayor amplitud del informe técnico que deberá estar subsanado antes del comienzo de la Comisión Informativa de Urbanismo de fecha 24 de may</w:t>
      </w:r>
      <w:r>
        <w:rPr>
          <w:b/>
        </w:rPr>
        <w:t xml:space="preserve">o de 2021. </w:t>
      </w:r>
    </w:p>
    <w:p w:rsidR="00B064CF" w:rsidRDefault="00E32F70">
      <w:pPr>
        <w:spacing w:after="100" w:line="259" w:lineRule="auto"/>
        <w:ind w:left="360" w:firstLine="0"/>
        <w:jc w:val="left"/>
      </w:pPr>
      <w:r>
        <w:rPr>
          <w:b/>
        </w:rPr>
        <w:t xml:space="preserve"> </w:t>
      </w:r>
    </w:p>
    <w:p w:rsidR="00B064CF" w:rsidRDefault="00E32F70">
      <w:pPr>
        <w:spacing w:after="109"/>
        <w:ind w:left="2497" w:right="68"/>
      </w:pPr>
      <w:r>
        <w:rPr>
          <w:b/>
        </w:rPr>
        <w:t xml:space="preserve">PROPUESTA DE ACUERDO AL PLENO </w:t>
      </w:r>
    </w:p>
    <w:p w:rsidR="00B064CF" w:rsidRDefault="00E32F70">
      <w:pPr>
        <w:spacing w:after="0" w:line="259" w:lineRule="auto"/>
        <w:ind w:left="273" w:firstLine="0"/>
        <w:jc w:val="center"/>
      </w:pPr>
      <w:r>
        <w:rPr>
          <w:b/>
        </w:rPr>
        <w:t xml:space="preserve"> </w:t>
      </w:r>
    </w:p>
    <w:p w:rsidR="00B064CF" w:rsidRDefault="00E32F70">
      <w:pPr>
        <w:spacing w:after="4"/>
        <w:ind w:left="345" w:right="149" w:firstLine="708"/>
      </w:pPr>
      <w:r>
        <w:rPr>
          <w:b/>
        </w:rPr>
        <w:t xml:space="preserve">PRIMERA. - Aprobar inicialmente la Ordenanza Municipal de Ocupación del Dominio Público en el municipio de Candelaria firmada con fecha 19 de mayo de 2021 por el Arquitecto Técnico </w:t>
      </w:r>
      <w:r>
        <w:rPr>
          <w:b/>
        </w:rPr>
        <w:t xml:space="preserve">y la Técnico de Administración General: </w:t>
      </w:r>
    </w:p>
    <w:p w:rsidR="00B064CF" w:rsidRDefault="00E32F70">
      <w:pPr>
        <w:spacing w:after="0" w:line="259" w:lineRule="auto"/>
        <w:ind w:left="1068" w:firstLine="0"/>
        <w:jc w:val="left"/>
      </w:pPr>
      <w:r>
        <w:rPr>
          <w:b/>
        </w:rPr>
        <w:t xml:space="preserve"> </w:t>
      </w:r>
    </w:p>
    <w:p w:rsidR="00B064CF" w:rsidRDefault="00E32F70">
      <w:pPr>
        <w:spacing w:after="0" w:line="259" w:lineRule="auto"/>
        <w:ind w:left="1068" w:firstLine="0"/>
        <w:jc w:val="left"/>
      </w:pPr>
      <w:r>
        <w:rPr>
          <w:rFonts w:ascii="Calibri" w:eastAsia="Calibri" w:hAnsi="Calibri" w:cs="Calibri"/>
          <w:noProof/>
        </w:rPr>
        <mc:AlternateContent>
          <mc:Choice Requires="wpg">
            <w:drawing>
              <wp:anchor distT="0" distB="0" distL="114300" distR="114300" simplePos="0" relativeHeight="25178726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89814" name="Group 389814"/>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5944" name="Rectangle 25944"/>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5945" name="Rectangle 25945"/>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123 de 298 </w:t>
                              </w:r>
                            </w:p>
                          </w:txbxContent>
                        </wps:txbx>
                        <wps:bodyPr horzOverflow="overflow" vert="horz" lIns="0" tIns="0" rIns="0" bIns="0" rtlCol="0">
                          <a:noAutofit/>
                        </wps:bodyPr>
                      </wps:wsp>
                    </wpg:wgp>
                  </a:graphicData>
                </a:graphic>
              </wp:anchor>
            </w:drawing>
          </mc:Choice>
          <mc:Fallback xmlns:a="http://schemas.openxmlformats.org/drawingml/2006/main">
            <w:pict>
              <v:group id="Group 389814" style="width:12.7031pt;height:278.91pt;position:absolute;mso-position-horizontal-relative:page;mso-position-horizontal:absolute;margin-left:682.278pt;mso-position-vertical-relative:page;margin-top:533.01pt;" coordsize="1613,35421">
                <v:rect id="Rectangle 25944"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5945"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123 de 298 </w:t>
                        </w:r>
                      </w:p>
                    </w:txbxContent>
                  </v:textbox>
                </v:rect>
                <w10:wrap type="square"/>
              </v:group>
            </w:pict>
          </mc:Fallback>
        </mc:AlternateContent>
      </w:r>
      <w:r>
        <w:rPr>
          <w:b/>
        </w:rPr>
        <w:t xml:space="preserve"> </w:t>
      </w:r>
    </w:p>
    <w:p w:rsidR="00B064CF" w:rsidRDefault="00E32F70">
      <w:pPr>
        <w:spacing w:after="17" w:line="259" w:lineRule="auto"/>
        <w:ind w:left="360" w:firstLine="0"/>
        <w:jc w:val="left"/>
      </w:pPr>
      <w:r>
        <w:t xml:space="preserve"> </w:t>
      </w:r>
    </w:p>
    <w:p w:rsidR="00B064CF" w:rsidRDefault="00E32F70">
      <w:pPr>
        <w:spacing w:after="13" w:line="250" w:lineRule="auto"/>
        <w:ind w:left="906" w:right="679"/>
        <w:jc w:val="center"/>
      </w:pPr>
      <w:r>
        <w:t xml:space="preserve">“ÍNDICE </w:t>
      </w:r>
    </w:p>
    <w:p w:rsidR="00B064CF" w:rsidRDefault="00E32F70">
      <w:pPr>
        <w:spacing w:after="0" w:line="259" w:lineRule="auto"/>
        <w:ind w:left="273" w:firstLine="0"/>
        <w:jc w:val="center"/>
      </w:pPr>
      <w:r>
        <w:t xml:space="preserve"> </w:t>
      </w:r>
    </w:p>
    <w:p w:rsidR="00B064CF" w:rsidRDefault="00E32F70">
      <w:pPr>
        <w:spacing w:after="10" w:line="249" w:lineRule="auto"/>
        <w:ind w:left="355" w:right="126"/>
      </w:pPr>
      <w:r>
        <w:rPr>
          <w:u w:val="single" w:color="000000"/>
        </w:rPr>
        <w:t>EXPOSICIÓN DE MOTIVOS</w:t>
      </w:r>
      <w:r>
        <w:rPr>
          <w:rFonts w:ascii="Times New Roman" w:eastAsia="Times New Roman" w:hAnsi="Times New Roman" w:cs="Times New Roman"/>
          <w:sz w:val="24"/>
        </w:rPr>
        <w:t xml:space="preserve"> </w:t>
      </w:r>
    </w:p>
    <w:p w:rsidR="00B064CF" w:rsidRDefault="00E32F70">
      <w:pPr>
        <w:spacing w:after="10" w:line="249" w:lineRule="auto"/>
        <w:ind w:left="355" w:right="126"/>
      </w:pPr>
      <w:r>
        <w:rPr>
          <w:u w:val="single" w:color="000000"/>
        </w:rPr>
        <w:t>TÍTULO I. DISPOSICIONES PRELIMINARES</w:t>
      </w:r>
      <w:r>
        <w:t xml:space="preserve"> </w:t>
      </w:r>
    </w:p>
    <w:p w:rsidR="00B064CF" w:rsidRDefault="00E32F70">
      <w:pPr>
        <w:spacing w:after="11"/>
        <w:ind w:left="355" w:right="72"/>
      </w:pPr>
      <w:r>
        <w:t xml:space="preserve">Artículo 1. Objeto </w:t>
      </w:r>
    </w:p>
    <w:p w:rsidR="00B064CF" w:rsidRDefault="00E32F70">
      <w:pPr>
        <w:spacing w:after="11"/>
        <w:ind w:left="355" w:right="72"/>
      </w:pPr>
      <w:r>
        <w:t xml:space="preserve">Artículo 2. Ámbito territorial de aplicación </w:t>
      </w:r>
    </w:p>
    <w:p w:rsidR="00B064CF" w:rsidRDefault="00E32F70">
      <w:pPr>
        <w:spacing w:after="11"/>
        <w:ind w:left="355" w:right="72"/>
      </w:pPr>
      <w:r>
        <w:t xml:space="preserve">Artículo 3. Normativa subsidiaria y concurrencia de regímenes  </w:t>
      </w:r>
    </w:p>
    <w:p w:rsidR="00B064CF" w:rsidRDefault="00E32F70">
      <w:pPr>
        <w:spacing w:after="11"/>
        <w:ind w:left="355" w:right="72"/>
      </w:pPr>
      <w:r>
        <w:t xml:space="preserve">Artículo 4. Efectos </w:t>
      </w:r>
    </w:p>
    <w:p w:rsidR="00B064CF" w:rsidRDefault="00E32F70">
      <w:pPr>
        <w:spacing w:after="11"/>
        <w:ind w:left="355" w:right="72"/>
      </w:pPr>
      <w:r>
        <w:t xml:space="preserve">Artículo 5. Interpretación y aplicación  </w:t>
      </w:r>
    </w:p>
    <w:p w:rsidR="00B064CF" w:rsidRDefault="00E32F70">
      <w:pPr>
        <w:spacing w:after="11"/>
        <w:ind w:left="355" w:right="72"/>
      </w:pPr>
      <w:r>
        <w:t>Ar</w:t>
      </w:r>
      <w:r>
        <w:t xml:space="preserve">tículo 6. Definiciones </w:t>
      </w:r>
    </w:p>
    <w:p w:rsidR="00B064CF" w:rsidRDefault="00E32F70">
      <w:pPr>
        <w:spacing w:after="0" w:line="259" w:lineRule="auto"/>
        <w:ind w:left="360" w:firstLine="0"/>
        <w:jc w:val="left"/>
      </w:pPr>
      <w:r>
        <w:t xml:space="preserve"> </w:t>
      </w:r>
    </w:p>
    <w:p w:rsidR="00B064CF" w:rsidRDefault="00E32F70">
      <w:pPr>
        <w:spacing w:after="10" w:line="249" w:lineRule="auto"/>
        <w:ind w:left="355" w:right="126"/>
      </w:pPr>
      <w:r>
        <w:rPr>
          <w:u w:val="single" w:color="000000"/>
        </w:rPr>
        <w:t>TÍTULO II. DISPOSICIONES GENERALES</w:t>
      </w:r>
      <w:r>
        <w:t xml:space="preserve"> </w:t>
      </w:r>
    </w:p>
    <w:p w:rsidR="00B064CF" w:rsidRDefault="00E32F70">
      <w:pPr>
        <w:spacing w:after="11"/>
        <w:ind w:left="355" w:right="72"/>
      </w:pPr>
      <w:r>
        <w:t xml:space="preserve">CAPÍTULO 1. PRINCIPIOS Y CONDICIONES GENERALES DE LA OCUPACÓN </w:t>
      </w:r>
    </w:p>
    <w:p w:rsidR="00B064CF" w:rsidRDefault="00E32F70">
      <w:pPr>
        <w:spacing w:after="11"/>
        <w:ind w:left="1078" w:right="72"/>
      </w:pPr>
      <w:r>
        <w:t xml:space="preserve">Artículo 7. Principios básicos </w:t>
      </w:r>
    </w:p>
    <w:p w:rsidR="00B064CF" w:rsidRDefault="00E32F70">
      <w:pPr>
        <w:spacing w:after="11"/>
        <w:ind w:left="1078" w:right="72"/>
      </w:pPr>
      <w:r>
        <w:t xml:space="preserve">Artículo 8. Condiciones generales de la ocupación  </w:t>
      </w:r>
    </w:p>
    <w:p w:rsidR="00B064CF" w:rsidRDefault="00E32F70">
      <w:pPr>
        <w:spacing w:after="11"/>
        <w:ind w:left="1078" w:right="72"/>
      </w:pPr>
      <w:r>
        <w:t>Artículo 9. Garantías y conservación del domini</w:t>
      </w:r>
      <w:r>
        <w:t xml:space="preserve">o público  </w:t>
      </w:r>
    </w:p>
    <w:p w:rsidR="00B064CF" w:rsidRDefault="00E32F70">
      <w:pPr>
        <w:spacing w:after="11"/>
        <w:ind w:left="1078" w:right="72"/>
      </w:pPr>
      <w:r>
        <w:t xml:space="preserve">Artículo 10. Retirada del dominio público de elementos e instalaciones no autorizados </w:t>
      </w:r>
    </w:p>
    <w:p w:rsidR="00B064CF" w:rsidRDefault="00E32F70">
      <w:pPr>
        <w:spacing w:after="11"/>
        <w:ind w:left="1078" w:right="72"/>
      </w:pPr>
      <w:r>
        <w:t xml:space="preserve">Ocupaciones con instalaciones y elementos especiales </w:t>
      </w:r>
    </w:p>
    <w:p w:rsidR="00B064CF" w:rsidRDefault="00E32F70">
      <w:pPr>
        <w:spacing w:after="0"/>
        <w:ind w:left="1078" w:right="1659"/>
      </w:pPr>
      <w:r>
        <w:t xml:space="preserve">Artículo 11. Ocupaciones con instalaciones y elementos especiales </w:t>
      </w:r>
      <w:r>
        <w:t xml:space="preserve">Artículo 12. Cierre total o parcial del tráfico </w:t>
      </w:r>
    </w:p>
    <w:p w:rsidR="00B064CF" w:rsidRDefault="00E32F70">
      <w:pPr>
        <w:spacing w:after="0" w:line="259" w:lineRule="auto"/>
        <w:ind w:left="360" w:firstLine="0"/>
        <w:jc w:val="left"/>
      </w:pPr>
      <w:r>
        <w:t xml:space="preserve"> </w:t>
      </w:r>
    </w:p>
    <w:p w:rsidR="00B064CF" w:rsidRDefault="00E32F70">
      <w:pPr>
        <w:ind w:left="355" w:right="72"/>
      </w:pPr>
      <w:r>
        <w:t xml:space="preserve">CAPÍTULO 2. ASPECTOS PROCEDIMENTALES Y NORMAS COMUNES </w:t>
      </w:r>
    </w:p>
    <w:p w:rsidR="00B064CF" w:rsidRDefault="00E32F70">
      <w:pPr>
        <w:spacing w:after="11"/>
        <w:ind w:left="1078" w:right="72"/>
      </w:pPr>
      <w:r>
        <w:t xml:space="preserve">Artículo 13. Títulos habilitantes  </w:t>
      </w:r>
    </w:p>
    <w:p w:rsidR="00B064CF" w:rsidRDefault="00E32F70">
      <w:pPr>
        <w:spacing w:after="11"/>
        <w:ind w:left="1078" w:right="72"/>
      </w:pPr>
      <w:r>
        <w:t xml:space="preserve">Artículo 14. Competencias </w:t>
      </w:r>
    </w:p>
    <w:p w:rsidR="00B064CF" w:rsidRDefault="00E32F70">
      <w:pPr>
        <w:spacing w:after="11"/>
        <w:ind w:left="1078" w:right="72"/>
      </w:pPr>
      <w:r>
        <w:t xml:space="preserve">Artículo 15. Procedimiento de autorización </w:t>
      </w:r>
    </w:p>
    <w:p w:rsidR="00B064CF" w:rsidRDefault="00E32F70">
      <w:pPr>
        <w:spacing w:after="11"/>
        <w:ind w:left="1078" w:right="72"/>
      </w:pPr>
      <w:r>
        <w:t xml:space="preserve"> Artículo 16. Procedimiento de concesión  </w:t>
      </w:r>
    </w:p>
    <w:p w:rsidR="00B064CF" w:rsidRDefault="00E32F70">
      <w:pPr>
        <w:spacing w:after="11"/>
        <w:ind w:left="1078" w:right="72"/>
      </w:pPr>
      <w:r>
        <w:t xml:space="preserve">Artículo 17. Plazos de vigencia </w:t>
      </w:r>
    </w:p>
    <w:p w:rsidR="00B064CF" w:rsidRDefault="00E32F70">
      <w:pPr>
        <w:spacing w:after="11"/>
        <w:ind w:left="1078" w:right="72"/>
      </w:pPr>
      <w:r>
        <w:t xml:space="preserve">Artículo 18. Obligaciones tributarias </w:t>
      </w:r>
    </w:p>
    <w:p w:rsidR="00B064CF" w:rsidRDefault="00E32F70">
      <w:pPr>
        <w:spacing w:after="0" w:line="259" w:lineRule="auto"/>
        <w:ind w:left="360" w:firstLine="0"/>
        <w:jc w:val="left"/>
      </w:pPr>
      <w:r>
        <w:t xml:space="preserve"> </w:t>
      </w:r>
    </w:p>
    <w:p w:rsidR="00B064CF" w:rsidRDefault="00E32F70">
      <w:pPr>
        <w:spacing w:after="10" w:line="249" w:lineRule="auto"/>
        <w:ind w:left="355" w:right="126"/>
      </w:pPr>
      <w:r>
        <w:rPr>
          <w:u w:val="single" w:color="000000"/>
        </w:rPr>
        <w:t>TÍTULO III. CONDICIONES PARTICULARES DE CADA TIPO DE OCUPACIÓN</w:t>
      </w:r>
      <w:r>
        <w:t xml:space="preserve"> </w:t>
      </w:r>
    </w:p>
    <w:p w:rsidR="00B064CF" w:rsidRDefault="00E32F70">
      <w:pPr>
        <w:spacing w:after="11"/>
        <w:ind w:left="355" w:right="72"/>
      </w:pPr>
      <w:r>
        <w:t xml:space="preserve">CAPÍTULO 1. CONDICIONES DE LA OCUPACIONES VINCULADAS A ACTIVIDADES </w:t>
      </w:r>
    </w:p>
    <w:p w:rsidR="00B064CF" w:rsidRDefault="00E32F70">
      <w:pPr>
        <w:spacing w:after="11"/>
        <w:ind w:left="355" w:right="72"/>
      </w:pPr>
      <w:r>
        <w:t xml:space="preserve">TERCIARIAS EJERCIDAS EN ESTABLECIMIENTOS PRIVADOS </w:t>
      </w:r>
      <w:r>
        <w:t xml:space="preserve">O PÚBLICOS </w:t>
      </w:r>
    </w:p>
    <w:p w:rsidR="00B064CF" w:rsidRDefault="00E32F70">
      <w:pPr>
        <w:spacing w:after="11"/>
        <w:ind w:left="1078" w:right="72"/>
      </w:pPr>
      <w:r>
        <w:t xml:space="preserve">Sección 1ª. DISPOSICIONES GENERALES </w:t>
      </w:r>
    </w:p>
    <w:p w:rsidR="00B064CF" w:rsidRDefault="00E32F70">
      <w:pPr>
        <w:spacing w:after="11"/>
        <w:ind w:left="1786" w:right="72"/>
      </w:pPr>
      <w:r>
        <w:t xml:space="preserve">Artículo 19. Ocupaciones permitidas y título habilitante  </w:t>
      </w:r>
    </w:p>
    <w:p w:rsidR="00B064CF" w:rsidRDefault="00E32F70">
      <w:pPr>
        <w:spacing w:after="0" w:line="259" w:lineRule="auto"/>
        <w:ind w:left="360" w:firstLine="0"/>
        <w:jc w:val="left"/>
      </w:pPr>
      <w:r>
        <w:t xml:space="preserve"> </w:t>
      </w:r>
    </w:p>
    <w:p w:rsidR="00B064CF" w:rsidRDefault="00E32F70">
      <w:pPr>
        <w:spacing w:after="0"/>
        <w:ind w:left="1078" w:right="72"/>
      </w:pPr>
      <w:r>
        <w:t xml:space="preserve">Sección 2ª. </w:t>
      </w:r>
      <w:r>
        <w:tab/>
        <w:t xml:space="preserve">CONDICIONES DE LAS OCUPACIONES VINCULADAS A ACTIVIDADES HOSTELERAS </w:t>
      </w:r>
    </w:p>
    <w:p w:rsidR="00B064CF" w:rsidRDefault="00E32F70">
      <w:pPr>
        <w:spacing w:after="0"/>
        <w:ind w:left="1786" w:right="72"/>
      </w:pPr>
      <w:r>
        <w:t xml:space="preserve">Artículo 20. Condiciones superficiales y dimensionales de las ocupaciones vinculadas a las actividades hosteleras </w:t>
      </w:r>
    </w:p>
    <w:p w:rsidR="00B064CF" w:rsidRDefault="00E32F70">
      <w:pPr>
        <w:spacing w:after="0"/>
        <w:ind w:left="1786" w:right="72"/>
      </w:pPr>
      <w:r>
        <w:t xml:space="preserve">Artículo 21. Señalización de los límites de las ocupaciones vinculadas a las actividades hosteleras </w:t>
      </w:r>
    </w:p>
    <w:p w:rsidR="00B064CF" w:rsidRDefault="00E32F70">
      <w:pPr>
        <w:spacing w:after="0"/>
        <w:ind w:left="1786" w:right="72"/>
      </w:pPr>
      <w:r>
        <w:t>Artículo 22. Características de los elem</w:t>
      </w:r>
      <w:r>
        <w:t xml:space="preserve">entos accesorios vinculados a las actividades hosteleras </w:t>
      </w:r>
    </w:p>
    <w:p w:rsidR="00B064CF" w:rsidRDefault="00E32F70">
      <w:pPr>
        <w:spacing w:after="0"/>
        <w:ind w:left="1786" w:right="72"/>
      </w:pPr>
      <w:r>
        <w:t xml:space="preserve">Artículo 23. Obligaciones y limitaciones específicas de las ocupaciones vinculadas a actividades hosteleras </w:t>
      </w:r>
    </w:p>
    <w:p w:rsidR="00B064CF" w:rsidRDefault="00E32F70">
      <w:pPr>
        <w:spacing w:after="0" w:line="259" w:lineRule="auto"/>
        <w:ind w:left="360" w:firstLine="0"/>
        <w:jc w:val="left"/>
      </w:pPr>
      <w:r>
        <w:rPr>
          <w:rFonts w:ascii="Calibri" w:eastAsia="Calibri" w:hAnsi="Calibri" w:cs="Calibri"/>
          <w:noProof/>
        </w:rPr>
        <mc:AlternateContent>
          <mc:Choice Requires="wpg">
            <w:drawing>
              <wp:anchor distT="0" distB="0" distL="114300" distR="114300" simplePos="0" relativeHeight="25178828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0122" name="Group 390122"/>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6061" name="Rectangle 26061"/>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64SKSNYNJRFPNN5DLPPAAC3GS | Verificación: https://candelaria.sedelect</w:t>
                              </w:r>
                              <w:r>
                                <w:rPr>
                                  <w:sz w:val="12"/>
                                </w:rPr>
                                <w:t xml:space="preserve">ronica.es/ </w:t>
                              </w:r>
                            </w:p>
                          </w:txbxContent>
                        </wps:txbx>
                        <wps:bodyPr horzOverflow="overflow" vert="horz" lIns="0" tIns="0" rIns="0" bIns="0" rtlCol="0">
                          <a:noAutofit/>
                        </wps:bodyPr>
                      </wps:wsp>
                      <wps:wsp>
                        <wps:cNvPr id="26062" name="Rectangle 26062"/>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124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0122" style="width:12.7031pt;height:278.91pt;position:absolute;mso-position-horizontal-relative:page;mso-position-horizontal:absolute;margin-left:682.278pt;mso-position-vertical-relative:page;margin-top:533.01pt;" coordsize="1613,35421">
                <v:rect id="Rectangle 26061"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6062"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124 de 298 </w:t>
                        </w:r>
                      </w:p>
                    </w:txbxContent>
                  </v:textbox>
                </v:rect>
                <w10:wrap type="square"/>
              </v:group>
            </w:pict>
          </mc:Fallback>
        </mc:AlternateContent>
      </w:r>
      <w:r>
        <w:t xml:space="preserve"> </w:t>
      </w:r>
    </w:p>
    <w:p w:rsidR="00B064CF" w:rsidRDefault="00E32F70">
      <w:pPr>
        <w:spacing w:after="0"/>
        <w:ind w:left="1078" w:right="72"/>
      </w:pPr>
      <w:r>
        <w:t xml:space="preserve">Sección 3ª. CONDICIONES DE LAS OCUPACIONES VINCULADAS A ACTIVIDADES COMERCIALES O DE OFICINA </w:t>
      </w:r>
    </w:p>
    <w:p w:rsidR="00B064CF" w:rsidRDefault="00E32F70">
      <w:pPr>
        <w:spacing w:after="0"/>
        <w:ind w:left="1786" w:right="72"/>
      </w:pPr>
      <w:r>
        <w:t xml:space="preserve">Artículo 24. </w:t>
      </w:r>
      <w:r>
        <w:tab/>
        <w:t>Características de los elementos acce</w:t>
      </w:r>
      <w:r>
        <w:t xml:space="preserve">sorios vinculados a las actividades comerciales o de oficina </w:t>
      </w:r>
    </w:p>
    <w:p w:rsidR="00B064CF" w:rsidRDefault="00E32F70">
      <w:pPr>
        <w:spacing w:after="0"/>
        <w:ind w:left="1786" w:right="72"/>
      </w:pPr>
      <w:r>
        <w:t xml:space="preserve">Artículo 25. Obligaciones y limitaciones específicas de las ocupaciones vinculadas a actividades comerciales o de oficina </w:t>
      </w:r>
    </w:p>
    <w:p w:rsidR="00B064CF" w:rsidRDefault="00E32F70">
      <w:pPr>
        <w:spacing w:after="0"/>
        <w:ind w:left="1786" w:right="72"/>
      </w:pPr>
      <w:r>
        <w:t xml:space="preserve">Artículo 26. </w:t>
      </w:r>
      <w:r>
        <w:tab/>
        <w:t xml:space="preserve">Ocupaciones </w:t>
      </w:r>
      <w:r>
        <w:tab/>
        <w:t xml:space="preserve">con </w:t>
      </w:r>
      <w:r>
        <w:tab/>
        <w:t xml:space="preserve">elementos </w:t>
      </w:r>
      <w:r>
        <w:tab/>
        <w:t xml:space="preserve">decorativos </w:t>
      </w:r>
      <w:r>
        <w:tab/>
        <w:t xml:space="preserve">en </w:t>
      </w:r>
      <w:r>
        <w:tab/>
        <w:t>celebracion</w:t>
      </w:r>
      <w:r>
        <w:t xml:space="preserve">es tradicionales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CAPÍTULO 2. CONDICIONES DE LAS OCUPACIONES VINCULADAS A ACTIVIDADES LÚDICAS, </w:t>
      </w:r>
    </w:p>
    <w:p w:rsidR="00B064CF" w:rsidRDefault="00E32F70">
      <w:pPr>
        <w:spacing w:after="11"/>
        <w:ind w:left="355" w:right="72"/>
      </w:pPr>
      <w:r>
        <w:t xml:space="preserve">ARTÍSTICAS, RECREATIVAS, INFORMATIVAS, PUBLICITARIAS O SOLIDARIAS </w:t>
      </w:r>
    </w:p>
    <w:p w:rsidR="00B064CF" w:rsidRDefault="00E32F70">
      <w:pPr>
        <w:spacing w:after="11"/>
        <w:ind w:left="1078" w:right="72"/>
      </w:pPr>
      <w:r>
        <w:t xml:space="preserve">Sección 1ª. DISPOSICIONES GENERALES </w:t>
      </w:r>
    </w:p>
    <w:p w:rsidR="00B064CF" w:rsidRDefault="00E32F70">
      <w:pPr>
        <w:spacing w:after="11"/>
        <w:ind w:left="1786" w:right="72"/>
      </w:pPr>
      <w:r>
        <w:t xml:space="preserve">Artículo 27. Ocupaciones permitidas y título habilitante </w:t>
      </w:r>
    </w:p>
    <w:p w:rsidR="00B064CF" w:rsidRDefault="00E32F70">
      <w:pPr>
        <w:spacing w:after="11"/>
        <w:ind w:left="1786" w:right="72"/>
      </w:pPr>
      <w:r>
        <w:t xml:space="preserve">Artículo 28. Condiciones particulares </w:t>
      </w:r>
    </w:p>
    <w:p w:rsidR="00B064CF" w:rsidRDefault="00E32F70">
      <w:pPr>
        <w:spacing w:after="0" w:line="259" w:lineRule="auto"/>
        <w:ind w:left="1068" w:firstLine="0"/>
        <w:jc w:val="left"/>
      </w:pPr>
      <w:r>
        <w:t xml:space="preserve"> </w:t>
      </w:r>
    </w:p>
    <w:p w:rsidR="00B064CF" w:rsidRDefault="00E32F70">
      <w:pPr>
        <w:spacing w:after="11"/>
        <w:ind w:left="1078" w:right="72"/>
      </w:pPr>
      <w:r>
        <w:t xml:space="preserve">Sección 2ª. ACTUACIONES MUSICALES Y OTRAS ACTIVIDADES ARTÍSTICAS </w:t>
      </w:r>
    </w:p>
    <w:p w:rsidR="00B064CF" w:rsidRDefault="00E32F70">
      <w:pPr>
        <w:spacing w:after="11"/>
        <w:ind w:left="1786" w:right="72"/>
      </w:pPr>
      <w:r>
        <w:t xml:space="preserve">Artículo 29. Supuestos sujetos a autorización </w:t>
      </w:r>
    </w:p>
    <w:p w:rsidR="00B064CF" w:rsidRDefault="00E32F70">
      <w:pPr>
        <w:spacing w:after="11"/>
        <w:ind w:left="1786" w:right="72"/>
      </w:pPr>
      <w:r>
        <w:t>Artículo 30. Solicitudes, zonas y periodos d</w:t>
      </w:r>
      <w:r>
        <w:t xml:space="preserve">e ocupación  </w:t>
      </w:r>
    </w:p>
    <w:p w:rsidR="00B064CF" w:rsidRDefault="00E32F70">
      <w:pPr>
        <w:spacing w:after="11"/>
        <w:ind w:left="1786" w:right="72"/>
      </w:pPr>
      <w:r>
        <w:t xml:space="preserve">Artículo 31. Condiciones específicas y obligaciones </w:t>
      </w:r>
    </w:p>
    <w:p w:rsidR="00B064CF" w:rsidRDefault="00E32F70">
      <w:pPr>
        <w:spacing w:after="0" w:line="259" w:lineRule="auto"/>
        <w:ind w:left="360" w:firstLine="0"/>
        <w:jc w:val="left"/>
      </w:pPr>
      <w:r>
        <w:t xml:space="preserve"> </w:t>
      </w:r>
    </w:p>
    <w:p w:rsidR="00B064CF" w:rsidRDefault="00E32F70">
      <w:pPr>
        <w:spacing w:after="11"/>
        <w:ind w:left="1078" w:right="72"/>
      </w:pPr>
      <w:r>
        <w:t xml:space="preserve">Sección 3ª. ACTIVIDADES INFORMATIVAS, DE SENSIBILIZACIÓN O PROMOCIONALES </w:t>
      </w:r>
    </w:p>
    <w:p w:rsidR="00B064CF" w:rsidRDefault="00E32F70">
      <w:pPr>
        <w:spacing w:after="11"/>
        <w:ind w:left="1786" w:right="72"/>
      </w:pPr>
      <w:r>
        <w:t xml:space="preserve">Artículo 32. Supuestos sujetos a autorización  </w:t>
      </w:r>
    </w:p>
    <w:p w:rsidR="00B064CF" w:rsidRDefault="00E32F70">
      <w:pPr>
        <w:spacing w:after="11"/>
        <w:ind w:left="1786" w:right="72"/>
      </w:pPr>
      <w:r>
        <w:t xml:space="preserve">Artículo 33. Condiciones específicas y obligaciones  </w:t>
      </w:r>
    </w:p>
    <w:p w:rsidR="00B064CF" w:rsidRDefault="00E32F70">
      <w:pPr>
        <w:spacing w:after="11"/>
        <w:ind w:left="1786" w:right="72"/>
      </w:pPr>
      <w:r>
        <w:t>Artículo 34</w:t>
      </w:r>
      <w:r>
        <w:t xml:space="preserve">. Características de los elementos </w:t>
      </w:r>
    </w:p>
    <w:p w:rsidR="00B064CF" w:rsidRDefault="00E32F70">
      <w:pPr>
        <w:spacing w:after="0" w:line="259" w:lineRule="auto"/>
        <w:ind w:left="360" w:firstLine="0"/>
        <w:jc w:val="left"/>
      </w:pPr>
      <w:r>
        <w:t xml:space="preserve"> </w:t>
      </w:r>
    </w:p>
    <w:p w:rsidR="00B064CF" w:rsidRDefault="00E32F70">
      <w:pPr>
        <w:spacing w:after="11"/>
        <w:ind w:left="1078" w:right="72"/>
      </w:pPr>
      <w:r>
        <w:t xml:space="preserve">Sección 4ª. ACTIVIDADES DE CUESTACIÓN, PETITORIAS Y OTRAS SIMILARES CON </w:t>
      </w:r>
    </w:p>
    <w:p w:rsidR="00B064CF" w:rsidRDefault="00E32F70">
      <w:pPr>
        <w:spacing w:after="11"/>
        <w:ind w:left="1078" w:right="72"/>
      </w:pPr>
      <w:r>
        <w:t xml:space="preserve">FINES SOLIDARIOS </w:t>
      </w:r>
    </w:p>
    <w:p w:rsidR="00B064CF" w:rsidRDefault="00E32F70">
      <w:pPr>
        <w:spacing w:after="11"/>
        <w:ind w:left="1786" w:right="72"/>
      </w:pPr>
      <w:r>
        <w:t xml:space="preserve">Artículo 35. Supuestos sujetos a autorización  </w:t>
      </w:r>
    </w:p>
    <w:p w:rsidR="00B064CF" w:rsidRDefault="00E32F70">
      <w:pPr>
        <w:spacing w:after="11"/>
        <w:ind w:left="1786" w:right="72"/>
      </w:pPr>
      <w:r>
        <w:t xml:space="preserve">Artículo 36. Condiciones específicas y obligaciones </w:t>
      </w:r>
    </w:p>
    <w:p w:rsidR="00B064CF" w:rsidRDefault="00E32F70">
      <w:pPr>
        <w:tabs>
          <w:tab w:val="center" w:pos="360"/>
          <w:tab w:val="center" w:pos="1068"/>
          <w:tab w:val="center" w:pos="3959"/>
        </w:tabs>
        <w:spacing w:after="11"/>
        <w:ind w:left="0" w:firstLine="0"/>
        <w:jc w:val="left"/>
      </w:pPr>
      <w:r>
        <w:rPr>
          <w:rFonts w:ascii="Calibri" w:eastAsia="Calibri" w:hAnsi="Calibri" w:cs="Calibri"/>
        </w:rPr>
        <w:tab/>
      </w:r>
      <w:r>
        <w:t xml:space="preserve">  </w:t>
      </w:r>
      <w:r>
        <w:tab/>
        <w:t xml:space="preserve"> </w:t>
      </w:r>
      <w:r>
        <w:tab/>
        <w:t>Artículo 37. Caracte</w:t>
      </w:r>
      <w:r>
        <w:t xml:space="preserve">rísticas de los elementos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CAPÍTULO 3. OCUPACIONES CON QUIOSCOS </w:t>
      </w:r>
    </w:p>
    <w:p w:rsidR="00B064CF" w:rsidRDefault="00E32F70">
      <w:pPr>
        <w:spacing w:after="11"/>
        <w:ind w:left="1078" w:right="72"/>
      </w:pPr>
      <w:r>
        <w:t xml:space="preserve">Artículo 38. Ocupaciones permitidas y título habilitante  </w:t>
      </w:r>
    </w:p>
    <w:p w:rsidR="00B064CF" w:rsidRDefault="00E32F70">
      <w:pPr>
        <w:spacing w:after="11"/>
        <w:ind w:left="1078" w:right="72"/>
      </w:pPr>
      <w:r>
        <w:t xml:space="preserve">Artículo 39. Condiciones específicas y obligaciones  </w:t>
      </w:r>
    </w:p>
    <w:p w:rsidR="00B064CF" w:rsidRDefault="00E32F70">
      <w:pPr>
        <w:spacing w:after="11"/>
        <w:ind w:left="1078" w:right="72"/>
      </w:pPr>
      <w:r>
        <w:t xml:space="preserve">Artículo 40. Condiciones de los quioscos-bar </w:t>
      </w:r>
    </w:p>
    <w:p w:rsidR="00B064CF" w:rsidRDefault="00E32F70">
      <w:pPr>
        <w:spacing w:after="11"/>
        <w:ind w:left="1078" w:right="72"/>
      </w:pPr>
      <w:r>
        <w:t xml:space="preserve">Artículo 41. Traslado del quiosco </w:t>
      </w:r>
    </w:p>
    <w:p w:rsidR="00B064CF" w:rsidRDefault="00E32F70">
      <w:pPr>
        <w:spacing w:after="11"/>
        <w:ind w:left="1078" w:right="72"/>
      </w:pPr>
      <w:r>
        <w:t xml:space="preserve">Artículo 42. Suspensión o revocación de la concesión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CAPÍTULO 4. OCUPACIONES PARA EL DESARROLLO DE ESPECTÁCULOS Y FESTIVIDADES </w:t>
      </w:r>
    </w:p>
    <w:p w:rsidR="00B064CF" w:rsidRDefault="00E32F70">
      <w:pPr>
        <w:spacing w:after="11"/>
        <w:ind w:left="355" w:right="72"/>
      </w:pPr>
      <w:r>
        <w:t xml:space="preserve">TRADICIONALES </w:t>
      </w:r>
    </w:p>
    <w:p w:rsidR="00B064CF" w:rsidRDefault="00E32F70">
      <w:pPr>
        <w:spacing w:after="11"/>
        <w:ind w:left="1078" w:right="72"/>
      </w:pPr>
      <w:r>
        <w:t xml:space="preserve">Artículo 43. Ocupaciones permitidas y título habilitante  </w:t>
      </w:r>
    </w:p>
    <w:p w:rsidR="00B064CF" w:rsidRDefault="00E32F70">
      <w:pPr>
        <w:spacing w:after="11"/>
        <w:ind w:left="1078" w:right="72"/>
      </w:pPr>
      <w:r>
        <w:t>Artículo 44. Con</w:t>
      </w:r>
      <w:r>
        <w:t xml:space="preserve">diciones específicas y obligaciones  </w:t>
      </w:r>
    </w:p>
    <w:p w:rsidR="00B064CF" w:rsidRDefault="00E32F70">
      <w:pPr>
        <w:spacing w:after="11"/>
        <w:ind w:left="1078" w:right="72"/>
      </w:pPr>
      <w:r>
        <w:t xml:space="preserve">Artículo 45. Características de los elementos y vehículos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CAPÍTULO 5. OCUPACIONES PARA EL DESARROLLO DE EVENTOS DEPORTIVOS </w:t>
      </w:r>
    </w:p>
    <w:p w:rsidR="00B064CF" w:rsidRDefault="00E32F70">
      <w:pPr>
        <w:spacing w:after="11"/>
        <w:ind w:left="1078" w:right="72"/>
      </w:pPr>
      <w:r>
        <w:t xml:space="preserve">Artículo 46. Ocupaciones permitidas y título habilitante  </w:t>
      </w:r>
    </w:p>
    <w:p w:rsidR="00B064CF" w:rsidRDefault="00E32F70">
      <w:pPr>
        <w:spacing w:after="11"/>
        <w:ind w:left="1078" w:right="72"/>
      </w:pPr>
      <w:r>
        <w:t>Artículo 47. Condiciones específ</w:t>
      </w:r>
      <w:r>
        <w:t xml:space="preserve">icas y obligaciones  </w:t>
      </w:r>
    </w:p>
    <w:p w:rsidR="00B064CF" w:rsidRDefault="00E32F70">
      <w:pPr>
        <w:spacing w:after="11"/>
        <w:ind w:left="1078" w:right="72"/>
      </w:pPr>
      <w:r>
        <w:rPr>
          <w:rFonts w:ascii="Calibri" w:eastAsia="Calibri" w:hAnsi="Calibri" w:cs="Calibri"/>
          <w:noProof/>
        </w:rPr>
        <mc:AlternateContent>
          <mc:Choice Requires="wpg">
            <w:drawing>
              <wp:anchor distT="0" distB="0" distL="114300" distR="114300" simplePos="0" relativeHeight="25178931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0278" name="Group 390278"/>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6184" name="Rectangle 26184"/>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6185" name="Rectangle 26185"/>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125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0278" style="width:12.7031pt;height:278.91pt;position:absolute;mso-position-horizontal-relative:page;mso-position-horizontal:absolute;margin-left:682.278pt;mso-position-vertical-relative:page;margin-top:533.01pt;" coordsize="1613,35421">
                <v:rect id="Rectangle 26184"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6185"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125 de 298 </w:t>
                        </w:r>
                      </w:p>
                    </w:txbxContent>
                  </v:textbox>
                </v:rect>
                <w10:wrap type="square"/>
              </v:group>
            </w:pict>
          </mc:Fallback>
        </mc:AlternateContent>
      </w:r>
      <w:r>
        <w:t xml:space="preserve">Artículo 48. Características de los elementos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CAPÍTULO 6. OTRAS OCUPACIONES </w:t>
      </w:r>
    </w:p>
    <w:p w:rsidR="00B064CF" w:rsidRDefault="00E32F70">
      <w:pPr>
        <w:spacing w:after="11"/>
        <w:ind w:left="1078" w:right="72"/>
      </w:pPr>
      <w:r>
        <w:t xml:space="preserve">Artículo 49. Elementos para la protección de las aceras </w:t>
      </w:r>
    </w:p>
    <w:p w:rsidR="00B064CF" w:rsidRDefault="00E32F70">
      <w:pPr>
        <w:spacing w:after="11"/>
        <w:ind w:left="1078" w:right="72"/>
      </w:pPr>
      <w:r>
        <w:t xml:space="preserve">Artículo 50. Espejos de tráfico </w:t>
      </w:r>
    </w:p>
    <w:p w:rsidR="00B064CF" w:rsidRDefault="00E32F70">
      <w:pPr>
        <w:spacing w:after="11"/>
        <w:ind w:left="1078" w:right="72"/>
      </w:pPr>
      <w:r>
        <w:t xml:space="preserve">Artículo 51. Cajeros automáticos y máquinas expendedoras  </w:t>
      </w:r>
    </w:p>
    <w:p w:rsidR="00B064CF" w:rsidRDefault="00E32F70">
      <w:pPr>
        <w:spacing w:after="0" w:line="259" w:lineRule="auto"/>
        <w:ind w:left="360" w:firstLine="0"/>
        <w:jc w:val="left"/>
      </w:pPr>
      <w:r>
        <w:t xml:space="preserve"> </w:t>
      </w:r>
    </w:p>
    <w:p w:rsidR="00B064CF" w:rsidRDefault="00E32F70">
      <w:pPr>
        <w:spacing w:after="10" w:line="249" w:lineRule="auto"/>
        <w:ind w:left="355" w:right="126"/>
      </w:pPr>
      <w:r>
        <w:rPr>
          <w:u w:val="single" w:color="000000"/>
        </w:rPr>
        <w:t>TÍTULO IV. INFRACCIONES Y</w:t>
      </w:r>
      <w:r>
        <w:rPr>
          <w:u w:val="single" w:color="000000"/>
        </w:rPr>
        <w:t xml:space="preserve"> SANCIONES</w:t>
      </w:r>
      <w:r>
        <w:t xml:space="preserve"> </w:t>
      </w:r>
    </w:p>
    <w:p w:rsidR="00B064CF" w:rsidRDefault="00E32F70">
      <w:pPr>
        <w:spacing w:after="11"/>
        <w:ind w:left="1078" w:right="72"/>
      </w:pPr>
      <w:r>
        <w:t xml:space="preserve">Artículo 52. Sujetos responsables </w:t>
      </w:r>
    </w:p>
    <w:p w:rsidR="00B064CF" w:rsidRDefault="00E32F70">
      <w:pPr>
        <w:spacing w:after="11"/>
        <w:ind w:left="1078" w:right="72"/>
      </w:pPr>
      <w:r>
        <w:t xml:space="preserve">Artículo 53. Tipificación de las infracciones  </w:t>
      </w:r>
    </w:p>
    <w:p w:rsidR="00B064CF" w:rsidRDefault="00E32F70">
      <w:pPr>
        <w:spacing w:after="11"/>
        <w:ind w:left="1078" w:right="72"/>
      </w:pPr>
      <w:r>
        <w:t xml:space="preserve">Artículo 54. Sanciones </w:t>
      </w:r>
    </w:p>
    <w:p w:rsidR="00B064CF" w:rsidRDefault="00E32F70">
      <w:pPr>
        <w:spacing w:after="11"/>
        <w:ind w:left="1078" w:right="72"/>
      </w:pPr>
      <w:r>
        <w:t xml:space="preserve">Artículo 55. Graduación de las sanciones. </w:t>
      </w:r>
    </w:p>
    <w:p w:rsidR="00B064CF" w:rsidRDefault="00E32F70">
      <w:pPr>
        <w:spacing w:after="0" w:line="246" w:lineRule="auto"/>
        <w:ind w:left="1068" w:right="4258" w:firstLine="0"/>
        <w:jc w:val="left"/>
      </w:pPr>
      <w:r>
        <w:t>Artículo 56. Responsabilidad e indemnizaciones. Artículo 57. Personas responsables Artículo 58</w:t>
      </w:r>
      <w:r>
        <w:t xml:space="preserve">. Inspección y Control. Artículo 59. Procedimiento Artículo 60. Medidas cautelares. </w:t>
      </w:r>
    </w:p>
    <w:p w:rsidR="00B064CF" w:rsidRDefault="00E32F70">
      <w:pPr>
        <w:spacing w:after="11"/>
        <w:ind w:left="1078" w:right="72"/>
      </w:pPr>
      <w:r>
        <w:t xml:space="preserve">Artículo 61. Prescripción </w:t>
      </w:r>
    </w:p>
    <w:p w:rsidR="00B064CF" w:rsidRDefault="00E32F70">
      <w:pPr>
        <w:spacing w:after="0" w:line="259" w:lineRule="auto"/>
        <w:ind w:left="360" w:firstLine="0"/>
        <w:jc w:val="left"/>
      </w:pPr>
      <w:r>
        <w:t xml:space="preserve"> </w:t>
      </w:r>
    </w:p>
    <w:p w:rsidR="00B064CF" w:rsidRDefault="00E32F70">
      <w:pPr>
        <w:spacing w:after="10" w:line="249" w:lineRule="auto"/>
        <w:ind w:left="355" w:right="126"/>
      </w:pPr>
      <w:r>
        <w:rPr>
          <w:u w:val="single" w:color="000000"/>
        </w:rPr>
        <w:t>DISPOSICIÓN TRANSITORIA ÚNICA</w:t>
      </w:r>
      <w:r>
        <w:t xml:space="preserve"> </w:t>
      </w:r>
    </w:p>
    <w:p w:rsidR="00B064CF" w:rsidRDefault="00E32F70">
      <w:pPr>
        <w:spacing w:after="0" w:line="259" w:lineRule="auto"/>
        <w:ind w:left="360" w:firstLine="0"/>
        <w:jc w:val="left"/>
      </w:pPr>
      <w:r>
        <w:t xml:space="preserve"> </w:t>
      </w:r>
    </w:p>
    <w:p w:rsidR="00B064CF" w:rsidRDefault="00E32F70">
      <w:pPr>
        <w:spacing w:after="10" w:line="249" w:lineRule="auto"/>
        <w:ind w:left="355" w:right="126"/>
      </w:pPr>
      <w:r>
        <w:rPr>
          <w:u w:val="single" w:color="000000"/>
        </w:rPr>
        <w:t>DISPOSICIÓN DEROGATORIA</w:t>
      </w:r>
      <w:r>
        <w:t xml:space="preserve"> </w:t>
      </w:r>
    </w:p>
    <w:p w:rsidR="00B064CF" w:rsidRDefault="00E32F70">
      <w:pPr>
        <w:spacing w:after="11"/>
        <w:ind w:left="355" w:right="72"/>
      </w:pPr>
      <w:r>
        <w:t xml:space="preserve">Única. Derogación normativa  </w:t>
      </w:r>
    </w:p>
    <w:p w:rsidR="00B064CF" w:rsidRDefault="00E32F70">
      <w:pPr>
        <w:spacing w:after="0" w:line="259" w:lineRule="auto"/>
        <w:ind w:left="360" w:firstLine="0"/>
        <w:jc w:val="left"/>
      </w:pPr>
      <w:r>
        <w:t xml:space="preserve"> </w:t>
      </w:r>
    </w:p>
    <w:p w:rsidR="00B064CF" w:rsidRDefault="00E32F70">
      <w:pPr>
        <w:spacing w:after="10" w:line="249" w:lineRule="auto"/>
        <w:ind w:left="355" w:right="126"/>
      </w:pPr>
      <w:r>
        <w:rPr>
          <w:u w:val="single" w:color="000000"/>
        </w:rPr>
        <w:t>DISPOSICIÓN FINAL ÚNICA</w:t>
      </w:r>
      <w:r>
        <w:t xml:space="preserve"> </w:t>
      </w:r>
    </w:p>
    <w:p w:rsidR="00B064CF" w:rsidRDefault="00E32F70">
      <w:pPr>
        <w:spacing w:after="11"/>
        <w:ind w:left="355" w:right="72"/>
      </w:pPr>
      <w:r>
        <w:t xml:space="preserve">Publicación y entrada en vigor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ANEXO I – GRÁFICOS OCUPACIONES VINCULADAS A ACTIVIDADES HOSTELERAS </w:t>
      </w:r>
    </w:p>
    <w:p w:rsidR="00B064CF" w:rsidRDefault="00E32F70">
      <w:pPr>
        <w:spacing w:after="11"/>
        <w:ind w:left="355" w:right="72"/>
      </w:pPr>
      <w:r>
        <w:t xml:space="preserve">ANEXO II - MOBILIARIO </w:t>
      </w:r>
    </w:p>
    <w:p w:rsidR="00B064CF" w:rsidRDefault="00E32F70">
      <w:pPr>
        <w:tabs>
          <w:tab w:val="center" w:pos="545"/>
          <w:tab w:val="center" w:pos="3580"/>
        </w:tabs>
        <w:spacing w:after="11"/>
        <w:ind w:left="0" w:firstLine="0"/>
        <w:jc w:val="left"/>
      </w:pPr>
      <w:r>
        <w:rPr>
          <w:rFonts w:ascii="Calibri" w:eastAsia="Calibri" w:hAnsi="Calibri" w:cs="Calibri"/>
        </w:rPr>
        <w:tab/>
      </w:r>
      <w:r>
        <w:t xml:space="preserve">II.1. </w:t>
      </w:r>
      <w:r>
        <w:tab/>
        <w:t xml:space="preserve">Características de mesas, sillas, sombrillas y toldos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EXPOSICIÓN DE MOTIVOS </w:t>
      </w:r>
    </w:p>
    <w:p w:rsidR="00B064CF" w:rsidRDefault="00E32F70">
      <w:pPr>
        <w:spacing w:after="0"/>
        <w:ind w:left="355" w:right="143"/>
      </w:pPr>
      <w:r>
        <w:t xml:space="preserve">La regulación de la protección, ordenación y uso del suelo público del municipio de Candelaria es necesaria e imprescindible y requiere de una ordenanza que asegure la mejora del espacio público para la convivencia ciudadana, la preservación de los bienes </w:t>
      </w:r>
      <w:r>
        <w:t>y derechos públicos, la calidad del paisaje urbano del municipio y la sostenibilidad ambiental y que ordene el conjunto de intereses legítimos, tanto públicos como privados, que confluyen sobre el mismo, de un modo racional y sostenible, de forma que el mu</w:t>
      </w:r>
      <w:r>
        <w:t xml:space="preserve">nicipio sea un lugar accesible e inclusivo, manteniendo, en cualquier caso, como prioritario el uso común general del espacio público  </w:t>
      </w:r>
    </w:p>
    <w:p w:rsidR="00B064CF" w:rsidRDefault="00E32F70">
      <w:pPr>
        <w:spacing w:after="0"/>
        <w:ind w:left="355" w:right="143"/>
      </w:pPr>
      <w:r>
        <w:t>Esta ordenanza tiene por objeto racionalizar y encauzar las diferentes ocupaciones del dominio público en el municipio d</w:t>
      </w:r>
      <w:r>
        <w:t>e Candelaria, consiguiendo la compatibilidad entre quien pretenda un uso especial del dominio público, también generador de riqueza y empleo, con el uso común por toda la ciudadanía</w:t>
      </w:r>
      <w:r>
        <w:rPr>
          <w:color w:val="7030A0"/>
        </w:rPr>
        <w:t>.</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rPr>
          <w:color w:val="7030A0"/>
        </w:rPr>
        <w:t xml:space="preserve"> </w:t>
      </w:r>
    </w:p>
    <w:p w:rsidR="00B064CF" w:rsidRDefault="00E32F70">
      <w:pPr>
        <w:spacing w:after="0"/>
        <w:ind w:left="355" w:right="145"/>
      </w:pPr>
      <w:r>
        <w:rPr>
          <w:rFonts w:ascii="Calibri" w:eastAsia="Calibri" w:hAnsi="Calibri" w:cs="Calibri"/>
          <w:noProof/>
        </w:rPr>
        <mc:AlternateContent>
          <mc:Choice Requires="wpg">
            <w:drawing>
              <wp:anchor distT="0" distB="0" distL="114300" distR="114300" simplePos="0" relativeHeight="25179033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0540" name="Group 390540"/>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6295" name="Rectangle 26295"/>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6296" name="Rectangle 26296"/>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126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0540" style="width:12.7031pt;height:278.91pt;position:absolute;mso-position-horizontal-relative:page;mso-position-horizontal:absolute;margin-left:682.278pt;mso-position-vertical-relative:page;margin-top:533.01pt;" coordsize="1613,35421">
                <v:rect id="Rectangle 26295"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6296"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126 de 298 </w:t>
                        </w:r>
                      </w:p>
                    </w:txbxContent>
                  </v:textbox>
                </v:rect>
                <w10:wrap type="square"/>
              </v:group>
            </w:pict>
          </mc:Fallback>
        </mc:AlternateContent>
      </w:r>
      <w:r>
        <w:t>El buen clima predominante en el municipio de Candelaria dura</w:t>
      </w:r>
      <w:r>
        <w:t>nte la mayor parte del año, convierte sus espacios públicos en lugares de encuentro y entretenimiento, lo que justifica la importancia de la intervención administrativa en la gestión y conservación del dominio público.</w:t>
      </w:r>
      <w:r>
        <w:rPr>
          <w:color w:val="7030A0"/>
        </w:rPr>
        <w:t xml:space="preserve"> </w:t>
      </w:r>
      <w:r>
        <w:t>En este sentido, existen principios i</w:t>
      </w:r>
      <w:r>
        <w:t>ncuestionables que deben primar en todos los casos, de manera que la ocupación del dominio público no puede suponer una merma de los requisitos mínimos de</w:t>
      </w:r>
      <w:r>
        <w:rPr>
          <w:color w:val="7030A0"/>
        </w:rPr>
        <w:t xml:space="preserve"> </w:t>
      </w:r>
      <w:r>
        <w:t>accesibilidad de nuestras calles o de la perturbación del derecho al descanso de su población.</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rPr>
          <w:color w:val="7030A0"/>
        </w:rPr>
        <w:t xml:space="preserve"> </w:t>
      </w:r>
    </w:p>
    <w:p w:rsidR="00B064CF" w:rsidRDefault="00E32F70">
      <w:pPr>
        <w:spacing w:after="0"/>
        <w:ind w:left="355" w:right="145"/>
      </w:pPr>
      <w:r>
        <w:t xml:space="preserve">En </w:t>
      </w:r>
      <w:r>
        <w:t>relación con la protección del dominio público, tan importante es contar con la norma legal que determine su alcance y sancione su incumplimiento como que la ciudadanía tenga presente que con su colaboración se puede conseguir que el municipio sea un lugar</w:t>
      </w:r>
      <w:r>
        <w:t xml:space="preserve"> grato y confortable donde se desarrollen las relaciones familiares, sociales y profesionales y, al mismo tiempo, lugar de acogida amable para quien nos visite, tanto en lo que se refiere a la estancia como al ocio. </w:t>
      </w:r>
    </w:p>
    <w:p w:rsidR="00B064CF" w:rsidRDefault="00E32F70">
      <w:pPr>
        <w:spacing w:after="0" w:line="259" w:lineRule="auto"/>
        <w:ind w:left="360" w:firstLine="0"/>
        <w:jc w:val="left"/>
      </w:pPr>
      <w:r>
        <w:t xml:space="preserve"> </w:t>
      </w:r>
    </w:p>
    <w:p w:rsidR="00B064CF" w:rsidRDefault="00E32F70">
      <w:pPr>
        <w:numPr>
          <w:ilvl w:val="0"/>
          <w:numId w:val="33"/>
        </w:numPr>
        <w:spacing w:after="0"/>
        <w:ind w:right="109"/>
      </w:pPr>
      <w:r>
        <w:t>La presente Ordenanza se dicta al amp</w:t>
      </w:r>
      <w:r>
        <w:t xml:space="preserve">aro de las facultades atribuidas  a las entidades locales por la Constitución Española y su normativa básica de desarrollo, haciendo uso de la potestad normativa que tales entidades tienen reconocida en virtud de lo dispuesto en los artículos 4 y 84 de la </w:t>
      </w:r>
      <w:r>
        <w:t xml:space="preserve">Ley 7/1985, de 2 de abril, reguladora de las Bases de Régimen Local; 55 del Real Decreto Legislativo 781/1986, de 18 de abril, por el que se aprueba el Texto Refundido de las Disposiciones Legales Vigentes en materia de Régimen Local; y en el ejercicio de </w:t>
      </w:r>
      <w:r>
        <w:t xml:space="preserve">las facultades de gestión y administración de los bienes de dominio público derivadas de la Ley 33/2003, de 3 de noviembre, de Patrimonio de las Administraciones Públicas y del Real Decreto 1372/1986, de 13 de junio, por el que se aprueba el Reglamento de </w:t>
      </w:r>
      <w:r>
        <w:t xml:space="preserve">Bienes de las Entidades Locales. </w:t>
      </w:r>
    </w:p>
    <w:p w:rsidR="00B064CF" w:rsidRDefault="00E32F70">
      <w:pPr>
        <w:numPr>
          <w:ilvl w:val="0"/>
          <w:numId w:val="33"/>
        </w:numPr>
        <w:spacing w:after="0"/>
        <w:ind w:right="109"/>
      </w:pPr>
      <w:r>
        <w:t xml:space="preserve">Esta nueva Ordenanza parte del establecimiento de unas disposiciones generales para regular, seguidamente, las diferentes modalidades de ocupación. </w:t>
      </w:r>
    </w:p>
    <w:p w:rsidR="00B064CF" w:rsidRDefault="00E32F70">
      <w:pPr>
        <w:spacing w:after="0"/>
        <w:ind w:left="355" w:right="72"/>
      </w:pPr>
      <w:r>
        <w:t>En el Título I se recogen las disposiciones de carácter preliminar, encam</w:t>
      </w:r>
      <w:r>
        <w:t>inadas a delimitar el objeto y ámbito de aplicación de esta norma, así como la normativa subsidiaria y los criterios interpretativos. Dicho Título contiene, en su último artículo, una relación de conceptos que ayudará a la correcta interpretación y aplicac</w:t>
      </w:r>
      <w:r>
        <w:t xml:space="preserve">ión de la presente Ordenanza. </w:t>
      </w:r>
    </w:p>
    <w:p w:rsidR="00B064CF" w:rsidRDefault="00E32F70">
      <w:pPr>
        <w:spacing w:after="0"/>
        <w:ind w:left="355" w:right="143"/>
      </w:pPr>
      <w:r>
        <w:t>El Título II contiene las disposiciones de carácter general estructuradas en dos bloques. En un primer bloque se sientan los principios básicos y las condiciones generales que debe observar toda ocupación; se señalan las facu</w:t>
      </w:r>
      <w:r>
        <w:t>ltades de la Administración para velar por el adecuado uso y conservación del dominio; y se establecen las condiciones para la implantación de instalaciones especiales (gradas, escenarios, carpas, etc.) o el cierre al tráfico de las vías públicas. El segun</w:t>
      </w:r>
      <w:r>
        <w:t>do bloque trata los aspectos procedimentales, los títulos habilitantes (autorización expresa o concesión), la distribución competencial entre los diferentes departamentos y órganos municipales, los plazos de vigencia de los títulos y las obligaciones tribu</w:t>
      </w:r>
      <w:r>
        <w:t xml:space="preserve">tarias de los autorizados o concesionarios. </w:t>
      </w:r>
    </w:p>
    <w:p w:rsidR="00B064CF" w:rsidRDefault="00E32F70">
      <w:pPr>
        <w:spacing w:after="0" w:line="259" w:lineRule="auto"/>
        <w:ind w:left="360" w:firstLine="0"/>
        <w:jc w:val="left"/>
      </w:pPr>
      <w:r>
        <w:t xml:space="preserve"> </w:t>
      </w:r>
    </w:p>
    <w:p w:rsidR="00B064CF" w:rsidRDefault="00E32F70">
      <w:pPr>
        <w:spacing w:after="0"/>
        <w:ind w:left="355" w:right="143"/>
      </w:pPr>
      <w:r>
        <w:t>El Título III se estructura en seis capítulos, que se corresponden con cada una de las diferentes modalidades de ocupación (ocupaciones vinculadas a las actividades terciarias -hostelería, comercial y oficinas</w:t>
      </w:r>
      <w:r>
        <w:t>- desarrolladas en establecimientos privados o públicos; ocupaciones vinculadas a actividades lúdicas, artísticas, recreativas, informativas, publicitarias o solidarias; ocupaciones con quioscos; ocupaciones para la celebración de espectáculos y festividad</w:t>
      </w:r>
      <w:r>
        <w:t>es tradicionales; ocupaciones para el desarrollo de eventos deportivos; y otras modalidades de ocupación -protección de aceras, espejos de tráfico, cajeros automáticos y máquinas expendedoras-). Para cada una de esas modalidades de ocupación se establece u</w:t>
      </w:r>
      <w:r>
        <w:t xml:space="preserve">na doble regulación: por un lado, se fijan las condiciones dimensionales y de posicionamiento del espacio a ocupar, y por otro lado se señalan las características de los elementos y dispositivos asociados y vinculados a cada tipo de ocupación. </w:t>
      </w:r>
    </w:p>
    <w:p w:rsidR="00B064CF" w:rsidRDefault="00E32F70">
      <w:pPr>
        <w:spacing w:after="0" w:line="259" w:lineRule="auto"/>
        <w:ind w:left="360" w:firstLine="0"/>
        <w:jc w:val="left"/>
      </w:pPr>
      <w:r>
        <w:rPr>
          <w:rFonts w:ascii="Calibri" w:eastAsia="Calibri" w:hAnsi="Calibri" w:cs="Calibri"/>
          <w:noProof/>
        </w:rPr>
        <mc:AlternateContent>
          <mc:Choice Requires="wpg">
            <w:drawing>
              <wp:anchor distT="0" distB="0" distL="114300" distR="114300" simplePos="0" relativeHeight="25179136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0932" name="Group 390932"/>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6402" name="Rectangle 26402"/>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w:t>
                              </w:r>
                              <w:r>
                                <w:rPr>
                                  <w:sz w:val="12"/>
                                </w:rPr>
                                <w:t xml:space="preserve">idación: 64SKSNYNJRFPNN5DLPPAAC3GS | Verificación: https://candelaria.sedelectronica.es/ </w:t>
                              </w:r>
                            </w:p>
                          </w:txbxContent>
                        </wps:txbx>
                        <wps:bodyPr horzOverflow="overflow" vert="horz" lIns="0" tIns="0" rIns="0" bIns="0" rtlCol="0">
                          <a:noAutofit/>
                        </wps:bodyPr>
                      </wps:wsp>
                      <wps:wsp>
                        <wps:cNvPr id="26403" name="Rectangle 26403"/>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127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0932" style="width:12.7031pt;height:278.91pt;position:absolute;mso-position-horizontal-relative:page;mso-position-horizontal:absolute;margin-left:682.278pt;mso-position-vertical-relative:page;margin-top:533.01pt;" coordsize="1613,35421">
                <v:rect id="Rectangle 26402"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6403"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127 de 298 </w:t>
                        </w:r>
                      </w:p>
                    </w:txbxContent>
                  </v:textbox>
                </v:rect>
                <w10:wrap type="square"/>
              </v:group>
            </w:pict>
          </mc:Fallback>
        </mc:AlternateContent>
      </w:r>
      <w:r>
        <w:t xml:space="preserve"> </w:t>
      </w:r>
    </w:p>
    <w:p w:rsidR="00B064CF" w:rsidRDefault="00E32F70">
      <w:pPr>
        <w:spacing w:after="0"/>
        <w:ind w:left="355" w:right="150"/>
      </w:pPr>
      <w:r>
        <w:t xml:space="preserve">El Título IV contiene el régimen sancionador, especificando las conductas contrarias a lo previsto en la presente Ordenanza que quedan tipificadas como infracciones a la misma, y estableciendo las sanciones que corresponden a cada una.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11"/>
        <w:ind w:left="355" w:right="72"/>
      </w:pPr>
      <w:r>
        <w:t>TÍTULO I DISPOS</w:t>
      </w:r>
      <w:r>
        <w:t xml:space="preserve">ICIONES PRELIMINARES COMUNES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Artículo 1. Objeto </w:t>
      </w:r>
    </w:p>
    <w:p w:rsidR="00B064CF" w:rsidRDefault="00E32F70">
      <w:pPr>
        <w:numPr>
          <w:ilvl w:val="0"/>
          <w:numId w:val="34"/>
        </w:numPr>
        <w:spacing w:after="0"/>
        <w:ind w:right="147"/>
      </w:pPr>
      <w:r>
        <w:t>La presente Ordenanza tiene por objeto establecer la regulación jurídica del aprovechamiento especial o la utilización privativa de los espacios de dominio público de titularidad municipal, mediante su o</w:t>
      </w:r>
      <w:r>
        <w:t xml:space="preserve">cupación especial o privativa con: </w:t>
      </w:r>
    </w:p>
    <w:p w:rsidR="00B064CF" w:rsidRDefault="00E32F70">
      <w:pPr>
        <w:spacing w:after="0"/>
        <w:ind w:left="355" w:right="72"/>
      </w:pPr>
      <w:r>
        <w:t>◦</w:t>
      </w:r>
      <w:r>
        <w:t xml:space="preserve"> Instalaciones accesorias vinculadas a actividades terciarias (hosteleras, comerciales o de oficina) que se desarrollan en establecimientos de titularidad privada o pública. </w:t>
      </w:r>
    </w:p>
    <w:p w:rsidR="00B064CF" w:rsidRDefault="00E32F70">
      <w:pPr>
        <w:spacing w:after="0"/>
        <w:ind w:left="355" w:right="146"/>
      </w:pPr>
      <w:r>
        <w:t>◦</w:t>
      </w:r>
      <w:r>
        <w:t xml:space="preserve"> </w:t>
      </w:r>
      <w:r>
        <w:t xml:space="preserve">Actividades lúdicas, artísticas, informativas, publicitarias, solidarias, de sensibilización, promocionales, cuestación, petitorias, quioscos, espectáculos y festividades tradicionales, eventos deportivos y otras ocupaciones como elementos para protección </w:t>
      </w:r>
      <w:r>
        <w:t xml:space="preserve">de aceras, espejos de tráfico, cajeros automáticos y máquinas expendedoras, incluidos los elementos accesorios que les sirvan de soporte. </w:t>
      </w:r>
    </w:p>
    <w:p w:rsidR="00B064CF" w:rsidRDefault="00E32F70">
      <w:pPr>
        <w:numPr>
          <w:ilvl w:val="0"/>
          <w:numId w:val="34"/>
        </w:numPr>
        <w:spacing w:after="0"/>
        <w:ind w:right="147"/>
      </w:pPr>
      <w:r>
        <w:t>Quedan fuera del ámbito de aplicación de esta Ordenanza las modalidades de ocupación diferentes a las señaladas en el</w:t>
      </w:r>
      <w:r>
        <w:t xml:space="preserve"> número anterior y las que afecten al dominio público no municipal, cuyas regulaciones vendrán determinadas en las correspondientes normas legales y reglamentarias. </w:t>
      </w:r>
    </w:p>
    <w:p w:rsidR="00B064CF" w:rsidRDefault="00E32F70">
      <w:pPr>
        <w:spacing w:after="11"/>
        <w:ind w:left="355" w:right="72"/>
      </w:pPr>
      <w:r>
        <w:t xml:space="preserve">Artículo 2. Ámbito territorial de aplicación </w:t>
      </w:r>
    </w:p>
    <w:p w:rsidR="00B064CF" w:rsidRDefault="00E32F70">
      <w:pPr>
        <w:spacing w:after="11"/>
        <w:ind w:left="355" w:right="72"/>
      </w:pPr>
      <w:r>
        <w:t>La presente Ordenanza es de aplicación en to</w:t>
      </w:r>
      <w:r>
        <w:t xml:space="preserve">do el término municipal de Candelaria y queda referida exclusivamente al dominio público de titularidad municipal. </w:t>
      </w:r>
    </w:p>
    <w:p w:rsidR="00B064CF" w:rsidRDefault="00E32F70">
      <w:pPr>
        <w:spacing w:after="11"/>
        <w:ind w:left="355" w:right="72"/>
      </w:pPr>
      <w:r>
        <w:t xml:space="preserve">Artículo 3. Normativa subsidiaria y concurrencia de regímenes </w:t>
      </w:r>
    </w:p>
    <w:p w:rsidR="00B064CF" w:rsidRDefault="00E32F70">
      <w:pPr>
        <w:numPr>
          <w:ilvl w:val="0"/>
          <w:numId w:val="35"/>
        </w:numPr>
        <w:spacing w:after="199"/>
        <w:ind w:left="628" w:right="147" w:hanging="283"/>
      </w:pPr>
      <w:r>
        <w:t>Sin perjuicio de lo establecido en esta Ordenanza, resultarán aplicables a la</w:t>
      </w:r>
      <w:r>
        <w:t xml:space="preserve">s ocupaciones del dominio público las disposiciones que resulten procedentes contenidas en las demás ordenanzas municipales y en el resto de la normativa sectorial. </w:t>
      </w:r>
    </w:p>
    <w:p w:rsidR="00B064CF" w:rsidRDefault="00E32F70">
      <w:pPr>
        <w:numPr>
          <w:ilvl w:val="0"/>
          <w:numId w:val="35"/>
        </w:numPr>
        <w:spacing w:after="145"/>
        <w:ind w:left="628" w:right="147" w:hanging="283"/>
      </w:pPr>
      <w:r>
        <w:t>Las determinaciones de esta Ordenanza se aplicarán sin perjuicio de las competencias y atribuciones que, por razones territoriales o competenciales, correspondan a otras Administraciones</w:t>
      </w:r>
      <w:r>
        <w:rPr>
          <w:color w:val="7030A0"/>
        </w:rPr>
        <w:t xml:space="preserve"> </w:t>
      </w:r>
      <w:r>
        <w:t>o en normas contenidas en las Ordenanzas Municipales específicas en v</w:t>
      </w:r>
      <w:r>
        <w:t>igor.</w:t>
      </w:r>
      <w:r>
        <w:rPr>
          <w:rFonts w:ascii="Times New Roman" w:eastAsia="Times New Roman" w:hAnsi="Times New Roman" w:cs="Times New Roman"/>
          <w:sz w:val="24"/>
        </w:rPr>
        <w:t xml:space="preserve"> </w:t>
      </w:r>
    </w:p>
    <w:p w:rsidR="00B064CF" w:rsidRDefault="00E32F70">
      <w:pPr>
        <w:spacing w:after="11"/>
        <w:ind w:left="355" w:right="72"/>
      </w:pPr>
      <w:r>
        <w:t xml:space="preserve">Artículo 4. Efectos </w:t>
      </w:r>
    </w:p>
    <w:p w:rsidR="00B064CF" w:rsidRDefault="00E32F70">
      <w:pPr>
        <w:numPr>
          <w:ilvl w:val="0"/>
          <w:numId w:val="36"/>
        </w:numPr>
        <w:ind w:left="628" w:right="72" w:hanging="283"/>
      </w:pPr>
      <w:r>
        <w:t xml:space="preserve">La entrada en vigor de la Ordenanza Reguladora de la Ocupación del Dominio Público del Ayuntamiento de Candelaria produce los efectos legalmente previstos y, en concreto, los siguientes: </w:t>
      </w:r>
    </w:p>
    <w:p w:rsidR="00B064CF" w:rsidRDefault="00E32F70">
      <w:pPr>
        <w:numPr>
          <w:ilvl w:val="1"/>
          <w:numId w:val="36"/>
        </w:numPr>
        <w:ind w:right="72" w:hanging="360"/>
      </w:pPr>
      <w:r>
        <w:t>La obligatoriedad del cumplimiento de su</w:t>
      </w:r>
      <w:r>
        <w:t xml:space="preserve">s determinaciones tanto para el Ayuntamiento como para otras Administraciones o entidades públicas, y para los particulares. </w:t>
      </w:r>
    </w:p>
    <w:p w:rsidR="00B064CF" w:rsidRDefault="00E32F70">
      <w:pPr>
        <w:numPr>
          <w:ilvl w:val="1"/>
          <w:numId w:val="36"/>
        </w:numPr>
        <w:ind w:right="72" w:hanging="360"/>
      </w:pPr>
      <w:r>
        <w:t xml:space="preserve">La publicidad de su contenido, teniendo cualquier persona, derecho de consulta e información sobre la misma. </w:t>
      </w:r>
    </w:p>
    <w:p w:rsidR="00B064CF" w:rsidRDefault="00E32F70">
      <w:pPr>
        <w:numPr>
          <w:ilvl w:val="0"/>
          <w:numId w:val="36"/>
        </w:numPr>
        <w:ind w:left="628" w:right="72" w:hanging="283"/>
      </w:pPr>
      <w:r>
        <w:t>Esta Ordenanza tendr</w:t>
      </w:r>
      <w:r>
        <w:t xml:space="preserve">á vigencia indefinida, sin perjuicio de las modificaciones que se puedan introducir con arreglo a lo dispuesto en la legislación aplicable. </w:t>
      </w:r>
    </w:p>
    <w:p w:rsidR="00B064CF" w:rsidRDefault="00E32F70">
      <w:pPr>
        <w:spacing w:after="11"/>
        <w:ind w:left="355" w:right="72"/>
      </w:pPr>
      <w:r>
        <w:t xml:space="preserve">Artículo 5. Interpretación y aplicación </w:t>
      </w:r>
    </w:p>
    <w:p w:rsidR="00B064CF" w:rsidRDefault="00E32F70">
      <w:pPr>
        <w:numPr>
          <w:ilvl w:val="0"/>
          <w:numId w:val="37"/>
        </w:numPr>
        <w:ind w:left="628" w:right="72" w:hanging="283"/>
      </w:pPr>
      <w:r>
        <w:rPr>
          <w:rFonts w:ascii="Calibri" w:eastAsia="Calibri" w:hAnsi="Calibri" w:cs="Calibri"/>
          <w:noProof/>
        </w:rPr>
        <mc:AlternateContent>
          <mc:Choice Requires="wpg">
            <w:drawing>
              <wp:anchor distT="0" distB="0" distL="114300" distR="114300" simplePos="0" relativeHeight="25179238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0918" name="Group 390918"/>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6525" name="Rectangle 26525"/>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64SKSNYNJRFPNN5DLPPAAC3GS | Verificación: https://cand</w:t>
                              </w:r>
                              <w:r>
                                <w:rPr>
                                  <w:sz w:val="12"/>
                                </w:rPr>
                                <w:t xml:space="preserve">elaria.sedelectronica.es/ </w:t>
                              </w:r>
                            </w:p>
                          </w:txbxContent>
                        </wps:txbx>
                        <wps:bodyPr horzOverflow="overflow" vert="horz" lIns="0" tIns="0" rIns="0" bIns="0" rtlCol="0">
                          <a:noAutofit/>
                        </wps:bodyPr>
                      </wps:wsp>
                      <wps:wsp>
                        <wps:cNvPr id="26526" name="Rectangle 26526"/>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128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0918" style="width:12.7031pt;height:278.91pt;position:absolute;mso-position-horizontal-relative:page;mso-position-horizontal:absolute;margin-left:682.278pt;mso-position-vertical-relative:page;margin-top:533.01pt;" coordsize="1613,35421">
                <v:rect id="Rectangle 26525"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6526"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128 de 298 </w:t>
                        </w:r>
                      </w:p>
                    </w:txbxContent>
                  </v:textbox>
                </v:rect>
                <w10:wrap type="square"/>
              </v:group>
            </w:pict>
          </mc:Fallback>
        </mc:AlternateContent>
      </w:r>
      <w:r>
        <w:t xml:space="preserve">La interpretación de esta Ordenanza corresponde exclusivamente al Ayuntamiento de Candelaria en el ejercicio de sus competencias. </w:t>
      </w:r>
    </w:p>
    <w:p w:rsidR="00B064CF" w:rsidRDefault="00E32F70">
      <w:pPr>
        <w:numPr>
          <w:ilvl w:val="0"/>
          <w:numId w:val="37"/>
        </w:numPr>
        <w:ind w:left="628" w:right="72" w:hanging="283"/>
      </w:pPr>
      <w:r>
        <w:t>L</w:t>
      </w:r>
      <w:r>
        <w:t xml:space="preserve">as referencias a la legislación o reglamentación vigente deberán entenderse referidas, en su caso, a la legislación o reglamentación que las modifique o sustituya. </w:t>
      </w:r>
    </w:p>
    <w:p w:rsidR="00B064CF" w:rsidRDefault="00E32F70">
      <w:pPr>
        <w:numPr>
          <w:ilvl w:val="0"/>
          <w:numId w:val="37"/>
        </w:numPr>
        <w:ind w:left="628" w:right="72" w:hanging="283"/>
      </w:pPr>
      <w:r>
        <w:t>A los efectos de la interpretación y aplicación de esta Ordenanza, los conceptos y términos</w:t>
      </w:r>
      <w:r>
        <w:t xml:space="preserve"> utilizados tienen el significado y el alcance que para cada uno de ellos se precisa en el propio articulado, estando para el resto a lo establecido en el artículo 3.1 del Código Civil. </w:t>
      </w:r>
    </w:p>
    <w:p w:rsidR="00B064CF" w:rsidRDefault="00E32F70">
      <w:pPr>
        <w:spacing w:after="11"/>
        <w:ind w:left="355" w:right="72"/>
      </w:pPr>
      <w:r>
        <w:t xml:space="preserve">Artículo 6. Definiciones </w:t>
      </w:r>
    </w:p>
    <w:p w:rsidR="00B064CF" w:rsidRDefault="00E32F70">
      <w:pPr>
        <w:spacing w:after="30"/>
        <w:ind w:left="355" w:right="72"/>
      </w:pPr>
      <w:r>
        <w:t xml:space="preserve">A efectos de la interpretación y aplicación de esta Ordenanza, los conceptos utilizados en la misma tienen el significado y el alcance que para cada uno de ellos se precisa a continuación: </w:t>
      </w:r>
    </w:p>
    <w:p w:rsidR="00B064CF" w:rsidRDefault="00E32F70">
      <w:pPr>
        <w:numPr>
          <w:ilvl w:val="0"/>
          <w:numId w:val="38"/>
        </w:numPr>
        <w:spacing w:after="11"/>
        <w:ind w:left="472" w:right="145" w:hanging="127"/>
      </w:pPr>
      <w:r>
        <w:t xml:space="preserve">Acera: parte de la vía pública destinada al tránsito peatonal </w:t>
      </w:r>
    </w:p>
    <w:p w:rsidR="00B064CF" w:rsidRDefault="00E32F70">
      <w:pPr>
        <w:numPr>
          <w:ilvl w:val="0"/>
          <w:numId w:val="38"/>
        </w:numPr>
        <w:spacing w:after="0"/>
        <w:ind w:left="472" w:right="145" w:hanging="127"/>
      </w:pPr>
      <w:r>
        <w:t>Act</w:t>
      </w:r>
      <w:r>
        <w:t xml:space="preserve">ividades de cuestación o petitorias: aquellas de carácter temporal destinadas a recabar fondos para causas humanitarias o fines sociales de significación ciudadana e interés general, realizadas siempre con finalidades benéficas. </w:t>
      </w:r>
    </w:p>
    <w:p w:rsidR="00B064CF" w:rsidRDefault="00E32F70">
      <w:pPr>
        <w:numPr>
          <w:ilvl w:val="0"/>
          <w:numId w:val="38"/>
        </w:numPr>
        <w:spacing w:after="0"/>
        <w:ind w:left="472" w:right="145" w:hanging="127"/>
      </w:pPr>
      <w:r>
        <w:t xml:space="preserve">Actividades informativas, </w:t>
      </w:r>
      <w:r>
        <w:t xml:space="preserve">de sensibilización o promocionales: aquellas de carácter temporal que tienen por objeto el desarrollo de labores divulgativas o difusoras, la obtención de datos, la realización de encuestas y sondeos o la recogida de firmas. </w:t>
      </w:r>
    </w:p>
    <w:p w:rsidR="00B064CF" w:rsidRDefault="00E32F70">
      <w:pPr>
        <w:numPr>
          <w:ilvl w:val="0"/>
          <w:numId w:val="38"/>
        </w:numPr>
        <w:spacing w:after="4"/>
        <w:ind w:left="472" w:right="145" w:hanging="127"/>
      </w:pPr>
      <w:r>
        <w:t>Calle peatonal: aquélla en que</w:t>
      </w:r>
      <w:r>
        <w:t xml:space="preserve"> la totalidad de la vía esté reservada de forma permanente al uso peatonal excepto en el horario permitido para carga/descarga y para el paso de vehículos de servicio público o de residentes. • Calzada: parte de la vía pública destinada al tráfico rodado. </w:t>
      </w:r>
    </w:p>
    <w:p w:rsidR="00B064CF" w:rsidRDefault="00E32F70">
      <w:pPr>
        <w:numPr>
          <w:ilvl w:val="0"/>
          <w:numId w:val="38"/>
        </w:numPr>
        <w:ind w:left="472" w:right="145" w:hanging="127"/>
      </w:pPr>
      <w:r>
        <w:t xml:space="preserve">Carpa: instalación desmontable compuesta por una gran lona o elemento similar que cubre un recinto amplio, pudiendo quedar perimetralmente abierta o cerrada. </w:t>
      </w:r>
    </w:p>
    <w:p w:rsidR="00B064CF" w:rsidRDefault="00E32F70">
      <w:pPr>
        <w:numPr>
          <w:ilvl w:val="0"/>
          <w:numId w:val="38"/>
        </w:numPr>
        <w:spacing w:after="0"/>
        <w:ind w:left="472" w:right="145" w:hanging="127"/>
      </w:pPr>
      <w:r>
        <w:t>Cenador: Instalación desmontable compuesta por una estructura apoyada en el suelo o anclada en é</w:t>
      </w:r>
      <w:r>
        <w:t xml:space="preserve">l mediante dos o más pies o fustes, que soporta una o varias lonas o elementos similares (fijos, enrollables o plegables), pudiendo tener cerramientos laterales enrollables o plegables. </w:t>
      </w:r>
    </w:p>
    <w:p w:rsidR="00B064CF" w:rsidRDefault="00E32F70">
      <w:pPr>
        <w:numPr>
          <w:ilvl w:val="0"/>
          <w:numId w:val="38"/>
        </w:numPr>
        <w:spacing w:after="30"/>
        <w:ind w:left="472" w:right="145" w:hanging="127"/>
      </w:pPr>
      <w:r>
        <w:t>Dominio público: bienes de titularidad municipal destinados al uso pú</w:t>
      </w:r>
      <w:r>
        <w:t xml:space="preserve">blico   afectos a un servicio público. </w:t>
      </w:r>
    </w:p>
    <w:p w:rsidR="00B064CF" w:rsidRDefault="00E32F70">
      <w:pPr>
        <w:numPr>
          <w:ilvl w:val="0"/>
          <w:numId w:val="38"/>
        </w:numPr>
        <w:spacing w:after="0"/>
        <w:ind w:left="472" w:right="145" w:hanging="127"/>
      </w:pPr>
      <w:r>
        <w:t xml:space="preserve">Hostelería: actividad que tiene por finalidad la preparación y servicio de comidas y/o bebidas para su venta y consumición en el propio establecimiento y espacios anexos. </w:t>
      </w:r>
    </w:p>
    <w:p w:rsidR="00B064CF" w:rsidRDefault="00E32F70">
      <w:pPr>
        <w:numPr>
          <w:ilvl w:val="0"/>
          <w:numId w:val="38"/>
        </w:numPr>
        <w:spacing w:after="0"/>
        <w:ind w:left="472" w:right="145" w:hanging="127"/>
      </w:pPr>
      <w:r>
        <w:t>Mampara, biombo, pantalla, bastidor: panel v</w:t>
      </w:r>
      <w:r>
        <w:t>ertical móvil, apoyado en el suelo por uno o varios pies, que sirve para dividir, delimitar o aislar un espacio (nunca anclados al suelo o pared). • Plataforma o Parklet: Instalación de carácter provisional, que permite la ocupación de plazas de estacionam</w:t>
      </w:r>
      <w:r>
        <w:t xml:space="preserve">iento en la vía pública mediante la instalación de tarimas que enrasen el espacio ocupado por las terrazas con la acera existente, de manera que no se perciba ningún cambio de nivel. </w:t>
      </w:r>
    </w:p>
    <w:p w:rsidR="00B064CF" w:rsidRDefault="00E32F70">
      <w:pPr>
        <w:numPr>
          <w:ilvl w:val="0"/>
          <w:numId w:val="38"/>
        </w:numPr>
        <w:spacing w:after="0"/>
        <w:ind w:left="472" w:right="145" w:hanging="127"/>
      </w:pPr>
      <w:r>
        <w:t>Quiosco: Espacio comercial de pequeño tamaño y construcción ligera, form</w:t>
      </w:r>
      <w:r>
        <w:t>ado por varias columnas que sostienen una cubierta, destinado a la venta de periódicos, revistas, golosinas y otros artículos.</w:t>
      </w:r>
      <w:r>
        <w:rPr>
          <w:rFonts w:ascii="Times New Roman" w:eastAsia="Times New Roman" w:hAnsi="Times New Roman" w:cs="Times New Roman"/>
          <w:sz w:val="24"/>
        </w:rPr>
        <w:t xml:space="preserve"> </w:t>
      </w:r>
    </w:p>
    <w:p w:rsidR="00B064CF" w:rsidRDefault="00E32F70">
      <w:pPr>
        <w:numPr>
          <w:ilvl w:val="0"/>
          <w:numId w:val="38"/>
        </w:numPr>
        <w:spacing w:after="0"/>
        <w:ind w:left="472" w:right="145" w:hanging="127"/>
      </w:pPr>
      <w:r>
        <w:t>Rótulo: cartel, fijo o móvil, instalado permanentemente para publicitar cualquier tipo de actividad o negocio y dotado de corpor</w:t>
      </w:r>
      <w:r>
        <w:t xml:space="preserve">eidad, incluidos los elementos accesorios que les sirvan de soporte y los que les proporcionen iluminación, ya sea propia o indirecta </w:t>
      </w:r>
    </w:p>
    <w:p w:rsidR="00B064CF" w:rsidRDefault="00E32F70">
      <w:pPr>
        <w:numPr>
          <w:ilvl w:val="0"/>
          <w:numId w:val="38"/>
        </w:numPr>
        <w:spacing w:after="28"/>
        <w:ind w:left="472" w:right="145" w:hanging="127"/>
      </w:pPr>
      <w:r>
        <w:t>Sombrilla: instalación auxiliar para resguardar del sol, compuesta por un solo pie o mástil que soporta una lona o elemen</w:t>
      </w:r>
      <w:r>
        <w:t xml:space="preserve">to similar plegable, sin cerramientos laterales. </w:t>
      </w:r>
    </w:p>
    <w:p w:rsidR="00B064CF" w:rsidRDefault="00E32F70">
      <w:pPr>
        <w:numPr>
          <w:ilvl w:val="0"/>
          <w:numId w:val="38"/>
        </w:numPr>
        <w:spacing w:after="16"/>
        <w:ind w:left="472" w:right="145" w:hanging="127"/>
      </w:pPr>
      <w:r>
        <w:rPr>
          <w:rFonts w:ascii="Calibri" w:eastAsia="Calibri" w:hAnsi="Calibri" w:cs="Calibri"/>
          <w:noProof/>
        </w:rPr>
        <mc:AlternateContent>
          <mc:Choice Requires="wpg">
            <w:drawing>
              <wp:anchor distT="0" distB="0" distL="114300" distR="114300" simplePos="0" relativeHeight="25179340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1178" name="Group 391178"/>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6628" name="Rectangle 26628"/>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6629" name="Rectangle 26629"/>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129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1178" style="width:12.7031pt;height:278.91pt;position:absolute;mso-position-horizontal-relative:page;mso-position-horizontal:absolute;margin-left:682.278pt;mso-position-vertical-relative:page;margin-top:533.01pt;" coordsize="1613,35421">
                <v:rect id="Rectangle 26628"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6629"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129 de 298 </w:t>
                        </w:r>
                      </w:p>
                    </w:txbxContent>
                  </v:textbox>
                </v:rect>
                <w10:wrap type="square"/>
              </v:group>
            </w:pict>
          </mc:Fallback>
        </mc:AlternateContent>
      </w:r>
      <w:r>
        <w:t>Terraza: ocupación del suelo de uso público aneja a un establecimiento comercial de hostelería o restauración autorizado para la instalación de elementos accesorios de las actividades de hostelería (mesas, sillas, sombrillas, toldos, mamparas…), nunca ancl</w:t>
      </w:r>
      <w:r>
        <w:t xml:space="preserve">ados al suelo. </w:t>
      </w:r>
    </w:p>
    <w:p w:rsidR="00B064CF" w:rsidRDefault="00E32F70">
      <w:pPr>
        <w:numPr>
          <w:ilvl w:val="0"/>
          <w:numId w:val="38"/>
        </w:numPr>
        <w:spacing w:after="0"/>
        <w:ind w:left="472" w:right="145" w:hanging="127"/>
      </w:pPr>
      <w:r>
        <w:t xml:space="preserve">Toldo: instalación auxiliar anclada en la pared, compuesta por una estructura ligera retráctil y una cubierta de lona, o elemento similar, enrollable o plegable. </w:t>
      </w:r>
    </w:p>
    <w:p w:rsidR="00B064CF" w:rsidRDefault="00E32F70">
      <w:pPr>
        <w:numPr>
          <w:ilvl w:val="0"/>
          <w:numId w:val="38"/>
        </w:numPr>
        <w:spacing w:after="0"/>
        <w:ind w:left="472" w:right="145" w:hanging="127"/>
      </w:pPr>
      <w:r>
        <w:t>Vía pública, aquella parte del dominio público y que por naturaleza está destinada al uso general y al tránsito de personas, vehículos y semovientes. A los mismos efectos es independiente que esté urbanizada o no, cuando de su destino urbanístico se deduzc</w:t>
      </w:r>
      <w:r>
        <w:t xml:space="preserve">a el carácter de vía pública.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TÍTULO II DISPOSICIONES GENERALES </w:t>
      </w:r>
    </w:p>
    <w:p w:rsidR="00B064CF" w:rsidRDefault="00E32F70">
      <w:pPr>
        <w:spacing w:after="11"/>
        <w:ind w:left="355" w:right="72"/>
      </w:pPr>
      <w:r>
        <w:t xml:space="preserve">CAPÍTULO 1 PRINCIPIOS Y CONDICIONES GENERALES DE LA OCUPACIÓN </w:t>
      </w:r>
    </w:p>
    <w:p w:rsidR="00B064CF" w:rsidRDefault="00E32F70">
      <w:pPr>
        <w:spacing w:after="11"/>
        <w:ind w:left="355" w:right="72"/>
      </w:pPr>
      <w:r>
        <w:t xml:space="preserve">Artículo 7. Principios básicos </w:t>
      </w:r>
    </w:p>
    <w:p w:rsidR="00B064CF" w:rsidRDefault="00E32F70">
      <w:pPr>
        <w:spacing w:after="0"/>
        <w:ind w:left="355" w:right="72"/>
      </w:pPr>
      <w:r>
        <w:t>La ocupación de los espacios municipales de dominio público se regirá por los siguientes prin</w:t>
      </w:r>
      <w:r>
        <w:t xml:space="preserve">cipios generales: </w:t>
      </w:r>
    </w:p>
    <w:p w:rsidR="00B064CF" w:rsidRDefault="00E32F70">
      <w:pPr>
        <w:numPr>
          <w:ilvl w:val="0"/>
          <w:numId w:val="39"/>
        </w:numPr>
        <w:ind w:left="628" w:right="72" w:hanging="283"/>
      </w:pPr>
      <w:r>
        <w:t>Obligación de obtención del título habilitante, de forma previa a la ocupación, mediante licencia municipal otorgada por el Ayuntamiento de Candelaria, como titular del dominio público, instada a requerimiento de la persona física o jurí</w:t>
      </w:r>
      <w:r>
        <w:t>dica  interesada mediante escrito, presentado en los términos y medios legalmente admitidos, al que se acompañarán los documentos que en cada caso se determine en los artículos que conforman esta ordenanza, y la tasa exigible conforme a la ordenanza fiscal</w:t>
      </w:r>
      <w:r>
        <w:t xml:space="preserve"> correspondiente. </w:t>
      </w:r>
    </w:p>
    <w:p w:rsidR="00B064CF" w:rsidRDefault="00E32F70">
      <w:pPr>
        <w:numPr>
          <w:ilvl w:val="0"/>
          <w:numId w:val="39"/>
        </w:numPr>
        <w:ind w:left="628" w:right="72" w:hanging="283"/>
      </w:pPr>
      <w:r>
        <w:t>La tramitación de solicitudes de licencias se ajustará a los procedimientos señalados en esta ordenanza, sin perjuicio de las peculiaridades y requisitos que, por razón de su contenido específico, se establezcan en normas de rango superi</w:t>
      </w:r>
      <w:r>
        <w:t xml:space="preserve">or y en las normas reguladoras de la tramitación de otras autorizaciones administrativas que sean exigibles. </w:t>
      </w:r>
    </w:p>
    <w:p w:rsidR="00B064CF" w:rsidRDefault="00E32F70">
      <w:pPr>
        <w:numPr>
          <w:ilvl w:val="0"/>
          <w:numId w:val="39"/>
        </w:numPr>
        <w:ind w:left="628" w:right="72" w:hanging="283"/>
      </w:pPr>
      <w:r>
        <w:t xml:space="preserve">Limitación de las ocupaciones, al objeto de evitar una proliferación excesiva de las mismas que limite o impida innecesaria e injustificadamente el uso común, igual y gratuito del espacio público. </w:t>
      </w:r>
    </w:p>
    <w:p w:rsidR="00B064CF" w:rsidRDefault="00E32F70">
      <w:pPr>
        <w:numPr>
          <w:ilvl w:val="0"/>
          <w:numId w:val="39"/>
        </w:numPr>
        <w:ind w:left="628" w:right="72" w:hanging="283"/>
      </w:pPr>
      <w:r>
        <w:t>Uniformidad de los elementos, para logar así una imagen co</w:t>
      </w:r>
      <w:r>
        <w:t xml:space="preserve">herente y ordenada del conjunto. </w:t>
      </w:r>
    </w:p>
    <w:p w:rsidR="00B064CF" w:rsidRDefault="00E32F70">
      <w:pPr>
        <w:numPr>
          <w:ilvl w:val="0"/>
          <w:numId w:val="39"/>
        </w:numPr>
        <w:ind w:left="628" w:right="72" w:hanging="283"/>
      </w:pPr>
      <w:r>
        <w:t xml:space="preserve">Compatibilidad entre los elementos a instalar y el entorno, con la finalidad de obtener una integración armónica de los primeros en el segundo. </w:t>
      </w:r>
    </w:p>
    <w:p w:rsidR="00B064CF" w:rsidRDefault="00E32F70">
      <w:pPr>
        <w:numPr>
          <w:ilvl w:val="0"/>
          <w:numId w:val="39"/>
        </w:numPr>
        <w:ind w:left="628" w:right="72" w:hanging="283"/>
      </w:pPr>
      <w:r>
        <w:t xml:space="preserve">Evitación del desarrollo de actividades y ocupaciones que, individualmente o </w:t>
      </w:r>
      <w:r>
        <w:t xml:space="preserve">por concurrencia, supongan efectos aditivos negativos o contraproducentes. </w:t>
      </w:r>
    </w:p>
    <w:p w:rsidR="00B064CF" w:rsidRDefault="00E32F70">
      <w:pPr>
        <w:numPr>
          <w:ilvl w:val="0"/>
          <w:numId w:val="39"/>
        </w:numPr>
        <w:ind w:left="628" w:right="72" w:hanging="283"/>
      </w:pPr>
      <w:r>
        <w:t xml:space="preserve">Cumplimiento de las medidas de seguridad, accesibilidad y funcionalidad del espacio público. </w:t>
      </w:r>
    </w:p>
    <w:p w:rsidR="00B064CF" w:rsidRDefault="00E32F70">
      <w:pPr>
        <w:numPr>
          <w:ilvl w:val="0"/>
          <w:numId w:val="39"/>
        </w:numPr>
        <w:ind w:left="628" w:right="72" w:hanging="283"/>
      </w:pPr>
      <w:r>
        <w:t xml:space="preserve">Protección de los recursos paisajísticos, históricos y culturales.  </w:t>
      </w:r>
    </w:p>
    <w:p w:rsidR="00B064CF" w:rsidRDefault="00E32F70">
      <w:pPr>
        <w:numPr>
          <w:ilvl w:val="0"/>
          <w:numId w:val="39"/>
        </w:numPr>
        <w:ind w:left="628" w:right="72" w:hanging="283"/>
      </w:pPr>
      <w:r>
        <w:t>Respeto a las reg</w:t>
      </w:r>
      <w:r>
        <w:t xml:space="preserve">las de convivencia. </w:t>
      </w:r>
    </w:p>
    <w:p w:rsidR="00B064CF" w:rsidRDefault="00E32F70">
      <w:pPr>
        <w:numPr>
          <w:ilvl w:val="0"/>
          <w:numId w:val="39"/>
        </w:numPr>
        <w:ind w:left="628" w:right="72" w:hanging="283"/>
      </w:pPr>
      <w:r>
        <w:t xml:space="preserve">Fomento del espacio público como lugar de encuentro que cumple un contenido social específico. </w:t>
      </w:r>
    </w:p>
    <w:p w:rsidR="00B064CF" w:rsidRDefault="00E32F70">
      <w:pPr>
        <w:spacing w:after="11"/>
        <w:ind w:left="355" w:right="72"/>
      </w:pPr>
      <w:r>
        <w:t xml:space="preserve">Artículo 8. Condiciones generales de la ocupación </w:t>
      </w:r>
    </w:p>
    <w:p w:rsidR="00B064CF" w:rsidRDefault="00E32F70">
      <w:pPr>
        <w:numPr>
          <w:ilvl w:val="0"/>
          <w:numId w:val="40"/>
        </w:numPr>
        <w:spacing w:after="0"/>
        <w:ind w:left="628" w:right="108" w:hanging="283"/>
      </w:pPr>
      <w:r>
        <w:t>Las ocupaciones de los espacios municipales de dominio público cumplirán, con carácter g</w:t>
      </w:r>
      <w:r>
        <w:t xml:space="preserve">eneral, las siguientes condiciones: </w:t>
      </w:r>
    </w:p>
    <w:p w:rsidR="00B064CF" w:rsidRDefault="00E32F70">
      <w:pPr>
        <w:numPr>
          <w:ilvl w:val="2"/>
          <w:numId w:val="41"/>
        </w:numPr>
        <w:ind w:right="72" w:hanging="360"/>
      </w:pPr>
      <w:r>
        <w:t xml:space="preserve">Permitirán el tránsito normal de peatones y vehículos en condiciones adecuadas. </w:t>
      </w:r>
    </w:p>
    <w:p w:rsidR="00B064CF" w:rsidRDefault="00E32F70">
      <w:pPr>
        <w:numPr>
          <w:ilvl w:val="2"/>
          <w:numId w:val="41"/>
        </w:numPr>
        <w:ind w:right="72" w:hanging="360"/>
      </w:pPr>
      <w:r>
        <w:rPr>
          <w:rFonts w:ascii="Calibri" w:eastAsia="Calibri" w:hAnsi="Calibri" w:cs="Calibri"/>
          <w:noProof/>
        </w:rPr>
        <mc:AlternateContent>
          <mc:Choice Requires="wpg">
            <w:drawing>
              <wp:anchor distT="0" distB="0" distL="114300" distR="114300" simplePos="0" relativeHeight="25179443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1414" name="Group 391414"/>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6750" name="Rectangle 26750"/>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6751" name="Rectangle 26751"/>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w:t>
                              </w:r>
                              <w:r>
                                <w:rPr>
                                  <w:sz w:val="12"/>
                                </w:rPr>
                                <w:t xml:space="preserve">desde la plataforma esPublico Gestiona | Página 130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1414" style="width:12.7031pt;height:278.91pt;position:absolute;mso-position-horizontal-relative:page;mso-position-horizontal:absolute;margin-left:682.278pt;mso-position-vertical-relative:page;margin-top:533.01pt;" coordsize="1613,35421">
                <v:rect id="Rectangle 26750"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6751"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130 de 298 </w:t>
                        </w:r>
                      </w:p>
                    </w:txbxContent>
                  </v:textbox>
                </v:rect>
                <w10:wrap type="square"/>
              </v:group>
            </w:pict>
          </mc:Fallback>
        </mc:AlternateContent>
      </w:r>
      <w:r>
        <w:t xml:space="preserve">No impedirán ni dificultarán el acceso a edificios y parcelas, ya sean de titularidad privada o pública. </w:t>
      </w:r>
    </w:p>
    <w:p w:rsidR="00B064CF" w:rsidRDefault="00E32F70">
      <w:pPr>
        <w:numPr>
          <w:ilvl w:val="2"/>
          <w:numId w:val="41"/>
        </w:numPr>
        <w:ind w:right="72" w:hanging="360"/>
      </w:pPr>
      <w:r>
        <w:t>No obstaculizarán los pasos y vados (tanto peatonales como vehiculares, incluidos los rese</w:t>
      </w:r>
      <w:r>
        <w:t xml:space="preserve">rvados o destinados a personas con movilidad reducida), las paradas de transporte público, las salidas de emergencia ni las zonas habilitadas para carga y descarga. </w:t>
      </w:r>
    </w:p>
    <w:p w:rsidR="00B064CF" w:rsidRDefault="00E32F70">
      <w:pPr>
        <w:numPr>
          <w:ilvl w:val="2"/>
          <w:numId w:val="41"/>
        </w:numPr>
        <w:ind w:right="72" w:hanging="360"/>
      </w:pPr>
      <w:r>
        <w:t xml:space="preserve">No afectarán a espacios públicos ajardinados existentes. </w:t>
      </w:r>
    </w:p>
    <w:p w:rsidR="00B064CF" w:rsidRDefault="00E32F70">
      <w:pPr>
        <w:numPr>
          <w:ilvl w:val="2"/>
          <w:numId w:val="41"/>
        </w:numPr>
        <w:ind w:right="72" w:hanging="360"/>
      </w:pPr>
      <w:r>
        <w:t xml:space="preserve">No dificultarán o limitarán la visión de la señalización de tráfico ni pondrán en riesgo la seguridad vial.  </w:t>
      </w:r>
    </w:p>
    <w:p w:rsidR="00B064CF" w:rsidRDefault="00E32F70">
      <w:pPr>
        <w:numPr>
          <w:ilvl w:val="2"/>
          <w:numId w:val="41"/>
        </w:numPr>
        <w:ind w:right="72" w:hanging="360"/>
      </w:pPr>
      <w:r>
        <w:t xml:space="preserve">No supondrán un riesgo para la seguridad en caso de afluencia masiva de personas. </w:t>
      </w:r>
    </w:p>
    <w:p w:rsidR="00B064CF" w:rsidRDefault="00E32F70">
      <w:pPr>
        <w:numPr>
          <w:ilvl w:val="2"/>
          <w:numId w:val="41"/>
        </w:numPr>
        <w:ind w:right="72" w:hanging="360"/>
      </w:pPr>
      <w:r>
        <w:t>No ampararán el desarrollo de actividades o la instalación de d</w:t>
      </w:r>
      <w:r>
        <w:t xml:space="preserve">ispositivos que puedan producir molestias por ruidos, olores, humos o similares a los residentes, salvo en los casos debidamente justificados y autorizados de eventos públicos o celebraciones populares de carácter esporádico u ocasional. </w:t>
      </w:r>
    </w:p>
    <w:p w:rsidR="00B064CF" w:rsidRDefault="00E32F70">
      <w:pPr>
        <w:numPr>
          <w:ilvl w:val="0"/>
          <w:numId w:val="40"/>
        </w:numPr>
        <w:spacing w:after="0"/>
        <w:ind w:left="628" w:right="108" w:hanging="283"/>
      </w:pPr>
      <w:r>
        <w:t>La personas o ent</w:t>
      </w:r>
      <w:r>
        <w:t xml:space="preserve">idades titulares de las licencias concedidas para la ocupación del dominio público tendrán las siguientes obligaciones: </w:t>
      </w:r>
    </w:p>
    <w:p w:rsidR="00B064CF" w:rsidRDefault="00E32F70">
      <w:pPr>
        <w:numPr>
          <w:ilvl w:val="1"/>
          <w:numId w:val="40"/>
        </w:numPr>
        <w:ind w:right="143" w:hanging="360"/>
      </w:pPr>
      <w:r>
        <w:t>Observar y cumplir las condiciones comunes y específicas establecidas en la presente Ordenanza y, en su caso, las particulares contenid</w:t>
      </w:r>
      <w:r>
        <w:t xml:space="preserve">as en la autorización habilitante para la ocupación. </w:t>
      </w:r>
    </w:p>
    <w:p w:rsidR="00B064CF" w:rsidRDefault="00E32F70">
      <w:pPr>
        <w:numPr>
          <w:ilvl w:val="1"/>
          <w:numId w:val="40"/>
        </w:numPr>
        <w:ind w:right="143" w:hanging="360"/>
      </w:pPr>
      <w:r>
        <w:t xml:space="preserve">Mantener en perfecto estado de limpieza y decoro la superficie ocupada y sus alrededores. </w:t>
      </w:r>
    </w:p>
    <w:p w:rsidR="00B064CF" w:rsidRDefault="00E32F70">
      <w:pPr>
        <w:numPr>
          <w:ilvl w:val="1"/>
          <w:numId w:val="40"/>
        </w:numPr>
        <w:ind w:right="143" w:hanging="360"/>
      </w:pPr>
      <w:r>
        <w:t>Respetar la urbanización, instalaciones y mobiliario urbano integrado en el ámbito espacial afectado por la ocu</w:t>
      </w:r>
      <w:r>
        <w:t xml:space="preserve">pación. </w:t>
      </w:r>
    </w:p>
    <w:p w:rsidR="00B064CF" w:rsidRDefault="00E32F70">
      <w:pPr>
        <w:numPr>
          <w:ilvl w:val="1"/>
          <w:numId w:val="40"/>
        </w:numPr>
        <w:ind w:right="143" w:hanging="360"/>
      </w:pPr>
      <w:r>
        <w:t xml:space="preserve">Facilitar el acceso a los registros e instalaciones de los servicios públicos (abastecimiento de agua, suministro eléctrico, saneamiento, alumbrado público, telecomunicaciones, riego, etc.) para su reparación, supervisión o mantenimiento. </w:t>
      </w:r>
    </w:p>
    <w:p w:rsidR="00B064CF" w:rsidRDefault="00E32F70">
      <w:pPr>
        <w:numPr>
          <w:ilvl w:val="1"/>
          <w:numId w:val="40"/>
        </w:numPr>
        <w:spacing w:line="246" w:lineRule="auto"/>
        <w:ind w:right="143" w:hanging="360"/>
      </w:pPr>
      <w:r>
        <w:t>Mantene</w:t>
      </w:r>
      <w:r>
        <w:t xml:space="preserve">r las instalaciones y elementos de la ocupación en adecuadas condiciones de limpieza, ornato, seguridad y funcionalidad. A tal efecto se deberá adoptar, en todo momento, las medidas que garanticen el cumplimiento de dicha obligación. </w:t>
      </w:r>
    </w:p>
    <w:p w:rsidR="00B064CF" w:rsidRDefault="00E32F70">
      <w:pPr>
        <w:numPr>
          <w:ilvl w:val="1"/>
          <w:numId w:val="40"/>
        </w:numPr>
        <w:ind w:right="143" w:hanging="360"/>
      </w:pPr>
      <w:r>
        <w:t>Responder por los dañ</w:t>
      </w:r>
      <w:r>
        <w:t xml:space="preserve">os que se puedan ocasionar a los bienes privados o públicos, ejecutando, en su caso, cuantas actuaciones u obras fueran necesarias para la restitución de los bienes afectados a su estado original. </w:t>
      </w:r>
    </w:p>
    <w:p w:rsidR="00B064CF" w:rsidRDefault="00E32F70">
      <w:pPr>
        <w:numPr>
          <w:ilvl w:val="1"/>
          <w:numId w:val="40"/>
        </w:numPr>
        <w:spacing w:line="246" w:lineRule="auto"/>
        <w:ind w:right="143" w:hanging="360"/>
      </w:pPr>
      <w:r>
        <w:t>Tener cubierto, mediante póliza de seguros, cualquier acci</w:t>
      </w:r>
      <w:r>
        <w:t xml:space="preserve">dente o daño que se pueda producir, a la administración y/o a terceros, como consecuencia de la ocupación del suelo público. Dicha póliza debe encontrarse, en todo momento, al corriente de pago. </w:t>
      </w:r>
    </w:p>
    <w:p w:rsidR="00B064CF" w:rsidRDefault="00E32F70">
      <w:pPr>
        <w:numPr>
          <w:ilvl w:val="1"/>
          <w:numId w:val="40"/>
        </w:numPr>
        <w:ind w:right="143" w:hanging="360"/>
      </w:pPr>
      <w:r>
        <w:t>Cesar la actividad vinculada a la ocupación y retirar de man</w:t>
      </w:r>
      <w:r>
        <w:t xml:space="preserve">era inmediata, a requerimiento de las autoridades municipales, insulares, autonómicas o estatales, las instalaciones y elementos de la ocupación, cuando concurra causa de emergencia, necesidad o interés público. </w:t>
      </w:r>
    </w:p>
    <w:p w:rsidR="00B064CF" w:rsidRDefault="00E32F70">
      <w:pPr>
        <w:numPr>
          <w:ilvl w:val="1"/>
          <w:numId w:val="40"/>
        </w:numPr>
        <w:spacing w:line="246" w:lineRule="auto"/>
        <w:ind w:right="143" w:hanging="360"/>
      </w:pPr>
      <w:r>
        <w:rPr>
          <w:rFonts w:ascii="Calibri" w:eastAsia="Calibri" w:hAnsi="Calibri" w:cs="Calibri"/>
          <w:noProof/>
        </w:rPr>
        <mc:AlternateContent>
          <mc:Choice Requires="wpg">
            <w:drawing>
              <wp:anchor distT="0" distB="0" distL="114300" distR="114300" simplePos="0" relativeHeight="25179545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1714" name="Group 391714"/>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6862" name="Rectangle 26862"/>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w:t>
                              </w:r>
                              <w:r>
                                <w:rPr>
                                  <w:sz w:val="12"/>
                                </w:rPr>
                                <w:t xml:space="preserve">GS | Verificación: https://candelaria.sedelectronica.es/ </w:t>
                              </w:r>
                            </w:p>
                          </w:txbxContent>
                        </wps:txbx>
                        <wps:bodyPr horzOverflow="overflow" vert="horz" lIns="0" tIns="0" rIns="0" bIns="0" rtlCol="0">
                          <a:noAutofit/>
                        </wps:bodyPr>
                      </wps:wsp>
                      <wps:wsp>
                        <wps:cNvPr id="26863" name="Rectangle 26863"/>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131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1714" style="width:12.7031pt;height:278.91pt;position:absolute;mso-position-horizontal-relative:page;mso-position-horizontal:absolute;margin-left:682.278pt;mso-position-vertical-relative:page;margin-top:533.01pt;" coordsize="1613,35421">
                <v:rect id="Rectangle 26862"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6863"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131 de 298 </w:t>
                        </w:r>
                      </w:p>
                    </w:txbxContent>
                  </v:textbox>
                </v:rect>
                <w10:wrap type="square"/>
              </v:group>
            </w:pict>
          </mc:Fallback>
        </mc:AlternateContent>
      </w:r>
      <w:r>
        <w:t>Retirar las instalaciones y elementos de la ocupación y cesar, en su caso, la actividad vinculada a l</w:t>
      </w:r>
      <w:r>
        <w:t xml:space="preserve">a misma, a instancia de las autoridades municipales y en el plazo que se señale al efecto, cuando se revoque o suspenda el título habilitante; en tales supuestos la retirada y/o suspensión tendrá, respectivamente, carácter definitivo o provisional. </w:t>
      </w:r>
    </w:p>
    <w:p w:rsidR="00B064CF" w:rsidRDefault="00E32F70">
      <w:pPr>
        <w:numPr>
          <w:ilvl w:val="1"/>
          <w:numId w:val="40"/>
        </w:numPr>
        <w:ind w:right="143" w:hanging="360"/>
      </w:pPr>
      <w:r>
        <w:t>Retira</w:t>
      </w:r>
      <w:r>
        <w:t xml:space="preserve">r las instalaciones y elementos de la ocupación y cesar, en su caso, la actividad vinculada a la misma, cuando finalice el plazo de vigencia establecido en título habilitante y éste no haya sido renovado. </w:t>
      </w:r>
    </w:p>
    <w:p w:rsidR="00B064CF" w:rsidRDefault="00E32F70">
      <w:pPr>
        <w:numPr>
          <w:ilvl w:val="1"/>
          <w:numId w:val="40"/>
        </w:numPr>
        <w:ind w:right="143" w:hanging="360"/>
      </w:pPr>
      <w:r>
        <w:t xml:space="preserve">Queda expresamente prohibido almacenar o apilar productos y materiales, de toda clase, en suelo público, salvo los expresamente autorizados. </w:t>
      </w:r>
    </w:p>
    <w:p w:rsidR="00B064CF" w:rsidRDefault="00E32F70">
      <w:pPr>
        <w:numPr>
          <w:ilvl w:val="1"/>
          <w:numId w:val="40"/>
        </w:numPr>
        <w:ind w:right="143" w:hanging="360"/>
      </w:pPr>
      <w:r>
        <w:t xml:space="preserve">Queda prohibida la instalación de cualquier tipo de máquinas comerciales, dispensadoras, recreativas o de azar en </w:t>
      </w:r>
      <w:r>
        <w:t>suelo público, salvo que se autorice de forma expresa. Queda igualmente prohibido cualquier tipo de uso instrumental del arbolado y de los elementos del mobiliario urbano municipal en la ocupación de suelo público o en el desarrollo de la actividad que jus</w:t>
      </w:r>
      <w:r>
        <w:t xml:space="preserve">tifica la ocupación. </w:t>
      </w:r>
    </w:p>
    <w:p w:rsidR="00B064CF" w:rsidRDefault="00E32F70">
      <w:pPr>
        <w:numPr>
          <w:ilvl w:val="1"/>
          <w:numId w:val="40"/>
        </w:numPr>
        <w:ind w:right="143" w:hanging="360"/>
      </w:pPr>
      <w:r>
        <w:t>El mobiliario de las instalaciones deberá ser ajustado a las características del entorno urbano en el que se ubiquen, pudiendo exigirse el cumplimiento de determinadas condiciones estéticas y de uniformidad entre los diversos establec</w:t>
      </w:r>
      <w:r>
        <w:t xml:space="preserve">imientos asentados en un entorno urbano semejante. </w:t>
      </w:r>
    </w:p>
    <w:p w:rsidR="00B064CF" w:rsidRDefault="00E32F70">
      <w:pPr>
        <w:numPr>
          <w:ilvl w:val="1"/>
          <w:numId w:val="40"/>
        </w:numPr>
        <w:ind w:right="143" w:hanging="360"/>
      </w:pPr>
      <w:r>
        <w:t>Queda prohibido instalar aparatos reproductores de imagen y/o sonido en la vía pública, tales como: equipos de música, televisores, o aparatos de cualquier otra índole (equipos informáticos, karaokes, etc</w:t>
      </w:r>
      <w:r>
        <w:t xml:space="preserve">.) así como emitir sonido hacia la vía pública por ningún medio, ni siquiera desde el interior del local. </w:t>
      </w:r>
    </w:p>
    <w:p w:rsidR="00B064CF" w:rsidRDefault="00E32F70">
      <w:pPr>
        <w:numPr>
          <w:ilvl w:val="1"/>
          <w:numId w:val="40"/>
        </w:numPr>
        <w:ind w:right="143" w:hanging="360"/>
      </w:pPr>
      <w:r>
        <w:t xml:space="preserve">Queda prohibida la exposición o la instalación, en fachada, de elementos que no estén expresamente incluidos en la presente ordenanza y/o permitidos </w:t>
      </w:r>
      <w:r>
        <w:t xml:space="preserve">por la Normativa Urbanística vigente de aplicación. </w:t>
      </w:r>
    </w:p>
    <w:p w:rsidR="00B064CF" w:rsidRDefault="00E32F70">
      <w:pPr>
        <w:numPr>
          <w:ilvl w:val="0"/>
          <w:numId w:val="40"/>
        </w:numPr>
        <w:ind w:left="628" w:right="108" w:hanging="283"/>
      </w:pPr>
      <w:r>
        <w:t xml:space="preserve">El incumplimiento de las obligaciones señaladas en el número anterior habilitará al Ayuntamiento para ejecutar subsidiariamente, a costa de la persona o entidad interesada y sin derecho a indemnización, </w:t>
      </w:r>
      <w:r>
        <w:t xml:space="preserve">cuantas acciones, actuaciones y obras sean necesarias para el adecuado mantenimiento, reposición, uso y/o liberación del espacio público, todo ello sin perjuicio de la incoación del correspondiente procedimiento sancionador. </w:t>
      </w:r>
    </w:p>
    <w:p w:rsidR="00B064CF" w:rsidRDefault="00E32F70">
      <w:pPr>
        <w:numPr>
          <w:ilvl w:val="0"/>
          <w:numId w:val="40"/>
        </w:numPr>
        <w:ind w:left="628" w:right="108" w:hanging="283"/>
      </w:pPr>
      <w:r>
        <w:t>Cuando el Ayuntamiento, por ra</w:t>
      </w:r>
      <w:r>
        <w:t>zones de interés público, requiera disponer libremente del espacio público, ordenará la retirada temporal de los elementos e instalaciones y la suspensión de las actividades. La retirada temporal también podrá ser ordenada directamente por la Policía Local</w:t>
      </w:r>
      <w:r>
        <w:t xml:space="preserve"> cuando se constate que la ocupación del dominio público genera una situación de riesgo inminente para la seguridad de las personas o bienes. Dichas retiradas o suspensiones temporales, que se podrán mantener mientras persistan las necesidades de libre dis</w:t>
      </w:r>
      <w:r>
        <w:t xml:space="preserve">posición del espacio público o se mantengan las circunstancias que originaron la situación de riesgo, no generarán derecho de indemnización alguno, sin perjuicio de la devolución de la parte proporcional de la tasa que, en su caso, corresponda. </w:t>
      </w:r>
    </w:p>
    <w:p w:rsidR="00B064CF" w:rsidRDefault="00E32F70">
      <w:pPr>
        <w:spacing w:after="11"/>
        <w:ind w:left="355" w:right="72"/>
      </w:pPr>
      <w:r>
        <w:t>Artículo 9</w:t>
      </w:r>
      <w:r>
        <w:t>. Garantías, conservación del dominio público y seguros</w:t>
      </w:r>
      <w:r>
        <w:rPr>
          <w:rFonts w:ascii="Times New Roman" w:eastAsia="Times New Roman" w:hAnsi="Times New Roman" w:cs="Times New Roman"/>
          <w:sz w:val="24"/>
        </w:rPr>
        <w:t xml:space="preserve"> </w:t>
      </w:r>
    </w:p>
    <w:p w:rsidR="00B064CF" w:rsidRDefault="00E32F70">
      <w:pPr>
        <w:numPr>
          <w:ilvl w:val="0"/>
          <w:numId w:val="42"/>
        </w:numPr>
        <w:ind w:left="628" w:right="145" w:hanging="283"/>
      </w:pPr>
      <w:r>
        <w:rPr>
          <w:rFonts w:ascii="Calibri" w:eastAsia="Calibri" w:hAnsi="Calibri" w:cs="Calibri"/>
          <w:noProof/>
        </w:rPr>
        <mc:AlternateContent>
          <mc:Choice Requires="wpg">
            <w:drawing>
              <wp:anchor distT="0" distB="0" distL="114300" distR="114300" simplePos="0" relativeHeight="25179648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1981" name="Group 391981"/>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6968" name="Rectangle 26968"/>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6969" name="Rectangle 26969"/>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132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1981" style="width:12.7031pt;height:278.91pt;position:absolute;mso-position-horizontal-relative:page;mso-position-horizontal:absolute;margin-left:682.278pt;mso-position-vertical-relative:page;margin-top:533.01pt;" coordsize="1613,35421">
                <v:rect id="Rectangle 26968"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6969"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132 de 298 </w:t>
                        </w:r>
                      </w:p>
                    </w:txbxContent>
                  </v:textbox>
                </v:rect>
                <w10:wrap type="square"/>
              </v:group>
            </w:pict>
          </mc:Fallback>
        </mc:AlternateContent>
      </w:r>
      <w:r>
        <w:t>E</w:t>
      </w:r>
      <w:r>
        <w:t>l Ayuntamiento exigirá a la persona o entidad solicitante de la autorización para ocupar el dominio público, que constituya una garantía, mediante los medios admitidos en derecho, que sea suficiente para asegurar la retirada de los elementos e instalacione</w:t>
      </w:r>
      <w:r>
        <w:t xml:space="preserve">s una vez finalizada la ocupación, así como para garantizar la correcta reposición o reparación del espacio público ocupado. </w:t>
      </w:r>
    </w:p>
    <w:p w:rsidR="00B064CF" w:rsidRDefault="00E32F70">
      <w:pPr>
        <w:numPr>
          <w:ilvl w:val="0"/>
          <w:numId w:val="42"/>
        </w:numPr>
        <w:ind w:left="628" w:right="145" w:hanging="283"/>
      </w:pPr>
      <w:r>
        <w:t>Si la ocupación del dominio público lleva aparejado el deterioro o la destrucción del mismo, la persona o entidad ocupante queda o</w:t>
      </w:r>
      <w:r>
        <w:t xml:space="preserve">bligada a ejecutar cuantas obras de reparación o reposición fueran necesarias para restituir el espacio público. Si no lo hiciese, el Ayuntamiento efectuará la reconstrucción o reparación con cargo a la garantía prestada. En caso de que ésta no se hubiese </w:t>
      </w:r>
      <w:r>
        <w:t xml:space="preserve">constituido o no cubriese el coste total de los gastos de las actuaciones, el ocupante procederá a abonar al Ayuntamiento los gastos no cubiertos. </w:t>
      </w:r>
    </w:p>
    <w:p w:rsidR="00B064CF" w:rsidRDefault="00E32F70">
      <w:pPr>
        <w:numPr>
          <w:ilvl w:val="0"/>
          <w:numId w:val="42"/>
        </w:numPr>
        <w:ind w:left="628" w:right="145" w:hanging="283"/>
      </w:pPr>
      <w:r>
        <w:t>Cuando se considere conveniente para la salvaguarda y protección de las personas y bienes, en función de las</w:t>
      </w:r>
      <w:r>
        <w:t xml:space="preserve"> características concretas de la ocupación, el Ayuntamiento, con carácter previo al otorgamiento de la autorización o como condición de eficacia de la misma, podrá exigir la suscripción de un seguro de responsabilidad civil y daños a terceros en cuantía su</w:t>
      </w:r>
      <w:r>
        <w:t xml:space="preserve">ficiente para cubrir las eventuales afecciones que pudieran ocasionarse.  </w:t>
      </w:r>
    </w:p>
    <w:p w:rsidR="00B064CF" w:rsidRDefault="00E32F70">
      <w:pPr>
        <w:numPr>
          <w:ilvl w:val="0"/>
          <w:numId w:val="42"/>
        </w:numPr>
        <w:ind w:left="628" w:right="145" w:hanging="283"/>
      </w:pPr>
      <w:r>
        <w:t xml:space="preserve">El Ayuntamiento podrá denegar la autorización para ocupar el dominio público cuando prevea que dicha ocupación generará un deterioro o destrucción del mismo.   </w:t>
      </w:r>
    </w:p>
    <w:p w:rsidR="00B064CF" w:rsidRDefault="00E32F70">
      <w:pPr>
        <w:spacing w:after="11"/>
        <w:ind w:left="355" w:right="72"/>
      </w:pPr>
      <w:r>
        <w:t>Artículo 10. Retirad</w:t>
      </w:r>
      <w:r>
        <w:t xml:space="preserve">a del dominio público de elementos o instalaciones no autorizados </w:t>
      </w:r>
    </w:p>
    <w:p w:rsidR="00B064CF" w:rsidRDefault="00E32F70">
      <w:pPr>
        <w:numPr>
          <w:ilvl w:val="0"/>
          <w:numId w:val="43"/>
        </w:numPr>
        <w:ind w:left="628" w:right="141" w:hanging="283"/>
      </w:pPr>
      <w:r>
        <w:t>El Ayuntamiento, a través de la intervención de los agentes de la autoridad, ordenará de manera inmediata el cese de la actividad y la retirada de todos los elementos e instalaciones que se</w:t>
      </w:r>
      <w:r>
        <w:t xml:space="preserve"> dispongan sobre el dominio público, cuando no cuenten con la correspondiente autorización o cuando contravengan de manera manifiesta las condiciones de la otorgada. </w:t>
      </w:r>
    </w:p>
    <w:p w:rsidR="00B064CF" w:rsidRDefault="00E32F70">
      <w:pPr>
        <w:numPr>
          <w:ilvl w:val="0"/>
          <w:numId w:val="43"/>
        </w:numPr>
        <w:ind w:left="628" w:right="141" w:hanging="283"/>
      </w:pPr>
      <w:r>
        <w:t>Los agentes intervinientes levantarán acta o diligencia en la que se deje constancia de l</w:t>
      </w:r>
      <w:r>
        <w:t>os hechos, se ordene el cese de la actividad y la retirada de los elementos que procedan y se otorgue un plazo para ello, que en ningún caso podrá ser superior a setenta y dos (72) horas. Una copia del acta o diligencia que se levante será entregada al res</w:t>
      </w:r>
      <w:r>
        <w:t xml:space="preserve">ponsable de la ocupación. </w:t>
      </w:r>
    </w:p>
    <w:p w:rsidR="00B064CF" w:rsidRDefault="00E32F70">
      <w:pPr>
        <w:numPr>
          <w:ilvl w:val="0"/>
          <w:numId w:val="43"/>
        </w:numPr>
        <w:ind w:left="628" w:right="141" w:hanging="283"/>
      </w:pPr>
      <w:r>
        <w:t xml:space="preserve">El Ayuntamiento procederá a la ejecución subsidiaria de la retirada, que será efectuada materialmente por el departamento municipal competente acompañado de la Policía Local, en los siguientes casos: </w:t>
      </w:r>
    </w:p>
    <w:p w:rsidR="00B064CF" w:rsidRDefault="00E32F70">
      <w:pPr>
        <w:numPr>
          <w:ilvl w:val="1"/>
          <w:numId w:val="43"/>
        </w:numPr>
        <w:ind w:right="72" w:hanging="360"/>
      </w:pPr>
      <w:r>
        <w:t>Cuando la persona física o j</w:t>
      </w:r>
      <w:r>
        <w:t xml:space="preserve">urídica ocupante no retire los elementos en el plazo que se señale en el acta o diligencia. </w:t>
      </w:r>
    </w:p>
    <w:p w:rsidR="00B064CF" w:rsidRDefault="00E32F70">
      <w:pPr>
        <w:numPr>
          <w:ilvl w:val="1"/>
          <w:numId w:val="43"/>
        </w:numPr>
        <w:ind w:right="72" w:hanging="360"/>
      </w:pPr>
      <w:r>
        <w:t xml:space="preserve">Cuando la persona o entidad ocupante rehúse expresamente la recepción del acta o diligencia, o cuando por cualquier causa imputable a él, debidamente justificada, </w:t>
      </w:r>
      <w:r>
        <w:t xml:space="preserve">no haya sido posible la entrega de la misma. </w:t>
      </w:r>
    </w:p>
    <w:p w:rsidR="00B064CF" w:rsidRDefault="00E32F70">
      <w:pPr>
        <w:numPr>
          <w:ilvl w:val="1"/>
          <w:numId w:val="43"/>
        </w:numPr>
        <w:ind w:right="72" w:hanging="360"/>
      </w:pPr>
      <w:r>
        <w:t xml:space="preserve">Cuando no haya sido posible identificar a la persona física o jurídica responsable de la ocupación. </w:t>
      </w:r>
    </w:p>
    <w:p w:rsidR="00B064CF" w:rsidRDefault="00E32F70">
      <w:pPr>
        <w:numPr>
          <w:ilvl w:val="0"/>
          <w:numId w:val="43"/>
        </w:numPr>
        <w:ind w:left="628" w:right="141" w:hanging="283"/>
      </w:pPr>
      <w:r>
        <w:rPr>
          <w:rFonts w:ascii="Calibri" w:eastAsia="Calibri" w:hAnsi="Calibri" w:cs="Calibri"/>
          <w:noProof/>
        </w:rPr>
        <mc:AlternateContent>
          <mc:Choice Requires="wpg">
            <w:drawing>
              <wp:anchor distT="0" distB="0" distL="114300" distR="114300" simplePos="0" relativeHeight="25179750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2066" name="Group 392066"/>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7081" name="Rectangle 27081"/>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7082" name="Rectangle 27082"/>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Docume</w:t>
                              </w:r>
                              <w:r>
                                <w:rPr>
                                  <w:sz w:val="12"/>
                                </w:rPr>
                                <w:t xml:space="preserve">nto firmado electrónicamente desde la plataforma esPublico Gestiona | Página 133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2066" style="width:12.7031pt;height:278.91pt;position:absolute;mso-position-horizontal-relative:page;mso-position-horizontal:absolute;margin-left:682.278pt;mso-position-vertical-relative:page;margin-top:533.01pt;" coordsize="1613,35421">
                <v:rect id="Rectangle 27081"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7082"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133 de 298 </w:t>
                        </w:r>
                      </w:p>
                    </w:txbxContent>
                  </v:textbox>
                </v:rect>
                <w10:wrap type="square"/>
              </v:group>
            </w:pict>
          </mc:Fallback>
        </mc:AlternateContent>
      </w:r>
      <w:r>
        <w:t>Los elementos retirados serán depositados y custodiados en el recinto que a tales efectos habilite el Ayuntamiento, por un plazo máximo de 15 días de forma que si no s</w:t>
      </w:r>
      <w:r>
        <w:t>on retirados se procederá a su destrucción y/o reciclaje, quedando obligado la persona propietaria de los mismos al abono de la tasa por la prestación del servicio de retirada, transporte y almacenaje, de acuerdo con lo dispuesto en la Ordenanza Fiscal cor</w:t>
      </w:r>
      <w:r>
        <w:t xml:space="preserve">respondiente. </w:t>
      </w:r>
    </w:p>
    <w:p w:rsidR="00B064CF" w:rsidRDefault="00E32F70">
      <w:pPr>
        <w:numPr>
          <w:ilvl w:val="0"/>
          <w:numId w:val="43"/>
        </w:numPr>
        <w:ind w:left="628" w:right="141" w:hanging="283"/>
      </w:pPr>
      <w:r>
        <w:t xml:space="preserve">La retirada de los elementos regulada en este artículo se efectuará sin perjuicio del procedimiento sancionador que, en su caso, pudiera incoarse. </w:t>
      </w:r>
    </w:p>
    <w:p w:rsidR="00B064CF" w:rsidRDefault="00E32F70">
      <w:pPr>
        <w:spacing w:after="11"/>
        <w:ind w:left="355" w:right="72"/>
      </w:pPr>
      <w:r>
        <w:t xml:space="preserve">Artículo 11. Ocupaciones con instalaciones y elementos especiales </w:t>
      </w:r>
    </w:p>
    <w:p w:rsidR="00B064CF" w:rsidRDefault="00E32F70">
      <w:pPr>
        <w:numPr>
          <w:ilvl w:val="0"/>
          <w:numId w:val="44"/>
        </w:numPr>
        <w:spacing w:line="246" w:lineRule="auto"/>
        <w:ind w:left="628" w:right="147" w:hanging="283"/>
      </w:pPr>
      <w:r>
        <w:t>El dominio público podrá s</w:t>
      </w:r>
      <w:r>
        <w:t xml:space="preserve">er ocupado mediante la instalación ocasional de escenarios, carpas, gradas o algún otro elemento similar de carácter eventual, cuando la característica de la actividad a desarrollar así lo requiera. </w:t>
      </w:r>
    </w:p>
    <w:p w:rsidR="00B064CF" w:rsidRDefault="00E32F70">
      <w:pPr>
        <w:numPr>
          <w:ilvl w:val="0"/>
          <w:numId w:val="44"/>
        </w:numPr>
        <w:ind w:left="628" w:right="147" w:hanging="283"/>
      </w:pPr>
      <w:r>
        <w:t>El Ayuntamiento valorará discrecionalmente la procedenci</w:t>
      </w:r>
      <w:r>
        <w:t xml:space="preserve">a de la instalación de estos elementos especiales, pudiendo no permitirla si la considera injustificada por razón de las características de la actividad a desarrollar, si concurren circunstancias de peligrosidad, o si el interés público la desaconseja. En </w:t>
      </w:r>
      <w:r>
        <w:t xml:space="preserve">caso de autorizarlas, el Ayuntamiento podrá imponer condiciones a su instalación, según los informes que al respecto emitan los diferentes departamentos municipales. </w:t>
      </w:r>
    </w:p>
    <w:p w:rsidR="00B064CF" w:rsidRDefault="00E32F70">
      <w:pPr>
        <w:numPr>
          <w:ilvl w:val="0"/>
          <w:numId w:val="44"/>
        </w:numPr>
        <w:ind w:left="628" w:right="147" w:hanging="283"/>
      </w:pPr>
      <w:r>
        <w:t xml:space="preserve">Para ello se deberá aportar el correspondiente proyecto suscrito por técnico competente, </w:t>
      </w:r>
      <w:r>
        <w:t>que describa la instalación de su objeto y justifique el cumplimiento de la normativa que resulte aplicable. En los casos de instalaciones de escasa entidad o complejidad técnica, dicho proyecto podrá ser sustituido por los siguientes documentos, de presen</w:t>
      </w:r>
      <w:r>
        <w:t xml:space="preserve">tación conjunta o refundida: </w:t>
      </w:r>
    </w:p>
    <w:p w:rsidR="00B064CF" w:rsidRDefault="00E32F70">
      <w:pPr>
        <w:numPr>
          <w:ilvl w:val="1"/>
          <w:numId w:val="44"/>
        </w:numPr>
        <w:ind w:right="148" w:hanging="360"/>
      </w:pPr>
      <w:r>
        <w:t xml:space="preserve">Certificado emitido por personal técnico competente en el que éste acredite y manifieste, bajo su exclusiva responsabilidad, que las instalaciones son de escasa entidad y complejidad técnica.  </w:t>
      </w:r>
    </w:p>
    <w:p w:rsidR="00B064CF" w:rsidRDefault="00E32F70">
      <w:pPr>
        <w:numPr>
          <w:ilvl w:val="1"/>
          <w:numId w:val="44"/>
        </w:numPr>
        <w:ind w:right="148" w:hanging="360"/>
      </w:pPr>
      <w:r>
        <w:t xml:space="preserve">Memoria técnica descriptiva de la instalación, redactada por personal técnico competente, con las especificaciones técnicas de todos los elementos a instalar, y descripción gráfica y escrita de la instalación pretendida. </w:t>
      </w:r>
    </w:p>
    <w:p w:rsidR="00B064CF" w:rsidRDefault="00E32F70">
      <w:pPr>
        <w:numPr>
          <w:ilvl w:val="0"/>
          <w:numId w:val="44"/>
        </w:numPr>
        <w:ind w:left="628" w:right="147" w:hanging="283"/>
      </w:pPr>
      <w:r>
        <w:t>Una vez autorizada la ocupación co</w:t>
      </w:r>
      <w:r>
        <w:t>n alguno de los elementos señalados en el número 1 de este artículo y concluido el montaje de los mismos, la persona titular de la autorización no podrá poner en funcionamiento la instalación si previamente no ha obtenido un certificado suscrito por técnic</w:t>
      </w:r>
      <w:r>
        <w:t>o competente en el que quede acreditado que ésta se ajusta al proyecto o memoria presentada y reúne las condiciones de seguridad suficientes para su puesta en uso. La falta de obtención de tal certificación conllevará la prohibición de poner en funcionamie</w:t>
      </w:r>
      <w:r>
        <w:t xml:space="preserve">nto la instalación.  </w:t>
      </w:r>
    </w:p>
    <w:p w:rsidR="00B064CF" w:rsidRDefault="00E32F70">
      <w:pPr>
        <w:numPr>
          <w:ilvl w:val="0"/>
          <w:numId w:val="44"/>
        </w:numPr>
        <w:ind w:left="628" w:right="147" w:hanging="283"/>
      </w:pPr>
      <w:r>
        <w:t xml:space="preserve">Cuando sea precisa la realización de instalaciones eléctricas, la persona titular de la instalación pretendida, deberá estar en posesión de un certificado de la instalación eléctrica suscrito por personal instalador autorizado. </w:t>
      </w:r>
    </w:p>
    <w:p w:rsidR="00B064CF" w:rsidRDefault="00E32F70">
      <w:pPr>
        <w:spacing w:after="11"/>
        <w:ind w:left="355" w:right="72"/>
      </w:pPr>
      <w:r>
        <w:t>Artíc</w:t>
      </w:r>
      <w:r>
        <w:t xml:space="preserve">ulo 12. Cierre total o parcial de los espacios públicos al tráfico rodado </w:t>
      </w:r>
    </w:p>
    <w:p w:rsidR="00B064CF" w:rsidRDefault="00E32F70">
      <w:pPr>
        <w:numPr>
          <w:ilvl w:val="0"/>
          <w:numId w:val="45"/>
        </w:numPr>
        <w:ind w:left="628" w:right="146" w:hanging="283"/>
      </w:pPr>
      <w:r>
        <w:t>Durante el desarrollo en el dominio público municipal de las actividades o eventos que se regulan en esta Ordenanza, podrá acordarse el cierre total o parcial al tráfico rodado en e</w:t>
      </w:r>
      <w:r>
        <w:t xml:space="preserve">l emplazamiento objeto de ocupación, procurándose, no obstante, compatibilizar en la medida de lo posible el uso compartido de la vía pública por las personas asistentes al acto y por la circulación ordinaria de vehículos, aunque ésta se vea entorpecida. </w:t>
      </w:r>
    </w:p>
    <w:p w:rsidR="00B064CF" w:rsidRDefault="00E32F70">
      <w:pPr>
        <w:numPr>
          <w:ilvl w:val="0"/>
          <w:numId w:val="45"/>
        </w:numPr>
        <w:ind w:left="628" w:right="146" w:hanging="283"/>
      </w:pPr>
      <w:r>
        <w:rPr>
          <w:rFonts w:ascii="Calibri" w:eastAsia="Calibri" w:hAnsi="Calibri" w:cs="Calibri"/>
          <w:noProof/>
        </w:rPr>
        <mc:AlternateContent>
          <mc:Choice Requires="wpg">
            <w:drawing>
              <wp:anchor distT="0" distB="0" distL="114300" distR="114300" simplePos="0" relativeHeight="25179852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2276" name="Group 392276"/>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7184" name="Rectangle 27184"/>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7185" name="Rectangle 27185"/>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134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2276" style="width:12.7031pt;height:278.91pt;position:absolute;mso-position-horizontal-relative:page;mso-position-horizontal:absolute;margin-left:682.278pt;mso-position-vertical-relative:page;margin-top:533.01pt;" coordsize="1613,35421">
                <v:rect id="Rectangle 27184"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7185"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134 de 298 </w:t>
                        </w:r>
                      </w:p>
                    </w:txbxContent>
                  </v:textbox>
                </v:rect>
                <w10:wrap type="square"/>
              </v:group>
            </w:pict>
          </mc:Fallback>
        </mc:AlternateContent>
      </w:r>
      <w:r>
        <w:t>En los supuestos de cierre parcial a tráfico, en los que se compatibilice el uso del espacio público por las personas asistentes a las actividades o eventos con la circulación ordinaria de vehículos, la autorización deberá incluir las condiciones que hayan</w:t>
      </w:r>
      <w:r>
        <w:t xml:space="preserve"> de cumplirse por la entidad organizadora del evento para hacer posible dicha compatibilidad, disponiéndose en todo momento del suficiente ancho de calzada para garantizar el paso de vehículos en condiciones normales y seguras de circulación. </w:t>
      </w:r>
    </w:p>
    <w:p w:rsidR="00B064CF" w:rsidRDefault="00E32F70">
      <w:pPr>
        <w:numPr>
          <w:ilvl w:val="0"/>
          <w:numId w:val="45"/>
        </w:numPr>
        <w:ind w:left="628" w:right="146" w:hanging="283"/>
      </w:pPr>
      <w:r>
        <w:t>En todo caso</w:t>
      </w:r>
      <w:r>
        <w:t xml:space="preserve"> deberán adoptarse las medidas oportunas tendentes a garantizar el paso de vehículos de emergencia, así como cuantas medidas de señalización, control y vigilancia sean necesarias para garantizar la seguridad vial en las zonas afectadas. </w:t>
      </w:r>
    </w:p>
    <w:p w:rsidR="00B064CF" w:rsidRDefault="00E32F70">
      <w:pPr>
        <w:numPr>
          <w:ilvl w:val="0"/>
          <w:numId w:val="45"/>
        </w:numPr>
        <w:ind w:left="628" w:right="146" w:hanging="283"/>
      </w:pPr>
      <w:r>
        <w:t>Cualquier cierre t</w:t>
      </w:r>
      <w:r>
        <w:t>otal o parcial al tráfico rodado deberá contar con informe favorable de la Policía Local, que contendrá, en su caso, todas las medidas a que se refieren los números anteriores tendentes a garantizar las adecuadas condiciones de seguridad y funcionalidad en</w:t>
      </w:r>
      <w:r>
        <w:t xml:space="preserve"> el uso del espacio público; las medidas que en tal sentido proponga la Policía en su informe quedarán incorporadas a la autorización/concesión como condiciones de eficacia de la misma. </w:t>
      </w:r>
    </w:p>
    <w:p w:rsidR="00B064CF" w:rsidRDefault="00E32F70">
      <w:pPr>
        <w:numPr>
          <w:ilvl w:val="0"/>
          <w:numId w:val="45"/>
        </w:numPr>
        <w:ind w:left="628" w:right="146" w:hanging="283"/>
      </w:pPr>
      <w:r>
        <w:t>No obstante, lo dispuesto en los párrafos anteriores, si una vez inic</w:t>
      </w:r>
      <w:r>
        <w:t>iada la ocupación la Policía Local constatase que existe una situación de riesgo, ya sea para los asistentes al acto, para la circulación rodada o para terceras personas, adoptará de forma inmediata las medidas necesarias para restablecer la seguridad, pud</w:t>
      </w:r>
      <w:r>
        <w:t xml:space="preserve">iendo incluso proponer la suspensión del evento a la persona o entidad responsable del dispositivo de seguridad.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CAPÍTULO 2 ASPECTOS PROCEDIMENTALES Y NORMAS COMUNES  </w:t>
      </w:r>
    </w:p>
    <w:p w:rsidR="00B064CF" w:rsidRDefault="00E32F70">
      <w:pPr>
        <w:ind w:left="355" w:right="72"/>
      </w:pPr>
      <w:r>
        <w:t xml:space="preserve">Artículo 13. Títulos habilitantes </w:t>
      </w:r>
    </w:p>
    <w:p w:rsidR="00B064CF" w:rsidRDefault="00E32F70">
      <w:pPr>
        <w:numPr>
          <w:ilvl w:val="0"/>
          <w:numId w:val="46"/>
        </w:numPr>
        <w:ind w:left="628" w:right="146" w:hanging="283"/>
      </w:pPr>
      <w:r>
        <w:t>La ocupación del dominio público, en cualquiera de los supuestos regulados en esta Ordenanza, se sujeta a concesión administrativa cuando suponga un uso privativo o anormal de los bienes integrados en el dominio, y a Licencia de Ocupación en el resto de lo</w:t>
      </w:r>
      <w:r>
        <w:t xml:space="preserve">s casos. </w:t>
      </w:r>
    </w:p>
    <w:p w:rsidR="00B064CF" w:rsidRDefault="00E32F70">
      <w:pPr>
        <w:numPr>
          <w:ilvl w:val="0"/>
          <w:numId w:val="46"/>
        </w:numPr>
        <w:ind w:left="628" w:right="146" w:hanging="283"/>
      </w:pPr>
      <w:r>
        <w:t>El otorgamiento de la Licencia o concesión para la ocupación del dominio público no exime a la persona autorizada o concesionaria de la obligación de obtener, en su caso, las demás autorizaciones o licencias que resultaran preceptivas por razón d</w:t>
      </w:r>
      <w:r>
        <w:t xml:space="preserve">e la actividad, localización u obra que, en su caso, vaya a desarrollarse.  </w:t>
      </w:r>
    </w:p>
    <w:p w:rsidR="00B064CF" w:rsidRDefault="00E32F70">
      <w:pPr>
        <w:numPr>
          <w:ilvl w:val="0"/>
          <w:numId w:val="46"/>
        </w:numPr>
        <w:ind w:left="628" w:right="146" w:hanging="283"/>
      </w:pPr>
      <w:r>
        <w:t xml:space="preserve">Las Licencias o concesiones para la ocupación del dominio público podrán ser transmitidas salvo cuando, de conformidad con lo dispuesto en el artículo 92.2 de la Ley 33/2003 de 3 </w:t>
      </w:r>
      <w:r>
        <w:t>de noviembre de Patrimonio de las Administraciones Públicas se hayan otorgado teniendo en cuenta circunstancias personales de la persona autorizada o su número se haya limitado o en el propio otorgamiento se hayan impuesto condiciones que limitan la transm</w:t>
      </w:r>
      <w:r>
        <w:t xml:space="preserve">isión. </w:t>
      </w:r>
    </w:p>
    <w:p w:rsidR="00B064CF" w:rsidRDefault="00E32F70">
      <w:pPr>
        <w:numPr>
          <w:ilvl w:val="0"/>
          <w:numId w:val="46"/>
        </w:numPr>
        <w:ind w:left="628" w:right="146" w:hanging="283"/>
      </w:pPr>
      <w:r>
        <w:t xml:space="preserve">Las Licencias y/o concesiones se otorgarán salvo el derecho de propiedad y sin perjuicio de derecho de terceros. </w:t>
      </w:r>
    </w:p>
    <w:p w:rsidR="00B064CF" w:rsidRDefault="00E32F70">
      <w:pPr>
        <w:numPr>
          <w:ilvl w:val="0"/>
          <w:numId w:val="46"/>
        </w:numPr>
        <w:ind w:left="628" w:right="146" w:hanging="283"/>
      </w:pPr>
      <w:r>
        <w:t>En virtud de las notas de inalienabilidad e imprescriptibilidad de los bienes de dominio público, la mera concurrencia de los requisit</w:t>
      </w:r>
      <w:r>
        <w:t>os necesarios para que la ocupación pueda ser autorizada no otorga derecho alguno a la obtención del título. El Ayuntamiento, considerando todas las circunstancias reales o previsibles, otorgará o denegará de forma motivada las licencias y concesiones teni</w:t>
      </w:r>
      <w:r>
        <w:t xml:space="preserve">endo en cuenta que el interés general ha de prevalecer sobre el particular. </w:t>
      </w:r>
    </w:p>
    <w:p w:rsidR="00B064CF" w:rsidRDefault="00E32F70">
      <w:pPr>
        <w:numPr>
          <w:ilvl w:val="0"/>
          <w:numId w:val="46"/>
        </w:numPr>
        <w:ind w:left="628" w:right="146" w:hanging="283"/>
      </w:pPr>
      <w:r>
        <w:rPr>
          <w:rFonts w:ascii="Calibri" w:eastAsia="Calibri" w:hAnsi="Calibri" w:cs="Calibri"/>
          <w:noProof/>
        </w:rPr>
        <mc:AlternateContent>
          <mc:Choice Requires="wpg">
            <w:drawing>
              <wp:anchor distT="0" distB="0" distL="114300" distR="114300" simplePos="0" relativeHeight="25179955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2225" name="Group 392225"/>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7299" name="Rectangle 27299"/>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7300" name="Rectangle 27300"/>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w:t>
                              </w:r>
                              <w:r>
                                <w:rPr>
                                  <w:sz w:val="12"/>
                                </w:rPr>
                                <w:t xml:space="preserve">Página 135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2225" style="width:12.7031pt;height:278.91pt;position:absolute;mso-position-horizontal-relative:page;mso-position-horizontal:absolute;margin-left:682.278pt;mso-position-vertical-relative:page;margin-top:533.01pt;" coordsize="1613,35421">
                <v:rect id="Rectangle 27299"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7300"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135 de 298 </w:t>
                        </w:r>
                      </w:p>
                    </w:txbxContent>
                  </v:textbox>
                </v:rect>
                <w10:wrap type="square"/>
              </v:group>
            </w:pict>
          </mc:Fallback>
        </mc:AlternateContent>
      </w:r>
      <w:r>
        <w:t>Los títulos que se otorguen no generarán derechos adicionales a favor de las personas autorizadas o concesionarias que vayan más allá de la ocupación del dominio público en las condiciones que se establezcan, ni presupondrá un reconocimi</w:t>
      </w:r>
      <w:r>
        <w:t xml:space="preserve">ento tácito para la instalación de otros elementos o la realización de otras actividades diferentes a las autorizadas. </w:t>
      </w:r>
    </w:p>
    <w:p w:rsidR="00B064CF" w:rsidRDefault="00E32F70">
      <w:pPr>
        <w:numPr>
          <w:ilvl w:val="0"/>
          <w:numId w:val="46"/>
        </w:numPr>
        <w:ind w:left="628" w:right="146" w:hanging="283"/>
      </w:pPr>
      <w:r>
        <w:t xml:space="preserve">Las Licencias/concesiones que se otorguen contendrán, al menos, los siguientes datos:  </w:t>
      </w:r>
    </w:p>
    <w:p w:rsidR="00B064CF" w:rsidRDefault="00E32F70">
      <w:pPr>
        <w:tabs>
          <w:tab w:val="center" w:pos="736"/>
          <w:tab w:val="center" w:pos="2293"/>
        </w:tabs>
        <w:spacing w:after="146"/>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 xml:space="preserve">Titular de la autorización. </w:t>
      </w:r>
    </w:p>
    <w:p w:rsidR="00B064CF" w:rsidRDefault="00E32F70">
      <w:pPr>
        <w:tabs>
          <w:tab w:val="center" w:pos="736"/>
          <w:tab w:val="center" w:pos="3044"/>
        </w:tabs>
        <w:spacing w:after="144"/>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Lugar y emp</w:t>
      </w:r>
      <w:r>
        <w:t xml:space="preserve">lazamiento de la ocupación. </w:t>
      </w:r>
    </w:p>
    <w:p w:rsidR="00B064CF" w:rsidRDefault="00E32F70">
      <w:pPr>
        <w:tabs>
          <w:tab w:val="center" w:pos="736"/>
          <w:tab w:val="center" w:pos="3123"/>
        </w:tabs>
        <w:spacing w:after="143"/>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 xml:space="preserve">Dimensiones y superficie de la ocupación. </w:t>
      </w:r>
    </w:p>
    <w:p w:rsidR="00B064CF" w:rsidRDefault="00E32F70">
      <w:pPr>
        <w:tabs>
          <w:tab w:val="center" w:pos="736"/>
          <w:tab w:val="center" w:pos="4809"/>
        </w:tabs>
        <w:spacing w:after="146"/>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 xml:space="preserve">Número de elementos a instalar y características de los mismos, en su caso. </w:t>
      </w:r>
    </w:p>
    <w:p w:rsidR="00B064CF" w:rsidRDefault="00E32F70">
      <w:pPr>
        <w:tabs>
          <w:tab w:val="center" w:pos="736"/>
          <w:tab w:val="center" w:pos="2805"/>
        </w:tabs>
        <w:spacing w:after="144"/>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 xml:space="preserve">Fecha de inicio y plazo de vigencia. </w:t>
      </w:r>
    </w:p>
    <w:p w:rsidR="00B064CF" w:rsidRDefault="00E32F70">
      <w:pPr>
        <w:tabs>
          <w:tab w:val="center" w:pos="736"/>
          <w:tab w:val="center" w:pos="2004"/>
        </w:tabs>
        <w:spacing w:after="146"/>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 xml:space="preserve">Horario autorizado. </w:t>
      </w:r>
    </w:p>
    <w:p w:rsidR="00B064CF" w:rsidRDefault="00E32F70">
      <w:pPr>
        <w:tabs>
          <w:tab w:val="center" w:pos="736"/>
          <w:tab w:val="center" w:pos="3790"/>
        </w:tabs>
        <w:spacing w:after="143"/>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r>
      <w:r>
        <w:t xml:space="preserve">Condiciones particulares de la autorización, en su caso. </w:t>
      </w:r>
    </w:p>
    <w:p w:rsidR="00B064CF" w:rsidRDefault="00E32F70">
      <w:pPr>
        <w:tabs>
          <w:tab w:val="center" w:pos="736"/>
          <w:tab w:val="center" w:pos="4768"/>
        </w:tabs>
        <w:spacing w:after="128"/>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 xml:space="preserve">Descripción gráfica de la superficie susceptible de ser ocupada, en su caso. </w:t>
      </w:r>
    </w:p>
    <w:p w:rsidR="00B064CF" w:rsidRDefault="00E32F70">
      <w:pPr>
        <w:numPr>
          <w:ilvl w:val="0"/>
          <w:numId w:val="46"/>
        </w:numPr>
        <w:ind w:left="628" w:right="146" w:hanging="283"/>
      </w:pPr>
      <w:r>
        <w:t>Cuando la instalación de algunos de los elementos con los que se fuera a ocupar el dominio público requiriese la eje</w:t>
      </w:r>
      <w:r>
        <w:t>cución de obras menores, éstas quedarían amparadas por la propia autorización o concesión para ocupar el dominio público, siempre que dichas obras estuvieran debidamente previstas y descritas en la documentación que acompañe la solicitud de autorización o,</w:t>
      </w:r>
      <w:r>
        <w:t xml:space="preserve"> en su caso, en las condiciones de la licencia y/o concesión. </w:t>
      </w:r>
    </w:p>
    <w:p w:rsidR="00B064CF" w:rsidRDefault="00E32F70">
      <w:pPr>
        <w:numPr>
          <w:ilvl w:val="0"/>
          <w:numId w:val="46"/>
        </w:numPr>
        <w:ind w:left="628" w:right="146" w:hanging="283"/>
      </w:pPr>
      <w:r>
        <w:t>El documento acreditativo de la autorización y el plano que describa la instalación autorizada deberá exhibirse, de forma permanente, en un lugar visible de la instalación o del establecimiento</w:t>
      </w:r>
      <w:r>
        <w:t xml:space="preserve"> al que presta servicio. </w:t>
      </w:r>
    </w:p>
    <w:p w:rsidR="00B064CF" w:rsidRDefault="00E32F70">
      <w:pPr>
        <w:spacing w:after="11"/>
        <w:ind w:left="355" w:right="72"/>
      </w:pPr>
      <w:r>
        <w:t xml:space="preserve">Artículo 14. Competencias </w:t>
      </w:r>
    </w:p>
    <w:p w:rsidR="00B064CF" w:rsidRDefault="00E32F70">
      <w:pPr>
        <w:numPr>
          <w:ilvl w:val="0"/>
          <w:numId w:val="47"/>
        </w:numPr>
        <w:spacing w:after="275"/>
        <w:ind w:left="628" w:right="147" w:hanging="283"/>
      </w:pPr>
      <w:r>
        <w:t xml:space="preserve">El órgano competente para la resolución de los procedimientos regulados en esta Ordenanza será la Alcaldía-Presidencia del Ayuntamiento de Candelaria, salvo delegación de esta atribución en otro órgano. </w:t>
      </w:r>
    </w:p>
    <w:p w:rsidR="00B064CF" w:rsidRDefault="00E32F70">
      <w:pPr>
        <w:numPr>
          <w:ilvl w:val="0"/>
          <w:numId w:val="47"/>
        </w:numPr>
        <w:spacing w:after="275"/>
        <w:ind w:left="628" w:right="147" w:hanging="283"/>
      </w:pPr>
      <w:r>
        <w:t>La inspección y control de las actividades que se desarrollen en los espacios de dominio público municipal, así como la ocupación del mismo con cualquier clase de elemento o instalación, corresponde a la Policía Local y a la Inspección Urbanística del Ayu</w:t>
      </w:r>
      <w:r>
        <w:t>ntamiento de Candelaria. Sus miembros, en calidad de agentes de la autoridad, velarán por el fiel e íntegro cumplimiento de lo dispuesto en esta Ordenanza, impidiendo todos aquellos usos, aprovechamientos u ocupaciones que no cuenten con la correspondiente</w:t>
      </w:r>
      <w:r>
        <w:t xml:space="preserve"> autorización, y vigilando que las personas o entidades que lo ocupen al amparo de un título cumplan las condiciones y requisitos fijados en el mismo y en esta norma, para lo cual, primordialmente, vigilarán, disuadirán, impedirán y denunciarán las infracc</w:t>
      </w:r>
      <w:r>
        <w:t xml:space="preserve">iones tipificadas en el Titulo IV. </w:t>
      </w:r>
    </w:p>
    <w:p w:rsidR="00B064CF" w:rsidRDefault="00E32F70">
      <w:pPr>
        <w:numPr>
          <w:ilvl w:val="0"/>
          <w:numId w:val="47"/>
        </w:numPr>
        <w:ind w:left="628" w:right="147" w:hanging="283"/>
      </w:pPr>
      <w:r>
        <w:rPr>
          <w:rFonts w:ascii="Calibri" w:eastAsia="Calibri" w:hAnsi="Calibri" w:cs="Calibri"/>
          <w:noProof/>
        </w:rPr>
        <mc:AlternateContent>
          <mc:Choice Requires="wpg">
            <w:drawing>
              <wp:anchor distT="0" distB="0" distL="114300" distR="114300" simplePos="0" relativeHeight="25180057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2923" name="Group 392923"/>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7407" name="Rectangle 27407"/>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7408" name="Rectangle 27408"/>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136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2923" style="width:12.7031pt;height:278.91pt;position:absolute;mso-position-horizontal-relative:page;mso-position-horizontal:absolute;margin-left:682.278pt;mso-position-vertical-relative:page;margin-top:533.01pt;" coordsize="1613,35421">
                <v:rect id="Rectangle 27407"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7408"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136 de 298 </w:t>
                        </w:r>
                      </w:p>
                    </w:txbxContent>
                  </v:textbox>
                </v:rect>
                <w10:wrap type="square"/>
              </v:group>
            </w:pict>
          </mc:Fallback>
        </mc:AlternateContent>
      </w:r>
      <w:r>
        <w:t xml:space="preserve">De acuerdo con lo establecido en la normativa tributaria, corresponderá al Departamento municipal con competencia en materia tributaria, la comprobación e inspección fiscal de las ocupaciones del dominio público, hayan sido o no autorizadas. </w:t>
      </w:r>
    </w:p>
    <w:p w:rsidR="00B064CF" w:rsidRDefault="00E32F70">
      <w:pPr>
        <w:spacing w:after="11"/>
        <w:ind w:left="355" w:right="72"/>
      </w:pPr>
      <w:r>
        <w:t xml:space="preserve">Artículo 15. </w:t>
      </w:r>
      <w:r>
        <w:t xml:space="preserve">Procedimiento de autorización </w:t>
      </w:r>
    </w:p>
    <w:p w:rsidR="00B064CF" w:rsidRDefault="00E32F70">
      <w:pPr>
        <w:numPr>
          <w:ilvl w:val="0"/>
          <w:numId w:val="48"/>
        </w:numPr>
        <w:ind w:left="628" w:right="146" w:hanging="283"/>
      </w:pPr>
      <w:r>
        <w:t>Los procedimientos de autorización para la ocupación del dominio público se ajustarán a lo dispuesto en la Ley 39/2015, de 1 de octubre, del Procedimiento Administrativo Común de las Administraciones Públicas (en adelante LPA</w:t>
      </w:r>
      <w:r>
        <w:t xml:space="preserve">CAP), sin perjuicio de las peculiaridades establecidas en la presente Ordenanza. </w:t>
      </w:r>
    </w:p>
    <w:p w:rsidR="00B064CF" w:rsidRDefault="00E32F70">
      <w:pPr>
        <w:numPr>
          <w:ilvl w:val="0"/>
          <w:numId w:val="48"/>
        </w:numPr>
        <w:ind w:left="628" w:right="146" w:hanging="283"/>
      </w:pPr>
      <w:r>
        <w:t>Cuando el procedimiento se inicie a instancia de persona interesada, la solicitud contendrá los datos señalados en el artículo 66.1 de la LPACAP y se acompañará de la documen</w:t>
      </w:r>
      <w:r>
        <w:t xml:space="preserve">tación que se señala en el modelo de solicitud. </w:t>
      </w:r>
    </w:p>
    <w:p w:rsidR="00B064CF" w:rsidRDefault="00E32F70">
      <w:pPr>
        <w:numPr>
          <w:ilvl w:val="0"/>
          <w:numId w:val="48"/>
        </w:numPr>
        <w:ind w:left="628" w:right="146" w:hanging="283"/>
      </w:pPr>
      <w:r>
        <w:t>Si la solicitud de iniciación no reúne los requisitos señalados por la normativa vigente o si la documentación está incompleta, se requerirá al interesado para que, en el plazo de diez días, subsane la falta</w:t>
      </w:r>
      <w:r>
        <w:t xml:space="preserve"> o acompañe los documentos preceptivos con indicación de que, si así no lo hiciera, se le tendrá por desistido de su petición, archivándose sin más trámites con los efectos previstos en el artículo 21.1 de la LPACAP. </w:t>
      </w:r>
    </w:p>
    <w:p w:rsidR="00B064CF" w:rsidRDefault="00E32F70">
      <w:pPr>
        <w:numPr>
          <w:ilvl w:val="0"/>
          <w:numId w:val="48"/>
        </w:numPr>
        <w:ind w:left="628" w:right="146" w:hanging="283"/>
      </w:pPr>
      <w:r>
        <w:t>Previa emisión de los informes técnico</w:t>
      </w:r>
      <w:r>
        <w:t xml:space="preserve">s y jurídicos que correspondan, y en su caso informe de la Policía Local, el órgano competente resolverá concediendo o denegando motivadamente la autorización solicitada. </w:t>
      </w:r>
    </w:p>
    <w:p w:rsidR="00B064CF" w:rsidRDefault="00E32F70">
      <w:pPr>
        <w:numPr>
          <w:ilvl w:val="0"/>
          <w:numId w:val="48"/>
        </w:numPr>
        <w:ind w:left="628" w:right="146" w:hanging="283"/>
      </w:pPr>
      <w:r>
        <w:t xml:space="preserve">La resolución del procedimiento deberá producirse en el plazo máximo de tres meses, </w:t>
      </w:r>
      <w:r>
        <w:t xml:space="preserve">contado desde el día siguiente a la fecha en que se haya presentado en forma y completa la correspondiente solicitud. </w:t>
      </w:r>
    </w:p>
    <w:p w:rsidR="00B064CF" w:rsidRDefault="00E32F70">
      <w:pPr>
        <w:numPr>
          <w:ilvl w:val="0"/>
          <w:numId w:val="48"/>
        </w:numPr>
        <w:ind w:left="628" w:right="146" w:hanging="283"/>
      </w:pPr>
      <w:r>
        <w:t xml:space="preserve">El transcurso del plazo máximo fijado en el número anterior podrá interrumpirse por una sola vez mediante requerimiento para subsanación </w:t>
      </w:r>
      <w:r>
        <w:t xml:space="preserve">de deficiencias de fondo. El requerimiento deberá precisar las deficiencias y el plazo para su subsanación, que en ningún caso será inferior a un mes. </w:t>
      </w:r>
    </w:p>
    <w:p w:rsidR="00B064CF" w:rsidRDefault="00E32F70">
      <w:pPr>
        <w:numPr>
          <w:ilvl w:val="0"/>
          <w:numId w:val="48"/>
        </w:numPr>
        <w:ind w:left="628" w:right="146" w:hanging="283"/>
      </w:pPr>
      <w:r>
        <w:t xml:space="preserve">Las solicitudes no resueltas expresamente en el plazo establecido en el número 5 del presente artículo, </w:t>
      </w:r>
      <w:r>
        <w:t xml:space="preserve">se entenderán denegadas. </w:t>
      </w:r>
    </w:p>
    <w:p w:rsidR="00B064CF" w:rsidRDefault="00E32F70">
      <w:pPr>
        <w:spacing w:after="11"/>
        <w:ind w:left="355" w:right="72"/>
      </w:pPr>
      <w:r>
        <w:t xml:space="preserve">Artículo 16. Procedimiento de concesión </w:t>
      </w:r>
    </w:p>
    <w:p w:rsidR="00B064CF" w:rsidRDefault="00E32F70">
      <w:pPr>
        <w:spacing w:after="0"/>
        <w:ind w:left="355" w:right="147"/>
      </w:pPr>
      <w:r>
        <w:t>Las concesiones se sujetarán, en cuanto al procedimiento de otorgamiento, formalidades y condiciones, a lo dispuesto en la presente ordenanza, y a la normativa que resulte aplicable en mate</w:t>
      </w:r>
      <w:r>
        <w:t xml:space="preserve">ria de entidades locales y bienes de las mismas. </w:t>
      </w:r>
    </w:p>
    <w:p w:rsidR="00B064CF" w:rsidRDefault="00E32F70">
      <w:pPr>
        <w:spacing w:after="11"/>
        <w:ind w:left="355" w:right="72"/>
      </w:pPr>
      <w:r>
        <w:t xml:space="preserve">Artículo 17. Plazos de vigencia </w:t>
      </w:r>
    </w:p>
    <w:p w:rsidR="00B064CF" w:rsidRDefault="00E32F70">
      <w:pPr>
        <w:numPr>
          <w:ilvl w:val="0"/>
          <w:numId w:val="49"/>
        </w:numPr>
        <w:ind w:left="628" w:right="72" w:hanging="283"/>
      </w:pPr>
      <w:r>
        <w:t xml:space="preserve">Toda autorización o concesión para la ocupación del dominio público será otorgada con plazo de vigencia. </w:t>
      </w:r>
    </w:p>
    <w:p w:rsidR="00B064CF" w:rsidRDefault="00E32F70">
      <w:pPr>
        <w:numPr>
          <w:ilvl w:val="0"/>
          <w:numId w:val="49"/>
        </w:numPr>
        <w:ind w:left="628" w:right="72" w:hanging="283"/>
      </w:pPr>
      <w:r>
        <w:t xml:space="preserve">La ocupación del dominio público no podrá tener carácter permanente. </w:t>
      </w:r>
    </w:p>
    <w:p w:rsidR="00B064CF" w:rsidRDefault="00E32F70">
      <w:pPr>
        <w:numPr>
          <w:ilvl w:val="0"/>
          <w:numId w:val="49"/>
        </w:numPr>
        <w:ind w:left="628" w:right="72" w:hanging="283"/>
      </w:pPr>
      <w:r>
        <w:t>En el caso de ocupaciones anuales o temporales, las renovaciones de las licencias serán tácitas, salvo en el caso de impago de las tasas. La renovación tampoco será tácita en los supuest</w:t>
      </w:r>
      <w:r>
        <w:t xml:space="preserve">os de renuncia o de modificación de las condiciones de la ocupación, en cuyos casos las personas titulares vendrán obligadas a presentar, respectivamente, escrito indicativo de la renuncia o nueva solicitud de licencia. </w:t>
      </w:r>
    </w:p>
    <w:p w:rsidR="00B064CF" w:rsidRDefault="00E32F70">
      <w:pPr>
        <w:numPr>
          <w:ilvl w:val="0"/>
          <w:numId w:val="49"/>
        </w:numPr>
        <w:ind w:left="628" w:right="72" w:hanging="283"/>
      </w:pPr>
      <w:r>
        <w:rPr>
          <w:rFonts w:ascii="Calibri" w:eastAsia="Calibri" w:hAnsi="Calibri" w:cs="Calibri"/>
          <w:noProof/>
        </w:rPr>
        <mc:AlternateContent>
          <mc:Choice Requires="wpg">
            <w:drawing>
              <wp:anchor distT="0" distB="0" distL="114300" distR="114300" simplePos="0" relativeHeight="25180160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3055" name="Group 393055"/>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7526" name="Rectangle 27526"/>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w:t>
                              </w:r>
                              <w:r>
                                <w:rPr>
                                  <w:sz w:val="12"/>
                                </w:rPr>
                                <w:t xml:space="preserve">DLPPAAC3GS | Verificación: https://candelaria.sedelectronica.es/ </w:t>
                              </w:r>
                            </w:p>
                          </w:txbxContent>
                        </wps:txbx>
                        <wps:bodyPr horzOverflow="overflow" vert="horz" lIns="0" tIns="0" rIns="0" bIns="0" rtlCol="0">
                          <a:noAutofit/>
                        </wps:bodyPr>
                      </wps:wsp>
                      <wps:wsp>
                        <wps:cNvPr id="27527" name="Rectangle 27527"/>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137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3055" style="width:12.7031pt;height:278.91pt;position:absolute;mso-position-horizontal-relative:page;mso-position-horizontal:absolute;margin-left:682.278pt;mso-position-vertical-relative:page;margin-top:533.01pt;" coordsize="1613,35421">
                <v:rect id="Rectangle 27526"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7527"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137 de 298 </w:t>
                        </w:r>
                      </w:p>
                    </w:txbxContent>
                  </v:textbox>
                </v:rect>
                <w10:wrap type="square"/>
              </v:group>
            </w:pict>
          </mc:Fallback>
        </mc:AlternateContent>
      </w:r>
      <w:r>
        <w:t>El Ayuntamiento de Candelaria podrá modificar, suspender o revocar el título otorgado, previo</w:t>
      </w:r>
      <w:r>
        <w:t xml:space="preserve"> trámite de audiencia a su titular: </w:t>
      </w:r>
    </w:p>
    <w:p w:rsidR="00B064CF" w:rsidRDefault="00E32F70">
      <w:pPr>
        <w:tabs>
          <w:tab w:val="center" w:pos="748"/>
          <w:tab w:val="center" w:pos="3753"/>
        </w:tabs>
        <w:spacing w:after="145"/>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 xml:space="preserve">por razones de interés público debidamente motivadas </w:t>
      </w:r>
    </w:p>
    <w:p w:rsidR="00B064CF" w:rsidRDefault="00E32F70">
      <w:pPr>
        <w:tabs>
          <w:tab w:val="center" w:pos="748"/>
          <w:tab w:val="right" w:pos="10072"/>
        </w:tabs>
        <w:spacing w:after="143"/>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 xml:space="preserve">por incumplimiento de los requisitos y obligaciones establecidos en la presente Ordenanza  </w:t>
      </w:r>
    </w:p>
    <w:p w:rsidR="00B064CF" w:rsidRDefault="00E32F70">
      <w:pPr>
        <w:tabs>
          <w:tab w:val="center" w:pos="748"/>
          <w:tab w:val="center" w:pos="4143"/>
        </w:tabs>
        <w:spacing w:after="143"/>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por inobservancia de las condiciones de la propia autorizació</w:t>
      </w:r>
      <w:r>
        <w:t xml:space="preserve">n, </w:t>
      </w:r>
    </w:p>
    <w:p w:rsidR="00B064CF" w:rsidRDefault="00E32F70">
      <w:pPr>
        <w:ind w:left="1080" w:right="72" w:hanging="360"/>
      </w:pPr>
      <w:r>
        <w:rPr>
          <w:rFonts w:ascii="Segoe UI Symbol" w:eastAsia="Segoe UI Symbol" w:hAnsi="Segoe UI Symbol" w:cs="Segoe UI Symbol"/>
        </w:rPr>
        <w:t></w:t>
      </w:r>
      <w:r>
        <w:t xml:space="preserve"> por incompatibilidad de la ocupación con la normativa y/o con las condiciones técnicas generales aprobadas con posterioridad </w:t>
      </w:r>
    </w:p>
    <w:p w:rsidR="00B064CF" w:rsidRDefault="00E32F70">
      <w:pPr>
        <w:ind w:left="1080" w:right="72" w:hanging="360"/>
      </w:pPr>
      <w:r>
        <w:rPr>
          <w:rFonts w:ascii="Segoe UI Symbol" w:eastAsia="Segoe UI Symbol" w:hAnsi="Segoe UI Symbol" w:cs="Segoe UI Symbol"/>
        </w:rPr>
        <w:t></w:t>
      </w:r>
      <w:r>
        <w:t xml:space="preserve"> por desaparición de las circunstancias que motivaron su otorgamiento o sobrevinieran otras que, de haber existido, habrían</w:t>
      </w:r>
      <w:r>
        <w:t xml:space="preserve"> justificado su denegación </w:t>
      </w:r>
    </w:p>
    <w:p w:rsidR="00B064CF" w:rsidRDefault="00E32F70">
      <w:pPr>
        <w:tabs>
          <w:tab w:val="center" w:pos="748"/>
          <w:tab w:val="center" w:pos="3061"/>
        </w:tabs>
        <w:spacing w:after="145"/>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 xml:space="preserve">por producir daños en el dominio público </w:t>
      </w:r>
    </w:p>
    <w:p w:rsidR="00B064CF" w:rsidRDefault="00E32F70">
      <w:pPr>
        <w:spacing w:after="0" w:line="367" w:lineRule="auto"/>
        <w:ind w:left="730" w:right="1390"/>
      </w:pPr>
      <w:r>
        <w:rPr>
          <w:rFonts w:ascii="Segoe UI Symbol" w:eastAsia="Segoe UI Symbol" w:hAnsi="Segoe UI Symbol" w:cs="Segoe UI Symbol"/>
        </w:rPr>
        <w:t></w:t>
      </w:r>
      <w:r>
        <w:t xml:space="preserve"> </w:t>
      </w:r>
      <w:r>
        <w:tab/>
        <w:t xml:space="preserve">por impedir la utilización del suelo para actividades de mayor interés público  </w:t>
      </w:r>
      <w:r>
        <w:rPr>
          <w:rFonts w:ascii="Segoe UI Symbol" w:eastAsia="Segoe UI Symbol" w:hAnsi="Segoe UI Symbol" w:cs="Segoe UI Symbol"/>
        </w:rPr>
        <w:t></w:t>
      </w:r>
      <w:r>
        <w:t xml:space="preserve"> </w:t>
      </w:r>
      <w:r>
        <w:tab/>
        <w:t xml:space="preserve">por menoscabar el uso general. </w:t>
      </w:r>
    </w:p>
    <w:p w:rsidR="00B064CF" w:rsidRDefault="00E32F70">
      <w:pPr>
        <w:numPr>
          <w:ilvl w:val="0"/>
          <w:numId w:val="49"/>
        </w:numPr>
        <w:ind w:left="628" w:right="72" w:hanging="283"/>
      </w:pPr>
      <w:r>
        <w:t>La modificación, suspensión o revocación de una autorización no conlleva derecho a indemnización. La modificación, suspensión o revocación de una concesión sólo procederá si concurren circunstancias de interés público que lo motiven y el resarcimiento de l</w:t>
      </w:r>
      <w:r>
        <w:t xml:space="preserve">os daños producidos en tales casos se producirá, si procediere, en los términos previstos en las condiciones de la concesión. </w:t>
      </w:r>
    </w:p>
    <w:p w:rsidR="00B064CF" w:rsidRDefault="00E32F70">
      <w:pPr>
        <w:ind w:left="355" w:right="72"/>
      </w:pPr>
      <w:r>
        <w:t xml:space="preserve">Artículo 18. Obligaciones tributarias </w:t>
      </w:r>
    </w:p>
    <w:p w:rsidR="00B064CF" w:rsidRDefault="00E32F70">
      <w:pPr>
        <w:numPr>
          <w:ilvl w:val="0"/>
          <w:numId w:val="50"/>
        </w:numPr>
        <w:ind w:left="628" w:right="72" w:hanging="283"/>
      </w:pPr>
      <w:r>
        <w:t>La ocupación de los espacios de dominio público aparejará, en todo caso, la exacción de la</w:t>
      </w:r>
      <w:r>
        <w:t xml:space="preserve"> correspondiente tasa municipal, según lo determinado en la Ordenanza fiscal correspondiente. </w:t>
      </w:r>
    </w:p>
    <w:p w:rsidR="00B064CF" w:rsidRDefault="00E32F70">
      <w:pPr>
        <w:numPr>
          <w:ilvl w:val="0"/>
          <w:numId w:val="50"/>
        </w:numPr>
        <w:ind w:left="628" w:right="72" w:hanging="283"/>
      </w:pPr>
      <w:r>
        <w:t>En los supuestos de modificación, suspensión o revocación previstos en el número 4 y 5 del artículo anterior, y a los efectos tributarios que procedan, se estará</w:t>
      </w:r>
      <w:r>
        <w:t xml:space="preserve"> a lo dispuesto en la correspondiente Ordenanza Fiscal. </w:t>
      </w:r>
    </w:p>
    <w:p w:rsidR="00B064CF" w:rsidRDefault="00E32F70">
      <w:pPr>
        <w:numPr>
          <w:ilvl w:val="0"/>
          <w:numId w:val="50"/>
        </w:numPr>
        <w:ind w:left="628" w:right="72" w:hanging="283"/>
      </w:pPr>
      <w:r>
        <w:t xml:space="preserve">En ningún caso podrá autorizarse la ocupación del dominio público a personas físicas o jurídicas que no se hallen al corriente en sus obligaciones tributarias y con la Seguridad Social. </w:t>
      </w:r>
    </w:p>
    <w:p w:rsidR="00B064CF" w:rsidRDefault="00E32F70">
      <w:pPr>
        <w:numPr>
          <w:ilvl w:val="0"/>
          <w:numId w:val="50"/>
        </w:numPr>
        <w:ind w:left="628" w:right="72" w:hanging="283"/>
      </w:pPr>
      <w:r>
        <w:t xml:space="preserve">El incumplimiento de las obligaciones tributarias municipales, conforme a los establecido en la normativa tributaria, motivará que no se renueven las licencias otorgadas.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TÍTULO III. CONDICIONES PARTICULARES PARA CADA TIPO DE OCUPACIÓN  </w:t>
      </w:r>
    </w:p>
    <w:p w:rsidR="00B064CF" w:rsidRDefault="00E32F70">
      <w:pPr>
        <w:spacing w:after="11"/>
        <w:ind w:left="355" w:right="72"/>
      </w:pPr>
      <w:r>
        <w:t>CAPÍTULO 1. OCU</w:t>
      </w:r>
      <w:r>
        <w:t xml:space="preserve">PACIONES VINCULADAS A ACTIVIDADES TERCIARIAS EJERCIDAS EN </w:t>
      </w:r>
    </w:p>
    <w:p w:rsidR="00B064CF" w:rsidRDefault="00E32F70">
      <w:pPr>
        <w:spacing w:after="11"/>
        <w:ind w:left="355" w:right="72"/>
      </w:pPr>
      <w:r>
        <w:t xml:space="preserve">ESTABLECIMIENTOS PRIVADOS O PÚBLICOS </w:t>
      </w:r>
    </w:p>
    <w:p w:rsidR="00B064CF" w:rsidRDefault="00E32F70">
      <w:pPr>
        <w:spacing w:after="11"/>
        <w:ind w:left="355" w:right="72"/>
      </w:pPr>
      <w:r>
        <w:t xml:space="preserve">Sección 1ª. DISPOSICIONES GENERALES </w:t>
      </w:r>
    </w:p>
    <w:p w:rsidR="00B064CF" w:rsidRDefault="00E32F70">
      <w:pPr>
        <w:spacing w:after="102"/>
        <w:ind w:left="355" w:right="72"/>
      </w:pPr>
      <w:r>
        <w:t xml:space="preserve">Artículo 19. Ocupaciones permitidas y título habilitante </w:t>
      </w:r>
    </w:p>
    <w:p w:rsidR="00B064CF" w:rsidRDefault="00E32F70">
      <w:pPr>
        <w:numPr>
          <w:ilvl w:val="0"/>
          <w:numId w:val="51"/>
        </w:numPr>
        <w:spacing w:after="277"/>
        <w:ind w:left="628" w:right="147" w:hanging="283"/>
      </w:pPr>
      <w:r>
        <w:t xml:space="preserve">El dominio público podrá ser ocupado, en las condiciones establecidas en los siguientes artículos de este Capítulo, mediante elementos accesorios de las actividades de hostelería que se desarrollen en los establecimientos privados o públicos. La ocupación </w:t>
      </w:r>
      <w:r>
        <w:t xml:space="preserve">sólo podrá realizarse con sillas, mesas, sombrillas, toldos retráctiles, mamparas, jardineras (no fijas) y rótulos.  </w:t>
      </w:r>
    </w:p>
    <w:p w:rsidR="00B064CF" w:rsidRDefault="00E32F70">
      <w:pPr>
        <w:numPr>
          <w:ilvl w:val="0"/>
          <w:numId w:val="51"/>
        </w:numPr>
        <w:spacing w:after="276"/>
        <w:ind w:left="628" w:right="147" w:hanging="283"/>
      </w:pPr>
      <w:r>
        <w:rPr>
          <w:rFonts w:ascii="Calibri" w:eastAsia="Calibri" w:hAnsi="Calibri" w:cs="Calibri"/>
          <w:noProof/>
        </w:rPr>
        <mc:AlternateContent>
          <mc:Choice Requires="wpg">
            <w:drawing>
              <wp:anchor distT="0" distB="0" distL="114300" distR="114300" simplePos="0" relativeHeight="25180262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4230" name="Group 394230"/>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7636" name="Rectangle 27636"/>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7637" name="Rectangle 27637"/>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w:t>
                              </w:r>
                              <w:r>
                                <w:rPr>
                                  <w:sz w:val="12"/>
                                </w:rPr>
                                <w:t xml:space="preserve">desde la plataforma esPublico Gestiona | Página 138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4230" style="width:12.7031pt;height:278.91pt;position:absolute;mso-position-horizontal-relative:page;mso-position-horizontal:absolute;margin-left:682.278pt;mso-position-vertical-relative:page;margin-top:533.01pt;" coordsize="1613,35421">
                <v:rect id="Rectangle 27636"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7637"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138 de 298 </w:t>
                        </w:r>
                      </w:p>
                    </w:txbxContent>
                  </v:textbox>
                </v:rect>
                <w10:wrap type="square"/>
              </v:group>
            </w:pict>
          </mc:Fallback>
        </mc:AlternateContent>
      </w:r>
      <w:r>
        <w:t>Podrá ser autorizada la ocupación del dominio público, en las condiciones que en este Capítulo se regulan, mediante elementos accesorios de las actividades comerciales o de oficina que se desarrol</w:t>
      </w:r>
      <w:r>
        <w:t xml:space="preserve">len en el interior de establecimientos privados.  </w:t>
      </w:r>
    </w:p>
    <w:p w:rsidR="00B064CF" w:rsidRDefault="00E32F70">
      <w:pPr>
        <w:numPr>
          <w:ilvl w:val="0"/>
          <w:numId w:val="51"/>
        </w:numPr>
        <w:spacing w:after="278"/>
        <w:ind w:left="628" w:right="147" w:hanging="283"/>
      </w:pPr>
      <w:r>
        <w:t xml:space="preserve">El dominio público sólo podrá ser ocupado, en subsuelo, suelo o vuelo, con elementos accesorios vinculados a una actividad hostelera o comercial que cuente con el título habilitante correspondiente, y que </w:t>
      </w:r>
      <w:r>
        <w:t xml:space="preserve">se desarrolle en un establecimiento contiguo o próximo al espacio a ocupar. Queda prohibida cualquier ocupación que no cumpla estos requisitos. </w:t>
      </w:r>
    </w:p>
    <w:p w:rsidR="00B064CF" w:rsidRDefault="00E32F70">
      <w:pPr>
        <w:numPr>
          <w:ilvl w:val="0"/>
          <w:numId w:val="51"/>
        </w:numPr>
        <w:spacing w:after="277"/>
        <w:ind w:left="628" w:right="147" w:hanging="283"/>
      </w:pPr>
      <w:r>
        <w:t>Toda ocupación vinculada a actividades terciarias deberá cumplir las condiciones generales establecidas en el a</w:t>
      </w:r>
      <w:r>
        <w:t xml:space="preserve">rtículo 8. Las condiciones de ocupación y características de los elementos que se establecen en el presente Capítulo también son de obligada observancia. </w:t>
      </w:r>
    </w:p>
    <w:p w:rsidR="00B064CF" w:rsidRDefault="00E32F70">
      <w:pPr>
        <w:numPr>
          <w:ilvl w:val="0"/>
          <w:numId w:val="51"/>
        </w:numPr>
        <w:spacing w:after="277"/>
        <w:ind w:left="628" w:right="147" w:hanging="283"/>
      </w:pPr>
      <w:r>
        <w:t>El Ayuntamiento, mediante el establecimiento de condiciones particulares en las autorizaciones, podrá</w:t>
      </w:r>
      <w:r>
        <w:t xml:space="preserve"> fijar determinados requisitos de uniformidad para el mobiliario y demás elementos accesorios en una zona urbana concreta, ya sea para lograr una mejor armonización con el entorno o para la obtención de una imagen más homogénea. </w:t>
      </w:r>
    </w:p>
    <w:p w:rsidR="00B064CF" w:rsidRDefault="00E32F70">
      <w:pPr>
        <w:numPr>
          <w:ilvl w:val="0"/>
          <w:numId w:val="51"/>
        </w:numPr>
        <w:ind w:left="628" w:right="147" w:hanging="283"/>
      </w:pPr>
      <w:r>
        <w:t>Se podrá denegar la instal</w:t>
      </w:r>
      <w:r>
        <w:t>ación de las terrazas en sitios en los que la pendiente de las aceras, la situación ambiental (exceso de humos, etc.), el tránsito intenso y frecuente de peatones o cualquier otra circunstancia similar no aconsejen la implantación de este tipo de instalaci</w:t>
      </w:r>
      <w:r>
        <w:t xml:space="preserve">ones.  </w:t>
      </w:r>
    </w:p>
    <w:p w:rsidR="00B064CF" w:rsidRDefault="00E32F70">
      <w:pPr>
        <w:spacing w:after="0" w:line="259" w:lineRule="auto"/>
        <w:ind w:left="360" w:firstLine="0"/>
        <w:jc w:val="left"/>
      </w:pPr>
      <w:r>
        <w:t xml:space="preserve"> </w:t>
      </w:r>
    </w:p>
    <w:p w:rsidR="00B064CF" w:rsidRDefault="00E32F70">
      <w:pPr>
        <w:ind w:left="355" w:right="72"/>
      </w:pPr>
      <w:r>
        <w:t xml:space="preserve">Sección 2ª. CONDICIONES DE LAS OCUPACIONES VINCULADAS A ACTIVIDADES HOSTELERAS </w:t>
      </w:r>
    </w:p>
    <w:p w:rsidR="00B064CF" w:rsidRDefault="00E32F70">
      <w:pPr>
        <w:spacing w:after="0"/>
        <w:ind w:left="355" w:right="72"/>
      </w:pPr>
      <w:r>
        <w:t xml:space="preserve">Artículo 20.   Condiciones superficiales y dimensionales de las ocupaciones vinculadas a las actividades hosteleras </w:t>
      </w:r>
    </w:p>
    <w:p w:rsidR="00B064CF" w:rsidRDefault="00E32F70">
      <w:pPr>
        <w:numPr>
          <w:ilvl w:val="0"/>
          <w:numId w:val="52"/>
        </w:numPr>
        <w:spacing w:after="0"/>
        <w:ind w:right="72"/>
      </w:pPr>
      <w:r>
        <w:t xml:space="preserve">En las vías que soporten tránsito rodado, las ocupaciones con elementos accesorios de una actividad hostelera, cumplirán las siguientes condiciones: </w:t>
      </w:r>
    </w:p>
    <w:p w:rsidR="00B064CF" w:rsidRDefault="00E32F70">
      <w:pPr>
        <w:numPr>
          <w:ilvl w:val="1"/>
          <w:numId w:val="52"/>
        </w:numPr>
        <w:ind w:right="145" w:hanging="360"/>
      </w:pPr>
      <w:r>
        <w:t>Sólo podrán ser ocupadas las aceras o zonas destinadas al uso peatonal, nunca las calzadas destinadas al t</w:t>
      </w:r>
      <w:r>
        <w:t xml:space="preserve">ráfico rodado. Podrán ser ocupadas las zonas de aparcamiento, quedando condicionada su autorización al cumplimiento de las condiciones específicas, descritas en el artículo 22 apartado 10. </w:t>
      </w:r>
    </w:p>
    <w:p w:rsidR="00B064CF" w:rsidRDefault="00E32F70">
      <w:pPr>
        <w:numPr>
          <w:ilvl w:val="1"/>
          <w:numId w:val="52"/>
        </w:numPr>
        <w:ind w:right="145" w:hanging="360"/>
      </w:pPr>
      <w:r>
        <w:t>No se autorizará la ocupación en los tramos de acera o espacios de</w:t>
      </w:r>
      <w:r>
        <w:t xml:space="preserve"> circulación peatonal dónde no se pueda establecer un ancho libre de paso junto a fachada, o elemento horizontal que materialice físicamente el límite edificado a nivel del suelo, de 1,80 m, sin perjuicio de estrangulamientos puntuales provocados por eleme</w:t>
      </w:r>
      <w:r>
        <w:t>ntos del mobiliario urbano, en los que el ancho libre de paso no será inferior a un metro y cincuenta centímetros (1,50 m), garantizando así el uso no discriminatorio y la circulación de forma autónoma y continua de todas las personas. (ANEXO I. GRÁFICO 1.</w:t>
      </w:r>
      <w:r>
        <w:t xml:space="preserve">1.). </w:t>
      </w:r>
    </w:p>
    <w:p w:rsidR="00B064CF" w:rsidRDefault="00E32F70">
      <w:pPr>
        <w:numPr>
          <w:ilvl w:val="1"/>
          <w:numId w:val="52"/>
        </w:numPr>
        <w:ind w:right="145" w:hanging="360"/>
      </w:pPr>
      <w:r>
        <w:t>El tramo libre de ocupación descrito en el apartado anterior, podrá estar separado de la fachada o elemento horizontal que materialice físicamente el límite edificado, cuando las características y el uso del espacio recomienden otra disposición del i</w:t>
      </w:r>
      <w:r>
        <w:t xml:space="preserve">tinerario peatonal accesible o cuando éste carezca de dicha línea de fachada o referencia edificada, siempre que la orientación y el encaminamiento esté señalizado mediante una franja-guía longitudinal (ANEXO I. GRÁFICO 1.2.). </w:t>
      </w:r>
    </w:p>
    <w:p w:rsidR="00B064CF" w:rsidRDefault="00E32F70">
      <w:pPr>
        <w:numPr>
          <w:ilvl w:val="1"/>
          <w:numId w:val="52"/>
        </w:numPr>
        <w:ind w:right="145" w:hanging="360"/>
      </w:pPr>
      <w:r>
        <w:rPr>
          <w:rFonts w:ascii="Calibri" w:eastAsia="Calibri" w:hAnsi="Calibri" w:cs="Calibri"/>
          <w:noProof/>
        </w:rPr>
        <mc:AlternateContent>
          <mc:Choice Requires="wpg">
            <w:drawing>
              <wp:anchor distT="0" distB="0" distL="114300" distR="114300" simplePos="0" relativeHeight="25180364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4190" name="Group 394190"/>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7745" name="Rectangle 27745"/>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w:t>
                              </w:r>
                              <w:r>
                                <w:rPr>
                                  <w:sz w:val="12"/>
                                </w:rPr>
                                <w:t xml:space="preserve">JRFPNN5DLPPAAC3GS | Verificación: https://candelaria.sedelectronica.es/ </w:t>
                              </w:r>
                            </w:p>
                          </w:txbxContent>
                        </wps:txbx>
                        <wps:bodyPr horzOverflow="overflow" vert="horz" lIns="0" tIns="0" rIns="0" bIns="0" rtlCol="0">
                          <a:noAutofit/>
                        </wps:bodyPr>
                      </wps:wsp>
                      <wps:wsp>
                        <wps:cNvPr id="27746" name="Rectangle 27746"/>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139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4190" style="width:12.7031pt;height:278.91pt;position:absolute;mso-position-horizontal-relative:page;mso-position-horizontal:absolute;margin-left:682.278pt;mso-position-vertical-relative:page;margin-top:533.01pt;" coordsize="1613,35421">
                <v:rect id="Rectangle 27745"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7746"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139 de 298 </w:t>
                        </w:r>
                      </w:p>
                    </w:txbxContent>
                  </v:textbox>
                </v:rect>
                <w10:wrap type="square"/>
              </v:group>
            </w:pict>
          </mc:Fallback>
        </mc:AlternateContent>
      </w:r>
      <w:r>
        <w:t>La ocupación se desarrollará en una franja de ancho uniforme, salvo que la configuraci</w:t>
      </w:r>
      <w:r>
        <w:t xml:space="preserve">ón y dimensiones del espacio público permitan ocupaciones de superficies trapezoidales o irregulares.   </w:t>
      </w:r>
    </w:p>
    <w:p w:rsidR="00B064CF" w:rsidRDefault="00E32F70">
      <w:pPr>
        <w:numPr>
          <w:ilvl w:val="1"/>
          <w:numId w:val="52"/>
        </w:numPr>
        <w:ind w:right="145" w:hanging="360"/>
      </w:pPr>
      <w:r>
        <w:t>En los accesos peatonales a los portales o locales se respetará una franja de paso libre de cualquier obstáculo, de al menos un metro y ochenta centíme</w:t>
      </w:r>
      <w:r>
        <w:t xml:space="preserve">tros (1,80 m) de ancho. En los accesos vehiculares, la ocupación se separará como mínimo cincuenta centímetros (0,50 m) del borde de la puerta o hueco de acceso. </w:t>
      </w:r>
    </w:p>
    <w:p w:rsidR="00B064CF" w:rsidRDefault="00E32F70">
      <w:pPr>
        <w:numPr>
          <w:ilvl w:val="1"/>
          <w:numId w:val="52"/>
        </w:numPr>
        <w:ind w:right="145" w:hanging="360"/>
      </w:pPr>
      <w:r>
        <w:t>La superficie ocupada se separará, al menos, cincuenta centímetros (0,50 m) de las calzadas d</w:t>
      </w:r>
      <w:r>
        <w:t xml:space="preserve">e circulación vehicular. Cuando exista una zona de aparcamiento en línea junto a la acera, se deberá permitir entrar y salir del vehículo sin dificultad.   </w:t>
      </w:r>
    </w:p>
    <w:p w:rsidR="00B064CF" w:rsidRDefault="00E32F70">
      <w:pPr>
        <w:numPr>
          <w:ilvl w:val="1"/>
          <w:numId w:val="52"/>
        </w:numPr>
        <w:ind w:right="145" w:hanging="360"/>
      </w:pPr>
      <w:r>
        <w:t>No se autorizarán ocupaciones cuando exista una calzada de tráfico rodado o una zona de aparcamient</w:t>
      </w:r>
      <w:r>
        <w:t xml:space="preserve">o entre el espacio que se pretenda ocupar y el establecimiento que sirva de soporte a la actividad de hostelería.  </w:t>
      </w:r>
    </w:p>
    <w:p w:rsidR="00B064CF" w:rsidRDefault="00E32F70">
      <w:pPr>
        <w:numPr>
          <w:ilvl w:val="1"/>
          <w:numId w:val="52"/>
        </w:numPr>
        <w:spacing w:after="129"/>
        <w:ind w:right="145" w:hanging="360"/>
      </w:pPr>
      <w:r>
        <w:t xml:space="preserve">La ocupación sólo podrá autorizarse en el frente del establecimiento al que se vincula, aunque de manera excepcional, pudiera extenderse al </w:t>
      </w:r>
      <w:r>
        <w:t xml:space="preserve">frente de los locales inmediatamente contiguos siempre que se cumplan las siguientes condiciones: Cond Generales </w:t>
      </w:r>
      <w:r>
        <w:rPr>
          <w:rFonts w:ascii="Segoe UI Symbol" w:eastAsia="Segoe UI Symbol" w:hAnsi="Segoe UI Symbol" w:cs="Segoe UI Symbol"/>
        </w:rPr>
        <w:t></w:t>
      </w:r>
      <w:r>
        <w:t xml:space="preserve"> Que los locales contiguos no se destinen a un uso residencial. </w:t>
      </w:r>
    </w:p>
    <w:p w:rsidR="00B064CF" w:rsidRDefault="00E32F70">
      <w:pPr>
        <w:ind w:left="1493" w:right="72" w:hanging="360"/>
      </w:pPr>
      <w:r>
        <w:rPr>
          <w:rFonts w:ascii="Segoe UI Symbol" w:eastAsia="Segoe UI Symbol" w:hAnsi="Segoe UI Symbol" w:cs="Segoe UI Symbol"/>
        </w:rPr>
        <w:t></w:t>
      </w:r>
      <w:r>
        <w:t xml:space="preserve"> Que presten su conformidad los titulares de las actividades que en dichos e</w:t>
      </w:r>
      <w:r>
        <w:t xml:space="preserve">stablecimientos se ejerzan. </w:t>
      </w:r>
    </w:p>
    <w:p w:rsidR="00B064CF" w:rsidRDefault="00E32F70">
      <w:pPr>
        <w:ind w:left="1493" w:right="72" w:hanging="360"/>
      </w:pPr>
      <w:r>
        <w:rPr>
          <w:rFonts w:ascii="Segoe UI Symbol" w:eastAsia="Segoe UI Symbol" w:hAnsi="Segoe UI Symbol" w:cs="Segoe UI Symbol"/>
        </w:rPr>
        <w:t></w:t>
      </w:r>
      <w:r>
        <w:t xml:space="preserve"> Que cuando se implante una nueva actividad en alguno de los locales contiguos, se obtenga la conformidad de su titular. </w:t>
      </w:r>
    </w:p>
    <w:p w:rsidR="00B064CF" w:rsidRDefault="00E32F70">
      <w:pPr>
        <w:ind w:left="1493" w:right="72" w:hanging="360"/>
      </w:pPr>
      <w:r>
        <w:rPr>
          <w:rFonts w:ascii="Segoe UI Symbol" w:eastAsia="Segoe UI Symbol" w:hAnsi="Segoe UI Symbol" w:cs="Segoe UI Symbol"/>
        </w:rPr>
        <w:t></w:t>
      </w:r>
      <w:r>
        <w:t xml:space="preserve"> Que no lo impidan los estatutos de la comunidad de propietarios en el que se enclavan los locales. </w:t>
      </w:r>
    </w:p>
    <w:p w:rsidR="00B064CF" w:rsidRDefault="00E32F70">
      <w:pPr>
        <w:numPr>
          <w:ilvl w:val="1"/>
          <w:numId w:val="52"/>
        </w:numPr>
        <w:ind w:right="145" w:hanging="360"/>
      </w:pPr>
      <w:r>
        <w:t xml:space="preserve">En el supuesto de establecimientos con fachada en esquina, la ocupación podrá desarrollarse en los frentes de ambas fachadas, siempre dentro de los límites establecidos en la presente Ordenanza. </w:t>
      </w:r>
    </w:p>
    <w:p w:rsidR="00B064CF" w:rsidRDefault="00E32F70">
      <w:pPr>
        <w:numPr>
          <w:ilvl w:val="0"/>
          <w:numId w:val="52"/>
        </w:numPr>
        <w:spacing w:after="0"/>
        <w:ind w:right="72"/>
      </w:pPr>
      <w:r>
        <w:t>En las vías de tránsito exclusivamente peatonal que no sopor</w:t>
      </w:r>
      <w:r>
        <w:t xml:space="preserve">ten ningún tipo de tránsito rodado, ni siquiera restringido, las ocupaciones con elementos accesorios de una actividad hostelera cumplirán las siguientes condiciones: </w:t>
      </w:r>
    </w:p>
    <w:p w:rsidR="00B064CF" w:rsidRDefault="00E32F70">
      <w:pPr>
        <w:numPr>
          <w:ilvl w:val="1"/>
          <w:numId w:val="52"/>
        </w:numPr>
        <w:ind w:right="145" w:hanging="360"/>
      </w:pPr>
      <w:r>
        <w:t>No se autorizará la ocupación en los tramos de vías peatonales que presenten una anchura</w:t>
      </w:r>
      <w:r>
        <w:t xml:space="preserve"> libre inferior a seis metros (6,00 m), no obstante, cuando las características y el uso del espacio recomienden otra disposición del itinerario peatonal accesible o cuando éste carezca de dicha línea de fachada o referencia edificada, siempre que la orien</w:t>
      </w:r>
      <w:r>
        <w:t xml:space="preserve">tación y el encaminamiento esté señalizado mediante una franja-guía longitudinal y éste se realice por el centro del tramo, se permitirán en vías de ancho inferior. </w:t>
      </w:r>
    </w:p>
    <w:p w:rsidR="00B064CF" w:rsidRDefault="00E32F70">
      <w:pPr>
        <w:numPr>
          <w:ilvl w:val="1"/>
          <w:numId w:val="52"/>
        </w:numPr>
        <w:spacing w:after="124"/>
        <w:ind w:right="145" w:hanging="360"/>
      </w:pPr>
      <w:r>
        <w:t>La ocupación deberá realizarse, como norma general, en el centro del tramo peatonal, debie</w:t>
      </w:r>
      <w:r>
        <w:t xml:space="preserve">ndo respetar franjas libres de paso junto a las fachadas delimitadoras, cuya anchura mínima sea igual o superior a 2,00 m, sin perjuicio de lo expresado en el apartado anterior. </w:t>
      </w:r>
    </w:p>
    <w:p w:rsidR="00B064CF" w:rsidRDefault="00E32F70">
      <w:pPr>
        <w:spacing w:after="13" w:line="250" w:lineRule="auto"/>
        <w:ind w:left="2249" w:right="1969"/>
        <w:jc w:val="center"/>
      </w:pPr>
      <w:r>
        <w:rPr>
          <w:rFonts w:ascii="Calibri" w:eastAsia="Calibri" w:hAnsi="Calibri" w:cs="Calibri"/>
          <w:noProof/>
        </w:rPr>
        <mc:AlternateContent>
          <mc:Choice Requires="wpg">
            <w:drawing>
              <wp:anchor distT="0" distB="0" distL="114300" distR="114300" simplePos="0" relativeHeight="25180467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3668" name="Group 403668"/>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7870" name="Rectangle 27870"/>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7871" name="Rectangle 27871"/>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140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3668" style="width:12.7031pt;height:278.91pt;position:absolute;mso-position-horizontal-relative:page;mso-position-horizontal:absolute;margin-left:682.278pt;mso-position-vertical-relative:page;margin-top:533.01pt;" coordsize="1613,35421">
                <v:rect id="Rectangle 27870"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7871"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140 de 298 </w:t>
                        </w:r>
                      </w:p>
                    </w:txbxContent>
                  </v:textbox>
                </v:rect>
                <w10:wrap type="square"/>
              </v:group>
            </w:pict>
          </mc:Fallback>
        </mc:AlternateContent>
      </w:r>
      <w:r>
        <w:t xml:space="preserve">TABLA 1. (GRÁFICO DE OCUPACIÓN ANEXO I. GRÁFICO 1.3.) </w:t>
      </w:r>
    </w:p>
    <w:tbl>
      <w:tblPr>
        <w:tblStyle w:val="TableGrid"/>
        <w:tblpPr w:vertAnchor="text" w:tblpX="2170" w:tblpY="-787"/>
        <w:tblOverlap w:val="never"/>
        <w:tblW w:w="5946" w:type="dxa"/>
        <w:tblInd w:w="0" w:type="dxa"/>
        <w:tblCellMar>
          <w:top w:w="4" w:type="dxa"/>
          <w:left w:w="144" w:type="dxa"/>
          <w:bottom w:w="0" w:type="dxa"/>
          <w:right w:w="541" w:type="dxa"/>
        </w:tblCellMar>
        <w:tblLook w:val="04A0" w:firstRow="1" w:lastRow="0" w:firstColumn="1" w:lastColumn="0" w:noHBand="0" w:noVBand="1"/>
      </w:tblPr>
      <w:tblGrid>
        <w:gridCol w:w="3279"/>
        <w:gridCol w:w="2667"/>
      </w:tblGrid>
      <w:tr w:rsidR="00B064CF">
        <w:trPr>
          <w:trHeight w:val="758"/>
        </w:trPr>
        <w:tc>
          <w:tcPr>
            <w:tcW w:w="3279" w:type="dxa"/>
            <w:tcBorders>
              <w:top w:val="nil"/>
              <w:left w:val="nil"/>
              <w:bottom w:val="nil"/>
              <w:right w:val="nil"/>
            </w:tcBorders>
            <w:shd w:val="clear" w:color="auto" w:fill="F2F2F2"/>
          </w:tcPr>
          <w:p w:rsidR="00B064CF" w:rsidRDefault="00E32F70">
            <w:pPr>
              <w:spacing w:after="0" w:line="259" w:lineRule="auto"/>
              <w:ind w:left="247" w:firstLine="0"/>
              <w:jc w:val="left"/>
            </w:pPr>
            <w:r>
              <w:t xml:space="preserve">ANCHO </w:t>
            </w:r>
            <w:r>
              <w:t xml:space="preserve">MÍNIMO DE </w:t>
            </w:r>
          </w:p>
          <w:p w:rsidR="00B064CF" w:rsidRDefault="00E32F70">
            <w:pPr>
              <w:spacing w:after="0" w:line="259" w:lineRule="auto"/>
              <w:ind w:left="432" w:hanging="118"/>
            </w:pPr>
            <w:r>
              <w:t xml:space="preserve">FRANJA LIBRE DE OCUPACIÓN (A) </w:t>
            </w:r>
          </w:p>
        </w:tc>
        <w:tc>
          <w:tcPr>
            <w:tcW w:w="2667" w:type="dxa"/>
            <w:tcBorders>
              <w:top w:val="nil"/>
              <w:left w:val="nil"/>
              <w:bottom w:val="nil"/>
              <w:right w:val="nil"/>
            </w:tcBorders>
            <w:shd w:val="clear" w:color="auto" w:fill="F2F2F2"/>
            <w:vAlign w:val="center"/>
          </w:tcPr>
          <w:p w:rsidR="00B064CF" w:rsidRDefault="00E32F70">
            <w:pPr>
              <w:spacing w:after="0" w:line="259" w:lineRule="auto"/>
              <w:ind w:left="0" w:firstLine="0"/>
              <w:jc w:val="left"/>
            </w:pPr>
            <w:r>
              <w:t xml:space="preserve">ANCHO DE VÍA (B) </w:t>
            </w:r>
          </w:p>
        </w:tc>
      </w:tr>
    </w:tbl>
    <w:p w:rsidR="00B064CF" w:rsidRDefault="00E32F70">
      <w:pPr>
        <w:spacing w:before="28" w:after="37"/>
        <w:ind w:left="3256" w:right="2416"/>
      </w:pPr>
      <w:r>
        <w:rPr>
          <w:noProof/>
        </w:rPr>
        <w:drawing>
          <wp:anchor distT="0" distB="0" distL="114300" distR="114300" simplePos="0" relativeHeight="251805696" behindDoc="0" locked="0" layoutInCell="1" allowOverlap="0">
            <wp:simplePos x="0" y="0"/>
            <wp:positionH relativeFrom="column">
              <wp:posOffset>3433953</wp:posOffset>
            </wp:positionH>
            <wp:positionV relativeFrom="paragraph">
              <wp:posOffset>-25891</wp:posOffset>
            </wp:positionV>
            <wp:extent cx="1383792" cy="697992"/>
            <wp:effectExtent l="0" t="0" r="0" b="0"/>
            <wp:wrapSquare wrapText="bothSides"/>
            <wp:docPr id="446089" name="Picture 446089"/>
            <wp:cNvGraphicFramePr/>
            <a:graphic xmlns:a="http://schemas.openxmlformats.org/drawingml/2006/main">
              <a:graphicData uri="http://schemas.openxmlformats.org/drawingml/2006/picture">
                <pic:pic xmlns:pic="http://schemas.openxmlformats.org/drawingml/2006/picture">
                  <pic:nvPicPr>
                    <pic:cNvPr id="446089" name="Picture 446089"/>
                    <pic:cNvPicPr/>
                  </pic:nvPicPr>
                  <pic:blipFill>
                    <a:blip r:embed="rId44"/>
                    <a:stretch>
                      <a:fillRect/>
                    </a:stretch>
                  </pic:blipFill>
                  <pic:spPr>
                    <a:xfrm>
                      <a:off x="0" y="0"/>
                      <a:ext cx="1383792" cy="697992"/>
                    </a:xfrm>
                    <a:prstGeom prst="rect">
                      <a:avLst/>
                    </a:prstGeom>
                  </pic:spPr>
                </pic:pic>
              </a:graphicData>
            </a:graphic>
          </wp:anchor>
        </w:drawing>
      </w:r>
      <w:r>
        <w:t xml:space="preserve">2,00 m </w:t>
      </w:r>
    </w:p>
    <w:p w:rsidR="00B064CF" w:rsidRDefault="00E32F70">
      <w:pPr>
        <w:spacing w:after="34" w:line="250" w:lineRule="auto"/>
        <w:ind w:left="906" w:right="3312"/>
        <w:jc w:val="center"/>
      </w:pPr>
      <w:r>
        <w:t xml:space="preserve">2,50 m  </w:t>
      </w:r>
    </w:p>
    <w:p w:rsidR="00B064CF" w:rsidRDefault="00E32F70">
      <w:pPr>
        <w:spacing w:after="34" w:line="250" w:lineRule="auto"/>
        <w:ind w:left="906" w:right="3312"/>
        <w:jc w:val="center"/>
      </w:pPr>
      <w:r>
        <w:t xml:space="preserve">3,00 m  </w:t>
      </w:r>
    </w:p>
    <w:p w:rsidR="00B064CF" w:rsidRDefault="00E32F70">
      <w:pPr>
        <w:spacing w:after="13"/>
        <w:ind w:left="3256" w:right="2416"/>
      </w:pPr>
      <w:r>
        <w:t xml:space="preserve">3,50 m </w:t>
      </w:r>
    </w:p>
    <w:p w:rsidR="00B064CF" w:rsidRDefault="00E32F70">
      <w:pPr>
        <w:spacing w:after="11"/>
        <w:ind w:left="1090" w:right="72"/>
      </w:pPr>
      <w:r>
        <w:t xml:space="preserve">En ningún caso, la ocupación pretendida superará el 50% del ancho del ancho de la vía. </w:t>
      </w:r>
    </w:p>
    <w:p w:rsidR="00B064CF" w:rsidRDefault="00E32F70">
      <w:pPr>
        <w:numPr>
          <w:ilvl w:val="1"/>
          <w:numId w:val="52"/>
        </w:numPr>
        <w:spacing w:after="6"/>
        <w:ind w:right="145" w:hanging="360"/>
      </w:pPr>
      <w:r>
        <w:t>En el caso de que concurran dos actividades hosteleras, que den frente a un mismo espacio de una vía peatonal y soliciten su ocupación, el ancho de la franja ocupada vinculada a cada establecimiento no podrá sobrepasar el 50% del ancho de la ocupación máxi</w:t>
      </w:r>
      <w:r>
        <w:t xml:space="preserve">ma permitida para dicho tramo peatonal.  (ANEXO I. GRÁFICO 1.4.). </w:t>
      </w:r>
    </w:p>
    <w:p w:rsidR="00B064CF" w:rsidRDefault="00E32F70">
      <w:pPr>
        <w:numPr>
          <w:ilvl w:val="1"/>
          <w:numId w:val="52"/>
        </w:numPr>
        <w:ind w:right="145" w:hanging="360"/>
      </w:pPr>
      <w:r>
        <w:t xml:space="preserve">Toda ocupación respetará las condiciones, que le sean de aplicación, establecidas en el apartado 1 del presente artículo. </w:t>
      </w:r>
    </w:p>
    <w:p w:rsidR="00B064CF" w:rsidRDefault="00E32F70">
      <w:pPr>
        <w:numPr>
          <w:ilvl w:val="0"/>
          <w:numId w:val="52"/>
        </w:numPr>
        <w:spacing w:after="0"/>
        <w:ind w:right="72"/>
      </w:pPr>
      <w:r>
        <w:t>En las vías de tránsito peatonal que soporten tránsito restringido</w:t>
      </w:r>
      <w:r>
        <w:t xml:space="preserve"> de vehículos, las ocupaciones con elementos accesorios de una actividad hostelera cumplirán las siguientes condiciones: </w:t>
      </w:r>
    </w:p>
    <w:p w:rsidR="00B064CF" w:rsidRDefault="00E32F70">
      <w:pPr>
        <w:numPr>
          <w:ilvl w:val="1"/>
          <w:numId w:val="52"/>
        </w:numPr>
        <w:ind w:right="145" w:hanging="360"/>
      </w:pPr>
      <w:r>
        <w:t xml:space="preserve">Deberá respetarse una franja libre de ocupación de al menos tres metros y cincuenta centímetros (3,50 m) de ancho en toda la longitud </w:t>
      </w:r>
      <w:r>
        <w:t xml:space="preserve">de la vía. En las vías o en los tramos de las mismas que presenten una anchura inferior a seis metros (6,00 m), el ancho de la franja podrá reducirse a tres metros (3,00 m). </w:t>
      </w:r>
    </w:p>
    <w:p w:rsidR="00B064CF" w:rsidRDefault="00E32F70">
      <w:pPr>
        <w:numPr>
          <w:ilvl w:val="1"/>
          <w:numId w:val="52"/>
        </w:numPr>
        <w:ind w:right="145" w:hanging="360"/>
      </w:pPr>
      <w:r>
        <w:t xml:space="preserve">Toda ocupación respetará las condiciones que le sean de aplicación, establecidas </w:t>
      </w:r>
      <w:r>
        <w:t xml:space="preserve">en el apartado 1., salvo a lo referido a la letra g del apartado 1, pudiendo ser concedido para casos excepcionales. </w:t>
      </w:r>
    </w:p>
    <w:p w:rsidR="00B064CF" w:rsidRDefault="00E32F70">
      <w:pPr>
        <w:spacing w:after="0"/>
        <w:ind w:left="355" w:right="72"/>
      </w:pPr>
      <w:r>
        <w:t xml:space="preserve">Artículo 21. Señalización de los límites de las ocupaciones vinculadas a las actividades terciarias hosteleras. </w:t>
      </w:r>
    </w:p>
    <w:p w:rsidR="00B064CF" w:rsidRDefault="00E32F70">
      <w:pPr>
        <w:numPr>
          <w:ilvl w:val="0"/>
          <w:numId w:val="53"/>
        </w:numPr>
        <w:ind w:right="72" w:hanging="286"/>
      </w:pPr>
      <w:r>
        <w:t>Las licencias no se conce</w:t>
      </w:r>
      <w:r>
        <w:t xml:space="preserve">derán por número de mesas o sillas, sino por unidades de superficie del espacio que se ha de ocupar.  </w:t>
      </w:r>
    </w:p>
    <w:p w:rsidR="00B064CF" w:rsidRDefault="00E32F70">
      <w:pPr>
        <w:numPr>
          <w:ilvl w:val="0"/>
          <w:numId w:val="53"/>
        </w:numPr>
        <w:ind w:right="72" w:hanging="286"/>
      </w:pPr>
      <w:r>
        <w:t>Al objeto de facilitar las actuaciones de control e inspección del dominio público, la persona o entidad titular de la autorización vendrá obligada a señ</w:t>
      </w:r>
      <w:r>
        <w:t xml:space="preserve">alizar los límites del espacio autorizado.  </w:t>
      </w:r>
    </w:p>
    <w:p w:rsidR="00B064CF" w:rsidRDefault="00E32F70">
      <w:pPr>
        <w:numPr>
          <w:ilvl w:val="0"/>
          <w:numId w:val="53"/>
        </w:numPr>
        <w:ind w:right="72" w:hanging="286"/>
      </w:pPr>
      <w:r>
        <w:t>El espacio autorizado se debe marcar en el pavimento con una línea de pintura deleble, discontinua, con una longitud máxima de 15 centímetros (0,15m) y un ancho máximo de 5 centímetros (0,05m). Quedarán repartid</w:t>
      </w:r>
      <w:r>
        <w:t>as proporcionalmente y separadas un mínimo de 3 m y un máximo de 4,5 m. La pintura será especial para pavimento de exterior, antideslizante y de color blanco, salvo que no resalte suficientemente del tono del pavimento, en cuyo caso será roja. La administr</w:t>
      </w:r>
      <w:r>
        <w:t xml:space="preserve">ación podrá modificar estos parámetros para que dichas marcas tengan una mejor integración en el entorno. </w:t>
      </w:r>
    </w:p>
    <w:p w:rsidR="00B064CF" w:rsidRDefault="00E32F70">
      <w:pPr>
        <w:numPr>
          <w:ilvl w:val="0"/>
          <w:numId w:val="53"/>
        </w:numPr>
        <w:ind w:right="72" w:hanging="286"/>
      </w:pPr>
      <w:r>
        <w:t xml:space="preserve">La línea se pintará desde el límite de terraza, que corresponda por autorización/licencia, hacia el interior de la ocupación. </w:t>
      </w:r>
    </w:p>
    <w:p w:rsidR="00B064CF" w:rsidRDefault="00E32F70">
      <w:pPr>
        <w:numPr>
          <w:ilvl w:val="0"/>
          <w:numId w:val="53"/>
        </w:numPr>
        <w:ind w:right="72" w:hanging="286"/>
      </w:pPr>
      <w:r>
        <w:rPr>
          <w:rFonts w:ascii="Calibri" w:eastAsia="Calibri" w:hAnsi="Calibri" w:cs="Calibri"/>
          <w:noProof/>
        </w:rPr>
        <mc:AlternateContent>
          <mc:Choice Requires="wpg">
            <w:drawing>
              <wp:anchor distT="0" distB="0" distL="114300" distR="114300" simplePos="0" relativeHeight="25180672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4047" name="Group 394047"/>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7993" name="Rectangle 27993"/>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w:t>
                              </w:r>
                              <w:r>
                                <w:rPr>
                                  <w:sz w:val="12"/>
                                </w:rPr>
                                <w:t xml:space="preserve">SKSNYNJRFPNN5DLPPAAC3GS | Verificación: https://candelaria.sedelectronica.es/ </w:t>
                              </w:r>
                            </w:p>
                          </w:txbxContent>
                        </wps:txbx>
                        <wps:bodyPr horzOverflow="overflow" vert="horz" lIns="0" tIns="0" rIns="0" bIns="0" rtlCol="0">
                          <a:noAutofit/>
                        </wps:bodyPr>
                      </wps:wsp>
                      <wps:wsp>
                        <wps:cNvPr id="27994" name="Rectangle 27994"/>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141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4047" style="width:12.7031pt;height:278.91pt;position:absolute;mso-position-horizontal-relative:page;mso-position-horizontal:absolute;margin-left:682.278pt;mso-position-vertical-relative:page;margin-top:533.01pt;" coordsize="1613,35421">
                <v:rect id="Rectangle 27993"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7994"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141 de 298 </w:t>
                        </w:r>
                      </w:p>
                    </w:txbxContent>
                  </v:textbox>
                </v:rect>
                <w10:wrap type="square"/>
              </v:group>
            </w:pict>
          </mc:Fallback>
        </mc:AlternateContent>
      </w:r>
      <w:r>
        <w:t>La señalización sólo podrá realizarse en presencia de personal municipal con com</w:t>
      </w:r>
      <w:r>
        <w:t>petencias para el ejercicio de las facultades de control e inspección, quienes comunicarán a la persona o entidad titular de la autorización el día y hora para llevarla a cabo, levantando acta de la actuación y adoptando todas las medidas necesarias para q</w:t>
      </w:r>
      <w:r>
        <w:t xml:space="preserve">ue la señalización se ajuste estrictamente al contenido de la autorización. </w:t>
      </w:r>
    </w:p>
    <w:p w:rsidR="00B064CF" w:rsidRDefault="00E32F70">
      <w:pPr>
        <w:numPr>
          <w:ilvl w:val="0"/>
          <w:numId w:val="53"/>
        </w:numPr>
        <w:spacing w:line="246" w:lineRule="auto"/>
        <w:ind w:right="72" w:hanging="286"/>
      </w:pPr>
      <w:r>
        <w:t>Será obligación de la persona o entidad titular de la autorización, durante la vigencia de ésta, realizar el mantenimiento de la señalización regulada en el presente artículo, deb</w:t>
      </w:r>
      <w:r>
        <w:t xml:space="preserve">iendo proceder a su repintado o reposición, de acuerdo con las características descritas en los apartados anteriores, tantas veces como sea preciso para que los límites del espacio autorizado permanezcan claramente visibles. </w:t>
      </w:r>
    </w:p>
    <w:p w:rsidR="00B064CF" w:rsidRDefault="00E32F70">
      <w:pPr>
        <w:numPr>
          <w:ilvl w:val="0"/>
          <w:numId w:val="53"/>
        </w:numPr>
        <w:ind w:right="72" w:hanging="286"/>
      </w:pPr>
      <w:r>
        <w:t>Tanto en los supuestos de revocación como de no renovación de la autorización, la persona o entidad titular vendrá obligada a eliminar las marcas de señalización de la ocupación. Subsidiariamente serán los servicios técnicos municipales los encargados de e</w:t>
      </w:r>
      <w:r>
        <w:t xml:space="preserve">liminar tales marcas, con cargo al interesado. </w:t>
      </w:r>
    </w:p>
    <w:p w:rsidR="00B064CF" w:rsidRDefault="00E32F70">
      <w:pPr>
        <w:spacing w:after="11"/>
        <w:ind w:left="355" w:right="72"/>
      </w:pPr>
      <w:r>
        <w:t xml:space="preserve">Artículo 22. Características de los elementos accesorios vinculados a las actividades hosteleras </w:t>
      </w:r>
    </w:p>
    <w:p w:rsidR="00B064CF" w:rsidRDefault="00E32F70">
      <w:pPr>
        <w:numPr>
          <w:ilvl w:val="0"/>
          <w:numId w:val="54"/>
        </w:numPr>
        <w:ind w:right="72" w:hanging="360"/>
      </w:pPr>
      <w:r>
        <w:t xml:space="preserve">Todos los elementos que se dispongan en el dominio público estarán diseñados e instalados de tal forma que su </w:t>
      </w:r>
      <w:r>
        <w:t xml:space="preserve">utilización no represente real o potencial peligro para viandantes o usuarios, debiendo cumplir las condiciones generales de ocupación descritas en el artículo 8, así como las condiciones que se señalan en el Anexo II. </w:t>
      </w:r>
    </w:p>
    <w:p w:rsidR="00B064CF" w:rsidRDefault="00E32F70">
      <w:pPr>
        <w:numPr>
          <w:ilvl w:val="0"/>
          <w:numId w:val="54"/>
        </w:numPr>
        <w:ind w:right="72" w:hanging="360"/>
      </w:pPr>
      <w:r>
        <w:t>El mobiliario y los elementos que se</w:t>
      </w:r>
      <w:r>
        <w:t xml:space="preserve"> dispongan para la ocupación no podrán superar, en subsuelo, suelo ni vuelo, los límites del espacio autorizado, que debe señalizarse de conformidad con lo dispuesto en el artículo 21. </w:t>
      </w:r>
    </w:p>
    <w:p w:rsidR="00B064CF" w:rsidRDefault="00E32F70">
      <w:pPr>
        <w:numPr>
          <w:ilvl w:val="0"/>
          <w:numId w:val="54"/>
        </w:numPr>
        <w:ind w:right="72" w:hanging="360"/>
      </w:pPr>
      <w:r>
        <w:t xml:space="preserve">Las mesas y sillas deberán cumplir las siguientes condiciones: </w:t>
      </w:r>
    </w:p>
    <w:p w:rsidR="00B064CF" w:rsidRDefault="00E32F70">
      <w:pPr>
        <w:numPr>
          <w:ilvl w:val="1"/>
          <w:numId w:val="54"/>
        </w:numPr>
        <w:ind w:right="72" w:hanging="406"/>
      </w:pPr>
      <w:r>
        <w:t xml:space="preserve">Todas </w:t>
      </w:r>
      <w:r>
        <w:t xml:space="preserve">las mesas y sillas vinculadas a un mismo establecimiento serán de idéntico modelo, color y material. </w:t>
      </w:r>
    </w:p>
    <w:p w:rsidR="00B064CF" w:rsidRDefault="00E32F70">
      <w:pPr>
        <w:numPr>
          <w:ilvl w:val="1"/>
          <w:numId w:val="54"/>
        </w:numPr>
        <w:ind w:right="72" w:hanging="406"/>
      </w:pPr>
      <w:r>
        <w:t xml:space="preserve">Podrán incluir el nombre, logotipo o razón social del establecimiento. </w:t>
      </w:r>
    </w:p>
    <w:p w:rsidR="00B064CF" w:rsidRDefault="00E32F70">
      <w:pPr>
        <w:numPr>
          <w:ilvl w:val="0"/>
          <w:numId w:val="54"/>
        </w:numPr>
        <w:ind w:right="72" w:hanging="360"/>
      </w:pPr>
      <w:r>
        <w:t xml:space="preserve">Las sombrillas cumplirán las siguientes condiciones: </w:t>
      </w:r>
    </w:p>
    <w:p w:rsidR="00B064CF" w:rsidRDefault="00E32F70">
      <w:pPr>
        <w:numPr>
          <w:ilvl w:val="1"/>
          <w:numId w:val="54"/>
        </w:numPr>
        <w:ind w:right="72" w:hanging="406"/>
      </w:pPr>
      <w:r>
        <w:t>Se deberán disponer sobre ba</w:t>
      </w:r>
      <w:r>
        <w:t xml:space="preserve">ses y soportes que garanticen su estabilidad y eviten vuelcos o caídas. </w:t>
      </w:r>
    </w:p>
    <w:p w:rsidR="00B064CF" w:rsidRDefault="00E32F70">
      <w:pPr>
        <w:numPr>
          <w:ilvl w:val="1"/>
          <w:numId w:val="54"/>
        </w:numPr>
        <w:ind w:right="72" w:hanging="406"/>
      </w:pPr>
      <w:r>
        <w:t xml:space="preserve">Cuando no afecten a elementos catalogados o no se dispongan en ámbitos declarados como BIC, podrán contar con sistemas de sujeción machihembrada o similar, siempre que:  </w:t>
      </w:r>
    </w:p>
    <w:p w:rsidR="00B064CF" w:rsidRDefault="00E32F70">
      <w:pPr>
        <w:tabs>
          <w:tab w:val="center" w:pos="1161"/>
          <w:tab w:val="center" w:pos="4803"/>
        </w:tabs>
        <w:spacing w:after="146"/>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r>
      <w:r>
        <w:t xml:space="preserve">No afecten a los servicios e instalaciones existentes en el subsuelo. </w:t>
      </w:r>
    </w:p>
    <w:p w:rsidR="00B064CF" w:rsidRDefault="00E32F70">
      <w:pPr>
        <w:tabs>
          <w:tab w:val="center" w:pos="1161"/>
          <w:tab w:val="center" w:pos="3585"/>
        </w:tabs>
        <w:spacing w:after="143"/>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 xml:space="preserve">No se ubiquen sobre cubiertas de sótanos. </w:t>
      </w:r>
    </w:p>
    <w:p w:rsidR="00B064CF" w:rsidRDefault="00E32F70">
      <w:pPr>
        <w:ind w:left="1493" w:right="149" w:hanging="360"/>
      </w:pPr>
      <w:r>
        <w:rPr>
          <w:rFonts w:ascii="Segoe UI Symbol" w:eastAsia="Segoe UI Symbol" w:hAnsi="Segoe UI Symbol" w:cs="Segoe UI Symbol"/>
        </w:rPr>
        <w:t></w:t>
      </w:r>
      <w:r>
        <w:t xml:space="preserve"> No sobresalgan de la rasante del pavimento elementos ni partes de su mecanismo, una vez retiradas los elementos a colocar, debiendo aseg</w:t>
      </w:r>
      <w:r>
        <w:t xml:space="preserve">urar su continuidad y la inexistencia de resaltes.  </w:t>
      </w:r>
    </w:p>
    <w:p w:rsidR="00B064CF" w:rsidRDefault="00E32F70">
      <w:pPr>
        <w:ind w:left="1493" w:right="72" w:hanging="360"/>
      </w:pPr>
      <w:r>
        <w:rPr>
          <w:rFonts w:ascii="Calibri" w:eastAsia="Calibri" w:hAnsi="Calibri" w:cs="Calibri"/>
          <w:noProof/>
        </w:rPr>
        <mc:AlternateContent>
          <mc:Choice Requires="wpg">
            <w:drawing>
              <wp:anchor distT="0" distB="0" distL="114300" distR="114300" simplePos="0" relativeHeight="25180774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4178" name="Group 394178"/>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8110" name="Rectangle 28110"/>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8111" name="Rectangle 28111"/>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142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4178" style="width:12.7031pt;height:278.91pt;position:absolute;mso-position-horizontal-relative:page;mso-position-horizontal:absolute;margin-left:682.278pt;mso-position-vertical-relative:page;margin-top:533.01pt;" coordsize="1613,35421">
                <v:rect id="Rectangle 28110"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8111"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142 de 298 </w:t>
                        </w:r>
                      </w:p>
                    </w:txbxContent>
                  </v:textbox>
                </v:rect>
                <w10:wrap type="square"/>
              </v:group>
            </w:pict>
          </mc:Fallback>
        </mc:AlternateContent>
      </w:r>
      <w:r>
        <w:rPr>
          <w:rFonts w:ascii="Segoe UI Symbol" w:eastAsia="Segoe UI Symbol" w:hAnsi="Segoe UI Symbol" w:cs="Segoe UI Symbol"/>
        </w:rPr>
        <w:t></w:t>
      </w:r>
      <w:r>
        <w:t xml:space="preserve"> </w:t>
      </w:r>
      <w:r>
        <w:tab/>
      </w:r>
      <w:r>
        <w:t xml:space="preserve">No se generen orificios abiertos en el pavimento, ya sea con los elementos retirados o colocados.  </w:t>
      </w:r>
    </w:p>
    <w:p w:rsidR="00B064CF" w:rsidRDefault="00E32F70">
      <w:pPr>
        <w:spacing w:after="0"/>
        <w:ind w:left="1078" w:right="72"/>
      </w:pPr>
      <w:r>
        <w:t xml:space="preserve">Se podrá denegar dicha instalación en el caso de concurrir cualquier circunstancia que no aconseje la implantación de la misma. </w:t>
      </w:r>
    </w:p>
    <w:p w:rsidR="00B064CF" w:rsidRDefault="00E32F70">
      <w:pPr>
        <w:numPr>
          <w:ilvl w:val="1"/>
          <w:numId w:val="54"/>
        </w:numPr>
        <w:ind w:right="72" w:hanging="406"/>
      </w:pPr>
      <w:r>
        <w:t>La altura libre mínima será</w:t>
      </w:r>
      <w:r>
        <w:t xml:space="preserve"> de dos metros y veinte centímetros (2,20 m), y su altura máxima, como norma general, será de 3,00 m, medidos desde el suelo a su parte superior, salvo que las condiciones arquitectónicas específicas de las edificaciones requieran otros condicionantes para</w:t>
      </w:r>
      <w:r>
        <w:t xml:space="preserve"> su instalación.  </w:t>
      </w:r>
    </w:p>
    <w:p w:rsidR="00B064CF" w:rsidRDefault="00E32F70">
      <w:pPr>
        <w:numPr>
          <w:ilvl w:val="1"/>
          <w:numId w:val="54"/>
        </w:numPr>
        <w:ind w:right="72" w:hanging="406"/>
      </w:pPr>
      <w:r>
        <w:t xml:space="preserve">Todas las sombrillas vinculadas a un mismo establecimiento serán de idéntico modelo, color y material. </w:t>
      </w:r>
    </w:p>
    <w:p w:rsidR="00B064CF" w:rsidRDefault="00E32F70">
      <w:pPr>
        <w:numPr>
          <w:ilvl w:val="1"/>
          <w:numId w:val="54"/>
        </w:numPr>
        <w:ind w:right="72" w:hanging="406"/>
      </w:pPr>
      <w:r>
        <w:t>Podrán incluir, únicamente en los faldones o en la parte más baja de la sombrilla, el nombre, logotipo o razón social del establecimi</w:t>
      </w:r>
      <w:r>
        <w:t xml:space="preserve">ento.  </w:t>
      </w:r>
    </w:p>
    <w:p w:rsidR="00B064CF" w:rsidRDefault="00E32F70">
      <w:pPr>
        <w:numPr>
          <w:ilvl w:val="0"/>
          <w:numId w:val="54"/>
        </w:numPr>
        <w:spacing w:after="278"/>
        <w:ind w:right="72" w:hanging="360"/>
      </w:pPr>
      <w:r>
        <w:t xml:space="preserve">Los cenadores cumplirán las siguientes condiciones:  </w:t>
      </w:r>
    </w:p>
    <w:p w:rsidR="00B064CF" w:rsidRDefault="00E32F70">
      <w:pPr>
        <w:numPr>
          <w:ilvl w:val="1"/>
          <w:numId w:val="54"/>
        </w:numPr>
        <w:spacing w:after="275"/>
        <w:ind w:right="72" w:hanging="406"/>
      </w:pPr>
      <w:r>
        <w:t xml:space="preserve">Se deberán disponer sobre bases y soportes que garanticen su estabilidad y eviten vuelcos o caídas. </w:t>
      </w:r>
    </w:p>
    <w:p w:rsidR="00B064CF" w:rsidRDefault="00E32F70">
      <w:pPr>
        <w:numPr>
          <w:ilvl w:val="1"/>
          <w:numId w:val="54"/>
        </w:numPr>
        <w:spacing w:after="277"/>
        <w:ind w:right="72" w:hanging="406"/>
      </w:pPr>
      <w:r>
        <w:t>Cuando no afecten a elementos catalogados o no se dispongan en ámbitos declarados como BIC, p</w:t>
      </w:r>
      <w:r>
        <w:t xml:space="preserve">odrán contar con sistemas de sujeción machihembrada o similar, siempre que se ajusten a las condiciones descritas en el apartado 4.b. </w:t>
      </w:r>
    </w:p>
    <w:p w:rsidR="00B064CF" w:rsidRDefault="00E32F70">
      <w:pPr>
        <w:numPr>
          <w:ilvl w:val="1"/>
          <w:numId w:val="54"/>
        </w:numPr>
        <w:ind w:right="72" w:hanging="406"/>
      </w:pPr>
      <w:r>
        <w:t>Las estructuras serán desmontables, instaladas sin elaboración de materiales in situ ni empleo de soldaduras, pudiendo se</w:t>
      </w:r>
      <w:r>
        <w:t xml:space="preserve">r desmanteladas sin operaciones de demolición. </w:t>
      </w:r>
    </w:p>
    <w:p w:rsidR="00B064CF" w:rsidRDefault="00E32F70">
      <w:pPr>
        <w:numPr>
          <w:ilvl w:val="1"/>
          <w:numId w:val="54"/>
        </w:numPr>
        <w:spacing w:after="277"/>
        <w:ind w:right="72" w:hanging="406"/>
      </w:pPr>
      <w:r>
        <w:t>La altura libre mínima será de dos metros y veinte centímetros (2,20 m), y su altura máxima, como normal general, será de 3,00 m, medidos desde el suelo a su parte superior, salvo que las condiciones arquitec</w:t>
      </w:r>
      <w:r>
        <w:t xml:space="preserve">tónicas específicas de las edificaciones requieran otros condicionantes para su instalación. </w:t>
      </w:r>
    </w:p>
    <w:p w:rsidR="00B064CF" w:rsidRDefault="00E32F70">
      <w:pPr>
        <w:numPr>
          <w:ilvl w:val="1"/>
          <w:numId w:val="54"/>
        </w:numPr>
        <w:spacing w:after="279"/>
        <w:ind w:right="72" w:hanging="406"/>
      </w:pPr>
      <w:r>
        <w:t>Como normal general, no podrán ubicarse a menos de dos metros (2,00 m) de distancia de cualquier fachada o cuerpo volado, sin perjuicio de que se exija otra dista</w:t>
      </w:r>
      <w:r>
        <w:t xml:space="preserve">ncia mayor, o bien, se aconseje adosarla a linderos o fachada, en la normativa que le sea de aplicación. </w:t>
      </w:r>
    </w:p>
    <w:p w:rsidR="00B064CF" w:rsidRDefault="00E32F70">
      <w:pPr>
        <w:numPr>
          <w:ilvl w:val="1"/>
          <w:numId w:val="54"/>
        </w:numPr>
        <w:spacing w:after="210"/>
        <w:ind w:right="72" w:hanging="406"/>
      </w:pPr>
      <w:r>
        <w:t xml:space="preserve">Deberán ser instalados por empresa especializada que garantice su estabilidad y seguridad.  </w:t>
      </w:r>
    </w:p>
    <w:p w:rsidR="00B064CF" w:rsidRDefault="00E32F70">
      <w:pPr>
        <w:numPr>
          <w:ilvl w:val="1"/>
          <w:numId w:val="54"/>
        </w:numPr>
        <w:ind w:right="72" w:hanging="406"/>
      </w:pPr>
      <w:r>
        <w:t>Podrán tener cerramientos verticales como máximo en tres caras, debiendo quedar siempre abierta la cara que enfrenta con el establecimiento. Dichos cerramientos serán enrollables y flexibles, no permitiéndose ningún cerramiento de carácter fijo. Al menos e</w:t>
      </w:r>
      <w:r>
        <w:t xml:space="preserve">l 50% de la superficie de los cerramientos será transparente.   </w:t>
      </w:r>
    </w:p>
    <w:p w:rsidR="00B064CF" w:rsidRDefault="00E32F70">
      <w:pPr>
        <w:numPr>
          <w:ilvl w:val="0"/>
          <w:numId w:val="54"/>
        </w:numPr>
        <w:ind w:right="72" w:hanging="360"/>
      </w:pPr>
      <w:r>
        <w:t xml:space="preserve">Los toldos deberán cumplir las siguientes condiciones: </w:t>
      </w:r>
    </w:p>
    <w:p w:rsidR="00B064CF" w:rsidRDefault="00E32F70">
      <w:pPr>
        <w:numPr>
          <w:ilvl w:val="1"/>
          <w:numId w:val="54"/>
        </w:numPr>
        <w:ind w:right="72" w:hanging="406"/>
      </w:pPr>
      <w:r>
        <w:t xml:space="preserve">Sólo serán autorizados los toldos retráctiles e idénticos, adosados a fachada,  </w:t>
      </w:r>
    </w:p>
    <w:p w:rsidR="00B064CF" w:rsidRDefault="00E32F70">
      <w:pPr>
        <w:numPr>
          <w:ilvl w:val="1"/>
          <w:numId w:val="54"/>
        </w:numPr>
        <w:ind w:right="72" w:hanging="406"/>
      </w:pPr>
      <w:r>
        <w:t>Se permitirá únicamente para las actividades hostelera</w:t>
      </w:r>
      <w:r>
        <w:t xml:space="preserve">s, la instalación de los mismos, mediante puntos de fijación en la acera, perfectamente enrasados, que serán retirados a la hora de cierre, debiendo cumplir las condiciones establecidas en el apartado 4.b. </w:t>
      </w:r>
    </w:p>
    <w:p w:rsidR="00B064CF" w:rsidRDefault="00E32F70">
      <w:pPr>
        <w:numPr>
          <w:ilvl w:val="1"/>
          <w:numId w:val="54"/>
        </w:numPr>
        <w:ind w:right="72" w:hanging="406"/>
      </w:pPr>
      <w:r>
        <w:rPr>
          <w:rFonts w:ascii="Calibri" w:eastAsia="Calibri" w:hAnsi="Calibri" w:cs="Calibri"/>
          <w:noProof/>
        </w:rPr>
        <mc:AlternateContent>
          <mc:Choice Requires="wpg">
            <w:drawing>
              <wp:anchor distT="0" distB="0" distL="114300" distR="114300" simplePos="0" relativeHeight="25180876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4643" name="Group 394643"/>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8224" name="Rectangle 28224"/>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64SKSNYNJRFPNN5DLPPAAC3GS | V</w:t>
                              </w:r>
                              <w:r>
                                <w:rPr>
                                  <w:sz w:val="12"/>
                                </w:rPr>
                                <w:t xml:space="preserve">erificación: https://candelaria.sedelectronica.es/ </w:t>
                              </w:r>
                            </w:p>
                          </w:txbxContent>
                        </wps:txbx>
                        <wps:bodyPr horzOverflow="overflow" vert="horz" lIns="0" tIns="0" rIns="0" bIns="0" rtlCol="0">
                          <a:noAutofit/>
                        </wps:bodyPr>
                      </wps:wsp>
                      <wps:wsp>
                        <wps:cNvPr id="28225" name="Rectangle 28225"/>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143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4643" style="width:12.7031pt;height:278.91pt;position:absolute;mso-position-horizontal-relative:page;mso-position-horizontal:absolute;margin-left:682.278pt;mso-position-vertical-relative:page;margin-top:533.01pt;" coordsize="1613,35421">
                <v:rect id="Rectangle 28224"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8225"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143 de 298 </w:t>
                        </w:r>
                      </w:p>
                    </w:txbxContent>
                  </v:textbox>
                </v:rect>
                <w10:wrap type="square"/>
              </v:group>
            </w:pict>
          </mc:Fallback>
        </mc:AlternateContent>
      </w:r>
      <w:r>
        <w:t xml:space="preserve">Sólo serán autorizados si la franja de suelo ocupada es contigua a la fachada de anclaje. </w:t>
      </w:r>
    </w:p>
    <w:p w:rsidR="00B064CF" w:rsidRDefault="00E32F70">
      <w:pPr>
        <w:numPr>
          <w:ilvl w:val="1"/>
          <w:numId w:val="54"/>
        </w:numPr>
        <w:ind w:right="72" w:hanging="406"/>
      </w:pPr>
      <w:r>
        <w:t>Los toldos despl</w:t>
      </w:r>
      <w:r>
        <w:t xml:space="preserve">egados no podrán sobrepasar los límites del espacio de ocupación autorizado y deberán respetar, en todo caso, el arbolado o instalaciones existentes. </w:t>
      </w:r>
    </w:p>
    <w:p w:rsidR="00B064CF" w:rsidRDefault="00E32F70">
      <w:pPr>
        <w:numPr>
          <w:ilvl w:val="1"/>
          <w:numId w:val="54"/>
        </w:numPr>
        <w:ind w:right="72" w:hanging="406"/>
      </w:pPr>
      <w:r>
        <w:t>Los toldos recogidos no podrán volar más de cincuenta centímetros (0,50 m) del plano de fachada y dejarán</w:t>
      </w:r>
      <w:r>
        <w:t xml:space="preserve"> una altura libre mínima de tres metros (3,00 m) sobre la rasante de la acera o espacio peatonal, salvo que las condiciones arquitectónicas específicas de las edificaciones requieran otros condicionantes para su instalación. </w:t>
      </w:r>
    </w:p>
    <w:p w:rsidR="00B064CF" w:rsidRDefault="00E32F70">
      <w:pPr>
        <w:numPr>
          <w:ilvl w:val="1"/>
          <w:numId w:val="54"/>
        </w:numPr>
        <w:ind w:right="72" w:hanging="406"/>
      </w:pPr>
      <w:r>
        <w:t>Se situarán a una altura no in</w:t>
      </w:r>
      <w:r>
        <w:t xml:space="preserve">ferior a dos metros y veinte centímetros (2,20 m) sobre la rasante de la acera o espacio peatonal, medida en el punto más bajo del toldo e incluyendo todos los componentes del mismo.  </w:t>
      </w:r>
    </w:p>
    <w:p w:rsidR="00B064CF" w:rsidRDefault="00E32F70">
      <w:pPr>
        <w:numPr>
          <w:ilvl w:val="1"/>
          <w:numId w:val="54"/>
        </w:numPr>
        <w:ind w:right="72" w:hanging="406"/>
      </w:pPr>
      <w:r>
        <w:t>Todos los toldos vinculados a un mismo establecimiento serán de idéntic</w:t>
      </w:r>
      <w:r>
        <w:t xml:space="preserve">o modelo, color y material.   </w:t>
      </w:r>
    </w:p>
    <w:p w:rsidR="00B064CF" w:rsidRDefault="00E32F70">
      <w:pPr>
        <w:numPr>
          <w:ilvl w:val="1"/>
          <w:numId w:val="54"/>
        </w:numPr>
        <w:ind w:right="72" w:hanging="406"/>
      </w:pPr>
      <w:r>
        <w:t xml:space="preserve">Podrán incluir el nombre, logotipo o razón social del establecimiento.  </w:t>
      </w:r>
    </w:p>
    <w:p w:rsidR="00B064CF" w:rsidRDefault="00E32F70">
      <w:pPr>
        <w:numPr>
          <w:ilvl w:val="1"/>
          <w:numId w:val="54"/>
        </w:numPr>
        <w:ind w:right="72" w:hanging="406"/>
      </w:pPr>
      <w:r>
        <w:t xml:space="preserve">Deberán ser instalados por empresa especializada que garantice su estabilidad y seguridad.  </w:t>
      </w:r>
    </w:p>
    <w:p w:rsidR="00B064CF" w:rsidRDefault="00E32F70">
      <w:pPr>
        <w:numPr>
          <w:ilvl w:val="0"/>
          <w:numId w:val="54"/>
        </w:numPr>
        <w:spacing w:after="274"/>
        <w:ind w:right="72" w:hanging="360"/>
      </w:pPr>
      <w:r>
        <w:t xml:space="preserve">Las mamparas cumplirán las siguientes condiciones: </w:t>
      </w:r>
    </w:p>
    <w:p w:rsidR="00B064CF" w:rsidRDefault="00E32F70">
      <w:pPr>
        <w:numPr>
          <w:ilvl w:val="1"/>
          <w:numId w:val="54"/>
        </w:numPr>
        <w:ind w:right="72" w:hanging="406"/>
      </w:pPr>
      <w:r>
        <w:t>Se debe</w:t>
      </w:r>
      <w:r>
        <w:t xml:space="preserve">rán disponer sobre bases y soportes que garanticen su estabilidad y eviten vuelcos y caídas. No se admitirá ningún tipo de anclaje al suelo. </w:t>
      </w:r>
    </w:p>
    <w:p w:rsidR="00B064CF" w:rsidRDefault="00E32F70">
      <w:pPr>
        <w:numPr>
          <w:ilvl w:val="1"/>
          <w:numId w:val="54"/>
        </w:numPr>
        <w:spacing w:after="278"/>
        <w:ind w:right="72" w:hanging="406"/>
      </w:pPr>
      <w:r>
        <w:t>Podrán contar con partes ciegas, traslúcidas o transparentes. En este último caso se deberán incorporar elementos que garanticen su detección, debiendo ajustarse a las condiciones en materia de accesibilidad que le sean de aplicación. Estas regulaciones de</w:t>
      </w:r>
      <w:r>
        <w:t xml:space="preserve"> señalización se podrán obviar cuando la superficie vidriada contenga otros elementos informativos que garanticen suficientemente su detección o si existe mobiliario detectable a todo lo largo de dichas superficies. </w:t>
      </w:r>
    </w:p>
    <w:p w:rsidR="00B064CF" w:rsidRDefault="00E32F70">
      <w:pPr>
        <w:numPr>
          <w:ilvl w:val="1"/>
          <w:numId w:val="54"/>
        </w:numPr>
        <w:spacing w:after="274"/>
        <w:ind w:right="72" w:hanging="406"/>
      </w:pPr>
      <w:r>
        <w:t>La parte ciega no podrá superar los nov</w:t>
      </w:r>
      <w:r>
        <w:t xml:space="preserve">enta centímetros (0,90 m) de altura medidos desde la rasante del pavimento, debiendo resolverse el resto con material traslúcido o transparente. </w:t>
      </w:r>
    </w:p>
    <w:p w:rsidR="00B064CF" w:rsidRDefault="00E32F70">
      <w:pPr>
        <w:numPr>
          <w:ilvl w:val="1"/>
          <w:numId w:val="54"/>
        </w:numPr>
        <w:spacing w:after="276"/>
        <w:ind w:right="72" w:hanging="406"/>
      </w:pPr>
      <w:r>
        <w:t>La altura total no será inferior a noventa centímetros (0,90 m) ni superior a ciento cincuenta centímetros (1,</w:t>
      </w:r>
      <w:r>
        <w:t xml:space="preserve">50 m).  </w:t>
      </w:r>
    </w:p>
    <w:p w:rsidR="00B064CF" w:rsidRDefault="00E32F70">
      <w:pPr>
        <w:numPr>
          <w:ilvl w:val="1"/>
          <w:numId w:val="54"/>
        </w:numPr>
        <w:ind w:right="72" w:hanging="406"/>
      </w:pPr>
      <w:r>
        <w:t xml:space="preserve">Todas las mamparas vinculadas a un mismo establecimiento serán de idéntico modelo, color y material.  </w:t>
      </w:r>
    </w:p>
    <w:p w:rsidR="00B064CF" w:rsidRDefault="00E32F70">
      <w:pPr>
        <w:numPr>
          <w:ilvl w:val="0"/>
          <w:numId w:val="54"/>
        </w:numPr>
        <w:ind w:right="72" w:hanging="360"/>
      </w:pPr>
      <w:r>
        <w:t xml:space="preserve">Los rótulos vinculados a las actividades de hostelería cumplirán las siguientes condiciones:  </w:t>
      </w:r>
    </w:p>
    <w:p w:rsidR="00B064CF" w:rsidRDefault="00E32F70">
      <w:pPr>
        <w:numPr>
          <w:ilvl w:val="1"/>
          <w:numId w:val="54"/>
        </w:numPr>
        <w:ind w:right="72" w:hanging="406"/>
      </w:pPr>
      <w:r>
        <w:t xml:space="preserve">Contendrán sólo la denominación de la actividad a la que se vinculan. </w:t>
      </w:r>
    </w:p>
    <w:p w:rsidR="00B064CF" w:rsidRDefault="00E32F70">
      <w:pPr>
        <w:numPr>
          <w:ilvl w:val="1"/>
          <w:numId w:val="54"/>
        </w:numPr>
        <w:ind w:right="72" w:hanging="406"/>
      </w:pPr>
      <w:r>
        <w:t xml:space="preserve">No podrán extenderse, ni vertical ni horizontalmente, fuera de los límites de la fachada del establecimiento al que se vinculan. </w:t>
      </w:r>
    </w:p>
    <w:p w:rsidR="00B064CF" w:rsidRDefault="00E32F70">
      <w:pPr>
        <w:numPr>
          <w:ilvl w:val="1"/>
          <w:numId w:val="54"/>
        </w:numPr>
        <w:ind w:right="72" w:hanging="406"/>
      </w:pPr>
      <w:r>
        <w:rPr>
          <w:rFonts w:ascii="Calibri" w:eastAsia="Calibri" w:hAnsi="Calibri" w:cs="Calibri"/>
          <w:noProof/>
        </w:rPr>
        <mc:AlternateContent>
          <mc:Choice Requires="wpg">
            <w:drawing>
              <wp:anchor distT="0" distB="0" distL="114300" distR="114300" simplePos="0" relativeHeight="25180979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4766" name="Group 394766"/>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8343" name="Rectangle 28343"/>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64SKSNYNJRFPNN5DLPPAAC3GS | Verific</w:t>
                              </w:r>
                              <w:r>
                                <w:rPr>
                                  <w:sz w:val="12"/>
                                </w:rPr>
                                <w:t xml:space="preserve">ación: https://candelaria.sedelectronica.es/ </w:t>
                              </w:r>
                            </w:p>
                          </w:txbxContent>
                        </wps:txbx>
                        <wps:bodyPr horzOverflow="overflow" vert="horz" lIns="0" tIns="0" rIns="0" bIns="0" rtlCol="0">
                          <a:noAutofit/>
                        </wps:bodyPr>
                      </wps:wsp>
                      <wps:wsp>
                        <wps:cNvPr id="28344" name="Rectangle 28344"/>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144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4766" style="width:12.7031pt;height:278.91pt;position:absolute;mso-position-horizontal-relative:page;mso-position-horizontal:absolute;margin-left:682.278pt;mso-position-vertical-relative:page;margin-top:533.01pt;" coordsize="1613,35421">
                <v:rect id="Rectangle 28343"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8344"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144 de 298 </w:t>
                        </w:r>
                      </w:p>
                    </w:txbxContent>
                  </v:textbox>
                </v:rect>
                <w10:wrap type="square"/>
              </v:group>
            </w:pict>
          </mc:Fallback>
        </mc:AlternateContent>
      </w:r>
      <w:r>
        <w:t>Los rótulos adosados a fachada deberán ajustarse a las condiciones técnicas y estéticas referidas en la normativa</w:t>
      </w:r>
      <w:r>
        <w:t xml:space="preserve"> urbanística vigente, manteniendo una altura libre no inferior a dos metros y veinte centímetros (2,20 m) sobre la rasante del espacio público, salvo que las condiciones arquitectónicas específicas de las edificaciones requieran otros condicionantes para s</w:t>
      </w:r>
      <w:r>
        <w:t xml:space="preserve">u instalación. </w:t>
      </w:r>
    </w:p>
    <w:p w:rsidR="00B064CF" w:rsidRDefault="00E32F70">
      <w:pPr>
        <w:numPr>
          <w:ilvl w:val="1"/>
          <w:numId w:val="54"/>
        </w:numPr>
        <w:ind w:right="72" w:hanging="406"/>
      </w:pPr>
      <w:r>
        <w:t xml:space="preserve">No se permiten los rótulos en bandera.  </w:t>
      </w:r>
    </w:p>
    <w:p w:rsidR="00B064CF" w:rsidRDefault="00E32F70">
      <w:pPr>
        <w:numPr>
          <w:ilvl w:val="1"/>
          <w:numId w:val="54"/>
        </w:numPr>
        <w:ind w:right="72" w:hanging="406"/>
      </w:pPr>
      <w:r>
        <w:t>No se autorizarán en tramos de vías que presenten una anchura igual o inferior a cinco metros (5,00 m), salvo que el rótulo se disponga adosado y con un vuelo no superior a cinco centímetros (0,05 m)</w:t>
      </w:r>
      <w:r>
        <w:t xml:space="preserve">.  </w:t>
      </w:r>
    </w:p>
    <w:p w:rsidR="00B064CF" w:rsidRDefault="00E32F70">
      <w:pPr>
        <w:numPr>
          <w:ilvl w:val="1"/>
          <w:numId w:val="54"/>
        </w:numPr>
        <w:ind w:right="72" w:hanging="406"/>
      </w:pPr>
      <w:r>
        <w:t xml:space="preserve">Deberán ser instalados por empresa especializada que garantice su estabilidad y seguridad.   </w:t>
      </w:r>
    </w:p>
    <w:p w:rsidR="00B064CF" w:rsidRDefault="00E32F70">
      <w:pPr>
        <w:numPr>
          <w:ilvl w:val="0"/>
          <w:numId w:val="54"/>
        </w:numPr>
        <w:ind w:right="72" w:hanging="360"/>
      </w:pPr>
      <w:r>
        <w:t xml:space="preserve">Los maceteros o jardineras vinculadas a las actividades de hostelería cumplirán las siguientes condiciones:  </w:t>
      </w:r>
    </w:p>
    <w:p w:rsidR="00B064CF" w:rsidRDefault="00E32F70">
      <w:pPr>
        <w:numPr>
          <w:ilvl w:val="1"/>
          <w:numId w:val="54"/>
        </w:numPr>
        <w:ind w:right="72" w:hanging="406"/>
      </w:pPr>
      <w:r>
        <w:t>Tendrán que disponer de una base y característic</w:t>
      </w:r>
      <w:r>
        <w:t xml:space="preserve">as que aseguren su estabilidad y solidez en caso de viento o contacto accidental de los peatones. </w:t>
      </w:r>
    </w:p>
    <w:p w:rsidR="00B064CF" w:rsidRDefault="00E32F70">
      <w:pPr>
        <w:numPr>
          <w:ilvl w:val="1"/>
          <w:numId w:val="54"/>
        </w:numPr>
        <w:ind w:right="72" w:hanging="406"/>
      </w:pPr>
      <w:r>
        <w:t xml:space="preserve">No podrán superar unas dimensiones máximas, incluyendo la especie vegetal plantada, de un metro y cincuenta centímetros (1,50 m) de altura.  </w:t>
      </w:r>
    </w:p>
    <w:p w:rsidR="00B064CF" w:rsidRDefault="00E32F70">
      <w:pPr>
        <w:numPr>
          <w:ilvl w:val="1"/>
          <w:numId w:val="54"/>
        </w:numPr>
        <w:ind w:right="72" w:hanging="406"/>
      </w:pPr>
      <w:r>
        <w:t xml:space="preserve">El Ayuntamiento podrá exigir que los maceteros, jardineras o plantas se ajusten a un modelo determinado en función del lugar donde se tengan que ubicar, para una mejor armonización con el entorno. </w:t>
      </w:r>
    </w:p>
    <w:p w:rsidR="00B064CF" w:rsidRDefault="00E32F70">
      <w:pPr>
        <w:numPr>
          <w:ilvl w:val="0"/>
          <w:numId w:val="54"/>
        </w:numPr>
        <w:ind w:right="72" w:hanging="360"/>
      </w:pPr>
      <w:r>
        <w:t>Las plataformas o parklets vinculadas a las actividades de</w:t>
      </w:r>
      <w:r>
        <w:t xml:space="preserve"> hostelería cumplirán las siguientes condiciones: </w:t>
      </w:r>
    </w:p>
    <w:p w:rsidR="00B064CF" w:rsidRDefault="00E32F70">
      <w:pPr>
        <w:numPr>
          <w:ilvl w:val="1"/>
          <w:numId w:val="54"/>
        </w:numPr>
        <w:ind w:right="72" w:hanging="406"/>
      </w:pPr>
      <w:r>
        <w:t xml:space="preserve">Deberá presentarse certificado técnico que acredite la estabilidad y seguridad estructural de la instalación, suscrito por personal técnico competente. </w:t>
      </w:r>
    </w:p>
    <w:p w:rsidR="00B064CF" w:rsidRDefault="00E32F70">
      <w:pPr>
        <w:numPr>
          <w:ilvl w:val="1"/>
          <w:numId w:val="54"/>
        </w:numPr>
        <w:ind w:right="72" w:hanging="406"/>
      </w:pPr>
      <w:r>
        <w:t>Se autorizará su colocación en las calzadas, ocupand</w:t>
      </w:r>
      <w:r>
        <w:t xml:space="preserve">o plazas de estacionamiento, siempre que la instalación se realice al mismo nivel de la acera, sin que exista resalte entre ambos pavimentos. El material predominante será la madera y elementos vegetales. </w:t>
      </w:r>
    </w:p>
    <w:p w:rsidR="00B064CF" w:rsidRDefault="00E32F70">
      <w:pPr>
        <w:numPr>
          <w:ilvl w:val="1"/>
          <w:numId w:val="54"/>
        </w:numPr>
        <w:ind w:right="72" w:hanging="406"/>
      </w:pPr>
      <w:r>
        <w:t>Las uniones o juntas del pavimento deberán estar t</w:t>
      </w:r>
      <w:r>
        <w:t xml:space="preserve">otalmente selladas para evitar que los restos de comida puedan depositarse bajo la plataforma, evitando así la aparición de plagas. </w:t>
      </w:r>
    </w:p>
    <w:p w:rsidR="00B064CF" w:rsidRDefault="00E32F70">
      <w:pPr>
        <w:numPr>
          <w:ilvl w:val="1"/>
          <w:numId w:val="54"/>
        </w:numPr>
        <w:ind w:right="72" w:hanging="406"/>
      </w:pPr>
      <w:r>
        <w:t>Tarima de madera como pavimento y estructura metálica desmontable como soporte estructural, que permita el paso de aguas pl</w:t>
      </w:r>
      <w:r>
        <w:t xml:space="preserve">uviales y aguas resultantes del baldeo de las calles. Por lo tanto, se evitará colocar cualquier cerramiento en el perímetro que dificulte el paso del agua. </w:t>
      </w:r>
    </w:p>
    <w:p w:rsidR="00B064CF" w:rsidRDefault="00E32F70">
      <w:pPr>
        <w:numPr>
          <w:ilvl w:val="1"/>
          <w:numId w:val="54"/>
        </w:numPr>
        <w:ind w:right="72" w:hanging="406"/>
      </w:pPr>
      <w:r>
        <w:t>Protección perimetral contra incidencias de tráfico, con vallado de seguridad que garantice la pro</w:t>
      </w:r>
      <w:r>
        <w:t xml:space="preserve">tección y seguridad de los ocupantes de la misma. Se permitirá la adición de elementos vegetales, siempre que no supongan una reducción de las condiciones de seguridad. Cada tramo del vallado tendrá una longitud máxima no superior a la del armazón, siendo </w:t>
      </w:r>
      <w:r>
        <w:t xml:space="preserve">la unión entre dichos tramos fácilmente desmontables. </w:t>
      </w:r>
    </w:p>
    <w:p w:rsidR="00B064CF" w:rsidRDefault="00E32F70">
      <w:pPr>
        <w:numPr>
          <w:ilvl w:val="1"/>
          <w:numId w:val="54"/>
        </w:numPr>
        <w:ind w:right="72" w:hanging="406"/>
      </w:pPr>
      <w:r>
        <w:rPr>
          <w:rFonts w:ascii="Calibri" w:eastAsia="Calibri" w:hAnsi="Calibri" w:cs="Calibri"/>
          <w:noProof/>
        </w:rPr>
        <mc:AlternateContent>
          <mc:Choice Requires="wpg">
            <w:drawing>
              <wp:anchor distT="0" distB="0" distL="114300" distR="114300" simplePos="0" relativeHeight="25181081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4849" name="Group 394849"/>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8454" name="Rectangle 28454"/>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8455" name="Rectangle 28455"/>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145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4849" style="width:12.7031pt;height:278.91pt;position:absolute;mso-position-horizontal-relative:page;mso-position-horizontal:absolute;margin-left:682.278pt;mso-position-vertical-relative:page;margin-top:533.01pt;" coordsize="1613,35421">
                <v:rect id="Rectangle 28454"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8455"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145 de 298 </w:t>
                        </w:r>
                      </w:p>
                    </w:txbxContent>
                  </v:textbox>
                </v:rect>
                <w10:wrap type="square"/>
              </v:group>
            </w:pict>
          </mc:Fallback>
        </mc:AlternateContent>
      </w:r>
      <w:r>
        <w:t>Los</w:t>
      </w:r>
      <w:r>
        <w:t xml:space="preserve"> elementos de seguridad en las plataformas, impedirán en las maniobras de estacionamiento, debiendo además redondear (0,50m. de radio) o achaflanar (0,50m. de lado) las aristas exteriores de la plataforma de modo que facilite la entrada y salida de vehícul</w:t>
      </w:r>
      <w:r>
        <w:t xml:space="preserve">os a los aparcamientos contiguos. </w:t>
      </w:r>
    </w:p>
    <w:p w:rsidR="00B064CF" w:rsidRDefault="00E32F70">
      <w:pPr>
        <w:numPr>
          <w:ilvl w:val="1"/>
          <w:numId w:val="54"/>
        </w:numPr>
        <w:ind w:right="72" w:hanging="406"/>
      </w:pPr>
      <w:r>
        <w:t>La plataforma deberá ser fácilmente desmontable, y estar diseñada para que pueda retirarse de forma fácil y rápida, en caso de emergencia u otras razones que se estimen desde el Ayuntamiento. Deberá estar confeccionada po</w:t>
      </w:r>
      <w:r>
        <w:t>r varios armazones independientes, las dimensiones máximas serán de 4,50 x 2,50 metros para cada uno de esos elementos (armazón metálico y suelo de madera). La plataforma, deberá ejecutarse en, al menos, dos (2) módulos estructurales independientes en caso</w:t>
      </w:r>
      <w:r>
        <w:t xml:space="preserve"> de superar los cuatro metros y medio de largo. </w:t>
      </w:r>
    </w:p>
    <w:p w:rsidR="00B064CF" w:rsidRDefault="00E32F70">
      <w:pPr>
        <w:numPr>
          <w:ilvl w:val="1"/>
          <w:numId w:val="54"/>
        </w:numPr>
        <w:ind w:right="72" w:hanging="406"/>
      </w:pPr>
      <w:r>
        <w:t xml:space="preserve">Fácilmente desmontable implica que la plataforma será modular y la retirada de los módulos de la vía pública será mediante herramientas de mano sencillas, no siendo necesario elementos de corte tipo radial. </w:t>
      </w:r>
      <w:r>
        <w:t xml:space="preserve"> </w:t>
      </w:r>
    </w:p>
    <w:p w:rsidR="00B064CF" w:rsidRDefault="00E32F70">
      <w:pPr>
        <w:numPr>
          <w:ilvl w:val="1"/>
          <w:numId w:val="54"/>
        </w:numPr>
        <w:ind w:right="72" w:hanging="406"/>
      </w:pPr>
      <w:r>
        <w:t xml:space="preserve">Las uniones o ensambles de los módulos serán mediante tornillería, no admitiéndose soldaduras. </w:t>
      </w:r>
    </w:p>
    <w:p w:rsidR="00B064CF" w:rsidRDefault="00E32F70">
      <w:pPr>
        <w:numPr>
          <w:ilvl w:val="1"/>
          <w:numId w:val="54"/>
        </w:numPr>
        <w:ind w:right="72" w:hanging="406"/>
      </w:pPr>
      <w:r>
        <w:t xml:space="preserve">Los materiales empleados en la plataforma serán predominantemente la madera y elementos vegetales en la tarima y soporte metálico. </w:t>
      </w:r>
    </w:p>
    <w:p w:rsidR="00B064CF" w:rsidRDefault="00E32F70">
      <w:pPr>
        <w:numPr>
          <w:ilvl w:val="1"/>
          <w:numId w:val="54"/>
        </w:numPr>
        <w:ind w:right="72" w:hanging="406"/>
      </w:pPr>
      <w:r>
        <w:t>La instalación de la plata</w:t>
      </w:r>
      <w:r>
        <w:t xml:space="preserve">forma no podrá dañar la calzada ni las aceras. </w:t>
      </w:r>
    </w:p>
    <w:p w:rsidR="00B064CF" w:rsidRDefault="00E32F70">
      <w:pPr>
        <w:ind w:left="1080" w:right="72" w:hanging="360"/>
      </w:pPr>
      <w:r>
        <w:t xml:space="preserve">f) En caso de que se requiera anclaje en el asfalto, previa autorización del mismo, deberá ajustarse a las siguientes condiciones:  </w:t>
      </w:r>
    </w:p>
    <w:p w:rsidR="00B064CF" w:rsidRDefault="00E32F70">
      <w:pPr>
        <w:tabs>
          <w:tab w:val="center" w:pos="1161"/>
          <w:tab w:val="center" w:pos="4801"/>
        </w:tabs>
        <w:spacing w:after="145"/>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 xml:space="preserve">No afecten a los servicios e instalaciones existentes en el subsuelo. </w:t>
      </w:r>
    </w:p>
    <w:p w:rsidR="00B064CF" w:rsidRDefault="00E32F70">
      <w:pPr>
        <w:ind w:left="1493" w:right="72" w:hanging="360"/>
      </w:pPr>
      <w:r>
        <w:rPr>
          <w:rFonts w:ascii="Segoe UI Symbol" w:eastAsia="Segoe UI Symbol" w:hAnsi="Segoe UI Symbol" w:cs="Segoe UI Symbol"/>
        </w:rPr>
        <w:t></w:t>
      </w:r>
      <w:r>
        <w:t xml:space="preserve"> No sobresalgan de la rasante del asfalto elementos ni partes de su mecanismo, una vez retiradas, debiendo asegurar su continuidad y la inexistencia de resaltes.  </w:t>
      </w:r>
    </w:p>
    <w:p w:rsidR="00B064CF" w:rsidRDefault="00E32F70">
      <w:pPr>
        <w:spacing w:after="0"/>
        <w:ind w:left="355" w:right="72"/>
      </w:pPr>
      <w:r>
        <w:t>Artículo 23.   Obligaciones   y   limitaciones   específicas   de    las    ocupaciones vin</w:t>
      </w:r>
      <w:r>
        <w:t xml:space="preserve">culadas a actividades hosteleras </w:t>
      </w:r>
    </w:p>
    <w:p w:rsidR="00B064CF" w:rsidRDefault="00E32F70">
      <w:pPr>
        <w:numPr>
          <w:ilvl w:val="0"/>
          <w:numId w:val="55"/>
        </w:numPr>
        <w:ind w:left="628" w:right="145" w:hanging="283"/>
      </w:pPr>
      <w:r>
        <w:t xml:space="preserve">La persona o entidad titular de la autorización para ocupar el dominio público deberá colocar en el establecimiento, en un lugar visible, el título habilitante de la ocupación y el plano en el que figure su representación </w:t>
      </w:r>
      <w:r>
        <w:t xml:space="preserve">gráfica, sellado por el Ayuntamiento. </w:t>
      </w:r>
    </w:p>
    <w:p w:rsidR="00B064CF" w:rsidRDefault="00E32F70">
      <w:pPr>
        <w:numPr>
          <w:ilvl w:val="0"/>
          <w:numId w:val="55"/>
        </w:numPr>
        <w:ind w:left="628" w:right="145" w:hanging="283"/>
      </w:pPr>
      <w:r>
        <w:t>En ningún caso podrá utilizarse el dominio público como lugar de depósito de productos o mercancías. También será considerado como depósito indebido, entre otros, el apilamiento de mobiliario, se produzca éste durante</w:t>
      </w:r>
      <w:r>
        <w:t xml:space="preserve"> el horario de autorizado o fuera de él. </w:t>
      </w:r>
    </w:p>
    <w:p w:rsidR="00B064CF" w:rsidRDefault="00E32F70">
      <w:pPr>
        <w:numPr>
          <w:ilvl w:val="0"/>
          <w:numId w:val="55"/>
        </w:numPr>
        <w:ind w:left="628" w:right="145" w:hanging="283"/>
      </w:pPr>
      <w:r>
        <w:t xml:space="preserve">Al finalizar el horario autorizado deberán ser retirados del dominio público todos los elementos de mobiliario no anclados al suelo y deberán plegarse o enrollarse los toldos.  </w:t>
      </w:r>
    </w:p>
    <w:p w:rsidR="00B064CF" w:rsidRDefault="00E32F70">
      <w:pPr>
        <w:numPr>
          <w:ilvl w:val="0"/>
          <w:numId w:val="55"/>
        </w:numPr>
        <w:ind w:left="628" w:right="145" w:hanging="283"/>
      </w:pPr>
      <w:r>
        <w:t>En el espacio ocupado sólo se podrán</w:t>
      </w:r>
      <w:r>
        <w:t xml:space="preserve"> servir los productos que, de acuerdo con el título habilitante para el ejercicio de la actividad, se esté autorizado a expender en el interior del establecimiento. </w:t>
      </w:r>
    </w:p>
    <w:p w:rsidR="00B064CF" w:rsidRDefault="00E32F70">
      <w:pPr>
        <w:numPr>
          <w:ilvl w:val="0"/>
          <w:numId w:val="55"/>
        </w:numPr>
        <w:ind w:left="628" w:right="145" w:hanging="283"/>
      </w:pPr>
      <w:r>
        <w:rPr>
          <w:rFonts w:ascii="Calibri" w:eastAsia="Calibri" w:hAnsi="Calibri" w:cs="Calibri"/>
          <w:noProof/>
        </w:rPr>
        <mc:AlternateContent>
          <mc:Choice Requires="wpg">
            <w:drawing>
              <wp:anchor distT="0" distB="0" distL="114300" distR="114300" simplePos="0" relativeHeight="25181184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5080" name="Group 395080"/>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8565" name="Rectangle 28565"/>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8566" name="Rectangle 28566"/>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146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5080" style="width:12.7031pt;height:278.91pt;position:absolute;mso-position-horizontal-relative:page;mso-position-horizontal:absolute;margin-left:682.278pt;mso-position-vertical-relative:page;margin-top:533.01pt;" coordsize="1613,35421">
                <v:rect id="Rectangle 28565"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8566"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146 de 298 </w:t>
                        </w:r>
                      </w:p>
                    </w:txbxContent>
                  </v:textbox>
                </v:rect>
                <w10:wrap type="square"/>
              </v:group>
            </w:pict>
          </mc:Fallback>
        </mc:AlternateContent>
      </w:r>
      <w:r>
        <w:t>No podrán instalarse en el dominio público, ni en las fachada</w:t>
      </w:r>
      <w:r>
        <w:t>s o huecos de las mismas, aparatos reproductores de imagen o sonido. Igualmente queda prohibido que los equipos similares instalados en el interior del local se dispongan de tal forma que proyecten el sonido con la intención de que se escuchen desde el ext</w:t>
      </w:r>
      <w:r>
        <w:t xml:space="preserve">erior. </w:t>
      </w:r>
    </w:p>
    <w:p w:rsidR="00B064CF" w:rsidRDefault="00E32F70">
      <w:pPr>
        <w:numPr>
          <w:ilvl w:val="0"/>
          <w:numId w:val="55"/>
        </w:numPr>
        <w:ind w:left="628" w:right="145" w:hanging="283"/>
      </w:pPr>
      <w:r>
        <w:t>Cualquier ocupación del dominio público vinculada a una actividad de hostelería deberá dotarse de medidas correctoras similares a las que, en su caso, fueran exigidas para el desarrollo de la actividad en terrazas de uso privado. Dichas medidas ser</w:t>
      </w:r>
      <w:r>
        <w:t xml:space="preserve">án las que determinen los servicios técnicos municipales y quedarán incorporadas a la autorización habilitante como condiciones de la misma. </w:t>
      </w:r>
    </w:p>
    <w:p w:rsidR="00B064CF" w:rsidRDefault="00E32F70">
      <w:pPr>
        <w:numPr>
          <w:ilvl w:val="0"/>
          <w:numId w:val="55"/>
        </w:numPr>
        <w:ind w:left="628" w:right="145" w:hanging="283"/>
      </w:pPr>
      <w:r>
        <w:t xml:space="preserve">Sin perjuicio de otros horarios que a través de la correspondiente Disposición Especial se puedan establecer para </w:t>
      </w:r>
      <w:r>
        <w:t>determinadas zonas del municipio o para ciertas épocas del año, las ocupaciones del dominio público vinculadas a las actividades de hostelería se desarrollarán cumpliendo los horarios establecidos en la normativa de aplicación. Finalizado el horario establ</w:t>
      </w:r>
      <w:r>
        <w:t>ecido, no se permitirá la presencia de clientes ni se expenderá consumición alguna en el dominio público, disponiendo el titular de la autorización de quince minutos añadidos para dar cumplimiento a lo dispuesto en el número 3 del presente artículo, evitan</w:t>
      </w:r>
      <w:r>
        <w:t xml:space="preserve">do originar ruidos por arrastre o apilamiento.  </w:t>
      </w:r>
    </w:p>
    <w:p w:rsidR="00B064CF" w:rsidRDefault="00E32F70">
      <w:pPr>
        <w:spacing w:after="0"/>
        <w:ind w:left="355" w:right="72"/>
      </w:pPr>
      <w:r>
        <w:t xml:space="preserve">Sección 3ª. CONDICIONES DE LAS OCUPACIONES VINCULADAS A ACTIVIDADES COMERCIALES O DE OFICINA </w:t>
      </w:r>
    </w:p>
    <w:p w:rsidR="00B064CF" w:rsidRDefault="00E32F70">
      <w:pPr>
        <w:spacing w:after="11"/>
        <w:ind w:left="355" w:right="72"/>
      </w:pPr>
      <w:r>
        <w:t xml:space="preserve">Artículo 24. Características de los elementos vinculados a las actividades comerciales o de oficina </w:t>
      </w:r>
    </w:p>
    <w:p w:rsidR="00B064CF" w:rsidRDefault="00E32F70">
      <w:pPr>
        <w:numPr>
          <w:ilvl w:val="0"/>
          <w:numId w:val="56"/>
        </w:numPr>
        <w:ind w:left="628" w:right="72" w:hanging="283"/>
      </w:pPr>
      <w:r>
        <w:t>Todos los elementos que se dispongan en el dominio público estarán diseñados e instalados de tal forma que su utilización no represente real o potencial peligro para viandantes o usuarios, debiendo de ajustarse a las condiciones, que les sean de aplicación</w:t>
      </w:r>
      <w:r>
        <w:t xml:space="preserve">, establecidas en el artículo 22. </w:t>
      </w:r>
    </w:p>
    <w:p w:rsidR="00B064CF" w:rsidRDefault="00E32F70">
      <w:pPr>
        <w:numPr>
          <w:ilvl w:val="0"/>
          <w:numId w:val="56"/>
        </w:numPr>
        <w:spacing w:after="63"/>
        <w:ind w:left="628" w:right="72" w:hanging="283"/>
      </w:pPr>
      <w:r>
        <w:t xml:space="preserve">Los toldos deberán cumplir, además de las descritas en el apartado 6 del artículo 22, las siguientes condiciones específicas: </w:t>
      </w:r>
    </w:p>
    <w:p w:rsidR="00B064CF" w:rsidRDefault="00E32F70">
      <w:pPr>
        <w:ind w:left="718" w:right="72"/>
      </w:pPr>
      <w:r>
        <w:t xml:space="preserve">a. Su vuelo máximo será el más restrictivo de los siguientes: </w:t>
      </w:r>
    </w:p>
    <w:p w:rsidR="00B064CF" w:rsidRDefault="00E32F70">
      <w:pPr>
        <w:ind w:left="1354" w:right="72" w:hanging="360"/>
      </w:pPr>
      <w:r>
        <w:rPr>
          <w:rFonts w:ascii="Segoe UI Symbol" w:eastAsia="Segoe UI Symbol" w:hAnsi="Segoe UI Symbol" w:cs="Segoe UI Symbol"/>
        </w:rPr>
        <w:t></w:t>
      </w:r>
      <w:r>
        <w:t xml:space="preserve"> El equivalente a una décima p</w:t>
      </w:r>
      <w:r>
        <w:t xml:space="preserve">arte (1/10) del ancho de la vía, en las calles de tránsito exclusivamente peatonal. </w:t>
      </w:r>
    </w:p>
    <w:p w:rsidR="00B064CF" w:rsidRDefault="00E32F70">
      <w:pPr>
        <w:tabs>
          <w:tab w:val="center" w:pos="1022"/>
          <w:tab w:val="center" w:pos="3885"/>
        </w:tabs>
        <w:spacing w:after="144"/>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 xml:space="preserve">El ancho de la acera, en las vías con tráfico rodado. </w:t>
      </w:r>
    </w:p>
    <w:p w:rsidR="00B064CF" w:rsidRDefault="00E32F70">
      <w:pPr>
        <w:tabs>
          <w:tab w:val="center" w:pos="1022"/>
          <w:tab w:val="center" w:pos="2387"/>
        </w:tabs>
        <w:spacing w:after="128"/>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 xml:space="preserve">Dos metros (2,00 m). </w:t>
      </w:r>
    </w:p>
    <w:p w:rsidR="00B064CF" w:rsidRDefault="00E32F70">
      <w:pPr>
        <w:numPr>
          <w:ilvl w:val="0"/>
          <w:numId w:val="56"/>
        </w:numPr>
        <w:ind w:left="628" w:right="72" w:hanging="283"/>
      </w:pPr>
      <w:r>
        <w:t>Los rótulos vinculados a actividades comerciales o de oficina se sujetarán a las condi</w:t>
      </w:r>
      <w:r>
        <w:t xml:space="preserve">ciones establecidas en el apartado 8 del artículo 22.  </w:t>
      </w:r>
    </w:p>
    <w:p w:rsidR="00B064CF" w:rsidRDefault="00E32F70">
      <w:pPr>
        <w:spacing w:after="0"/>
        <w:ind w:left="355" w:right="72"/>
      </w:pPr>
      <w:r>
        <w:t xml:space="preserve">Artículo 25. Obligaciones y limitaciones específicas de las ocupaciones vinculadas a actividades comerciales o de oficina </w:t>
      </w:r>
    </w:p>
    <w:p w:rsidR="00B064CF" w:rsidRDefault="00E32F70">
      <w:pPr>
        <w:numPr>
          <w:ilvl w:val="0"/>
          <w:numId w:val="57"/>
        </w:numPr>
        <w:ind w:left="628" w:right="143" w:hanging="283"/>
      </w:pPr>
      <w:r>
        <w:t>La persona o entidad titular de la autorización para ocupar el dominio públic</w:t>
      </w:r>
      <w:r>
        <w:t xml:space="preserve">o deberá colocar en el establecimiento, en un lugar visible, el título habilitante de la ocupación y el plano en el que figure su representación gráfica, sellado por el Ayuntamiento. </w:t>
      </w:r>
    </w:p>
    <w:p w:rsidR="00B064CF" w:rsidRDefault="00E32F70">
      <w:pPr>
        <w:numPr>
          <w:ilvl w:val="0"/>
          <w:numId w:val="57"/>
        </w:numPr>
        <w:ind w:left="628" w:right="143" w:hanging="283"/>
      </w:pPr>
      <w:r>
        <w:t>En ningún caso podrá utilizarse el dominio público como lugar de depósit</w:t>
      </w:r>
      <w:r>
        <w:t xml:space="preserve">o de productos o mercancías. También será considerado como depósito indebido, entre otros, el apilamiento de mobiliario, se produzca éste durante el horario de autorizado o fuera de él. </w:t>
      </w:r>
    </w:p>
    <w:p w:rsidR="00B064CF" w:rsidRDefault="00E32F70">
      <w:pPr>
        <w:numPr>
          <w:ilvl w:val="0"/>
          <w:numId w:val="57"/>
        </w:numPr>
        <w:ind w:left="628" w:right="143" w:hanging="283"/>
      </w:pPr>
      <w:r>
        <w:rPr>
          <w:rFonts w:ascii="Calibri" w:eastAsia="Calibri" w:hAnsi="Calibri" w:cs="Calibri"/>
          <w:noProof/>
        </w:rPr>
        <mc:AlternateContent>
          <mc:Choice Requires="wpg">
            <w:drawing>
              <wp:anchor distT="0" distB="0" distL="114300" distR="114300" simplePos="0" relativeHeight="25181286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5310" name="Group 395310"/>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8683" name="Rectangle 28683"/>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8684" name="Rectangle 28684"/>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147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5310" style="width:12.7031pt;height:278.91pt;position:absolute;mso-position-horizontal-relative:page;mso-position-horizontal:absolute;margin-left:682.278pt;mso-position-vertical-relative:page;margin-top:533.01pt;" coordsize="1613,35421">
                <v:rect id="Rectangle 28683"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8684"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147 de 298 </w:t>
                        </w:r>
                      </w:p>
                    </w:txbxContent>
                  </v:textbox>
                </v:rect>
                <w10:wrap type="square"/>
              </v:group>
            </w:pict>
          </mc:Fallback>
        </mc:AlternateContent>
      </w:r>
      <w:r>
        <w:t>Al finalizar el horario autorizado deberán plegarse o enrolla</w:t>
      </w:r>
      <w:r>
        <w:t xml:space="preserve">rse los toldos. </w:t>
      </w:r>
    </w:p>
    <w:p w:rsidR="00B064CF" w:rsidRDefault="00E32F70">
      <w:pPr>
        <w:spacing w:after="11"/>
        <w:ind w:left="355" w:right="72"/>
      </w:pPr>
      <w:r>
        <w:t xml:space="preserve">Artículo 26. Ocupaciones con elementos decorativos en celebraciones tradicionales </w:t>
      </w:r>
    </w:p>
    <w:p w:rsidR="00B064CF" w:rsidRDefault="00E32F70">
      <w:pPr>
        <w:numPr>
          <w:ilvl w:val="0"/>
          <w:numId w:val="58"/>
        </w:numPr>
        <w:ind w:left="628" w:right="147" w:hanging="283"/>
      </w:pPr>
      <w:r>
        <w:t>El dominio público municipal podrá ser ocupado excepcionalmente con la colocación de elementos decorativos en las puertas, únicamente con motivo de las fies</w:t>
      </w:r>
      <w:r>
        <w:t xml:space="preserve">tas navideñas u otras celebraciones tradicionales. En ningún caso se permitirá la ocupación con mercancías o productos, ni con vitrinas, expositores, percheros o elementos análogos. </w:t>
      </w:r>
    </w:p>
    <w:p w:rsidR="00B064CF" w:rsidRDefault="00E32F70">
      <w:pPr>
        <w:numPr>
          <w:ilvl w:val="0"/>
          <w:numId w:val="58"/>
        </w:numPr>
        <w:ind w:left="628" w:right="147" w:hanging="283"/>
      </w:pPr>
      <w:r>
        <w:t>El periodo máximo de ocupación autorizable en fechas navideñas será el co</w:t>
      </w:r>
      <w:r>
        <w:t xml:space="preserve">mprendido entre el 1 de diciembre y el 6 de enero del año siguiente. Para el resto de fiestas tradicionales, los periodos de autorización serán los que fije el Ayuntamiento a través de la correspondiente Disposición Especial. </w:t>
      </w:r>
    </w:p>
    <w:p w:rsidR="00B064CF" w:rsidRDefault="00E32F70">
      <w:pPr>
        <w:numPr>
          <w:ilvl w:val="0"/>
          <w:numId w:val="58"/>
        </w:numPr>
        <w:ind w:left="628" w:right="147" w:hanging="283"/>
      </w:pPr>
      <w:r>
        <w:t>Todos los elementos decorativ</w:t>
      </w:r>
      <w:r>
        <w:t>os que se dispongan en el dominio público estarán diseñados e instalados de tal forma que su utilización no represente real o potencial peligro para viandantes o usuarios, debiendo presentar la suficiente estabilidad para cumplir en todo momento dicha exig</w:t>
      </w:r>
      <w:r>
        <w:t xml:space="preserve">encia. </w:t>
      </w:r>
    </w:p>
    <w:p w:rsidR="00B064CF" w:rsidRDefault="00E32F70">
      <w:pPr>
        <w:numPr>
          <w:ilvl w:val="0"/>
          <w:numId w:val="58"/>
        </w:numPr>
        <w:ind w:left="628" w:right="147" w:hanging="283"/>
      </w:pPr>
      <w:r>
        <w:t xml:space="preserve">Los elementos decorativos podrán ser elegidas libremente por la persona o entidad titular de la autorización, siempre que no supongan molestias para los viandantes y no interfieran la visibilidad de los demás elementos de la vía pública, corriendo </w:t>
      </w:r>
      <w:r>
        <w:t xml:space="preserve">a cargo de aquélla la obligación de cuidado y mantenimiento de las mismas. </w:t>
      </w:r>
    </w:p>
    <w:p w:rsidR="00B064CF" w:rsidRDefault="00E32F70">
      <w:pPr>
        <w:spacing w:after="0" w:line="259" w:lineRule="auto"/>
        <w:ind w:left="360" w:firstLine="0"/>
        <w:jc w:val="left"/>
      </w:pPr>
      <w:r>
        <w:t xml:space="preserve"> </w:t>
      </w:r>
    </w:p>
    <w:p w:rsidR="00B064CF" w:rsidRDefault="00E32F70">
      <w:pPr>
        <w:tabs>
          <w:tab w:val="center" w:pos="4659"/>
          <w:tab w:val="center" w:pos="9566"/>
        </w:tabs>
        <w:spacing w:after="11"/>
        <w:ind w:left="0" w:firstLine="0"/>
        <w:jc w:val="left"/>
      </w:pPr>
      <w:r>
        <w:rPr>
          <w:rFonts w:ascii="Calibri" w:eastAsia="Calibri" w:hAnsi="Calibri" w:cs="Calibri"/>
        </w:rPr>
        <w:tab/>
      </w:r>
      <w:r>
        <w:t xml:space="preserve">CAPÍTULO 2 OCUPACIONES VINCULADAS A ACTIVIDADES LÚDICAS, ARTÍSTICAS, </w:t>
      </w:r>
      <w:r>
        <w:tab/>
        <w:t xml:space="preserve"> </w:t>
      </w:r>
    </w:p>
    <w:p w:rsidR="00B064CF" w:rsidRDefault="00E32F70">
      <w:pPr>
        <w:ind w:left="355" w:right="72"/>
      </w:pPr>
      <w:r>
        <w:t xml:space="preserve">RECREATIVAS, INFORMATIVAS, PUBLICITARIAS Y SOLIDARIAS </w:t>
      </w:r>
    </w:p>
    <w:p w:rsidR="00B064CF" w:rsidRDefault="00E32F70">
      <w:pPr>
        <w:spacing w:after="11"/>
        <w:ind w:left="355" w:right="72"/>
      </w:pPr>
      <w:r>
        <w:t xml:space="preserve">Sección 1ª. DISPOSICIONES GENERALES </w:t>
      </w:r>
    </w:p>
    <w:p w:rsidR="00B064CF" w:rsidRDefault="00E32F70">
      <w:pPr>
        <w:tabs>
          <w:tab w:val="center" w:pos="917"/>
          <w:tab w:val="center" w:pos="3844"/>
        </w:tabs>
        <w:spacing w:after="11"/>
        <w:ind w:left="0" w:firstLine="0"/>
        <w:jc w:val="left"/>
      </w:pPr>
      <w:r>
        <w:rPr>
          <w:rFonts w:ascii="Calibri" w:eastAsia="Calibri" w:hAnsi="Calibri" w:cs="Calibri"/>
        </w:rPr>
        <w:tab/>
      </w:r>
      <w:r>
        <w:t>Artículo 27.</w:t>
      </w:r>
      <w:r>
        <w:t xml:space="preserve"> </w:t>
      </w:r>
      <w:r>
        <w:tab/>
        <w:t xml:space="preserve">Ocupaciones permitidas y título habilitante </w:t>
      </w:r>
    </w:p>
    <w:p w:rsidR="00B064CF" w:rsidRDefault="00E32F70">
      <w:pPr>
        <w:numPr>
          <w:ilvl w:val="0"/>
          <w:numId w:val="59"/>
        </w:numPr>
        <w:ind w:left="628" w:right="72" w:hanging="283"/>
      </w:pPr>
      <w:r>
        <w:t xml:space="preserve">El dominio público podrá ser ocupado para el desarrollo de las actividades que se regulan en este Capítulo. </w:t>
      </w:r>
    </w:p>
    <w:p w:rsidR="00B064CF" w:rsidRDefault="00E32F70">
      <w:pPr>
        <w:numPr>
          <w:ilvl w:val="0"/>
          <w:numId w:val="59"/>
        </w:numPr>
        <w:ind w:left="628" w:right="72" w:hanging="283"/>
      </w:pPr>
      <w:r>
        <w:t xml:space="preserve">La ocupación con las actividades reguladas en el presente Capítulo que sean promovidas u organizadas por el Ayuntamiento, quedan fuera del ámbito de aplicación de esta Ordenanza. </w:t>
      </w:r>
    </w:p>
    <w:p w:rsidR="00B064CF" w:rsidRDefault="00E32F70">
      <w:pPr>
        <w:numPr>
          <w:ilvl w:val="0"/>
          <w:numId w:val="59"/>
        </w:numPr>
        <w:ind w:left="628" w:right="72" w:hanging="283"/>
      </w:pPr>
      <w:r>
        <w:t>Toda ocupación relacionada con las actividades previstas en este Capítulo de</w:t>
      </w:r>
      <w:r>
        <w:t xml:space="preserve">berá cumplir las condiciones generales establecidas en el artículo 8, así como las condiciones particulares y las específicas que, para cada modalidad, se establecen en los artículos siguientes de este Capítulo. </w:t>
      </w:r>
    </w:p>
    <w:p w:rsidR="00B064CF" w:rsidRDefault="00E32F70">
      <w:pPr>
        <w:numPr>
          <w:ilvl w:val="0"/>
          <w:numId w:val="59"/>
        </w:numPr>
        <w:ind w:left="628" w:right="72" w:hanging="283"/>
      </w:pPr>
      <w:r>
        <w:t>La Policía Local, el departamento competente en materia de urbanismo y Protección Civil, podrán establecer condiciones específicas para el desarrollo de las ocupaciones reguladas en este Capítulo, en orden a garantizar las adecuadas condiciones de segurida</w:t>
      </w:r>
      <w:r>
        <w:t>d para personas y bienes. De esta forma, podrán requerir del solicitante la modificación de las ocupaciones pretendidas, la aportación de documentación técnica, constitución de garantías específicas, y, en general, cualesquiera otras medidas que contribuya</w:t>
      </w:r>
      <w:r>
        <w:t xml:space="preserve">, proporcionadamente, a tal fin. </w:t>
      </w:r>
    </w:p>
    <w:p w:rsidR="00B064CF" w:rsidRDefault="00E32F70">
      <w:pPr>
        <w:numPr>
          <w:ilvl w:val="0"/>
          <w:numId w:val="59"/>
        </w:numPr>
        <w:ind w:left="628" w:right="72" w:hanging="283"/>
      </w:pPr>
      <w:r>
        <w:rPr>
          <w:rFonts w:ascii="Calibri" w:eastAsia="Calibri" w:hAnsi="Calibri" w:cs="Calibri"/>
          <w:noProof/>
        </w:rPr>
        <mc:AlternateContent>
          <mc:Choice Requires="wpg">
            <w:drawing>
              <wp:anchor distT="0" distB="0" distL="114300" distR="114300" simplePos="0" relativeHeight="25181388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5591" name="Group 395591"/>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8805" name="Rectangle 28805"/>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8806" name="Rectangle 28806"/>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148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5591" style="width:12.7031pt;height:278.91pt;position:absolute;mso-position-horizontal-relative:page;mso-position-horizontal:absolute;margin-left:682.278pt;mso-position-vertical-relative:page;margin-top:533.01pt;" coordsize="1613,35421">
                <v:rect id="Rectangle 28805"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8806"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148 de 298 </w:t>
                        </w:r>
                      </w:p>
                    </w:txbxContent>
                  </v:textbox>
                </v:rect>
                <w10:wrap type="square"/>
              </v:group>
            </w:pict>
          </mc:Fallback>
        </mc:AlternateContent>
      </w:r>
      <w:r>
        <w:t>La ocupación del dominio</w:t>
      </w:r>
      <w:r>
        <w:t xml:space="preserve"> público con los elementos y las actividades reguladas en el presente Capítulo estará sujeta a autorización del Ayuntamiento, sin perjuicio de la obtención de aquellos títulos o informes que sean necesarios por razón de la actividad o su localización, inde</w:t>
      </w:r>
      <w:r>
        <w:t xml:space="preserve">pendientemente de que su otorgamiento o emisión pudiera ser competencia del propio Ayuntamiento o de otras Administraciones. </w:t>
      </w:r>
    </w:p>
    <w:p w:rsidR="00B064CF" w:rsidRDefault="00E32F70">
      <w:pPr>
        <w:tabs>
          <w:tab w:val="center" w:pos="917"/>
          <w:tab w:val="center" w:pos="2982"/>
        </w:tabs>
        <w:spacing w:after="11"/>
        <w:ind w:left="0" w:firstLine="0"/>
        <w:jc w:val="left"/>
      </w:pPr>
      <w:r>
        <w:rPr>
          <w:rFonts w:ascii="Calibri" w:eastAsia="Calibri" w:hAnsi="Calibri" w:cs="Calibri"/>
        </w:rPr>
        <w:tab/>
      </w:r>
      <w:r>
        <w:t xml:space="preserve">Artículo 28. </w:t>
      </w:r>
      <w:r>
        <w:tab/>
        <w:t xml:space="preserve">Condiciones particulares </w:t>
      </w:r>
    </w:p>
    <w:p w:rsidR="00B064CF" w:rsidRDefault="00E32F70">
      <w:pPr>
        <w:numPr>
          <w:ilvl w:val="0"/>
          <w:numId w:val="60"/>
        </w:numPr>
        <w:ind w:left="628" w:right="72" w:hanging="283"/>
      </w:pPr>
      <w:r>
        <w:t xml:space="preserve">Sólo podrán ser ocupadas las aceras, plazas, parques o zonas destinadas al uso peatonal, </w:t>
      </w:r>
      <w:r>
        <w:t xml:space="preserve">nunca las calzadas destinadas al tráfico rodado ni las zonas de aparcamiento.  </w:t>
      </w:r>
    </w:p>
    <w:p w:rsidR="00B064CF" w:rsidRDefault="00E32F70">
      <w:pPr>
        <w:numPr>
          <w:ilvl w:val="0"/>
          <w:numId w:val="60"/>
        </w:numPr>
        <w:ind w:left="628" w:right="72" w:hanging="283"/>
      </w:pPr>
      <w:r>
        <w:t xml:space="preserve">No podrán ser instalados en los tramos de acera o espacios de circulación peatonal que presenten una anchura libre inferior a cuatro metros (4,00 m).  </w:t>
      </w:r>
    </w:p>
    <w:p w:rsidR="00B064CF" w:rsidRDefault="00E32F70">
      <w:pPr>
        <w:numPr>
          <w:ilvl w:val="0"/>
          <w:numId w:val="60"/>
        </w:numPr>
        <w:spacing w:after="11"/>
        <w:ind w:left="628" w:right="72" w:hanging="283"/>
      </w:pPr>
      <w:r>
        <w:t>Toda ocupación respetará</w:t>
      </w:r>
      <w:r>
        <w:t xml:space="preserve"> las condiciones que le sean de aplicación, establecidas en el artículo </w:t>
      </w:r>
    </w:p>
    <w:p w:rsidR="00B064CF" w:rsidRDefault="00E32F70">
      <w:pPr>
        <w:ind w:left="654" w:right="72"/>
      </w:pPr>
      <w:r>
        <w:t xml:space="preserve">22. </w:t>
      </w:r>
    </w:p>
    <w:p w:rsidR="00B064CF" w:rsidRDefault="00E32F70">
      <w:pPr>
        <w:numPr>
          <w:ilvl w:val="0"/>
          <w:numId w:val="60"/>
        </w:numPr>
        <w:ind w:left="628" w:right="72" w:hanging="283"/>
      </w:pPr>
      <w:r>
        <w:t xml:space="preserve">Todos los elementos accesorios que se empleen en las ocupaciones reguladas en este Capítulo deberán cumplir las siguientes condiciones: </w:t>
      </w:r>
    </w:p>
    <w:p w:rsidR="00B064CF" w:rsidRDefault="00E32F70">
      <w:pPr>
        <w:numPr>
          <w:ilvl w:val="1"/>
          <w:numId w:val="60"/>
        </w:numPr>
        <w:ind w:right="72" w:hanging="360"/>
      </w:pPr>
      <w:r>
        <w:t xml:space="preserve">Estarán diseñados y serán instalados de tal forma que su utilización no represente real o potencial peligro para viandantes o usuarios.  </w:t>
      </w:r>
    </w:p>
    <w:p w:rsidR="00B064CF" w:rsidRDefault="00E32F70">
      <w:pPr>
        <w:numPr>
          <w:ilvl w:val="1"/>
          <w:numId w:val="60"/>
        </w:numPr>
        <w:ind w:right="72" w:hanging="360"/>
      </w:pPr>
      <w:r>
        <w:t xml:space="preserve">Serán portátiles o fácilmente desmontables.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Sección 2ª. ACTUACIONES MUSICALES Y OTRAS ACTIVIDADES ARTÍSTICAS </w:t>
      </w:r>
    </w:p>
    <w:p w:rsidR="00B064CF" w:rsidRDefault="00E32F70">
      <w:pPr>
        <w:tabs>
          <w:tab w:val="center" w:pos="917"/>
          <w:tab w:val="center" w:pos="3390"/>
        </w:tabs>
        <w:spacing w:after="11"/>
        <w:ind w:left="0" w:firstLine="0"/>
        <w:jc w:val="left"/>
      </w:pPr>
      <w:r>
        <w:rPr>
          <w:rFonts w:ascii="Calibri" w:eastAsia="Calibri" w:hAnsi="Calibri" w:cs="Calibri"/>
        </w:rPr>
        <w:tab/>
      </w:r>
      <w:r>
        <w:t>Artí</w:t>
      </w:r>
      <w:r>
        <w:t xml:space="preserve">culo 29. </w:t>
      </w:r>
      <w:r>
        <w:tab/>
        <w:t xml:space="preserve">Supuestos sujetos a autorización </w:t>
      </w:r>
    </w:p>
    <w:p w:rsidR="00B064CF" w:rsidRDefault="00E32F70">
      <w:pPr>
        <w:numPr>
          <w:ilvl w:val="0"/>
          <w:numId w:val="61"/>
        </w:numPr>
        <w:ind w:left="628" w:right="144" w:hanging="283"/>
      </w:pPr>
      <w:r>
        <w:t>Las actuaciones de carácter artístico, tales como mimo, música, teatro, malabares, y otras análogas, que pretendan llevarse a cabo en el dominio público municipal, tanto de forma individualizada como en grupo, es</w:t>
      </w:r>
      <w:r>
        <w:t xml:space="preserve">tarán sujetas a previa autorización. Igualmente, lo estarán las de dibujo o pintura con ánimo de lucro. </w:t>
      </w:r>
    </w:p>
    <w:p w:rsidR="00B064CF" w:rsidRDefault="00E32F70">
      <w:pPr>
        <w:numPr>
          <w:ilvl w:val="0"/>
          <w:numId w:val="61"/>
        </w:numPr>
        <w:ind w:left="628" w:right="144" w:hanging="283"/>
      </w:pPr>
      <w:r>
        <w:t>Las actividades de carácter artístico o académico y sin ánimo de lucro que se lleven a cabo ocupando el dominio público, no precisarán de autorización,</w:t>
      </w:r>
      <w:r>
        <w:t xml:space="preserve"> si bien, cuando el número de participantes en la actividad supere las diez (10) personas, deberá comunicarse al Ayuntamiento, con diez (10) días de antelación a la fecha prevista de ocupación, el día, la hora y la finalidad de la misma. </w:t>
      </w:r>
    </w:p>
    <w:p w:rsidR="00B064CF" w:rsidRDefault="00E32F70">
      <w:pPr>
        <w:numPr>
          <w:ilvl w:val="0"/>
          <w:numId w:val="61"/>
        </w:numPr>
        <w:ind w:left="628" w:right="144" w:hanging="283"/>
      </w:pPr>
      <w:r>
        <w:t>Las actividades d</w:t>
      </w:r>
      <w:r>
        <w:t xml:space="preserve">esarrolladas por los centros docentes de los niveles no universitarios, deberán comunicar el inicio de la actividad con al menos diez (10) días de antelación. </w:t>
      </w:r>
    </w:p>
    <w:p w:rsidR="00B064CF" w:rsidRDefault="00E32F70">
      <w:pPr>
        <w:tabs>
          <w:tab w:val="center" w:pos="917"/>
          <w:tab w:val="center" w:pos="3887"/>
        </w:tabs>
        <w:spacing w:after="11"/>
        <w:ind w:left="0" w:firstLine="0"/>
        <w:jc w:val="left"/>
      </w:pPr>
      <w:r>
        <w:rPr>
          <w:rFonts w:ascii="Calibri" w:eastAsia="Calibri" w:hAnsi="Calibri" w:cs="Calibri"/>
        </w:rPr>
        <w:tab/>
      </w:r>
      <w:r>
        <w:t xml:space="preserve">Artículo 30. </w:t>
      </w:r>
      <w:r>
        <w:tab/>
        <w:t xml:space="preserve">Solicitudes, zonas y periodos de ocupación </w:t>
      </w:r>
    </w:p>
    <w:p w:rsidR="00B064CF" w:rsidRDefault="00E32F70">
      <w:pPr>
        <w:numPr>
          <w:ilvl w:val="0"/>
          <w:numId w:val="62"/>
        </w:numPr>
        <w:ind w:left="628" w:right="72" w:hanging="283"/>
      </w:pPr>
      <w:r>
        <w:t xml:space="preserve">Las autorizaciones para la ocupación </w:t>
      </w:r>
      <w:r>
        <w:t xml:space="preserve">del dominio público en los supuestos regulados en la presente Sección se limitarán a las zonas que fije el Ayuntamiento de manera motivada. </w:t>
      </w:r>
    </w:p>
    <w:p w:rsidR="00B064CF" w:rsidRDefault="00E32F70">
      <w:pPr>
        <w:numPr>
          <w:ilvl w:val="0"/>
          <w:numId w:val="62"/>
        </w:numPr>
        <w:ind w:left="628" w:right="72" w:hanging="283"/>
      </w:pPr>
      <w:r>
        <w:t xml:space="preserve">Las autorizaciones se otorgarán por días naturales. </w:t>
      </w:r>
    </w:p>
    <w:p w:rsidR="00B064CF" w:rsidRDefault="00E32F70">
      <w:pPr>
        <w:numPr>
          <w:ilvl w:val="0"/>
          <w:numId w:val="62"/>
        </w:numPr>
        <w:ind w:left="628" w:right="72" w:hanging="283"/>
      </w:pPr>
      <w:r>
        <w:t>Las personas interesadas presentarán la solicitud entre los dí</w:t>
      </w:r>
      <w:r>
        <w:t>as 1 y 10 del mes inmediatamente anterior a aquél en el que comience el mes para el que se solicite la autorización, describiendo la actividad artística a realizar, con expresa referencia, en su caso, a los elementos sonoros utilizados, y numerando en su s</w:t>
      </w:r>
      <w:r>
        <w:t xml:space="preserve">olicitud, por orden de preferencia, las zonas que pueden ser objeto de autorización. </w:t>
      </w:r>
    </w:p>
    <w:p w:rsidR="00B064CF" w:rsidRDefault="00E32F70">
      <w:pPr>
        <w:numPr>
          <w:ilvl w:val="0"/>
          <w:numId w:val="62"/>
        </w:numPr>
        <w:ind w:left="628" w:right="72" w:hanging="283"/>
      </w:pPr>
      <w:r>
        <w:t xml:space="preserve">La autorización municipal que se otorgue tendrá validez exclusivamente para realizar la actividad artística en el periodo trimestral solicitado y en una única zona. </w:t>
      </w:r>
    </w:p>
    <w:p w:rsidR="00B064CF" w:rsidRDefault="00E32F70">
      <w:pPr>
        <w:tabs>
          <w:tab w:val="center" w:pos="917"/>
          <w:tab w:val="center" w:pos="3690"/>
        </w:tabs>
        <w:spacing w:after="11"/>
        <w:ind w:left="0" w:firstLine="0"/>
        <w:jc w:val="left"/>
      </w:pPr>
      <w:r>
        <w:rPr>
          <w:rFonts w:ascii="Calibri" w:eastAsia="Calibri" w:hAnsi="Calibri" w:cs="Calibri"/>
          <w:noProof/>
        </w:rPr>
        <mc:AlternateContent>
          <mc:Choice Requires="wpg">
            <w:drawing>
              <wp:anchor distT="0" distB="0" distL="114300" distR="114300" simplePos="0" relativeHeight="25181491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5528" name="Group 395528"/>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8919" name="Rectangle 28919"/>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8920" name="Rectangle 28920"/>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149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5528" style="width:12.7031pt;height:278.91pt;position:absolute;mso-position-horizontal-relative:page;mso-position-horizontal:absolute;margin-left:682.278pt;mso-position-vertical-relative:page;margin-top:533.01pt;" coordsize="1613,35421">
                <v:rect id="Rectangle 28919"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8920"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149 de 298 </w:t>
                        </w:r>
                      </w:p>
                    </w:txbxContent>
                  </v:textbox>
                </v:rect>
                <w10:wrap type="square"/>
              </v:group>
            </w:pict>
          </mc:Fallback>
        </mc:AlternateContent>
      </w:r>
      <w:r>
        <w:rPr>
          <w:rFonts w:ascii="Calibri" w:eastAsia="Calibri" w:hAnsi="Calibri" w:cs="Calibri"/>
        </w:rPr>
        <w:tab/>
      </w:r>
      <w:r>
        <w:t xml:space="preserve">Artículo 31. </w:t>
      </w:r>
      <w:r>
        <w:tab/>
        <w:t xml:space="preserve">Condiciones específicas y obligaciones </w:t>
      </w:r>
    </w:p>
    <w:p w:rsidR="00B064CF" w:rsidRDefault="00E32F70">
      <w:pPr>
        <w:numPr>
          <w:ilvl w:val="0"/>
          <w:numId w:val="63"/>
        </w:numPr>
        <w:ind w:left="628" w:right="109" w:hanging="283"/>
      </w:pPr>
      <w:r>
        <w:t xml:space="preserve">En la </w:t>
      </w:r>
      <w:r>
        <w:t xml:space="preserve">zona autorizada únicamente podrá realizarse la actividad objeto de autorización y en los términos concretos que vengan especificados en la misma, debiendo ser ejercida exclusivamente por la persona o grupo de personas autorizado. </w:t>
      </w:r>
    </w:p>
    <w:p w:rsidR="00B064CF" w:rsidRDefault="00E32F70">
      <w:pPr>
        <w:numPr>
          <w:ilvl w:val="0"/>
          <w:numId w:val="63"/>
        </w:numPr>
        <w:ind w:left="628" w:right="109" w:hanging="283"/>
      </w:pPr>
      <w:r>
        <w:t>No podrá utilizarse el mo</w:t>
      </w:r>
      <w:r>
        <w:t xml:space="preserve">biliario urbano ni el arbolado para el anclaje o como soporte de cualquier elemento o instalación empleados en el desarrollo de la actividad autorizada. </w:t>
      </w:r>
    </w:p>
    <w:p w:rsidR="00B064CF" w:rsidRDefault="00E32F70">
      <w:pPr>
        <w:numPr>
          <w:ilvl w:val="0"/>
          <w:numId w:val="63"/>
        </w:numPr>
        <w:ind w:left="628" w:right="109" w:hanging="283"/>
      </w:pPr>
      <w:r>
        <w:t>La ocupación se concederá en función de las características de la actuación pretendida, así como de la</w:t>
      </w:r>
      <w:r>
        <w:t xml:space="preserve">s características de la zona a ocupar. </w:t>
      </w:r>
    </w:p>
    <w:p w:rsidR="00B064CF" w:rsidRDefault="00E32F70">
      <w:pPr>
        <w:numPr>
          <w:ilvl w:val="0"/>
          <w:numId w:val="63"/>
        </w:numPr>
        <w:ind w:left="628" w:right="109" w:hanging="283"/>
      </w:pPr>
      <w:r>
        <w:t xml:space="preserve">Con carácter general, la distancia mínima a la que deberá situarse un artista de otro, así como la distancia a mantener con cualquier otra actividad autorizada, mientras estén llevando a cabo la actividad solicitada </w:t>
      </w:r>
      <w:r>
        <w:t xml:space="preserve">en el dominio público, será de veinticinco metros (25,00 m). En el caso de actuaciones musicales y otras actividades con repercusión sonora, la distancia mínima de separación será de cincuenta metros (50,00 m).  </w:t>
      </w:r>
    </w:p>
    <w:p w:rsidR="00B064CF" w:rsidRDefault="00E32F70">
      <w:pPr>
        <w:numPr>
          <w:ilvl w:val="0"/>
          <w:numId w:val="63"/>
        </w:numPr>
        <w:ind w:left="628" w:right="109" w:hanging="283"/>
      </w:pPr>
      <w:r>
        <w:t>Las ocupaciones del dominio público para la</w:t>
      </w:r>
      <w:r>
        <w:t xml:space="preserve"> realización de las manifestaciones artísticas reguladas en la presente Sección podrán autorizarse dentro del horario de 10:00 a 20:00 horas, a excepción de aquellas que se otorguen para actuaciones musicales y otras actividades con repercusión sonora, que</w:t>
      </w:r>
      <w:r>
        <w:t xml:space="preserve"> se sujetarán al horario establecido en el número siguiente. </w:t>
      </w:r>
    </w:p>
    <w:p w:rsidR="00B064CF" w:rsidRDefault="00E32F70">
      <w:pPr>
        <w:numPr>
          <w:ilvl w:val="0"/>
          <w:numId w:val="63"/>
        </w:numPr>
        <w:ind w:left="628" w:right="109" w:hanging="283"/>
      </w:pPr>
      <w:r>
        <w:t xml:space="preserve">Las actuaciones musicales u otras actividades artísticas con repercusión sonora en el dominio público deberán cumplir, además de las condiciones anteriores, las siguientes limitaciones: </w:t>
      </w:r>
    </w:p>
    <w:p w:rsidR="00B064CF" w:rsidRDefault="00E32F70">
      <w:pPr>
        <w:numPr>
          <w:ilvl w:val="1"/>
          <w:numId w:val="63"/>
        </w:numPr>
        <w:ind w:right="108" w:hanging="360"/>
      </w:pPr>
      <w:r>
        <w:t>No podr</w:t>
      </w:r>
      <w:r>
        <w:t xml:space="preserve">án utilizarse instrumentos de percusión, ni altavoces o cualquier otro sistema de amplificación del sonido, quedando sometida la autorización, en todo caso, a las limitaciones establecidas en la normativa vigente sobre contaminación acústica. </w:t>
      </w:r>
    </w:p>
    <w:p w:rsidR="00B064CF" w:rsidRDefault="00E32F70">
      <w:pPr>
        <w:numPr>
          <w:ilvl w:val="1"/>
          <w:numId w:val="63"/>
        </w:numPr>
        <w:ind w:right="108" w:hanging="360"/>
      </w:pPr>
      <w:r>
        <w:t>Las actuacio</w:t>
      </w:r>
      <w:r>
        <w:t xml:space="preserve">nes sólo podrán tener lugar en horario de 10:00 a 14:00 horas y de 17:00 a 20:00 horas.  </w:t>
      </w:r>
    </w:p>
    <w:p w:rsidR="00B064CF" w:rsidRDefault="00E32F70">
      <w:pPr>
        <w:numPr>
          <w:ilvl w:val="1"/>
          <w:numId w:val="63"/>
        </w:numPr>
        <w:ind w:right="108" w:hanging="360"/>
      </w:pPr>
      <w:r>
        <w:t>La actuación de la persona autorizada no podrá tener una duración superior a dos horas en el mismo punto dentro de la zona autorizada, debiendo desplazarse para las s</w:t>
      </w:r>
      <w:r>
        <w:t xml:space="preserve">iguientes actuaciones a una distancia mínima de veinticinco metros (25,00 m) de la anterior, no pudiendo repetir actuación en el mismo punto y día. </w:t>
      </w:r>
    </w:p>
    <w:p w:rsidR="00B064CF" w:rsidRDefault="00E32F70">
      <w:pPr>
        <w:numPr>
          <w:ilvl w:val="1"/>
          <w:numId w:val="63"/>
        </w:numPr>
        <w:ind w:right="108" w:hanging="360"/>
      </w:pPr>
      <w:r>
        <w:t>El espacio ocupado para llevar a cabo la actividad no podrá encontrarse a una distancia inferior a cincuent</w:t>
      </w:r>
      <w:r>
        <w:t xml:space="preserve">a metros (50,00 m) de centros docentes, sanitarios, o asistenciales. </w:t>
      </w:r>
    </w:p>
    <w:p w:rsidR="00B064CF" w:rsidRDefault="00E32F70">
      <w:pPr>
        <w:spacing w:after="11"/>
        <w:ind w:left="355" w:right="72"/>
      </w:pPr>
      <w:r>
        <w:t xml:space="preserve">Sección 3ª. ACTIVIDADES INFORMATIVAS, DE SENSIBILIZACIÓN O PROMOCIONALES </w:t>
      </w:r>
    </w:p>
    <w:p w:rsidR="00B064CF" w:rsidRDefault="00E32F70">
      <w:pPr>
        <w:tabs>
          <w:tab w:val="center" w:pos="917"/>
          <w:tab w:val="center" w:pos="3390"/>
        </w:tabs>
        <w:spacing w:after="11"/>
        <w:ind w:left="0" w:firstLine="0"/>
        <w:jc w:val="left"/>
      </w:pPr>
      <w:r>
        <w:rPr>
          <w:rFonts w:ascii="Calibri" w:eastAsia="Calibri" w:hAnsi="Calibri" w:cs="Calibri"/>
        </w:rPr>
        <w:tab/>
      </w:r>
      <w:r>
        <w:t xml:space="preserve">Artículo 32. </w:t>
      </w:r>
      <w:r>
        <w:tab/>
        <w:t xml:space="preserve">Supuestos sujetos a autorización </w:t>
      </w:r>
    </w:p>
    <w:p w:rsidR="00B064CF" w:rsidRDefault="00E32F70">
      <w:pPr>
        <w:numPr>
          <w:ilvl w:val="0"/>
          <w:numId w:val="64"/>
        </w:numPr>
        <w:ind w:left="628" w:right="146" w:hanging="283"/>
      </w:pPr>
      <w:r>
        <w:t xml:space="preserve">La ocupación del dominio público para la realización de actividades de tipo informativo, de sensibilización o promocionales requerirá autorización municipal cuando concurra alguno de los siguientes supuestos: </w:t>
      </w:r>
    </w:p>
    <w:p w:rsidR="00B064CF" w:rsidRDefault="00E32F70">
      <w:pPr>
        <w:numPr>
          <w:ilvl w:val="1"/>
          <w:numId w:val="64"/>
        </w:numPr>
        <w:ind w:right="72" w:hanging="360"/>
      </w:pPr>
      <w:r>
        <w:t>Se necesite la acotación de una superficie del</w:t>
      </w:r>
      <w:r>
        <w:t xml:space="preserve"> dominio público para su utilización.  </w:t>
      </w:r>
    </w:p>
    <w:p w:rsidR="00B064CF" w:rsidRDefault="00E32F70">
      <w:pPr>
        <w:numPr>
          <w:ilvl w:val="1"/>
          <w:numId w:val="64"/>
        </w:numPr>
        <w:ind w:right="72" w:hanging="360"/>
      </w:pPr>
      <w:r>
        <w:rPr>
          <w:rFonts w:ascii="Calibri" w:eastAsia="Calibri" w:hAnsi="Calibri" w:cs="Calibri"/>
          <w:noProof/>
        </w:rPr>
        <mc:AlternateContent>
          <mc:Choice Requires="wpg">
            <w:drawing>
              <wp:anchor distT="0" distB="0" distL="114300" distR="114300" simplePos="0" relativeHeight="25181593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5639" name="Group 395639"/>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9036" name="Rectangle 29036"/>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9037" name="Rectangle 29037"/>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150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5639" style="width:12.7031pt;height:278.91pt;position:absolute;mso-position-horizontal-relative:page;mso-position-horizontal:absolute;margin-left:682.278pt;mso-position-vertical-relative:page;margin-top:533.01pt;" coordsize="1613,35421">
                <v:rect id="Rectangle 29036"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9037"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150 de 298 </w:t>
                        </w:r>
                      </w:p>
                    </w:txbxContent>
                  </v:textbox>
                </v:rect>
                <w10:wrap type="square"/>
              </v:group>
            </w:pict>
          </mc:Fallback>
        </mc:AlternateContent>
      </w:r>
      <w:r>
        <w:t>Sea necesario, par</w:t>
      </w:r>
      <w:r>
        <w:t xml:space="preserve">a el desarrollo de la actividad, la utilización de elementos de mobiliario o el empleo de instalaciones especiales. </w:t>
      </w:r>
    </w:p>
    <w:p w:rsidR="00B064CF" w:rsidRDefault="00E32F70">
      <w:pPr>
        <w:numPr>
          <w:ilvl w:val="0"/>
          <w:numId w:val="64"/>
        </w:numPr>
        <w:ind w:left="628" w:right="146" w:hanging="283"/>
      </w:pPr>
      <w:r>
        <w:t>El Ayuntamiento, discrecional y motivadamente, podrá denegar la autorización si considera que el contenido de la actividad es contrario a l</w:t>
      </w:r>
      <w:r>
        <w:t xml:space="preserve">as leyes o perjudicial para el interés público o municipal. </w:t>
      </w:r>
    </w:p>
    <w:p w:rsidR="00B064CF" w:rsidRDefault="00E32F70">
      <w:pPr>
        <w:numPr>
          <w:ilvl w:val="0"/>
          <w:numId w:val="64"/>
        </w:numPr>
        <w:ind w:left="628" w:right="146" w:hanging="283"/>
      </w:pPr>
      <w:r>
        <w:t xml:space="preserve">La autorización podrá otorgarse mediante un procedimiento preferente y sumario, salvo que las circunstancias que concurran o la complejidad del supuesto lo desaconseje, en cuyo caso se tramitará </w:t>
      </w:r>
      <w:r>
        <w:t>por el procedimiento ordinario. Sin perjuicio de lo expuesto, el procedimiento abreviado sólo se aplicará si la ocupación se limita a una única localización, no requiere la utilización de instalaciones o elementos especiales y no excede, en plazo de duraci</w:t>
      </w:r>
      <w:r>
        <w:t xml:space="preserve">ón, los tres (3) días. </w:t>
      </w:r>
    </w:p>
    <w:p w:rsidR="00B064CF" w:rsidRDefault="00E32F70">
      <w:pPr>
        <w:tabs>
          <w:tab w:val="center" w:pos="917"/>
          <w:tab w:val="center" w:pos="3690"/>
        </w:tabs>
        <w:spacing w:after="11"/>
        <w:ind w:left="0" w:firstLine="0"/>
        <w:jc w:val="left"/>
      </w:pPr>
      <w:r>
        <w:rPr>
          <w:rFonts w:ascii="Calibri" w:eastAsia="Calibri" w:hAnsi="Calibri" w:cs="Calibri"/>
        </w:rPr>
        <w:tab/>
      </w:r>
      <w:r>
        <w:t xml:space="preserve">Artículo 33. </w:t>
      </w:r>
      <w:r>
        <w:tab/>
        <w:t xml:space="preserve">Condiciones específicas y obligaciones </w:t>
      </w:r>
    </w:p>
    <w:p w:rsidR="00B064CF" w:rsidRDefault="00E32F70">
      <w:pPr>
        <w:numPr>
          <w:ilvl w:val="0"/>
          <w:numId w:val="65"/>
        </w:numPr>
        <w:ind w:left="628" w:right="150" w:hanging="283"/>
      </w:pPr>
      <w:r>
        <w:t>La persona o entidad autorizada será la única responsable del contenido de la actividad informativa, de sensibilización o promocional que pretenda llevar a cabo; y también lo se</w:t>
      </w:r>
      <w:r>
        <w:t xml:space="preserve">rá de organizar, ordenar y vigilar la concentración de personas que pueda generarse, de modo que no se impida la libre circulación de peatones y vehículos. </w:t>
      </w:r>
    </w:p>
    <w:p w:rsidR="00B064CF" w:rsidRDefault="00E32F70">
      <w:pPr>
        <w:numPr>
          <w:ilvl w:val="0"/>
          <w:numId w:val="65"/>
        </w:numPr>
        <w:ind w:left="628" w:right="150" w:hanging="283"/>
      </w:pPr>
      <w:r>
        <w:t>En la zona autorizada únicamente podrá realizarse la actividad objeto de autorización y en los térm</w:t>
      </w:r>
      <w:r>
        <w:t xml:space="preserve">inos concretos que vengan especificados en la misma, debiendo ser ejercida exclusivamente por la persona o grupo de personas autorizado. </w:t>
      </w:r>
    </w:p>
    <w:p w:rsidR="00B064CF" w:rsidRDefault="00E32F70">
      <w:pPr>
        <w:numPr>
          <w:ilvl w:val="0"/>
          <w:numId w:val="65"/>
        </w:numPr>
        <w:ind w:left="628" w:right="150" w:hanging="283"/>
      </w:pPr>
      <w:r>
        <w:t>No podrá utilizarse el mobiliario urbano ni el arbolado para el anclaje o como soporte de cualquier elemento o instala</w:t>
      </w:r>
      <w:r>
        <w:t xml:space="preserve">ción empleados en el desarrollo de la actividad autorizada. </w:t>
      </w:r>
    </w:p>
    <w:p w:rsidR="00B064CF" w:rsidRDefault="00E32F70">
      <w:pPr>
        <w:ind w:left="355" w:right="72"/>
      </w:pPr>
      <w:r>
        <w:t xml:space="preserve">Artículo 34. Características de los elementos </w:t>
      </w:r>
    </w:p>
    <w:p w:rsidR="00B064CF" w:rsidRDefault="00E32F70">
      <w:pPr>
        <w:numPr>
          <w:ilvl w:val="0"/>
          <w:numId w:val="66"/>
        </w:numPr>
        <w:ind w:left="628" w:right="107" w:hanging="283"/>
      </w:pPr>
      <w:r>
        <w:t xml:space="preserve">Todos los elementos que se dispongan en el dominio público estarán diseñados e instalados de tal forma que su utilización no represente real o potencial peligro para viandantes o usuarios. </w:t>
      </w:r>
    </w:p>
    <w:p w:rsidR="00B064CF" w:rsidRDefault="00E32F70">
      <w:pPr>
        <w:numPr>
          <w:ilvl w:val="0"/>
          <w:numId w:val="66"/>
        </w:numPr>
        <w:ind w:left="628" w:right="107" w:hanging="283"/>
      </w:pPr>
      <w:r>
        <w:t>Con carácter general, sin perjuicio de lo dispuesto en el número s</w:t>
      </w:r>
      <w:r>
        <w:t xml:space="preserve">iguiente, los únicos elementos que se podrán utilizar para el desarrollo de las actividades serán exclusivamente mesas, sillas, sombrillas, carpas, y mamparas, quedando prohibido el empleo de cualquier elemento que requiera sistemas de sujeción o anclaje. </w:t>
      </w:r>
      <w:r>
        <w:t xml:space="preserve"> </w:t>
      </w:r>
    </w:p>
    <w:p w:rsidR="00B064CF" w:rsidRDefault="00E32F70">
      <w:pPr>
        <w:numPr>
          <w:ilvl w:val="0"/>
          <w:numId w:val="66"/>
        </w:numPr>
        <w:ind w:left="628" w:right="107" w:hanging="283"/>
      </w:pPr>
      <w:r>
        <w:t xml:space="preserve">En el caso de actividades divulgativas, y siempre que sus especiales características o dimensiones lo justifiquen, se podrá autorizar el empleo de las instalaciones y elementos especiales, en cuyo caso se estará a lo dispuesto en el artículo 11.  </w:t>
      </w:r>
    </w:p>
    <w:p w:rsidR="00B064CF" w:rsidRDefault="00E32F70">
      <w:pPr>
        <w:numPr>
          <w:ilvl w:val="0"/>
          <w:numId w:val="66"/>
        </w:numPr>
        <w:ind w:left="628" w:right="107" w:hanging="283"/>
      </w:pPr>
      <w:r>
        <w:t>Las ca</w:t>
      </w:r>
      <w:r>
        <w:t xml:space="preserve">rpas destinadas a actividades informativas, de sensibilización o promocionales cumplirán las siguientes condiciones:  </w:t>
      </w:r>
    </w:p>
    <w:p w:rsidR="00B064CF" w:rsidRDefault="00E32F70">
      <w:pPr>
        <w:numPr>
          <w:ilvl w:val="1"/>
          <w:numId w:val="66"/>
        </w:numPr>
        <w:ind w:right="72" w:hanging="360"/>
      </w:pPr>
      <w:r>
        <w:t xml:space="preserve">Se deberán disponer sobre bases y soportes que garanticen su estabilidad y eviten vuelcos o caídas. </w:t>
      </w:r>
    </w:p>
    <w:p w:rsidR="00B064CF" w:rsidRDefault="00E32F70">
      <w:pPr>
        <w:numPr>
          <w:ilvl w:val="1"/>
          <w:numId w:val="66"/>
        </w:numPr>
        <w:ind w:right="72" w:hanging="360"/>
      </w:pPr>
      <w:r>
        <w:t xml:space="preserve">Las estructuras serán desmontables, </w:t>
      </w:r>
      <w:r>
        <w:t xml:space="preserve">instaladas sin elaboración de materiales in situ ni empleo de soldaduras, pudiendo ser desmanteladas sin operaciones de demolición. </w:t>
      </w:r>
    </w:p>
    <w:p w:rsidR="00B064CF" w:rsidRDefault="00E32F70">
      <w:pPr>
        <w:numPr>
          <w:ilvl w:val="1"/>
          <w:numId w:val="66"/>
        </w:numPr>
        <w:ind w:right="72" w:hanging="360"/>
      </w:pPr>
      <w:r>
        <w:rPr>
          <w:rFonts w:ascii="Calibri" w:eastAsia="Calibri" w:hAnsi="Calibri" w:cs="Calibri"/>
          <w:noProof/>
        </w:rPr>
        <mc:AlternateContent>
          <mc:Choice Requires="wpg">
            <w:drawing>
              <wp:anchor distT="0" distB="0" distL="114300" distR="114300" simplePos="0" relativeHeight="25181696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5958" name="Group 395958"/>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9149" name="Rectangle 29149"/>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9150" name="Rectangle 29150"/>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Documento firmado el</w:t>
                              </w:r>
                              <w:r>
                                <w:rPr>
                                  <w:sz w:val="12"/>
                                </w:rPr>
                                <w:t xml:space="preserve">ectrónicamente desde la plataforma esPublico Gestiona | Página 151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5958" style="width:12.7031pt;height:278.91pt;position:absolute;mso-position-horizontal-relative:page;mso-position-horizontal:absolute;margin-left:682.278pt;mso-position-vertical-relative:page;margin-top:533.01pt;" coordsize="1613,35421">
                <v:rect id="Rectangle 29149"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9150"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151 de 298 </w:t>
                        </w:r>
                      </w:p>
                    </w:txbxContent>
                  </v:textbox>
                </v:rect>
                <w10:wrap type="square"/>
              </v:group>
            </w:pict>
          </mc:Fallback>
        </mc:AlternateContent>
      </w:r>
      <w:r>
        <w:t>La altura libre mínima será de dos metros y veinte centímetros (2,20 m), y su altura máxima, como normal general, será de 3,00 m, medidos desde el suelo a su parte superior, salvo q</w:t>
      </w:r>
      <w:r>
        <w:t xml:space="preserve">ue las condiciones arquitectónicas específicas de las edificaciones requieran otros condicionantes para su instalación. </w:t>
      </w:r>
    </w:p>
    <w:p w:rsidR="00B064CF" w:rsidRDefault="00E32F70">
      <w:pPr>
        <w:numPr>
          <w:ilvl w:val="1"/>
          <w:numId w:val="66"/>
        </w:numPr>
        <w:ind w:right="72" w:hanging="360"/>
      </w:pPr>
      <w:r>
        <w:t xml:space="preserve">Como norma general, no podrán ubicarse a menos de dos metros (2,00 m) de distancia de cualquier fachada o cuerpo volado, sin perjuicio </w:t>
      </w:r>
      <w:r>
        <w:t xml:space="preserve">de que se exija otra distancia mayor, o bien, se aconseje adosarla a linderos o fachada, en la normativa que le sea de aplicación. </w:t>
      </w:r>
    </w:p>
    <w:p w:rsidR="00B064CF" w:rsidRDefault="00E32F70">
      <w:pPr>
        <w:numPr>
          <w:ilvl w:val="1"/>
          <w:numId w:val="66"/>
        </w:numPr>
        <w:ind w:right="72" w:hanging="360"/>
      </w:pPr>
      <w:r>
        <w:t xml:space="preserve">Deberán ser instalados por empresa especializada que garantice su estabilidad y seguridad.  </w:t>
      </w:r>
    </w:p>
    <w:p w:rsidR="00B064CF" w:rsidRDefault="00E32F70">
      <w:pPr>
        <w:spacing w:after="0" w:line="259" w:lineRule="auto"/>
        <w:ind w:left="360" w:firstLine="0"/>
        <w:jc w:val="left"/>
      </w:pPr>
      <w:r>
        <w:t xml:space="preserve"> </w:t>
      </w:r>
    </w:p>
    <w:p w:rsidR="00B064CF" w:rsidRDefault="00E32F70">
      <w:pPr>
        <w:spacing w:after="11"/>
        <w:ind w:left="355" w:right="72"/>
      </w:pPr>
      <w:r>
        <w:t>Sección 4ª. ACTIVIDADES DE CU</w:t>
      </w:r>
      <w:r>
        <w:t xml:space="preserve">ESTACIÓN, PETITORIAS Y OTRAS SIMILARES CON FINES </w:t>
      </w:r>
    </w:p>
    <w:p w:rsidR="00B064CF" w:rsidRDefault="00E32F70">
      <w:pPr>
        <w:spacing w:after="11"/>
        <w:ind w:left="355" w:right="72"/>
      </w:pPr>
      <w:r>
        <w:t xml:space="preserve">SOLIDARIOS  </w:t>
      </w:r>
    </w:p>
    <w:p w:rsidR="00B064CF" w:rsidRDefault="00E32F70">
      <w:pPr>
        <w:spacing w:after="11"/>
        <w:ind w:left="355" w:right="72"/>
      </w:pPr>
      <w:r>
        <w:t xml:space="preserve">Artículo 35. Supuestos sujetos a autorización </w:t>
      </w:r>
    </w:p>
    <w:p w:rsidR="00B064CF" w:rsidRDefault="00E32F70">
      <w:pPr>
        <w:numPr>
          <w:ilvl w:val="0"/>
          <w:numId w:val="67"/>
        </w:numPr>
        <w:ind w:left="628" w:right="148" w:hanging="283"/>
      </w:pPr>
      <w:r>
        <w:t xml:space="preserve">La ocupación del dominio público para la realización de actividades de cuestación, petitorias u otras similares con fines solidarios requerirá autorización municipal cuando concurra alguno de los siguientes supuestos: </w:t>
      </w:r>
    </w:p>
    <w:p w:rsidR="00B064CF" w:rsidRDefault="00E32F70">
      <w:pPr>
        <w:numPr>
          <w:ilvl w:val="1"/>
          <w:numId w:val="67"/>
        </w:numPr>
        <w:ind w:right="72" w:hanging="360"/>
      </w:pPr>
      <w:r>
        <w:t>Se necesite la acotación de una super</w:t>
      </w:r>
      <w:r>
        <w:t xml:space="preserve">ficie del dominio público para su utilización.  </w:t>
      </w:r>
    </w:p>
    <w:p w:rsidR="00B064CF" w:rsidRDefault="00E32F70">
      <w:pPr>
        <w:numPr>
          <w:ilvl w:val="1"/>
          <w:numId w:val="67"/>
        </w:numPr>
        <w:ind w:right="72" w:hanging="360"/>
      </w:pPr>
      <w:r>
        <w:t xml:space="preserve">Sea necesario, para el desarrollo de la actividad, la utilización de elementos de mobiliario. </w:t>
      </w:r>
    </w:p>
    <w:p w:rsidR="00B064CF" w:rsidRDefault="00E32F70">
      <w:pPr>
        <w:numPr>
          <w:ilvl w:val="0"/>
          <w:numId w:val="67"/>
        </w:numPr>
        <w:ind w:left="628" w:right="148" w:hanging="283"/>
      </w:pPr>
      <w:r>
        <w:t>Las autorizaciones sólo se le otorgarán a organizaciones no gubernamentales, partidos políticos o entidades de c</w:t>
      </w:r>
      <w:r>
        <w:t xml:space="preserve">arácter social sin ánimo de lucro, sin que puedan utilizarse para la promoción de ideas que puedan ser contrarias a los principios constitucionales o los derechos fundamentales. </w:t>
      </w:r>
    </w:p>
    <w:p w:rsidR="00B064CF" w:rsidRDefault="00E32F70">
      <w:pPr>
        <w:numPr>
          <w:ilvl w:val="0"/>
          <w:numId w:val="67"/>
        </w:numPr>
        <w:ind w:left="628" w:right="148" w:hanging="283"/>
      </w:pPr>
      <w:r>
        <w:t xml:space="preserve">El Ayuntamiento, discrecional y motivadamente, podrá denegar la autorización </w:t>
      </w:r>
      <w:r>
        <w:t xml:space="preserve">si considera que el contenido de la actividad es contrario a las leyes o perjudicial para el interés público o municipal. </w:t>
      </w:r>
    </w:p>
    <w:p w:rsidR="00B064CF" w:rsidRDefault="00E32F70">
      <w:pPr>
        <w:numPr>
          <w:ilvl w:val="0"/>
          <w:numId w:val="67"/>
        </w:numPr>
        <w:ind w:left="628" w:right="148" w:hanging="283"/>
      </w:pPr>
      <w:r>
        <w:t xml:space="preserve">La autorización podrá otorgarse mediante un procedimiento abreviado, salvo que las circunstancias que concurran o la complejidad del </w:t>
      </w:r>
      <w:r>
        <w:t>supuesto lo desaconseje, en cuyo caso se tramitará por el procedimiento ordinario. Sin perjuicio de lo expuesto, el procedimiento abreviado sólo se aplicará si la ocupación se limita a una única localización, no requiere la utilización de instalaciones o e</w:t>
      </w:r>
      <w:r>
        <w:t xml:space="preserve">lementos especiales y no excede, en plazo de duración, los tres (3) días. </w:t>
      </w:r>
    </w:p>
    <w:p w:rsidR="00B064CF" w:rsidRDefault="00E32F70">
      <w:pPr>
        <w:spacing w:after="11"/>
        <w:ind w:left="355" w:right="72"/>
      </w:pPr>
      <w:r>
        <w:t xml:space="preserve">Artículo 36. Condiciones específicas y obligaciones </w:t>
      </w:r>
    </w:p>
    <w:p w:rsidR="00B064CF" w:rsidRDefault="00E32F70">
      <w:pPr>
        <w:numPr>
          <w:ilvl w:val="0"/>
          <w:numId w:val="68"/>
        </w:numPr>
        <w:ind w:left="628" w:right="145" w:hanging="283"/>
      </w:pPr>
      <w:r>
        <w:t>La persona o entidad autorizada será la única responsable del contenido de la actividad de cuestación, petitoria o solidaria que</w:t>
      </w:r>
      <w:r>
        <w:t xml:space="preserve"> pretenda llevar a cabo; y también lo será de organizar, ordenar y vigilar la concentración de personas que pueda generarse, de modo que no se impida la libre circulación de peatones y vehículos. </w:t>
      </w:r>
    </w:p>
    <w:p w:rsidR="00B064CF" w:rsidRDefault="00E32F70">
      <w:pPr>
        <w:numPr>
          <w:ilvl w:val="0"/>
          <w:numId w:val="68"/>
        </w:numPr>
        <w:ind w:left="628" w:right="145" w:hanging="283"/>
      </w:pPr>
      <w:r>
        <w:t>En la zona autorizada únicamente podrá realizarse la activi</w:t>
      </w:r>
      <w:r>
        <w:t xml:space="preserve">dad objeto de autorización y en los términos concretos que vengan especificados en la misma, debiendo ser ejercida exclusivamente por la persona o grupo de personas autorizado. </w:t>
      </w:r>
    </w:p>
    <w:p w:rsidR="00B064CF" w:rsidRDefault="00E32F70">
      <w:pPr>
        <w:numPr>
          <w:ilvl w:val="0"/>
          <w:numId w:val="68"/>
        </w:numPr>
        <w:ind w:left="628" w:right="145" w:hanging="283"/>
      </w:pPr>
      <w:r>
        <w:t xml:space="preserve">No podrá utilizarse el mobiliario urbano ni el arbolado para el anclaje o como soporte de cualquier elemento o instalación empleados en el desarrollo de la actividad autorizada. </w:t>
      </w:r>
    </w:p>
    <w:p w:rsidR="00B064CF" w:rsidRDefault="00E32F70">
      <w:pPr>
        <w:spacing w:after="11"/>
        <w:ind w:left="355" w:right="72"/>
      </w:pPr>
      <w:r>
        <w:t xml:space="preserve">Artículo 37. Características de los elementos </w:t>
      </w:r>
    </w:p>
    <w:p w:rsidR="00B064CF" w:rsidRDefault="00E32F70">
      <w:pPr>
        <w:ind w:left="628" w:right="72" w:hanging="283"/>
      </w:pPr>
      <w:r>
        <w:rPr>
          <w:rFonts w:ascii="Calibri" w:eastAsia="Calibri" w:hAnsi="Calibri" w:cs="Calibri"/>
          <w:noProof/>
        </w:rPr>
        <mc:AlternateContent>
          <mc:Choice Requires="wpg">
            <w:drawing>
              <wp:anchor distT="0" distB="0" distL="114300" distR="114300" simplePos="0" relativeHeight="25181798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6015" name="Group 396015"/>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9264" name="Rectangle 29264"/>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w:t>
                              </w:r>
                              <w:r>
                                <w:rPr>
                                  <w:sz w:val="12"/>
                                </w:rPr>
                                <w:t xml:space="preserve">FPNN5DLPPAAC3GS | Verificación: https://candelaria.sedelectronica.es/ </w:t>
                              </w:r>
                            </w:p>
                          </w:txbxContent>
                        </wps:txbx>
                        <wps:bodyPr horzOverflow="overflow" vert="horz" lIns="0" tIns="0" rIns="0" bIns="0" rtlCol="0">
                          <a:noAutofit/>
                        </wps:bodyPr>
                      </wps:wsp>
                      <wps:wsp>
                        <wps:cNvPr id="29265" name="Rectangle 29265"/>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152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6015" style="width:12.7031pt;height:278.91pt;position:absolute;mso-position-horizontal-relative:page;mso-position-horizontal:absolute;margin-left:682.278pt;mso-position-vertical-relative:page;margin-top:533.01pt;" coordsize="1613,35421">
                <v:rect id="Rectangle 29264"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9265"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152 de 298 </w:t>
                        </w:r>
                      </w:p>
                    </w:txbxContent>
                  </v:textbox>
                </v:rect>
                <w10:wrap type="square"/>
              </v:group>
            </w:pict>
          </mc:Fallback>
        </mc:AlternateContent>
      </w:r>
      <w:r>
        <w:t xml:space="preserve">1. </w:t>
      </w:r>
      <w:r>
        <w:t xml:space="preserve">Todos los elementos que se dispongan en el dominio público estarán diseñados e instalados de tal forma que su utilización no represente real o potencial peligro para viandantes o usuarios, debiendo cumplir las condiciones técnicas descritas en el artículo </w:t>
      </w:r>
      <w:r>
        <w:t xml:space="preserve">34, aplicables a cada elemento.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CAPÍTULO 3 OCUPACIONES CON QUIOSCOS </w:t>
      </w:r>
    </w:p>
    <w:p w:rsidR="00B064CF" w:rsidRDefault="00E32F70">
      <w:pPr>
        <w:spacing w:after="11"/>
        <w:ind w:left="355" w:right="72"/>
      </w:pPr>
      <w:r>
        <w:t xml:space="preserve"> Artículo 38. Ocupaciones permitidas y título habilitante </w:t>
      </w:r>
    </w:p>
    <w:p w:rsidR="00B064CF" w:rsidRDefault="00E32F70">
      <w:pPr>
        <w:numPr>
          <w:ilvl w:val="0"/>
          <w:numId w:val="69"/>
        </w:numPr>
        <w:ind w:left="628" w:right="143" w:hanging="283"/>
      </w:pPr>
      <w:r>
        <w:t xml:space="preserve">El dominio público podrá ser ocupado con quioscos para: la venta de alimentos envasados, bebidas, prensa, flores, golosina y </w:t>
      </w:r>
      <w:r>
        <w:t>frutos secos, helados, flores, artesanías y otros productos análogos susceptibles de comercialización. El dominio también podrá ser ocupado con quioscos-bar destinados a la prestación de servicios de comidas y/o bebidas; en estos supuestos se podrá permiti</w:t>
      </w:r>
      <w:r>
        <w:t xml:space="preserve">r la ocupación del dominio público con los elementos accesorios exteriores (mesas, sillas, sombrillas, etc.) que sean necesarios para la efectiva prestación del servicio. </w:t>
      </w:r>
    </w:p>
    <w:p w:rsidR="00B064CF" w:rsidRDefault="00E32F70">
      <w:pPr>
        <w:numPr>
          <w:ilvl w:val="0"/>
          <w:numId w:val="69"/>
        </w:numPr>
        <w:ind w:left="628" w:right="143" w:hanging="283"/>
      </w:pPr>
      <w:r>
        <w:t>La ocupación con quioscos sólo se permitirá en los suelos de dominio público calific</w:t>
      </w:r>
      <w:r>
        <w:t xml:space="preserve">ados como espacios libres o peatonales, o destinados a tales usos. </w:t>
      </w:r>
    </w:p>
    <w:p w:rsidR="00B064CF" w:rsidRDefault="00E32F70">
      <w:pPr>
        <w:numPr>
          <w:ilvl w:val="0"/>
          <w:numId w:val="69"/>
        </w:numPr>
        <w:ind w:left="628" w:right="143" w:hanging="283"/>
      </w:pPr>
      <w:r>
        <w:t>Toda ocupación relacionada con los elementos o actividades previstas en este Capítulo deberá cumplir las condiciones generales, particulares y específicas, que le sean de aplicación, estab</w:t>
      </w:r>
      <w:r>
        <w:t xml:space="preserve">lecidas en la presente Ordenanza. </w:t>
      </w:r>
    </w:p>
    <w:p w:rsidR="00B064CF" w:rsidRDefault="00E32F70">
      <w:pPr>
        <w:numPr>
          <w:ilvl w:val="0"/>
          <w:numId w:val="69"/>
        </w:numPr>
        <w:ind w:left="628" w:right="143" w:hanging="283"/>
      </w:pPr>
      <w:r>
        <w:t xml:space="preserve">Por razones de coherencia con el entorno e imagen urbana de los quioscos cuya instalación se autorice en el término municipal, los quioscos deberán estar homologados por el Ayuntamiento que decidirá sobre la idoneidad de </w:t>
      </w:r>
      <w:r>
        <w:t xml:space="preserve">los modelos propuestos en función de su emplazamiento, a fin de procurar la mayor armonización posible con el entorno, por lo que podrá imponer, de forma motivada, la estética, materiales, dimensiones, características y prototipos de los quioscos. </w:t>
      </w:r>
    </w:p>
    <w:p w:rsidR="00B064CF" w:rsidRDefault="00E32F70">
      <w:pPr>
        <w:numPr>
          <w:ilvl w:val="0"/>
          <w:numId w:val="69"/>
        </w:numPr>
        <w:ind w:left="628" w:right="143" w:hanging="283"/>
      </w:pPr>
      <w:r>
        <w:t>La ocup</w:t>
      </w:r>
      <w:r>
        <w:t xml:space="preserve">ación del dominio público con quiosco se sujeta a concesión administrativa cuyo régimen jurídico será el establecido en cada momento por la normativa patrimonial aplicable al municipio. </w:t>
      </w:r>
    </w:p>
    <w:p w:rsidR="00B064CF" w:rsidRDefault="00E32F70">
      <w:pPr>
        <w:numPr>
          <w:ilvl w:val="0"/>
          <w:numId w:val="69"/>
        </w:numPr>
        <w:ind w:left="628" w:right="143" w:hanging="283"/>
      </w:pPr>
      <w:r>
        <w:t xml:space="preserve">El procedimiento para el otorgamiento de autorización de instalación </w:t>
      </w:r>
      <w:r>
        <w:t>de un Quiosco podrá iniciarse de oficio o a solicitud de persona interesada. Las autorizaciones de ocupación del dominio público mediante un quiosco se otorgarán, directamente a los peticionarios que reúnan las condiciones requeridas, salvo si, por cualqui</w:t>
      </w:r>
      <w:r>
        <w:t>er circunstancia, se encontrase limitado su número, en cuyo caso lo serán en régimen de concurrencia. Si esta no fuera procedente, por no tener que valorarse condiciones especiales en los solicitantes, las autorizaciones se otorgarán mediante sorteo, si ot</w:t>
      </w:r>
      <w:r>
        <w:t xml:space="preserve">ra cosa no se hubiese establecido en las condiciones por las que se rigen. No serán transmisibles las autorizaciones para cuyo otorgamiento deban tenerse en cuenta circunstancias personales del autorizado o cuyo número se encuentre limitado, salvo que las </w:t>
      </w:r>
      <w:r>
        <w:t xml:space="preserve">condiciones por las que se rigen admitan su transmisión. </w:t>
      </w:r>
    </w:p>
    <w:p w:rsidR="00B064CF" w:rsidRDefault="00E32F70">
      <w:pPr>
        <w:spacing w:after="0"/>
        <w:ind w:left="654" w:right="142"/>
      </w:pPr>
      <w:r>
        <w:t>En los procedimientos iniciados de oficio a petición de particulares, el Ayuntamiento podrá, por medio de anuncio público, invitar a otros posibles interesados a presentar solicitudes. Si no media e</w:t>
      </w:r>
      <w:r>
        <w:t xml:space="preserve">ste acto de invitación, se dará publicidad a las solicitudes que se presenten, a través de su publicación en el BOP de Tenerife, así como en otros medios adicionales de difusión habituales y se abrirá un plazo de 30 días durante el cual podrán presentarse </w:t>
      </w:r>
      <w:r>
        <w:t xml:space="preserve">solicitudes alternativas por otros interesados. Para decidir sobre el otorgamiento de la concesión para la instalación de un quiosco, se atenderá al mayor interés y utilidad pública. </w:t>
      </w:r>
    </w:p>
    <w:p w:rsidR="00B064CF" w:rsidRDefault="00E32F70">
      <w:pPr>
        <w:numPr>
          <w:ilvl w:val="0"/>
          <w:numId w:val="69"/>
        </w:numPr>
        <w:ind w:left="628" w:right="143" w:hanging="283"/>
      </w:pPr>
      <w:r>
        <w:rPr>
          <w:rFonts w:ascii="Calibri" w:eastAsia="Calibri" w:hAnsi="Calibri" w:cs="Calibri"/>
          <w:noProof/>
        </w:rPr>
        <mc:AlternateContent>
          <mc:Choice Requires="wpg">
            <w:drawing>
              <wp:anchor distT="0" distB="0" distL="114300" distR="114300" simplePos="0" relativeHeight="25181900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5900" name="Group 395900"/>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9367" name="Rectangle 29367"/>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64SKSNYNJRFPNN5DLPPAAC3GS | Verificación: https://ca</w:t>
                              </w:r>
                              <w:r>
                                <w:rPr>
                                  <w:sz w:val="12"/>
                                </w:rPr>
                                <w:t xml:space="preserve">ndelaria.sedelectronica.es/ </w:t>
                              </w:r>
                            </w:p>
                          </w:txbxContent>
                        </wps:txbx>
                        <wps:bodyPr horzOverflow="overflow" vert="horz" lIns="0" tIns="0" rIns="0" bIns="0" rtlCol="0">
                          <a:noAutofit/>
                        </wps:bodyPr>
                      </wps:wsp>
                      <wps:wsp>
                        <wps:cNvPr id="29368" name="Rectangle 29368"/>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153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5900" style="width:12.7031pt;height:278.91pt;position:absolute;mso-position-horizontal-relative:page;mso-position-horizontal:absolute;margin-left:682.278pt;mso-position-vertical-relative:page;margin-top:533.01pt;" coordsize="1613,35421">
                <v:rect id="Rectangle 29367"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9368"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153 de 298 </w:t>
                        </w:r>
                      </w:p>
                    </w:txbxContent>
                  </v:textbox>
                </v:rect>
                <w10:wrap type="square"/>
              </v:group>
            </w:pict>
          </mc:Fallback>
        </mc:AlternateContent>
      </w:r>
      <w:r>
        <w:t>Las autorizaciones habrán de otorgarse por tiempo determinado. Su plazo máximo de duración, será de 75 años, salvo que por la norm</w:t>
      </w:r>
      <w:r>
        <w:t xml:space="preserve">ativa especial se señale otro menor. </w:t>
      </w:r>
    </w:p>
    <w:p w:rsidR="00B064CF" w:rsidRDefault="00E32F70">
      <w:pPr>
        <w:numPr>
          <w:ilvl w:val="0"/>
          <w:numId w:val="69"/>
        </w:numPr>
        <w:ind w:left="628" w:right="143" w:hanging="283"/>
      </w:pPr>
      <w:r>
        <w:t xml:space="preserve">Las autorizaciones podrán ser revocadas en cualquier momento unilateralmente por la Administración concedente, por razones de interés público, sin generar derecho a indemnización, cuando resulten incompatibles con las </w:t>
      </w:r>
      <w:r>
        <w:t xml:space="preserve">condiciones generales probadas con posterioridad, produzcan daños en el dominio público, impidan su utilización para actividades de mayor interés público o menoscaben el uso general. </w:t>
      </w:r>
    </w:p>
    <w:p w:rsidR="00B064CF" w:rsidRDefault="00E32F70">
      <w:pPr>
        <w:spacing w:after="11"/>
        <w:ind w:left="355" w:right="72"/>
      </w:pPr>
      <w:r>
        <w:t xml:space="preserve">Artículo 39. Condiciones específicas y obligaciones </w:t>
      </w:r>
    </w:p>
    <w:p w:rsidR="00B064CF" w:rsidRDefault="00E32F70">
      <w:pPr>
        <w:numPr>
          <w:ilvl w:val="0"/>
          <w:numId w:val="70"/>
        </w:numPr>
        <w:ind w:left="628" w:right="146" w:hanging="283"/>
      </w:pPr>
      <w:r>
        <w:t xml:space="preserve">La persona o entidad titular de la concesión para ocupar el dominio público deberá colocar en el quiosco, en un lugar visible, el título habilitante de la ocupación. </w:t>
      </w:r>
    </w:p>
    <w:p w:rsidR="00B064CF" w:rsidRDefault="00E32F70">
      <w:pPr>
        <w:numPr>
          <w:ilvl w:val="0"/>
          <w:numId w:val="70"/>
        </w:numPr>
        <w:ind w:left="628" w:right="146" w:hanging="283"/>
      </w:pPr>
      <w:r>
        <w:t xml:space="preserve">En ningún caso podrá utilizarse el dominio público como lugar de depósito de productos o </w:t>
      </w:r>
      <w:r>
        <w:t xml:space="preserve">mercancías. También será considerado como depósito indebido, entre otros, el apilamiento de mobiliario, se produzca éste durante el horario de autorizado o fuera de él. </w:t>
      </w:r>
    </w:p>
    <w:p w:rsidR="00B064CF" w:rsidRDefault="00E32F70">
      <w:pPr>
        <w:numPr>
          <w:ilvl w:val="0"/>
          <w:numId w:val="70"/>
        </w:numPr>
        <w:ind w:left="628" w:right="146" w:hanging="283"/>
      </w:pPr>
      <w:r>
        <w:t>No podrán instalarse en el dominio público, ni en el interior de los quioscos ni fuera</w:t>
      </w:r>
      <w:r>
        <w:t xml:space="preserve"> de ellos, aparatos reproductores de imagen o sonido. </w:t>
      </w:r>
    </w:p>
    <w:p w:rsidR="00B064CF" w:rsidRDefault="00E32F70">
      <w:pPr>
        <w:numPr>
          <w:ilvl w:val="0"/>
          <w:numId w:val="70"/>
        </w:numPr>
        <w:ind w:left="628" w:right="146" w:hanging="283"/>
      </w:pPr>
      <w:r>
        <w:t xml:space="preserve">Los quioscos sólo podrán ser explotados directamente por las personas físicas o jurídicas que hayan resultado adjudicatarias de las concesiones, sin perjuicio de que puedan contratar trabajadores para </w:t>
      </w:r>
      <w:r>
        <w:t xml:space="preserve">colaborar en la explotación. En tal caso, el personal contratado dependerá exclusivamente de la persona o entidad concesionaria, quien ostentará, a todos los efectos, la condición de empresario. </w:t>
      </w:r>
    </w:p>
    <w:p w:rsidR="00B064CF" w:rsidRDefault="00E32F70">
      <w:pPr>
        <w:numPr>
          <w:ilvl w:val="0"/>
          <w:numId w:val="70"/>
        </w:numPr>
        <w:ind w:left="628" w:right="146" w:hanging="283"/>
      </w:pPr>
      <w:r>
        <w:t>La persona o entidad titular de la concesión estará obligada</w:t>
      </w:r>
      <w:r>
        <w:t xml:space="preserve">, respecto a los trabajadores colaboradores en la explotación, al cumplimiento de las disposiciones vigentes en materia fiscal, laboral y de seguridad social. </w:t>
      </w:r>
    </w:p>
    <w:p w:rsidR="00B064CF" w:rsidRDefault="00E32F70">
      <w:pPr>
        <w:numPr>
          <w:ilvl w:val="0"/>
          <w:numId w:val="70"/>
        </w:numPr>
        <w:ind w:left="628" w:right="146" w:hanging="283"/>
      </w:pPr>
      <w:r>
        <w:t>La persona o entidad titular de la concesión deberá, en su caso, mantener informado al Ayuntamie</w:t>
      </w:r>
      <w:r>
        <w:t>nto de los trabajadores que colaboren con él en la explotación del quiosco, y si se produjera la baja o modificación de la relación laboral existente entre la persona concesionaria y sus trabajadores, deberá ser comunicada al Ayuntamiento en el plazo máxim</w:t>
      </w:r>
      <w:r>
        <w:t xml:space="preserve">o de quince días desde que se originó dicha variación. </w:t>
      </w:r>
    </w:p>
    <w:p w:rsidR="00B064CF" w:rsidRDefault="00E32F70">
      <w:pPr>
        <w:numPr>
          <w:ilvl w:val="0"/>
          <w:numId w:val="70"/>
        </w:numPr>
        <w:ind w:left="628" w:right="146" w:hanging="283"/>
      </w:pPr>
      <w:r>
        <w:t xml:space="preserve">El otorgamiento de la concesión no exime a su titular de la obligación de obtener los títulos habilitantes o para el ejercicio de la actividad comercial o de hostelería de que se trate y, en su caso, </w:t>
      </w:r>
      <w:r>
        <w:t xml:space="preserve">para la ejecución de las obras necesarias, todo ello de acuerdo con lo dispuesto en la legislación sectorial que resulte aplicable. </w:t>
      </w:r>
    </w:p>
    <w:p w:rsidR="00B064CF" w:rsidRDefault="00E32F70">
      <w:pPr>
        <w:numPr>
          <w:ilvl w:val="0"/>
          <w:numId w:val="70"/>
        </w:numPr>
        <w:ind w:left="628" w:right="146" w:hanging="283"/>
      </w:pPr>
      <w:r>
        <w:t xml:space="preserve">No podrá ejercerse actividad distinta a la específicamente autorizada.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11"/>
        <w:ind w:left="355" w:right="72"/>
      </w:pPr>
      <w:r>
        <w:t>Artículo 40. Condiciones de los quioscos-</w:t>
      </w:r>
      <w:r>
        <w:t xml:space="preserve">bar </w:t>
      </w:r>
    </w:p>
    <w:p w:rsidR="00B064CF" w:rsidRDefault="00E32F70">
      <w:pPr>
        <w:numPr>
          <w:ilvl w:val="0"/>
          <w:numId w:val="71"/>
        </w:numPr>
        <w:ind w:left="628" w:right="72" w:hanging="283"/>
      </w:pPr>
      <w:r>
        <w:rPr>
          <w:rFonts w:ascii="Calibri" w:eastAsia="Calibri" w:hAnsi="Calibri" w:cs="Calibri"/>
          <w:noProof/>
        </w:rPr>
        <mc:AlternateContent>
          <mc:Choice Requires="wpg">
            <w:drawing>
              <wp:anchor distT="0" distB="0" distL="114300" distR="114300" simplePos="0" relativeHeight="25182003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6381" name="Group 396381"/>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9489" name="Rectangle 29489"/>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9490" name="Rectangle 29490"/>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154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6381" style="width:12.7031pt;height:278.91pt;position:absolute;mso-position-horizontal-relative:page;mso-position-horizontal:absolute;margin-left:682.278pt;mso-position-vertical-relative:page;margin-top:533.01pt;" coordsize="1613,35421">
                <v:rect id="Rectangle 29489"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9490"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154 de 298 </w:t>
                        </w:r>
                      </w:p>
                    </w:txbxContent>
                  </v:textbox>
                </v:rect>
                <w10:wrap type="square"/>
              </v:group>
            </w:pict>
          </mc:Fallback>
        </mc:AlternateContent>
      </w:r>
      <w:r>
        <w:t xml:space="preserve">Además de las señaladas en el artículo anterior, la instalación y explotación de un quiosco- bar se ajustará a las siguientes condiciones y obligaciones: </w:t>
      </w:r>
    </w:p>
    <w:p w:rsidR="00B064CF" w:rsidRDefault="00E32F70">
      <w:pPr>
        <w:numPr>
          <w:ilvl w:val="1"/>
          <w:numId w:val="71"/>
        </w:numPr>
        <w:ind w:right="72" w:hanging="360"/>
      </w:pPr>
      <w:r>
        <w:t>Mantener la instalación en perfecto estado de decoro, de manera que la misma no desentone del entorno</w:t>
      </w:r>
      <w:r>
        <w:t xml:space="preserve"> y contribuya a embellecer, si fuera posible, el lugar. </w:t>
      </w:r>
    </w:p>
    <w:p w:rsidR="00B064CF" w:rsidRDefault="00E32F70">
      <w:pPr>
        <w:numPr>
          <w:ilvl w:val="1"/>
          <w:numId w:val="71"/>
        </w:numPr>
        <w:ind w:right="72" w:hanging="360"/>
      </w:pPr>
      <w:r>
        <w:t>Garantizar en todo momento la circulación peatonal sin impedir tampoco la visibilidad necesaria para el tráfico, con la obligación de cambiar de ubicación a su costa cuando les sea ordenado por el Ay</w:t>
      </w:r>
      <w:r>
        <w:t xml:space="preserve">untamiento y a consecuencia de apertura de establecimientos frente a los que se localicen, u otra causa. </w:t>
      </w:r>
    </w:p>
    <w:p w:rsidR="00B064CF" w:rsidRDefault="00E32F70">
      <w:pPr>
        <w:numPr>
          <w:ilvl w:val="1"/>
          <w:numId w:val="71"/>
        </w:numPr>
        <w:ind w:right="72" w:hanging="360"/>
      </w:pPr>
      <w:r>
        <w:t>El Ayuntamiento se reserva la facultad de establecer normas necesarias para tratar de homogeneizar los quioscos, en cuanto a los materiales empleados,</w:t>
      </w:r>
      <w:r>
        <w:t xml:space="preserve"> estructura, forma y dimensiones de los mismos.  </w:t>
      </w:r>
    </w:p>
    <w:p w:rsidR="00B064CF" w:rsidRDefault="00E32F70">
      <w:pPr>
        <w:numPr>
          <w:ilvl w:val="1"/>
          <w:numId w:val="71"/>
        </w:numPr>
        <w:ind w:right="72" w:hanging="360"/>
      </w:pPr>
      <w:r>
        <w:t>El quiosco-</w:t>
      </w:r>
      <w:r>
        <w:t xml:space="preserve">bar deberá contar con conexión a las redes de agua potable, electricidad y saneamiento, salvo que tales servicios queden garantizados mediante soluciones alternativas. Todas las conducciones y acometidas al quiosco-bar serán necesariamente subterráneas. </w:t>
      </w:r>
    </w:p>
    <w:p w:rsidR="00B064CF" w:rsidRDefault="00E32F70">
      <w:pPr>
        <w:numPr>
          <w:ilvl w:val="1"/>
          <w:numId w:val="71"/>
        </w:numPr>
        <w:ind w:right="72" w:hanging="360"/>
      </w:pPr>
      <w:r>
        <w:t>L</w:t>
      </w:r>
      <w:r>
        <w:t>a actividad que se desarrolle y los productos que se comercialicen deberán ajustarse a lo establecido en su normativa específica, con estricto cumplimiento, en todo caso, de la normativa aplicable en materia de protección de consumidores y usuarios, de con</w:t>
      </w:r>
      <w:r>
        <w:t xml:space="preserve">diciones higiénico-sanitarias de los productos alimenticios, de elaboración, distribución y comercio de comidas preparadas, y de los criterios sanitarios de la calidad del agua de consumo humano. </w:t>
      </w:r>
    </w:p>
    <w:p w:rsidR="00B064CF" w:rsidRDefault="00E32F70">
      <w:pPr>
        <w:numPr>
          <w:ilvl w:val="1"/>
          <w:numId w:val="71"/>
        </w:numPr>
        <w:ind w:right="72" w:hanging="360"/>
      </w:pPr>
      <w:r>
        <w:t>Todo el personal que colabore en la explotación deberá habe</w:t>
      </w:r>
      <w:r>
        <w:t xml:space="preserve">r realizado cursos de formación higiénico-alimentaria, debiendo quedar tal circunstancia documentalmente acreditada. </w:t>
      </w:r>
    </w:p>
    <w:p w:rsidR="00B064CF" w:rsidRDefault="00E32F70">
      <w:pPr>
        <w:numPr>
          <w:ilvl w:val="1"/>
          <w:numId w:val="71"/>
        </w:numPr>
        <w:ind w:right="72" w:hanging="360"/>
      </w:pPr>
      <w:r>
        <w:t>La persona o entidad concesionaria deberá poder acreditar documentalmente, en todo momento y mediante facturas o albaranes de empresa auto</w:t>
      </w:r>
      <w:r>
        <w:t xml:space="preserve">rizada, la procedencia de los alimentos y bebidas. </w:t>
      </w:r>
    </w:p>
    <w:p w:rsidR="00B064CF" w:rsidRDefault="00E32F70">
      <w:pPr>
        <w:numPr>
          <w:ilvl w:val="1"/>
          <w:numId w:val="71"/>
        </w:numPr>
        <w:ind w:right="72" w:hanging="360"/>
      </w:pPr>
      <w:r>
        <w:t xml:space="preserve">El horario de funcionamiento de los quioscos-bar será igual al establecido para las ocupaciones del dominio público vinculadas a actividades de hostelería. </w:t>
      </w:r>
    </w:p>
    <w:p w:rsidR="00B064CF" w:rsidRDefault="00E32F70">
      <w:pPr>
        <w:numPr>
          <w:ilvl w:val="0"/>
          <w:numId w:val="71"/>
        </w:numPr>
        <w:ind w:left="628" w:right="72" w:hanging="283"/>
      </w:pPr>
      <w:r>
        <w:t>Fuera del quiosco-bar podrán instalarse los ele</w:t>
      </w:r>
      <w:r>
        <w:t xml:space="preserve">mentos accesorios necesarios para la prestación del servicio, que en todo caso cumplirán las siguientes condiciones: </w:t>
      </w:r>
    </w:p>
    <w:p w:rsidR="00B064CF" w:rsidRDefault="00E32F70">
      <w:pPr>
        <w:numPr>
          <w:ilvl w:val="1"/>
          <w:numId w:val="71"/>
        </w:numPr>
        <w:ind w:right="72" w:hanging="360"/>
      </w:pPr>
      <w:r>
        <w:t xml:space="preserve">Sólo podrán instalarse los expresamente autorizados en el acuerdo de la concesión. </w:t>
      </w:r>
    </w:p>
    <w:p w:rsidR="00B064CF" w:rsidRDefault="00E32F70">
      <w:pPr>
        <w:numPr>
          <w:ilvl w:val="1"/>
          <w:numId w:val="71"/>
        </w:numPr>
        <w:ind w:right="72" w:hanging="360"/>
      </w:pPr>
      <w:r>
        <w:t xml:space="preserve">No podrán ser diferentes a los señalados en el número </w:t>
      </w:r>
      <w:r>
        <w:t xml:space="preserve">1 del artículo 18 y cumplirán las condiciones establecidas en el artículo 22.  </w:t>
      </w:r>
    </w:p>
    <w:p w:rsidR="00B064CF" w:rsidRDefault="00E32F70">
      <w:pPr>
        <w:numPr>
          <w:ilvl w:val="1"/>
          <w:numId w:val="71"/>
        </w:numPr>
        <w:ind w:right="72" w:hanging="360"/>
      </w:pPr>
      <w:r>
        <w:t xml:space="preserve">No podrán superar, en subsuelo, suelo ni vuelo, los límites del espacio autorizado en la concesión, que deberá señalizarse de conformidad con lo dispuesto en el artículo 21. </w:t>
      </w:r>
    </w:p>
    <w:p w:rsidR="00B064CF" w:rsidRDefault="00E32F70">
      <w:pPr>
        <w:numPr>
          <w:ilvl w:val="1"/>
          <w:numId w:val="71"/>
        </w:numPr>
        <w:ind w:right="72" w:hanging="360"/>
      </w:pPr>
      <w:r>
        <w:t>A</w:t>
      </w:r>
      <w:r>
        <w:t xml:space="preserve">l finalizar el horario autorizado deberán ser retirados del dominio público todos los elementos de mobiliario no anclados al suelo (sillas, mesas, sombrillas y mamparas,) y deberán plegarse o enrollarse los toldos, si los hubiere. </w:t>
      </w:r>
    </w:p>
    <w:p w:rsidR="00B064CF" w:rsidRDefault="00E32F70">
      <w:pPr>
        <w:numPr>
          <w:ilvl w:val="1"/>
          <w:numId w:val="71"/>
        </w:numPr>
        <w:ind w:right="72" w:hanging="360"/>
      </w:pPr>
      <w:r>
        <w:rPr>
          <w:rFonts w:ascii="Calibri" w:eastAsia="Calibri" w:hAnsi="Calibri" w:cs="Calibri"/>
          <w:noProof/>
        </w:rPr>
        <mc:AlternateContent>
          <mc:Choice Requires="wpg">
            <w:drawing>
              <wp:anchor distT="0" distB="0" distL="114300" distR="114300" simplePos="0" relativeHeight="25182105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6706" name="Group 396706"/>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9605" name="Rectangle 29605"/>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w:t>
                              </w:r>
                              <w:r>
                                <w:rPr>
                                  <w:sz w:val="12"/>
                                </w:rPr>
                                <w:t xml:space="preserve">SNYNJRFPNN5DLPPAAC3GS | Verificación: https://candelaria.sedelectronica.es/ </w:t>
                              </w:r>
                            </w:p>
                          </w:txbxContent>
                        </wps:txbx>
                        <wps:bodyPr horzOverflow="overflow" vert="horz" lIns="0" tIns="0" rIns="0" bIns="0" rtlCol="0">
                          <a:noAutofit/>
                        </wps:bodyPr>
                      </wps:wsp>
                      <wps:wsp>
                        <wps:cNvPr id="29606" name="Rectangle 29606"/>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155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6706" style="width:12.7031pt;height:278.91pt;position:absolute;mso-position-horizontal-relative:page;mso-position-horizontal:absolute;margin-left:682.278pt;mso-position-vertical-relative:page;margin-top:533.01pt;" coordsize="1613,35421">
                <v:rect id="Rectangle 29605"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9606"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155 de 298 </w:t>
                        </w:r>
                      </w:p>
                    </w:txbxContent>
                  </v:textbox>
                </v:rect>
                <w10:wrap type="square"/>
              </v:group>
            </w:pict>
          </mc:Fallback>
        </mc:AlternateContent>
      </w:r>
      <w:r>
        <w:t xml:space="preserve">El espacio exterior ocupado deberá dotarse de medidas correctoras similares a las </w:t>
      </w:r>
      <w:r>
        <w:t xml:space="preserve">que, en su caso, fueran exigidas para el desarrollo de la actividad en terrazas de uso privado. Dichas medidas serán las que determinen los servicios técnicos municipales y quedarán incorporadas a la autorización habilitante como condiciones de la misma. </w:t>
      </w:r>
    </w:p>
    <w:p w:rsidR="00B064CF" w:rsidRDefault="00E32F70">
      <w:pPr>
        <w:spacing w:after="153" w:line="259" w:lineRule="auto"/>
        <w:ind w:left="360" w:firstLine="0"/>
        <w:jc w:val="left"/>
      </w:pPr>
      <w:r>
        <w:t xml:space="preserve"> </w:t>
      </w:r>
    </w:p>
    <w:p w:rsidR="00B064CF" w:rsidRDefault="00E32F70">
      <w:pPr>
        <w:spacing w:after="155" w:line="259" w:lineRule="auto"/>
        <w:ind w:left="360" w:firstLine="0"/>
        <w:jc w:val="left"/>
      </w:pPr>
      <w:r>
        <w:t xml:space="preserve"> </w:t>
      </w:r>
    </w:p>
    <w:p w:rsidR="00B064CF" w:rsidRDefault="00E32F70">
      <w:pPr>
        <w:spacing w:after="11"/>
        <w:ind w:left="355" w:right="72"/>
      </w:pPr>
      <w:r>
        <w:t xml:space="preserve">Artículo 41. Traslado del quiosco </w:t>
      </w:r>
    </w:p>
    <w:p w:rsidR="00B064CF" w:rsidRDefault="00E32F70">
      <w:pPr>
        <w:numPr>
          <w:ilvl w:val="0"/>
          <w:numId w:val="72"/>
        </w:numPr>
        <w:ind w:left="628" w:right="146" w:hanging="283"/>
      </w:pPr>
      <w:r>
        <w:t>Cuando lo aconsejen circunstancias de urbanización o tráfico, o cuando el interés general lo sugiera, el Ayuntamiento podrá ordenar motivadamente el traslado del quiosco a un nuevo emplazamiento, sin que ello genere d</w:t>
      </w:r>
      <w:r>
        <w:t xml:space="preserve">erecho a indemnización al concesionario. </w:t>
      </w:r>
    </w:p>
    <w:p w:rsidR="00B064CF" w:rsidRDefault="00E32F70">
      <w:pPr>
        <w:numPr>
          <w:ilvl w:val="0"/>
          <w:numId w:val="72"/>
        </w:numPr>
        <w:ind w:left="628" w:right="146" w:hanging="283"/>
      </w:pPr>
      <w:r>
        <w:t>En tales supuestos, el Ayuntamiento requerirá a la persona o entidad concesionaria para que proceda, en el plazo que se señale, a la retirada del quiosco, así como a ejecutar los trabajos necesarios para reponer la</w:t>
      </w:r>
      <w:r>
        <w:t xml:space="preserve"> urbanización pública a su estado original y a dar de baja los servicios que pudieran existir. </w:t>
      </w:r>
    </w:p>
    <w:p w:rsidR="00B064CF" w:rsidRDefault="00E32F70">
      <w:pPr>
        <w:numPr>
          <w:ilvl w:val="0"/>
          <w:numId w:val="72"/>
        </w:numPr>
        <w:ind w:left="628" w:right="146" w:hanging="283"/>
      </w:pPr>
      <w:r>
        <w:t>Si el traslado no se efectuase voluntariamente por la persona concesionaria en el plazo concedido al efecto, el Ayuntamiento podrá hacerlo de forma subsidiaria,</w:t>
      </w:r>
      <w:r>
        <w:t xml:space="preserve"> corriendo en tal caso los gastos ocasionados por cuenta de la persona titular de la concesión. </w:t>
      </w:r>
    </w:p>
    <w:p w:rsidR="00B064CF" w:rsidRDefault="00E32F70">
      <w:pPr>
        <w:tabs>
          <w:tab w:val="center" w:pos="917"/>
          <w:tab w:val="center" w:pos="3801"/>
        </w:tabs>
        <w:spacing w:after="11"/>
        <w:ind w:left="0" w:firstLine="0"/>
        <w:jc w:val="left"/>
      </w:pPr>
      <w:r>
        <w:rPr>
          <w:rFonts w:ascii="Calibri" w:eastAsia="Calibri" w:hAnsi="Calibri" w:cs="Calibri"/>
        </w:rPr>
        <w:tab/>
      </w:r>
      <w:r>
        <w:t xml:space="preserve">Artículo 42. </w:t>
      </w:r>
      <w:r>
        <w:tab/>
        <w:t xml:space="preserve">Suspensión o revocación de la concesión </w:t>
      </w:r>
    </w:p>
    <w:p w:rsidR="00B064CF" w:rsidRDefault="00E32F70">
      <w:pPr>
        <w:numPr>
          <w:ilvl w:val="0"/>
          <w:numId w:val="73"/>
        </w:numPr>
        <w:ind w:left="628" w:right="146" w:hanging="283"/>
      </w:pPr>
      <w:r>
        <w:t>Cuando concurran circunstancias de interés general que impidan temporalmente la efectiva utilización de</w:t>
      </w:r>
      <w:r>
        <w:t>l suelo para el destino autorizado, tales como obras, acontecimientos públicos, situaciones de emergencia o cualesquiera otras, y siempre que las mismas no tengan su origen en causas imputables a la persona o entidad concesionaria, el Ayuntamiento podrá de</w:t>
      </w:r>
      <w:r>
        <w:t xml:space="preserve">cretar la suspensión del plazo concesional hasta que éstas desaparezcan. Dicha suspensión no genera derecho a indemnización alguna a favor de la persona o entidad concesionaria, sin perjuicio de que se amplíe el plazo concesional por el tiempo que dure la </w:t>
      </w:r>
      <w:r>
        <w:t xml:space="preserve">suspensión. </w:t>
      </w:r>
    </w:p>
    <w:p w:rsidR="00B064CF" w:rsidRDefault="00E32F70">
      <w:pPr>
        <w:numPr>
          <w:ilvl w:val="0"/>
          <w:numId w:val="73"/>
        </w:numPr>
        <w:ind w:left="628" w:right="146" w:hanging="283"/>
      </w:pPr>
      <w:r>
        <w:t xml:space="preserve">En los supuestos previstos en el apartado anterior, el Ayuntamiento levantará acta, que firmará junto a la persona o entidad concesionaria, en el plazo máximo de dos días desde el siguiente a aquel en el que se hubiera acordado la suspensión, </w:t>
      </w:r>
      <w:r>
        <w:t xml:space="preserve">y en la que se consignarán las circunstancias que la han motivado. </w:t>
      </w:r>
    </w:p>
    <w:p w:rsidR="00B064CF" w:rsidRDefault="00E32F70">
      <w:pPr>
        <w:numPr>
          <w:ilvl w:val="0"/>
          <w:numId w:val="73"/>
        </w:numPr>
        <w:ind w:left="628" w:right="146" w:hanging="283"/>
      </w:pPr>
      <w:r>
        <w:t>Además de las causas de extinción previstas con carácter general en la legislación patrimonial y de las particulares que consten en las condiciones que rijan la concesión, será causa de re</w:t>
      </w:r>
      <w:r>
        <w:t>vocación de la misma por el Ayuntamiento, sin derecho a indemnización, que el quiosco no se hubiese puesto en funcionamiento pasados tres meses desde la notificación de la adjudicación definitiva de la concesión o que permanezca cerrado, una vez instalado,</w:t>
      </w:r>
      <w:r>
        <w:t xml:space="preserve"> durante un periodo continuado de 3 meses, o de 4 con interrupción en el transcurso de 12 meses consecutivos, salvo que concurra causa justificada que deberá ser debidamente acreditada y validada por el Ayuntamiento. </w:t>
      </w:r>
    </w:p>
    <w:p w:rsidR="00B064CF" w:rsidRDefault="00E32F70">
      <w:pPr>
        <w:spacing w:after="0" w:line="259" w:lineRule="auto"/>
        <w:ind w:left="360" w:firstLine="0"/>
        <w:jc w:val="left"/>
      </w:pPr>
      <w:r>
        <w:t xml:space="preserve"> </w:t>
      </w:r>
    </w:p>
    <w:p w:rsidR="00B064CF" w:rsidRDefault="00E32F70">
      <w:pPr>
        <w:spacing w:after="11"/>
        <w:ind w:left="355" w:right="72"/>
      </w:pPr>
      <w:r>
        <w:t>CAPÍTULO 4 OCUPACIONES PARA EL DESAR</w:t>
      </w:r>
      <w:r>
        <w:t xml:space="preserve">ROLLO DE ESPECTÁCULOS Y FESTIVIDADES </w:t>
      </w:r>
    </w:p>
    <w:p w:rsidR="00B064CF" w:rsidRDefault="00E32F70">
      <w:pPr>
        <w:spacing w:after="11"/>
        <w:ind w:left="355" w:right="72"/>
      </w:pPr>
      <w:r>
        <w:t xml:space="preserve">TRADICIONALES </w:t>
      </w:r>
    </w:p>
    <w:p w:rsidR="00B064CF" w:rsidRDefault="00E32F70">
      <w:pPr>
        <w:spacing w:after="11"/>
        <w:ind w:left="355" w:right="72"/>
      </w:pPr>
      <w:r>
        <w:t xml:space="preserve">Artículo 43. Ocupaciones permitidas y título habilitante </w:t>
      </w:r>
    </w:p>
    <w:p w:rsidR="00B064CF" w:rsidRDefault="00E32F70">
      <w:pPr>
        <w:numPr>
          <w:ilvl w:val="0"/>
          <w:numId w:val="74"/>
        </w:numPr>
        <w:ind w:left="628" w:right="148" w:hanging="283"/>
      </w:pPr>
      <w:r>
        <w:rPr>
          <w:rFonts w:ascii="Calibri" w:eastAsia="Calibri" w:hAnsi="Calibri" w:cs="Calibri"/>
          <w:noProof/>
        </w:rPr>
        <mc:AlternateContent>
          <mc:Choice Requires="wpg">
            <w:drawing>
              <wp:anchor distT="0" distB="0" distL="114300" distR="114300" simplePos="0" relativeHeight="25182208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6896" name="Group 396896"/>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9704" name="Rectangle 29704"/>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9705" name="Rectangle 29705"/>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156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6896" style="width:12.7031pt;height:278.91pt;position:absolute;mso-position-horizontal-relative:page;mso-position-horizontal:absolute;margin-left:682.278pt;mso-position-vertical-relative:page;margin-top:533.01pt;" coordsize="1613,35421">
                <v:rect id="Rectangle 29704"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9705"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156 de 298 </w:t>
                        </w:r>
                      </w:p>
                    </w:txbxContent>
                  </v:textbox>
                </v:rect>
                <w10:wrap type="square"/>
              </v:group>
            </w:pict>
          </mc:Fallback>
        </mc:AlternateContent>
      </w:r>
      <w:r>
        <w:t>El dominio público podrá ser ocupado para el desarrollo de espectáculos y festividades tradicionales tales como conciertos, verbenas, cabalgatas, procesiones, pa</w:t>
      </w:r>
      <w:r>
        <w:t>sacalles, desfiles, comidas populares, juegos infantiles u otras actividades similares que, de forma temporal, se celebren, una o varias de ellas, en el dominio público municipal con motivo de festividades tradicionales del municipio de Candelaria y de sus</w:t>
      </w:r>
      <w:r>
        <w:t xml:space="preserve"> barrios, o de otras fechas o acontecimientos de interés general, turístico, social o benéfico, independientemente del carácter civil o religioso de los mismos. </w:t>
      </w:r>
    </w:p>
    <w:p w:rsidR="00B064CF" w:rsidRDefault="00E32F70">
      <w:pPr>
        <w:numPr>
          <w:ilvl w:val="0"/>
          <w:numId w:val="74"/>
        </w:numPr>
        <w:ind w:left="628" w:right="148" w:hanging="283"/>
      </w:pPr>
      <w:r>
        <w:t>Toda ocupación relacionada con los elementos o actividades previstas en este Capítulo deberá c</w:t>
      </w:r>
      <w:r>
        <w:t>umplir las condiciones generales establecidas en el artículo 8, así como las condiciones particulares y las específicas que se establecen en los artículos siguientes de este Capítulo. La celebración de espectáculos públicos celebrados en el dominio público</w:t>
      </w:r>
      <w:r>
        <w:t xml:space="preserve"> deberá cumplir, además, lo dispuesto en la normativa específica sobre los mismos. </w:t>
      </w:r>
    </w:p>
    <w:p w:rsidR="00B064CF" w:rsidRDefault="00E32F70">
      <w:pPr>
        <w:numPr>
          <w:ilvl w:val="0"/>
          <w:numId w:val="74"/>
        </w:numPr>
        <w:ind w:left="628" w:right="148" w:hanging="283"/>
      </w:pPr>
      <w:r>
        <w:t>La celebración en el dominio público de las actividades reguladas en el presente Capítulo estará sujeta a autorización del Ayuntamiento, sin perjuicio de la obtención de aq</w:t>
      </w:r>
      <w:r>
        <w:t xml:space="preserve">uellos títulos o informes que sean necesarios por razón de la actividad o su localización, independientemente de que su otorgamiento o emisión pudiera ser competencia del propio Ayuntamiento o de otras Administraciones. </w:t>
      </w:r>
    </w:p>
    <w:p w:rsidR="00B064CF" w:rsidRDefault="00E32F70">
      <w:pPr>
        <w:numPr>
          <w:ilvl w:val="0"/>
          <w:numId w:val="74"/>
        </w:numPr>
        <w:ind w:left="628" w:right="148" w:hanging="283"/>
      </w:pPr>
      <w:r>
        <w:t>El Ayuntamiento podrá denegar la au</w:t>
      </w:r>
      <w:r>
        <w:t>torización de ocupación para la celebración en el dominio público de los actos previstos en el presente Capítulo cuando, por las previsiones de público asistente, por las características del dominio público o por razones de interés general, dichos actos pu</w:t>
      </w:r>
      <w:r>
        <w:t>edan poner en peligro la seguridad o bienestar de terceros o puedan afectar de forma grave a la accesibilidad y a los servicios públicos en la zona. Igualmente, podrá denegarse la autorización cuando la actividad solicitada se estime incompatible con otros</w:t>
      </w:r>
      <w:r>
        <w:t xml:space="preserve"> actos programados </w:t>
      </w:r>
    </w:p>
    <w:p w:rsidR="00B064CF" w:rsidRDefault="00E32F70">
      <w:pPr>
        <w:ind w:left="654" w:right="145"/>
      </w:pPr>
      <w:r>
        <w:t>en los mismos espacios o fechas, y en especial con aquellos organizados o patrocinados por el Ayuntamiento de Candelaria o los organismos de él dependientes. Sin perjuicio de lo anterior, el Ayuntamiento podrá proponer a la entidad orga</w:t>
      </w:r>
      <w:r>
        <w:t xml:space="preserve">nizadora, si lo estima oportuno, espacios o fechas alternativos en los que pueda celebrarse el acto. </w:t>
      </w:r>
    </w:p>
    <w:p w:rsidR="00B064CF" w:rsidRDefault="00E32F70">
      <w:pPr>
        <w:spacing w:after="11"/>
        <w:ind w:left="355" w:right="72"/>
      </w:pPr>
      <w:r>
        <w:t xml:space="preserve">Artículo 44. Condiciones específicas y obligaciones </w:t>
      </w:r>
    </w:p>
    <w:p w:rsidR="00B064CF" w:rsidRDefault="00E32F70">
      <w:pPr>
        <w:numPr>
          <w:ilvl w:val="0"/>
          <w:numId w:val="75"/>
        </w:numPr>
        <w:ind w:left="628" w:right="145" w:hanging="283"/>
      </w:pPr>
      <w:r>
        <w:t>El periodo autorizado de ocupación deberá incluir, además del plazo para el desarrollo del evento, el</w:t>
      </w:r>
      <w:r>
        <w:t xml:space="preserve"> que adicionalmente se prevea, en su caso, para el total montaje y desmontaje de las instalaciones. </w:t>
      </w:r>
    </w:p>
    <w:p w:rsidR="00B064CF" w:rsidRDefault="00E32F70">
      <w:pPr>
        <w:numPr>
          <w:ilvl w:val="0"/>
          <w:numId w:val="75"/>
        </w:numPr>
        <w:ind w:left="628" w:right="145" w:hanging="283"/>
      </w:pPr>
      <w:r>
        <w:t>La persona o entidad autorizada será la responsable de que el equipo integrante de la organización y preparación del evento se encuentre debidamente acredi</w:t>
      </w:r>
      <w:r>
        <w:t xml:space="preserve">tado. </w:t>
      </w:r>
    </w:p>
    <w:p w:rsidR="00B064CF" w:rsidRDefault="00E32F70">
      <w:pPr>
        <w:numPr>
          <w:ilvl w:val="0"/>
          <w:numId w:val="75"/>
        </w:numPr>
        <w:ind w:left="628" w:right="145" w:hanging="283"/>
      </w:pPr>
      <w:r>
        <w:t>El titular de la autorización designará a una persona como representante a efectos de mantener con el Ayuntamiento la debida comunicación y coordinación. Dicha persona, que habrá de estar permanentemente localizable y disponible durante el tiempo de</w:t>
      </w:r>
      <w:r>
        <w:t xml:space="preserve"> ocupación autorizado, será la responsable de llevar a término las instrucciones que la Administración municipal pueda impartir a través de sus empleados o agentes. </w:t>
      </w:r>
    </w:p>
    <w:p w:rsidR="00B064CF" w:rsidRDefault="00E32F70">
      <w:pPr>
        <w:numPr>
          <w:ilvl w:val="0"/>
          <w:numId w:val="75"/>
        </w:numPr>
        <w:ind w:left="628" w:right="145" w:hanging="283"/>
      </w:pPr>
      <w:r>
        <w:t>La entidad o persona organizadora garantizará la presencia durante la celebración del evento, de los dispositivos de asistencia médica y de protección civil necesarios para la atención de participantes y público, conforme establezca la legislación sectoria</w:t>
      </w:r>
      <w:r>
        <w:t xml:space="preserve">l vigente en la materia. </w:t>
      </w:r>
    </w:p>
    <w:p w:rsidR="00B064CF" w:rsidRDefault="00E32F70">
      <w:pPr>
        <w:numPr>
          <w:ilvl w:val="0"/>
          <w:numId w:val="75"/>
        </w:numPr>
        <w:ind w:left="628" w:right="145" w:hanging="283"/>
      </w:pPr>
      <w:r>
        <w:rPr>
          <w:rFonts w:ascii="Calibri" w:eastAsia="Calibri" w:hAnsi="Calibri" w:cs="Calibri"/>
          <w:noProof/>
        </w:rPr>
        <mc:AlternateContent>
          <mc:Choice Requires="wpg">
            <w:drawing>
              <wp:anchor distT="0" distB="0" distL="114300" distR="114300" simplePos="0" relativeHeight="25182310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7041" name="Group 397041"/>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9812" name="Rectangle 29812"/>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9813" name="Rectangle 29813"/>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157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7041" style="width:12.7031pt;height:278.91pt;position:absolute;mso-position-horizontal-relative:page;mso-position-horizontal:absolute;margin-left:682.278pt;mso-position-vertical-relative:page;margin-top:533.01pt;" coordsize="1613,35421">
                <v:rect id="Rectangle 29812"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9813"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157 de 298 </w:t>
                        </w:r>
                      </w:p>
                    </w:txbxContent>
                  </v:textbox>
                </v:rect>
                <w10:wrap type="square"/>
              </v:group>
            </w:pict>
          </mc:Fallback>
        </mc:AlternateContent>
      </w:r>
      <w:r>
        <w:t>La entidad o persona organizadora se responsabilizará de que, al finalizar el evento autorizado, el dominio público ocupado y su zona de influencia queden libres de cualquier tipo de instalaciones, anclajes, elementos o residuos derivados de su celebración</w:t>
      </w:r>
      <w:r>
        <w:t xml:space="preserve"> y en condiciones óptimas para que se reanude su uso normal. </w:t>
      </w:r>
    </w:p>
    <w:p w:rsidR="00B064CF" w:rsidRDefault="00E32F70">
      <w:pPr>
        <w:spacing w:after="11"/>
        <w:ind w:left="355" w:right="72"/>
      </w:pPr>
      <w:r>
        <w:t xml:space="preserve">Artículo 45. Características de los elementos y vehículos </w:t>
      </w:r>
    </w:p>
    <w:p w:rsidR="00B064CF" w:rsidRDefault="00E32F70">
      <w:pPr>
        <w:numPr>
          <w:ilvl w:val="0"/>
          <w:numId w:val="76"/>
        </w:numPr>
        <w:spacing w:after="165" w:line="250" w:lineRule="auto"/>
        <w:ind w:left="628" w:right="146" w:hanging="283"/>
      </w:pPr>
      <w:r>
        <w:t>Todos los elementos que se dispongan en el dominio público estarán diseñados e instalados de tal forma que su utilización no represente</w:t>
      </w:r>
      <w:r>
        <w:t xml:space="preserve"> real o potencial peligro para viandantes o usuarios. </w:t>
      </w:r>
    </w:p>
    <w:p w:rsidR="00B064CF" w:rsidRDefault="00E32F70">
      <w:pPr>
        <w:numPr>
          <w:ilvl w:val="0"/>
          <w:numId w:val="76"/>
        </w:numPr>
        <w:ind w:left="628" w:right="146" w:hanging="283"/>
      </w:pPr>
      <w:r>
        <w:t xml:space="preserve">En caso de ser necesaria la utilización de instalaciones o elementos especiales, se estará a lo dispuesto en el artículo 11 de la presente Ordenanza. </w:t>
      </w:r>
    </w:p>
    <w:p w:rsidR="00B064CF" w:rsidRDefault="00E32F70">
      <w:pPr>
        <w:numPr>
          <w:ilvl w:val="0"/>
          <w:numId w:val="76"/>
        </w:numPr>
        <w:ind w:left="628" w:right="146" w:hanging="283"/>
      </w:pPr>
      <w:r>
        <w:t>Si en los actos participasen vehículos a motor, és</w:t>
      </w:r>
      <w:r>
        <w:t>tos deberán desplazarse a velocidad de paso humano y disponer del correspondiente permiso para poder circular por las vías públicas, estando debidamente homologados, así como encontrarse al corriente en el cumplimiento de las obligaciones que marque la leg</w:t>
      </w:r>
      <w:r>
        <w:t xml:space="preserve">islación vigente en materia de Inspecciones Técnicas. </w:t>
      </w:r>
    </w:p>
    <w:p w:rsidR="00B064CF" w:rsidRDefault="00E32F70">
      <w:pPr>
        <w:numPr>
          <w:ilvl w:val="0"/>
          <w:numId w:val="76"/>
        </w:numPr>
        <w:ind w:left="628" w:right="146" w:hanging="283"/>
      </w:pPr>
      <w:r>
        <w:t>Cuando en el acto participen vehículos a motor a modo de carrozas o elementos similares, la entidad organizadora deberá asignar un número de personas suficiente, y como mínimo una a cada lado, que acom</w:t>
      </w:r>
      <w:r>
        <w:t xml:space="preserve">pañe a la carroza durante todo el recorrido del evento para garantizar la seguridad de terceros. </w:t>
      </w:r>
    </w:p>
    <w:p w:rsidR="00B064CF" w:rsidRDefault="00E32F70">
      <w:pPr>
        <w:numPr>
          <w:ilvl w:val="0"/>
          <w:numId w:val="76"/>
        </w:numPr>
        <w:ind w:left="628" w:right="146" w:hanging="283"/>
      </w:pPr>
      <w:r>
        <w:t>Las ocupaciones del dominio público reguladas en el presente Capítulo en las que se prevea una permanencia prolongada de asistentes en el espacio o recinto ha</w:t>
      </w:r>
      <w:r>
        <w:t>bilitado para la celebración del evento autorizado, precisará la instalación de sanitarios portátiles homologados, que no precisarán montaje alguno y que deberán cumplir los requisitos contenidos en la Norma UNE EN 16194:2012, sobre cabinas sanitarias móvi</w:t>
      </w:r>
      <w:r>
        <w:t xml:space="preserve">les no conectadas al alcantarillado y requisitos de los servicios y productos relacionados con el suministro de cabinas y productos sanitarios, o normativa que la desarrolle o sustituya.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CAPÍTULO 5 OCUPACIONES PARA EL DESARROLLO DE EVENTOS DEPORTIVOS </w:t>
      </w:r>
    </w:p>
    <w:p w:rsidR="00B064CF" w:rsidRDefault="00E32F70">
      <w:pPr>
        <w:spacing w:after="11"/>
        <w:ind w:left="355" w:right="72"/>
      </w:pPr>
      <w:r>
        <w:t>A</w:t>
      </w:r>
      <w:r>
        <w:t xml:space="preserve">rtículo 46. Ocupaciones permitidas y título habilitante </w:t>
      </w:r>
    </w:p>
    <w:p w:rsidR="00B064CF" w:rsidRDefault="00E32F70">
      <w:pPr>
        <w:numPr>
          <w:ilvl w:val="0"/>
          <w:numId w:val="77"/>
        </w:numPr>
        <w:ind w:left="628" w:right="147" w:hanging="283"/>
      </w:pPr>
      <w:r>
        <w:t>El dominio público podrá ser ocupado para el desarrollo de carreras, marchas ciclistas y ciclo turistas, y otros eventos deportivos de análoga naturaleza que se desarrollen, total parcialmente, en el</w:t>
      </w:r>
      <w:r>
        <w:t xml:space="preserve"> término municipal de Candelaria. </w:t>
      </w:r>
    </w:p>
    <w:p w:rsidR="00B064CF" w:rsidRDefault="00E32F70">
      <w:pPr>
        <w:numPr>
          <w:ilvl w:val="0"/>
          <w:numId w:val="77"/>
        </w:numPr>
        <w:ind w:left="628" w:right="147" w:hanging="283"/>
      </w:pPr>
      <w:r>
        <w:t xml:space="preserve">Toda ocupación relacionada con los elementos o actividades previstas en este Capítulo deberá cumplir las condiciones generales establecidas en el artículo 8, así como las condiciones particulares y las específicas que se </w:t>
      </w:r>
      <w:r>
        <w:t xml:space="preserve">establecen en los artículos siguientes de este Capítulo. </w:t>
      </w:r>
    </w:p>
    <w:p w:rsidR="00B064CF" w:rsidRDefault="00E32F70">
      <w:pPr>
        <w:numPr>
          <w:ilvl w:val="0"/>
          <w:numId w:val="77"/>
        </w:numPr>
        <w:ind w:left="628" w:right="147" w:hanging="283"/>
      </w:pPr>
      <w:r>
        <w:t xml:space="preserve">La celebración en el dominio público de las actividades reguladas en el presente Capítulo estará sujeta a autorización del Ayuntamiento, sin perjuicio de la obtención de aquellos títulos o informes </w:t>
      </w:r>
      <w:r>
        <w:t xml:space="preserve">que sean necesarios por razón de la actividad o su localización, independientemente de que su otorgamiento o emisión pudiera ser competencia del propio Ayuntamiento o de otras Administraciones. </w:t>
      </w:r>
    </w:p>
    <w:p w:rsidR="00B064CF" w:rsidRDefault="00E32F70">
      <w:pPr>
        <w:numPr>
          <w:ilvl w:val="0"/>
          <w:numId w:val="77"/>
        </w:numPr>
        <w:ind w:left="628" w:right="147" w:hanging="283"/>
      </w:pPr>
      <w:r>
        <w:rPr>
          <w:rFonts w:ascii="Calibri" w:eastAsia="Calibri" w:hAnsi="Calibri" w:cs="Calibri"/>
          <w:noProof/>
        </w:rPr>
        <mc:AlternateContent>
          <mc:Choice Requires="wpg">
            <w:drawing>
              <wp:anchor distT="0" distB="0" distL="114300" distR="114300" simplePos="0" relativeHeight="25182412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7245" name="Group 397245"/>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29917" name="Rectangle 29917"/>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29918" name="Rectangle 29918"/>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158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7245" style="width:12.7031pt;height:278.91pt;position:absolute;mso-position-horizontal-relative:page;mso-position-horizontal:absolute;margin-left:682.278pt;mso-position-vertical-relative:page;margin-top:533.01pt;" coordsize="1613,35421">
                <v:rect id="Rectangle 29917"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29918"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158 de 298 </w:t>
                        </w:r>
                      </w:p>
                    </w:txbxContent>
                  </v:textbox>
                </v:rect>
                <w10:wrap type="square"/>
              </v:group>
            </w:pict>
          </mc:Fallback>
        </mc:AlternateContent>
      </w:r>
      <w:r>
        <w:t>El Ayuntamiento podrá denegar la autorización de ocupación pa</w:t>
      </w:r>
      <w:r>
        <w:t xml:space="preserve">ra la celebración en el dominio público de los eventos deportivos regulados en el presente Capítulo cuando, por las previsiones de público asistente, por las características del dominio público o por razones de interés general, dichos eventos puedan poner </w:t>
      </w:r>
      <w:r>
        <w:t>en peligro la seguridad o bienestar de terceros o puedan afectar de forma grave a la accesibilidad y a los servicios públicos en la zona. Igualmente, podrá denegarse la autorización cuando la actividad solicitada se estime incompatible con otros actos prog</w:t>
      </w:r>
      <w:r>
        <w:t>ramados en los mismos espacios o fechas, y en especial con aquellos organizados o patrocinados por el Ayuntamiento de Candelaria o los organismos de él dependientes. Sin perjuicio de lo anterior, el Ayuntamiento podrá proponer a la entidad organizadora, si</w:t>
      </w:r>
      <w:r>
        <w:t xml:space="preserve"> lo estima oportuno, espacios o fechas alternativos en los que pueda celebrarse el evento. </w:t>
      </w:r>
    </w:p>
    <w:p w:rsidR="00B064CF" w:rsidRDefault="00E32F70">
      <w:pPr>
        <w:spacing w:after="11"/>
        <w:ind w:left="355" w:right="72"/>
      </w:pPr>
      <w:r>
        <w:t xml:space="preserve">Artículo 47. Condiciones específicas y obligaciones </w:t>
      </w:r>
    </w:p>
    <w:p w:rsidR="00B064CF" w:rsidRDefault="00E32F70">
      <w:pPr>
        <w:numPr>
          <w:ilvl w:val="0"/>
          <w:numId w:val="78"/>
        </w:numPr>
        <w:ind w:left="628" w:right="146" w:hanging="283"/>
      </w:pPr>
      <w:r>
        <w:t>El periodo autorizado de ocupación deberá incluir, además del plazo para el desarrollo del evento deportivo, el</w:t>
      </w:r>
      <w:r>
        <w:t xml:space="preserve"> que adicionalmente se prevea, en su caso, para el total montaje y desmontaje de las instalaciones. </w:t>
      </w:r>
    </w:p>
    <w:p w:rsidR="00B064CF" w:rsidRDefault="00E32F70">
      <w:pPr>
        <w:numPr>
          <w:ilvl w:val="0"/>
          <w:numId w:val="78"/>
        </w:numPr>
        <w:ind w:left="628" w:right="146" w:hanging="283"/>
      </w:pPr>
      <w:r>
        <w:t>La persona o entidad autorizada será la responsable de que el equipo integrante de la organización y preparación del evento deportivo se encuentre debidame</w:t>
      </w:r>
      <w:r>
        <w:t xml:space="preserve">nte acreditado. </w:t>
      </w:r>
    </w:p>
    <w:p w:rsidR="00B064CF" w:rsidRDefault="00E32F70">
      <w:pPr>
        <w:numPr>
          <w:ilvl w:val="0"/>
          <w:numId w:val="78"/>
        </w:numPr>
        <w:ind w:left="628" w:right="146" w:hanging="283"/>
      </w:pPr>
      <w:r>
        <w:t>El titular de la autorización designará a una persona como representante a efectos de mantener con el Ayuntamiento la debida comunicación y coordinación. Dicha persona, que habrá de estar permanentemente localizable y disponible durante el</w:t>
      </w:r>
      <w:r>
        <w:t xml:space="preserve"> tiempo de ocupación autorizado, será la responsable de llevar a término las instrucciones que la Administración municipal pueda impartir a través de sus empleados o agentes. </w:t>
      </w:r>
    </w:p>
    <w:p w:rsidR="00B064CF" w:rsidRDefault="00E32F70">
      <w:pPr>
        <w:numPr>
          <w:ilvl w:val="0"/>
          <w:numId w:val="78"/>
        </w:numPr>
        <w:ind w:left="628" w:right="146" w:hanging="283"/>
      </w:pPr>
      <w:r>
        <w:t>La entidad o persona organizadora garantizará la presencia durante la celebració</w:t>
      </w:r>
      <w:r>
        <w:t xml:space="preserve">n del evento, de los dispositivos de asistencia médica y de protección civil necesarios para la atención de participantes y público, conforme establezca la legislación sectorial vigente en la materia. </w:t>
      </w:r>
    </w:p>
    <w:p w:rsidR="00B064CF" w:rsidRDefault="00E32F70">
      <w:pPr>
        <w:numPr>
          <w:ilvl w:val="0"/>
          <w:numId w:val="78"/>
        </w:numPr>
        <w:ind w:left="628" w:right="146" w:hanging="283"/>
      </w:pPr>
      <w:r>
        <w:t xml:space="preserve">La entidad o persona organizadora se responsabilizará </w:t>
      </w:r>
      <w:r>
        <w:t>de que, al finalizar el evento autorizado, el dominio público ocupado y su zona de influencia queden libres de cualquier tipo de instalaciones, anclajes, elementos o residuos derivados de su celebración y en condiciones óptimas para que se reanude su uso n</w:t>
      </w:r>
      <w:r>
        <w:t xml:space="preserve">ormal. </w:t>
      </w:r>
    </w:p>
    <w:p w:rsidR="00B064CF" w:rsidRDefault="00E32F70">
      <w:pPr>
        <w:numPr>
          <w:ilvl w:val="0"/>
          <w:numId w:val="78"/>
        </w:numPr>
        <w:ind w:left="628" w:right="146" w:hanging="283"/>
      </w:pPr>
      <w:r>
        <w:t xml:space="preserve">Si fuese necesario acotar el espacio utilizado por los participantes a lo largo del itinerario del evento deportivo, se dispondrá durante todo el recorrido de un vehículo de apertura y otro de cierre. </w:t>
      </w:r>
    </w:p>
    <w:p w:rsidR="00B064CF" w:rsidRDefault="00E32F70">
      <w:pPr>
        <w:numPr>
          <w:ilvl w:val="0"/>
          <w:numId w:val="78"/>
        </w:numPr>
        <w:ind w:left="628" w:right="146" w:hanging="283"/>
      </w:pPr>
      <w:r>
        <w:t>La entidad o persona organizadora deberá señal</w:t>
      </w:r>
      <w:r>
        <w:t>izar aquellas zonas del itinerario autorizado que, el Ayuntamiento o la organización del evento, consideren como puntos de riesgo, responsabilizándose de que las personas participantes reciban, antes del inicio del evento, instrucciones precisas al respect</w:t>
      </w:r>
      <w:r>
        <w:t xml:space="preserve">o, pudiéndose ubicarse permanentemente personal de la organización en dichos puntos si se estimara conveniente. </w:t>
      </w:r>
    </w:p>
    <w:p w:rsidR="00B064CF" w:rsidRDefault="00E32F70">
      <w:pPr>
        <w:numPr>
          <w:ilvl w:val="0"/>
          <w:numId w:val="78"/>
        </w:numPr>
        <w:ind w:left="628" w:right="146" w:hanging="283"/>
      </w:pPr>
      <w:r>
        <w:t>Las señalizaciones que requiera la adecuada celebración del evento no podrán colocarse de manera que puedan provocar confusión para la circulac</w:t>
      </w:r>
      <w:r>
        <w:t xml:space="preserve">ión rodada ajena a la actividad deportiva, debiendo ser retiradas o borradas una vez que finalice el evento. </w:t>
      </w:r>
    </w:p>
    <w:p w:rsidR="00B064CF" w:rsidRDefault="00E32F70">
      <w:pPr>
        <w:spacing w:after="11"/>
        <w:ind w:left="355" w:right="72"/>
      </w:pPr>
      <w:r>
        <w:t xml:space="preserve">Artículo 48. Características de los elementos </w:t>
      </w:r>
    </w:p>
    <w:p w:rsidR="00B064CF" w:rsidRDefault="00E32F70">
      <w:pPr>
        <w:numPr>
          <w:ilvl w:val="0"/>
          <w:numId w:val="79"/>
        </w:numPr>
        <w:spacing w:after="163" w:line="250" w:lineRule="auto"/>
        <w:ind w:left="628" w:right="72" w:hanging="283"/>
      </w:pPr>
      <w:r>
        <w:t>Todos los elementos que se dispongan en el dominio público estarán diseñados e instalados de tal fo</w:t>
      </w:r>
      <w:r>
        <w:t xml:space="preserve">rma que su utilización no represente real o potencial peligro para viandantes o usuarios. </w:t>
      </w:r>
    </w:p>
    <w:p w:rsidR="00B064CF" w:rsidRDefault="00E32F70">
      <w:pPr>
        <w:numPr>
          <w:ilvl w:val="0"/>
          <w:numId w:val="79"/>
        </w:numPr>
        <w:ind w:left="628" w:right="72" w:hanging="283"/>
      </w:pPr>
      <w:r>
        <w:rPr>
          <w:rFonts w:ascii="Calibri" w:eastAsia="Calibri" w:hAnsi="Calibri" w:cs="Calibri"/>
          <w:noProof/>
        </w:rPr>
        <mc:AlternateContent>
          <mc:Choice Requires="wpg">
            <w:drawing>
              <wp:anchor distT="0" distB="0" distL="114300" distR="114300" simplePos="0" relativeHeight="25182515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7301" name="Group 397301"/>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0025" name="Rectangle 30025"/>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0026" name="Rectangle 30026"/>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159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7301" style="width:12.7031pt;height:278.91pt;position:absolute;mso-position-horizontal-relative:page;mso-position-horizontal:absolute;margin-left:682.278pt;mso-position-vertical-relative:page;margin-top:533.01pt;" coordsize="1613,35421">
                <v:rect id="Rectangle 30025"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0026"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159 de 298 </w:t>
                        </w:r>
                      </w:p>
                    </w:txbxContent>
                  </v:textbox>
                </v:rect>
                <w10:wrap type="square"/>
              </v:group>
            </w:pict>
          </mc:Fallback>
        </mc:AlternateContent>
      </w:r>
      <w:r>
        <w:t xml:space="preserve">En caso de ser necesaria la utilización de instalaciones o elementos especiales, se estará a lo dispuesto en el artículo 11 de la presente Ordenanza. </w:t>
      </w:r>
    </w:p>
    <w:p w:rsidR="00B064CF" w:rsidRDefault="00E32F70">
      <w:pPr>
        <w:numPr>
          <w:ilvl w:val="0"/>
          <w:numId w:val="79"/>
        </w:numPr>
        <w:ind w:left="628" w:right="72" w:hanging="283"/>
      </w:pPr>
      <w:r>
        <w:t>Las ocupac</w:t>
      </w:r>
      <w:r>
        <w:t>iones del dominio público reguladas en el presente Capítulo en las que se prevea una permanencia prolongada de asistentes en el espacio o recinto habilitado para la celebración del evento autorizado, precisará la instalación de sanitarios portátiles homolo</w:t>
      </w:r>
      <w:r>
        <w:t>gados, que no precisarán montaje alguno y que deberán cumplir los requisitos contenidos en la Norma UNE EN 16194:2012, sobre cabinas sanitarias móviles no conectadas al alcantarillado y requisitos de los servicios y productos relacionados con el suministro</w:t>
      </w:r>
      <w:r>
        <w:t xml:space="preserve"> de cabinas y productos sanitarios, o normativa que la desarrolle o sustituya.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CAPÍTULO 6. OTRAS OCUPACIONES </w:t>
      </w:r>
    </w:p>
    <w:p w:rsidR="00B064CF" w:rsidRDefault="00E32F70">
      <w:pPr>
        <w:spacing w:after="11"/>
        <w:ind w:left="355" w:right="72"/>
      </w:pPr>
      <w:r>
        <w:t xml:space="preserve">Artículo 49. Elementos para la protección de las aceras.  </w:t>
      </w:r>
    </w:p>
    <w:p w:rsidR="00B064CF" w:rsidRDefault="00E32F70">
      <w:pPr>
        <w:numPr>
          <w:ilvl w:val="0"/>
          <w:numId w:val="80"/>
        </w:numPr>
        <w:ind w:left="628" w:right="145" w:hanging="283"/>
      </w:pPr>
      <w:r>
        <w:t xml:space="preserve">En el dominio público se podrán instalar elementos de protección de las aceras, que </w:t>
      </w:r>
      <w:r>
        <w:t xml:space="preserve">cumplirán la doble función de impedir el acceso indebido de vehículos a las mismas y proteger la libre circulación de peatones por ellas. </w:t>
      </w:r>
    </w:p>
    <w:p w:rsidR="00B064CF" w:rsidRDefault="00E32F70">
      <w:pPr>
        <w:numPr>
          <w:ilvl w:val="0"/>
          <w:numId w:val="80"/>
        </w:numPr>
        <w:spacing w:line="246" w:lineRule="auto"/>
        <w:ind w:left="628" w:right="145" w:hanging="283"/>
      </w:pPr>
      <w:r>
        <w:t>La instalación de los elementos de protección de las aceras públicas se sujetará a autorización del Ayuntamiento, sin</w:t>
      </w:r>
      <w:r>
        <w:t xml:space="preserve"> perjuicio de la obtención de aquellos títulos o informes que sean necesarios por razón de su localización. </w:t>
      </w:r>
    </w:p>
    <w:p w:rsidR="00B064CF" w:rsidRDefault="00E32F70">
      <w:pPr>
        <w:numPr>
          <w:ilvl w:val="0"/>
          <w:numId w:val="80"/>
        </w:numPr>
        <w:ind w:left="628" w:right="145" w:hanging="283"/>
      </w:pPr>
      <w:r>
        <w:t>Los elementos protectores pueden ser vallas, bolardos, pivotes o macetones, pudiendo ser el Ayuntamiento quien determine, para cada caso, la conveniencia o no de su instalación, así como el tipo de elemento a instalar, todo ello en atención al entorno urba</w:t>
      </w:r>
      <w:r>
        <w:t>nístico, a la ubicación y las características del espacio público. El Ayuntamiento podrá exigir que cualquier elemento que se instale se ajuste a un modelo determinado en función del lugar donde se tengan que ubicar, para una mejor armonización con el ento</w:t>
      </w:r>
      <w:r>
        <w:t xml:space="preserve">rno. </w:t>
      </w:r>
    </w:p>
    <w:p w:rsidR="00B064CF" w:rsidRDefault="00E32F70">
      <w:pPr>
        <w:numPr>
          <w:ilvl w:val="0"/>
          <w:numId w:val="80"/>
        </w:numPr>
        <w:ind w:left="628" w:right="145" w:hanging="283"/>
      </w:pPr>
      <w:r>
        <w:t>Todos los elementos que se dispongan para la protección de las aceras estarán diseñados e instalados de tal forma que su utilización no represente real o potencial peligro para viandantes o usuarios, debiendo cumplir las condiciones en materia de acc</w:t>
      </w:r>
      <w:r>
        <w:t xml:space="preserve">esibilidad que le sean de aplicación. </w:t>
      </w:r>
    </w:p>
    <w:p w:rsidR="00B064CF" w:rsidRDefault="00E32F70">
      <w:pPr>
        <w:numPr>
          <w:ilvl w:val="0"/>
          <w:numId w:val="80"/>
        </w:numPr>
        <w:ind w:left="628" w:right="145" w:hanging="283"/>
      </w:pPr>
      <w:r>
        <w:t xml:space="preserve">Las vallas tendrán una altura comprendida entre noventa centímetros (0,90 m) y un metro y veinte centímetros (1,20 m) y serán de PVC o similar. La longitud máxima de cada valla no será superior a tres metros (3,00 m) </w:t>
      </w:r>
      <w:r>
        <w:t xml:space="preserve">y la distancia mínima entre dos vallas consecutivas no será inferior a un metro y cincuenta centímetros (1,50 m). </w:t>
      </w:r>
    </w:p>
    <w:p w:rsidR="00B064CF" w:rsidRDefault="00E32F70">
      <w:pPr>
        <w:numPr>
          <w:ilvl w:val="0"/>
          <w:numId w:val="80"/>
        </w:numPr>
        <w:ind w:left="628" w:right="145" w:hanging="283"/>
      </w:pPr>
      <w:r>
        <w:t>Los macetones no podrán superar la altura máxima 1,50 metros, incluyendo la especie vegetal plantada. Se separarán entre sí una distancia mín</w:t>
      </w:r>
      <w:r>
        <w:t xml:space="preserve">ima de un metro y cincuenta centímetros (1,50 m) y se retirarán del borde de la acera al menos cuarenta centímetros (0,40 m). Las plantas podrán ser elegidas libremente por la persona o entidad titular de la autorización, siempre que no supongan molestias </w:t>
      </w:r>
      <w:r>
        <w:t xml:space="preserve">para los viandantes y no interfieran la visibilidad de los demás elementos de la vía pública, corriendo a cargo de aquélla la obligación de cuidado y mantenimiento de las mismas. </w:t>
      </w:r>
    </w:p>
    <w:p w:rsidR="00B064CF" w:rsidRDefault="00E32F70">
      <w:pPr>
        <w:spacing w:after="11"/>
        <w:ind w:left="355" w:right="72"/>
      </w:pPr>
      <w:r>
        <w:t xml:space="preserve">Artículo 50. Espejos de tráfico </w:t>
      </w:r>
    </w:p>
    <w:p w:rsidR="00B064CF" w:rsidRDefault="00E32F70">
      <w:pPr>
        <w:numPr>
          <w:ilvl w:val="0"/>
          <w:numId w:val="81"/>
        </w:numPr>
        <w:ind w:left="628" w:right="148" w:hanging="283"/>
      </w:pPr>
      <w:r>
        <w:rPr>
          <w:rFonts w:ascii="Calibri" w:eastAsia="Calibri" w:hAnsi="Calibri" w:cs="Calibri"/>
          <w:noProof/>
        </w:rPr>
        <mc:AlternateContent>
          <mc:Choice Requires="wpg">
            <w:drawing>
              <wp:anchor distT="0" distB="0" distL="114300" distR="114300" simplePos="0" relativeHeight="25182617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7300" name="Group 397300"/>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0135" name="Rectangle 30135"/>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0136" name="Rectangle 30136"/>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160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7300" style="width:12.7031pt;height:278.91pt;position:absolute;mso-position-horizontal-relative:page;mso-position-horizontal:absolute;margin-left:682.278pt;mso-position-vertical-relative:page;margin-top:533.01pt;" coordsize="1613,35421">
                <v:rect id="Rectangle 30135"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0136"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160 de 298 </w:t>
                        </w:r>
                      </w:p>
                    </w:txbxContent>
                  </v:textbox>
                </v:rect>
                <w10:wrap type="square"/>
              </v:group>
            </w:pict>
          </mc:Fallback>
        </mc:AlternateContent>
      </w:r>
      <w:r>
        <w:t xml:space="preserve">En el dominio público se podrán instalar espejos convexos en </w:t>
      </w:r>
      <w:r>
        <w:t xml:space="preserve">cruces peligrosos o en la salida de aparcamientos, con la finalidad de facilitar la visión de los conductores y mejorar así las condiciones de seguridad vial. </w:t>
      </w:r>
    </w:p>
    <w:p w:rsidR="00B064CF" w:rsidRDefault="00E32F70">
      <w:pPr>
        <w:numPr>
          <w:ilvl w:val="0"/>
          <w:numId w:val="81"/>
        </w:numPr>
        <w:ind w:left="628" w:right="148" w:hanging="283"/>
      </w:pPr>
      <w:r>
        <w:t>La instalación de espejos de tráfico en el dominio público se sujetará a autorización del Ayunta</w:t>
      </w:r>
      <w:r>
        <w:t xml:space="preserve">miento, sin perjuicio de la obtención de aquellos títulos o informes que sean necesarios por razón de su localización. </w:t>
      </w:r>
    </w:p>
    <w:p w:rsidR="00B064CF" w:rsidRDefault="00E32F70">
      <w:pPr>
        <w:numPr>
          <w:ilvl w:val="0"/>
          <w:numId w:val="81"/>
        </w:numPr>
        <w:ind w:left="628" w:right="148" w:hanging="283"/>
      </w:pPr>
      <w:r>
        <w:t xml:space="preserve">La autorización podrá otorgarse mediante un procedimiento abreviado, salvo que las circunstancias que concurran lo desaconseje o cuando </w:t>
      </w:r>
      <w:r>
        <w:t xml:space="preserve">la instalación se sujete a otros informes o autorizaciones sectoriales. </w:t>
      </w:r>
    </w:p>
    <w:p w:rsidR="00B064CF" w:rsidRDefault="00E32F70">
      <w:pPr>
        <w:numPr>
          <w:ilvl w:val="0"/>
          <w:numId w:val="81"/>
        </w:numPr>
        <w:spacing w:after="165" w:line="250" w:lineRule="auto"/>
        <w:ind w:left="628" w:right="148" w:hanging="283"/>
      </w:pPr>
      <w:r>
        <w:t>Todo espejo de tráfico que se disponga sobre el dominio público estará diseñado e instalado de tal forma que su utilización no represente real o potencial peligro para viandantes o us</w:t>
      </w:r>
      <w:r>
        <w:t xml:space="preserve">uarios. </w:t>
      </w:r>
    </w:p>
    <w:p w:rsidR="00B064CF" w:rsidRDefault="00E32F70">
      <w:pPr>
        <w:numPr>
          <w:ilvl w:val="0"/>
          <w:numId w:val="81"/>
        </w:numPr>
        <w:ind w:left="628" w:right="148" w:hanging="283"/>
      </w:pPr>
      <w:r>
        <w:t>Los espejos se instalarán respetando, en todo caso, una altura libre de al menos dos metros y veinte centímetros (2,20 m), pudiendo anclarse a soportes verticales empotrados al suelo o directamente a la pared o fachada, siendo necesario, en este ú</w:t>
      </w:r>
      <w:r>
        <w:t xml:space="preserve">ltimo supuesto, contar con la autorización del propietario de la misma. </w:t>
      </w:r>
    </w:p>
    <w:p w:rsidR="00B064CF" w:rsidRDefault="00E32F70">
      <w:pPr>
        <w:spacing w:after="11"/>
        <w:ind w:left="355" w:right="72"/>
      </w:pPr>
      <w:r>
        <w:t xml:space="preserve">Artículo 51. Cajeros automáticos y máquinas expendedoras </w:t>
      </w:r>
    </w:p>
    <w:p w:rsidR="00B064CF" w:rsidRDefault="00E32F70">
      <w:pPr>
        <w:numPr>
          <w:ilvl w:val="0"/>
          <w:numId w:val="82"/>
        </w:numPr>
        <w:ind w:left="628" w:right="72" w:hanging="283"/>
      </w:pPr>
      <w:r>
        <w:t>Sobre el dominio público municipal no se podrán instalar cajeros automáticos, máquinas expendedoras ni dispositivos similares</w:t>
      </w:r>
      <w:r>
        <w:t xml:space="preserve">. </w:t>
      </w:r>
    </w:p>
    <w:p w:rsidR="00B064CF" w:rsidRDefault="00E32F70">
      <w:pPr>
        <w:numPr>
          <w:ilvl w:val="0"/>
          <w:numId w:val="82"/>
        </w:numPr>
        <w:ind w:left="628" w:right="72" w:hanging="283"/>
      </w:pPr>
      <w:r>
        <w:t>La instalación de este tipo de dispositivos en las fachadas de los inmuebles de modo que sus servicios sean prestados de forma directa e ininterrumpida a las personas usuarias del dominio público, constituye un aprovechamiento especial del mismo y se su</w:t>
      </w:r>
      <w:r>
        <w:t xml:space="preserve">jetará, en consecuencia, a la correspondiente autorización del Ayuntamiento, sin perjuicio de la obtención de aquellos títulos </w:t>
      </w:r>
    </w:p>
    <w:p w:rsidR="00B064CF" w:rsidRDefault="00E32F70">
      <w:pPr>
        <w:ind w:left="654" w:right="148"/>
      </w:pPr>
      <w:r>
        <w:t xml:space="preserve">o informes que sean necesarios por razón de la actividad o su localización, independientemente de que su otorgamiento o emisión </w:t>
      </w:r>
      <w:r>
        <w:t xml:space="preserve">pudiera ser competencia del propio Ayuntamiento o de otras Administraciones. No se otorgarán autorizaciones para la ocupación del dominio público si la actividad de expedición no cuenta con el título habilitante correspondiente. </w:t>
      </w:r>
    </w:p>
    <w:p w:rsidR="00B064CF" w:rsidRDefault="00E32F70">
      <w:pPr>
        <w:numPr>
          <w:ilvl w:val="0"/>
          <w:numId w:val="82"/>
        </w:numPr>
        <w:ind w:left="628" w:right="72" w:hanging="283"/>
      </w:pPr>
      <w:r>
        <w:t>Las personas o entidades t</w:t>
      </w:r>
      <w:r>
        <w:t>itulares de las máquinas o dispositivos descritos en el número anterior, así como quienes sean beneficiarios del aprovechamiento que generen, serán directamente responsables de las mismas y deberán adoptar las medidas necesarias para que la ocupación del d</w:t>
      </w:r>
      <w:r>
        <w:t xml:space="preserve">ominio público que se genere no impida el uso normal del mismo, obstaculice el tránsito de peatones ni produzca molestias de ningún tipo a los vecinos.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TÍTULO IV INFRACCIONES Y SANCIONES  </w:t>
      </w:r>
    </w:p>
    <w:p w:rsidR="00B064CF" w:rsidRDefault="00E32F70">
      <w:pPr>
        <w:spacing w:after="11"/>
        <w:ind w:left="355" w:right="72"/>
      </w:pPr>
      <w:r>
        <w:t xml:space="preserve">Artículo 52. Sujetos responsables </w:t>
      </w:r>
    </w:p>
    <w:p w:rsidR="00B064CF" w:rsidRDefault="00E32F70">
      <w:pPr>
        <w:spacing w:after="0"/>
        <w:ind w:left="355" w:right="72"/>
      </w:pPr>
      <w:r>
        <w:t xml:space="preserve">Son sujetos responsables de las infracciones cometidas en la materia objeto de la presente Ordenanza: </w:t>
      </w:r>
    </w:p>
    <w:p w:rsidR="00B064CF" w:rsidRDefault="00E32F70">
      <w:pPr>
        <w:numPr>
          <w:ilvl w:val="0"/>
          <w:numId w:val="83"/>
        </w:numPr>
        <w:ind w:left="628" w:right="72" w:hanging="283"/>
      </w:pPr>
      <w:r>
        <w:t>Las personas físicas o jurídicas titulares de la autorización demanial, en caso de incumplimiento de las condiciones previstas en dicho título habilitant</w:t>
      </w:r>
      <w:r>
        <w:t xml:space="preserve">e o en esta Ordenanza. </w:t>
      </w:r>
    </w:p>
    <w:p w:rsidR="00B064CF" w:rsidRDefault="00E32F70">
      <w:pPr>
        <w:numPr>
          <w:ilvl w:val="0"/>
          <w:numId w:val="83"/>
        </w:numPr>
        <w:ind w:left="628" w:right="72" w:hanging="283"/>
      </w:pPr>
      <w:r>
        <w:t xml:space="preserve">Las personas físicas o jurídicas que ocupen el dominio público municipal o espacio privado de uso público y carezcan de título habilitante para ello. </w:t>
      </w:r>
    </w:p>
    <w:p w:rsidR="00B064CF" w:rsidRDefault="00E32F70">
      <w:pPr>
        <w:numPr>
          <w:ilvl w:val="0"/>
          <w:numId w:val="83"/>
        </w:numPr>
        <w:ind w:left="628" w:right="72" w:hanging="283"/>
      </w:pPr>
      <w:r>
        <w:rPr>
          <w:rFonts w:ascii="Calibri" w:eastAsia="Calibri" w:hAnsi="Calibri" w:cs="Calibri"/>
          <w:noProof/>
        </w:rPr>
        <mc:AlternateContent>
          <mc:Choice Requires="wpg">
            <w:drawing>
              <wp:anchor distT="0" distB="0" distL="114300" distR="114300" simplePos="0" relativeHeight="25182720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7343" name="Group 397343"/>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0254" name="Rectangle 30254"/>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64SKSNYNJRFPNN5DLPPAAC3GS | Verificación: https://candelaria.</w:t>
                              </w:r>
                              <w:r>
                                <w:rPr>
                                  <w:sz w:val="12"/>
                                </w:rPr>
                                <w:t xml:space="preserve">sedelectronica.es/ </w:t>
                              </w:r>
                            </w:p>
                          </w:txbxContent>
                        </wps:txbx>
                        <wps:bodyPr horzOverflow="overflow" vert="horz" lIns="0" tIns="0" rIns="0" bIns="0" rtlCol="0">
                          <a:noAutofit/>
                        </wps:bodyPr>
                      </wps:wsp>
                      <wps:wsp>
                        <wps:cNvPr id="30255" name="Rectangle 30255"/>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161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7343" style="width:12.7031pt;height:278.91pt;position:absolute;mso-position-horizontal-relative:page;mso-position-horizontal:absolute;margin-left:682.278pt;mso-position-vertical-relative:page;margin-top:533.01pt;" coordsize="1613,35421">
                <v:rect id="Rectangle 30254"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0255"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161 de 298 </w:t>
                        </w:r>
                      </w:p>
                    </w:txbxContent>
                  </v:textbox>
                </v:rect>
                <w10:wrap type="square"/>
              </v:group>
            </w:pict>
          </mc:Fallback>
        </mc:AlternateContent>
      </w:r>
      <w:r>
        <w:t xml:space="preserve">En los supuestos en los que se produzca el cambio de titularidad de una actividad, el arrendamiento de su explotación o la cesión temporal </w:t>
      </w:r>
      <w:r>
        <w:t>del título habilitante para la apertura del establecimiento, será responsable el nuevo titular de la actividad, la persona arrendataria o la cesionaria, respectivamente, cuando siga ocupando el dominio público al amparo de la autorización concedida al ante</w:t>
      </w:r>
      <w:r>
        <w:t xml:space="preserve">rior titular y no haya obtenido una nueva autorización a su nombre. </w:t>
      </w:r>
    </w:p>
    <w:p w:rsidR="00B064CF" w:rsidRDefault="00E32F70">
      <w:pPr>
        <w:spacing w:after="11"/>
        <w:ind w:left="355" w:right="72"/>
      </w:pPr>
      <w:r>
        <w:t xml:space="preserve">Artículo 53. Tipificación de las infracciones </w:t>
      </w:r>
    </w:p>
    <w:p w:rsidR="00B064CF" w:rsidRDefault="00E32F70">
      <w:pPr>
        <w:spacing w:after="0"/>
        <w:ind w:left="355" w:right="72"/>
      </w:pPr>
      <w:r>
        <w:t>Son infracciones, las acciones u omisiones que contravienen el condicionado de la resolución municipal de otorgamiento de la autorización, o</w:t>
      </w:r>
      <w:r>
        <w:t xml:space="preserve"> que contravienen lo dispuesto en esta Ordenanza. </w:t>
      </w:r>
    </w:p>
    <w:p w:rsidR="00B064CF" w:rsidRDefault="00E32F70">
      <w:pPr>
        <w:numPr>
          <w:ilvl w:val="0"/>
          <w:numId w:val="84"/>
        </w:numPr>
        <w:ind w:left="628" w:right="72" w:hanging="283"/>
      </w:pPr>
      <w:r>
        <w:t xml:space="preserve">Las infracciones a la presente Ordenanza se clasifican en leves, graves o muy graves. </w:t>
      </w:r>
    </w:p>
    <w:p w:rsidR="00B064CF" w:rsidRDefault="00E32F70">
      <w:pPr>
        <w:numPr>
          <w:ilvl w:val="0"/>
          <w:numId w:val="84"/>
        </w:numPr>
        <w:ind w:left="628" w:right="72" w:hanging="283"/>
      </w:pPr>
      <w:r>
        <w:t xml:space="preserve">Son infracciones leves las siguientes: </w:t>
      </w:r>
    </w:p>
    <w:p w:rsidR="00B064CF" w:rsidRDefault="00E32F70">
      <w:pPr>
        <w:numPr>
          <w:ilvl w:val="1"/>
          <w:numId w:val="84"/>
        </w:numPr>
        <w:ind w:right="72" w:hanging="360"/>
      </w:pPr>
      <w:r>
        <w:t>El deterioro leve del mobiliario urbano anejo o colindante con la instalación.</w:t>
      </w:r>
      <w:r>
        <w:t xml:space="preserve"> </w:t>
      </w:r>
    </w:p>
    <w:p w:rsidR="00B064CF" w:rsidRDefault="00E32F70">
      <w:pPr>
        <w:numPr>
          <w:ilvl w:val="1"/>
          <w:numId w:val="84"/>
        </w:numPr>
        <w:ind w:right="72" w:hanging="360"/>
      </w:pPr>
      <w:r>
        <w:t xml:space="preserve">Depositar acopios, envases o enseres de cualquier clase junto a las instalaciones. </w:t>
      </w:r>
    </w:p>
    <w:p w:rsidR="00B064CF" w:rsidRDefault="00E32F70">
      <w:pPr>
        <w:numPr>
          <w:ilvl w:val="1"/>
          <w:numId w:val="84"/>
        </w:numPr>
        <w:ind w:right="72" w:hanging="360"/>
      </w:pPr>
      <w:r>
        <w:t xml:space="preserve">El apilamiento de mesas y sillas o cualquier otro elemento en la vía pública. </w:t>
      </w:r>
    </w:p>
    <w:p w:rsidR="00B064CF" w:rsidRDefault="00E32F70">
      <w:pPr>
        <w:numPr>
          <w:ilvl w:val="1"/>
          <w:numId w:val="84"/>
        </w:numPr>
        <w:ind w:right="72" w:hanging="360"/>
      </w:pPr>
      <w:r>
        <w:t xml:space="preserve">La falta de ornato y limpieza del aprovechamiento o de la instalación de que se trate. </w:t>
      </w:r>
    </w:p>
    <w:p w:rsidR="00B064CF" w:rsidRDefault="00E32F70">
      <w:pPr>
        <w:numPr>
          <w:ilvl w:val="1"/>
          <w:numId w:val="84"/>
        </w:numPr>
        <w:ind w:right="72" w:hanging="360"/>
      </w:pPr>
      <w:r>
        <w:t>Des</w:t>
      </w:r>
      <w:r>
        <w:t xml:space="preserve">arrollar en la vía pública cualquier clase de actividad de compraventa de vehículos o de publicidad de la misma. </w:t>
      </w:r>
    </w:p>
    <w:p w:rsidR="00B064CF" w:rsidRDefault="00E32F70">
      <w:pPr>
        <w:numPr>
          <w:ilvl w:val="1"/>
          <w:numId w:val="84"/>
        </w:numPr>
        <w:spacing w:after="163" w:line="250" w:lineRule="auto"/>
        <w:ind w:right="72" w:hanging="360"/>
      </w:pPr>
      <w:r>
        <w:t>No señalar correcta y adecuadamente sobre el pavimento los límites de la ocupación autorizada, cuando ello resulte exigible en virtud de lo di</w:t>
      </w:r>
      <w:r>
        <w:t xml:space="preserve">spuesto en la presente Ordenanza. </w:t>
      </w:r>
    </w:p>
    <w:p w:rsidR="00B064CF" w:rsidRDefault="00E32F70">
      <w:pPr>
        <w:numPr>
          <w:ilvl w:val="1"/>
          <w:numId w:val="84"/>
        </w:numPr>
        <w:ind w:right="72" w:hanging="360"/>
      </w:pPr>
      <w:r>
        <w:t xml:space="preserve">La no exposición de la autorización y el plano de la misma en el establecimiento.  </w:t>
      </w:r>
    </w:p>
    <w:p w:rsidR="00B064CF" w:rsidRDefault="00E32F70">
      <w:pPr>
        <w:numPr>
          <w:ilvl w:val="1"/>
          <w:numId w:val="84"/>
        </w:numPr>
        <w:ind w:right="72" w:hanging="360"/>
      </w:pPr>
      <w:r>
        <w:t xml:space="preserve">Cualquier otro incumplimiento a lo dispuesto en esta Ordenanza que no esté calificado como grave o muy grave. </w:t>
      </w:r>
    </w:p>
    <w:p w:rsidR="00B064CF" w:rsidRDefault="00E32F70">
      <w:pPr>
        <w:numPr>
          <w:ilvl w:val="0"/>
          <w:numId w:val="84"/>
        </w:numPr>
        <w:spacing w:after="11"/>
        <w:ind w:left="628" w:right="72" w:hanging="283"/>
      </w:pPr>
      <w:r>
        <w:t>Son infracciones graves la</w:t>
      </w:r>
      <w:r>
        <w:t xml:space="preserve">s siguientes: </w:t>
      </w:r>
    </w:p>
    <w:p w:rsidR="00B064CF" w:rsidRDefault="00E32F70">
      <w:pPr>
        <w:numPr>
          <w:ilvl w:val="1"/>
          <w:numId w:val="84"/>
        </w:numPr>
        <w:ind w:right="72" w:hanging="360"/>
      </w:pPr>
      <w:r>
        <w:t xml:space="preserve">La reiteración en la comisión de cualquier falta leve en un mismo año.  </w:t>
      </w:r>
    </w:p>
    <w:p w:rsidR="00B064CF" w:rsidRDefault="00E32F70">
      <w:pPr>
        <w:numPr>
          <w:ilvl w:val="1"/>
          <w:numId w:val="84"/>
        </w:numPr>
        <w:ind w:right="72" w:hanging="360"/>
      </w:pPr>
      <w:r>
        <w:t xml:space="preserve">La ocupación de mayor superficie que la autorizada. </w:t>
      </w:r>
    </w:p>
    <w:p w:rsidR="00B064CF" w:rsidRDefault="00E32F70">
      <w:pPr>
        <w:numPr>
          <w:ilvl w:val="1"/>
          <w:numId w:val="84"/>
        </w:numPr>
        <w:ind w:right="72" w:hanging="360"/>
      </w:pPr>
      <w:r>
        <w:t xml:space="preserve">La producción de molestias a los vecinos o transeúntes, reiteradas y acreditadas, derivadas del funcionamiento de la instalación. </w:t>
      </w:r>
    </w:p>
    <w:p w:rsidR="00B064CF" w:rsidRDefault="00E32F70">
      <w:pPr>
        <w:numPr>
          <w:ilvl w:val="1"/>
          <w:numId w:val="84"/>
        </w:numPr>
        <w:ind w:right="72" w:hanging="360"/>
      </w:pPr>
      <w:r>
        <w:t>Impedir la circulación peatonal, dificultar la visibilidad necesaria para el tráfico. e) Incumplir las obligaciones, las inst</w:t>
      </w:r>
      <w:r>
        <w:t xml:space="preserve">rucciones o los apercibimientos recibidos. </w:t>
      </w:r>
    </w:p>
    <w:p w:rsidR="00B064CF" w:rsidRDefault="00E32F70">
      <w:pPr>
        <w:numPr>
          <w:ilvl w:val="1"/>
          <w:numId w:val="84"/>
        </w:numPr>
        <w:ind w:right="72" w:hanging="360"/>
      </w:pPr>
      <w:r>
        <w:t xml:space="preserve">Realizar conexiones eléctricas no autorizadas. </w:t>
      </w:r>
    </w:p>
    <w:p w:rsidR="00B064CF" w:rsidRDefault="00E32F70">
      <w:pPr>
        <w:numPr>
          <w:ilvl w:val="1"/>
          <w:numId w:val="84"/>
        </w:numPr>
        <w:ind w:right="72" w:hanging="360"/>
      </w:pPr>
      <w:r>
        <w:t>Efectuar instalaciones cuyos elementos constructivos no estén en armonía con las determinaciones específicas en la autorización, o modificarlas sin realizar la comu</w:t>
      </w:r>
      <w:r>
        <w:t xml:space="preserve">nicación preceptiva. </w:t>
      </w:r>
    </w:p>
    <w:p w:rsidR="00B064CF" w:rsidRDefault="00E32F70">
      <w:pPr>
        <w:numPr>
          <w:ilvl w:val="1"/>
          <w:numId w:val="84"/>
        </w:numPr>
        <w:ind w:right="72" w:hanging="360"/>
      </w:pPr>
      <w:r>
        <w:t xml:space="preserve">La ocultación, manipulación o falsedad de los datos o de la documentación aportada con la intención de obtener la autorización. </w:t>
      </w:r>
    </w:p>
    <w:p w:rsidR="00B064CF" w:rsidRDefault="00E32F70">
      <w:pPr>
        <w:numPr>
          <w:ilvl w:val="1"/>
          <w:numId w:val="84"/>
        </w:numPr>
        <w:ind w:right="72" w:hanging="360"/>
      </w:pPr>
      <w:r>
        <w:rPr>
          <w:rFonts w:ascii="Calibri" w:eastAsia="Calibri" w:hAnsi="Calibri" w:cs="Calibri"/>
          <w:noProof/>
        </w:rPr>
        <mc:AlternateContent>
          <mc:Choice Requires="wpg">
            <w:drawing>
              <wp:anchor distT="0" distB="0" distL="114300" distR="114300" simplePos="0" relativeHeight="25182822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7737" name="Group 397737"/>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0375" name="Rectangle 30375"/>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0376" name="Rectangle 30376"/>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162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7737" style="width:12.7031pt;height:278.91pt;position:absolute;mso-position-horizontal-relative:page;mso-position-horizontal:absolute;margin-left:682.278pt;mso-position-vertical-relative:page;margin-top:533.01pt;" coordsize="1613,35421">
                <v:rect id="Rectangle 30375"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0376"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162 de 298 </w:t>
                        </w:r>
                      </w:p>
                    </w:txbxContent>
                  </v:textbox>
                </v:rect>
                <w10:wrap type="square"/>
              </v:group>
            </w:pict>
          </mc:Fallback>
        </mc:AlternateContent>
      </w:r>
      <w:r>
        <w:t xml:space="preserve">El deterioro grave de espacios públicos y de cualquiera de sus instalaciones y/o los elementos del mobiliario urbano anejos o colindantes con la instalación. </w:t>
      </w:r>
    </w:p>
    <w:p w:rsidR="00B064CF" w:rsidRDefault="00E32F70">
      <w:pPr>
        <w:numPr>
          <w:ilvl w:val="1"/>
          <w:numId w:val="84"/>
        </w:numPr>
        <w:ind w:right="72" w:hanging="360"/>
      </w:pPr>
      <w:r>
        <w:t>La</w:t>
      </w:r>
      <w:r>
        <w:t xml:space="preserve"> no exhibición del documento de la autorización a los agentes de la autoridad que lo requieran, así como cualquier otra obstaculización de la labor inspectora. </w:t>
      </w:r>
    </w:p>
    <w:p w:rsidR="00B064CF" w:rsidRDefault="00E32F70">
      <w:pPr>
        <w:numPr>
          <w:ilvl w:val="1"/>
          <w:numId w:val="84"/>
        </w:numPr>
        <w:ind w:right="72" w:hanging="360"/>
      </w:pPr>
      <w:r>
        <w:t xml:space="preserve">La instalación de aparatos que puedan suponer un riesgo, sin el preceptivo seguro. </w:t>
      </w:r>
    </w:p>
    <w:p w:rsidR="00B064CF" w:rsidRDefault="00E32F70">
      <w:pPr>
        <w:numPr>
          <w:ilvl w:val="1"/>
          <w:numId w:val="84"/>
        </w:numPr>
        <w:ind w:right="72" w:hanging="360"/>
      </w:pPr>
      <w:r>
        <w:t xml:space="preserve">No retirar </w:t>
      </w:r>
      <w:r>
        <w:t xml:space="preserve">inmediatamente los elementos instalados sobre el espacio público, una vez finalizado el horario o período autorizado, cuando ello fuera exigible en cumplimiento de esta Ordenanza o de las condiciones de la autorización. </w:t>
      </w:r>
    </w:p>
    <w:p w:rsidR="00B064CF" w:rsidRDefault="00E32F70">
      <w:pPr>
        <w:numPr>
          <w:ilvl w:val="1"/>
          <w:numId w:val="84"/>
        </w:numPr>
        <w:ind w:right="72" w:hanging="360"/>
      </w:pPr>
      <w:r>
        <w:t xml:space="preserve">No retirar los restos de embalajes </w:t>
      </w:r>
      <w:r>
        <w:t xml:space="preserve">o envoltorios procedentes de la instalación de los elementos autorizados. </w:t>
      </w:r>
    </w:p>
    <w:p w:rsidR="00B064CF" w:rsidRDefault="00E32F70">
      <w:pPr>
        <w:numPr>
          <w:ilvl w:val="1"/>
          <w:numId w:val="84"/>
        </w:numPr>
        <w:ind w:right="72" w:hanging="360"/>
      </w:pPr>
      <w:r>
        <w:t xml:space="preserve">El mantenimiento de la instalación en mal estado. </w:t>
      </w:r>
    </w:p>
    <w:p w:rsidR="00B064CF" w:rsidRDefault="00E32F70">
      <w:pPr>
        <w:numPr>
          <w:ilvl w:val="1"/>
          <w:numId w:val="84"/>
        </w:numPr>
        <w:ind w:right="72" w:hanging="360"/>
      </w:pPr>
      <w:r>
        <w:t xml:space="preserve">La realización en la vía pública de extensiones de actividades no autorizadas. </w:t>
      </w:r>
    </w:p>
    <w:p w:rsidR="00B064CF" w:rsidRDefault="00E32F70">
      <w:pPr>
        <w:numPr>
          <w:ilvl w:val="1"/>
          <w:numId w:val="84"/>
        </w:numPr>
        <w:ind w:right="72" w:hanging="360"/>
      </w:pPr>
      <w:r>
        <w:t xml:space="preserve">La ocupación del dominio público con elementos no </w:t>
      </w:r>
      <w:r>
        <w:t xml:space="preserve">autorizados afectos a una actividad hostelera, comercial o de oficina. </w:t>
      </w:r>
    </w:p>
    <w:p w:rsidR="00B064CF" w:rsidRDefault="00E32F70">
      <w:pPr>
        <w:numPr>
          <w:ilvl w:val="1"/>
          <w:numId w:val="84"/>
        </w:numPr>
        <w:ind w:right="72" w:hanging="360"/>
      </w:pPr>
      <w:r>
        <w:t>La venta y/o exposición de vehículos de motor y ciclomotores efectuadas a título particular por el titular de los mismos, entendiendo por tal a la persona cuya identificación figure en</w:t>
      </w:r>
      <w:r>
        <w:t xml:space="preserve"> el permiso de circulación. </w:t>
      </w:r>
    </w:p>
    <w:p w:rsidR="00B064CF" w:rsidRDefault="00E32F70">
      <w:pPr>
        <w:numPr>
          <w:ilvl w:val="1"/>
          <w:numId w:val="84"/>
        </w:numPr>
        <w:ind w:right="72" w:hanging="360"/>
      </w:pPr>
      <w:r>
        <w:t xml:space="preserve">La ocupación con elementos, accesorios o instalaciones que no se ajusten a los requisitos que para los mismos se establecen en esta Ordenanza. </w:t>
      </w:r>
    </w:p>
    <w:p w:rsidR="00B064CF" w:rsidRDefault="00E32F70">
      <w:pPr>
        <w:numPr>
          <w:ilvl w:val="1"/>
          <w:numId w:val="84"/>
        </w:numPr>
        <w:ind w:right="72" w:hanging="360"/>
      </w:pPr>
      <w:r>
        <w:t>No señalar sobre el pavimento los límites de la ocupación autorizada, cuando ello r</w:t>
      </w:r>
      <w:r>
        <w:t xml:space="preserve">esulte exigible en virtud de lo dispuesto en la presente Ordenanza. </w:t>
      </w:r>
    </w:p>
    <w:p w:rsidR="00B064CF" w:rsidRDefault="00E32F70">
      <w:pPr>
        <w:numPr>
          <w:ilvl w:val="1"/>
          <w:numId w:val="84"/>
        </w:numPr>
        <w:ind w:right="72" w:hanging="360"/>
      </w:pPr>
      <w:r>
        <w:t xml:space="preserve">Incumplir, en menos de una hora, el horario de ocupación autorizado. </w:t>
      </w:r>
    </w:p>
    <w:p w:rsidR="00B064CF" w:rsidRDefault="00E32F70">
      <w:pPr>
        <w:numPr>
          <w:ilvl w:val="0"/>
          <w:numId w:val="84"/>
        </w:numPr>
        <w:spacing w:after="11"/>
        <w:ind w:left="628" w:right="72" w:hanging="283"/>
      </w:pPr>
      <w:r>
        <w:t xml:space="preserve">Serán infracciones muy graves las siguientes: </w:t>
      </w:r>
    </w:p>
    <w:p w:rsidR="00B064CF" w:rsidRDefault="00E32F70">
      <w:pPr>
        <w:numPr>
          <w:ilvl w:val="1"/>
          <w:numId w:val="84"/>
        </w:numPr>
        <w:ind w:right="72" w:hanging="360"/>
      </w:pPr>
      <w:r>
        <w:t>La ocupación de los espacios públicos sin la obtención del correspondi</w:t>
      </w:r>
      <w:r>
        <w:t xml:space="preserve">ente título habilitante, ya sea por no haberlo solicitado o por haber sido denegado. </w:t>
      </w:r>
    </w:p>
    <w:p w:rsidR="00B064CF" w:rsidRDefault="00E32F70">
      <w:pPr>
        <w:numPr>
          <w:ilvl w:val="1"/>
          <w:numId w:val="84"/>
        </w:numPr>
        <w:ind w:right="72" w:hanging="360"/>
      </w:pPr>
      <w:r>
        <w:t xml:space="preserve">Desobedecer las órdenes emanadas de la Autoridad Municipal competente.  </w:t>
      </w:r>
    </w:p>
    <w:p w:rsidR="00B064CF" w:rsidRDefault="00E32F70">
      <w:pPr>
        <w:numPr>
          <w:ilvl w:val="1"/>
          <w:numId w:val="84"/>
        </w:numPr>
        <w:ind w:right="72" w:hanging="360"/>
      </w:pPr>
      <w:r>
        <w:t xml:space="preserve">Mantener la instalación una vez suspendida o revocada la autorización. </w:t>
      </w:r>
    </w:p>
    <w:p w:rsidR="00B064CF" w:rsidRDefault="00E32F70">
      <w:pPr>
        <w:numPr>
          <w:ilvl w:val="1"/>
          <w:numId w:val="84"/>
        </w:numPr>
        <w:ind w:right="72" w:hanging="360"/>
      </w:pPr>
      <w:r>
        <w:t>Mantener la instalación u</w:t>
      </w:r>
      <w:r>
        <w:t xml:space="preserve">na vez finalizado el plano de vigencia de la autorización sin que ésta se hubiese renovado tácita o expresamente. </w:t>
      </w:r>
    </w:p>
    <w:p w:rsidR="00B064CF" w:rsidRDefault="00E32F70">
      <w:pPr>
        <w:numPr>
          <w:ilvl w:val="1"/>
          <w:numId w:val="84"/>
        </w:numPr>
        <w:ind w:right="72" w:hanging="360"/>
      </w:pPr>
      <w:r>
        <w:t xml:space="preserve">El incumplimiento de alguna de las condiciones de la autorización referida a la seguridad de los elementos a instalar. </w:t>
      </w:r>
    </w:p>
    <w:p w:rsidR="00B064CF" w:rsidRDefault="00E32F70">
      <w:pPr>
        <w:numPr>
          <w:ilvl w:val="1"/>
          <w:numId w:val="84"/>
        </w:numPr>
        <w:ind w:right="72" w:hanging="360"/>
      </w:pPr>
      <w:r>
        <w:t>La ocupación material</w:t>
      </w:r>
      <w:r>
        <w:t xml:space="preserve"> del dominio público sin la cobertura, cuando resulte exigible, del seguro de responsabilidad civil a que se refiere el número 3 del artículo 9, ya fuera por no haberlo contratado o por no renovar el que se hubiera suscrito. </w:t>
      </w:r>
    </w:p>
    <w:p w:rsidR="00B064CF" w:rsidRDefault="00E32F70">
      <w:pPr>
        <w:numPr>
          <w:ilvl w:val="1"/>
          <w:numId w:val="84"/>
        </w:numPr>
        <w:ind w:right="72" w:hanging="360"/>
      </w:pPr>
      <w:r>
        <w:rPr>
          <w:rFonts w:ascii="Calibri" w:eastAsia="Calibri" w:hAnsi="Calibri" w:cs="Calibri"/>
          <w:noProof/>
        </w:rPr>
        <mc:AlternateContent>
          <mc:Choice Requires="wpg">
            <w:drawing>
              <wp:anchor distT="0" distB="0" distL="114300" distR="114300" simplePos="0" relativeHeight="25182924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8356" name="Group 398356"/>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0497" name="Rectangle 30497"/>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0498" name="Rectangle 30498"/>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163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8356" style="width:12.7031pt;height:278.91pt;position:absolute;mso-position-horizontal-relative:page;mso-position-horizontal:absolute;margin-left:682.278pt;mso-position-vertical-relative:page;margin-top:533.01pt;" coordsize="1613,35421">
                <v:rect id="Rectangle 30497"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0498"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163 de 298 </w:t>
                        </w:r>
                      </w:p>
                    </w:txbxContent>
                  </v:textbox>
                </v:rect>
                <w10:wrap type="square"/>
              </v:group>
            </w:pict>
          </mc:Fallback>
        </mc:AlternateContent>
      </w:r>
      <w:r>
        <w:t>La ocupación material del dominio público sin haber constitui</w:t>
      </w:r>
      <w:r>
        <w:t xml:space="preserve">do previamente la garantía a que se refiere el número 1 del artículo 9, cuando se hubiera impuesto como condición de eficacia de la autorización. </w:t>
      </w:r>
    </w:p>
    <w:p w:rsidR="00B064CF" w:rsidRDefault="00E32F70">
      <w:pPr>
        <w:numPr>
          <w:ilvl w:val="1"/>
          <w:numId w:val="84"/>
        </w:numPr>
        <w:ind w:right="72" w:hanging="360"/>
      </w:pPr>
      <w:r>
        <w:t>La puesta en funcionamiento de una instalación sin haber presentado ante el Ayuntamiento de Candelaria la doc</w:t>
      </w:r>
      <w:r>
        <w:t xml:space="preserve">umentación acreditativa de la seguridad de la misma. </w:t>
      </w:r>
    </w:p>
    <w:p w:rsidR="00B064CF" w:rsidRDefault="00E32F70">
      <w:pPr>
        <w:numPr>
          <w:ilvl w:val="1"/>
          <w:numId w:val="84"/>
        </w:numPr>
        <w:ind w:right="72" w:hanging="360"/>
      </w:pPr>
      <w:r>
        <w:t xml:space="preserve">La puesta en funcionamiento de una instalación sin estar en posesión del certificado técnico a que se refiere el número 4 del artículo 11, cuando fuera exigible. </w:t>
      </w:r>
    </w:p>
    <w:p w:rsidR="00B064CF" w:rsidRDefault="00E32F70">
      <w:pPr>
        <w:numPr>
          <w:ilvl w:val="1"/>
          <w:numId w:val="84"/>
        </w:numPr>
        <w:ind w:right="72" w:hanging="360"/>
      </w:pPr>
      <w:r>
        <w:t>Incumplir, en más de una hora, el horar</w:t>
      </w:r>
      <w:r>
        <w:t xml:space="preserve">io de ocupación autorizado. </w:t>
      </w:r>
    </w:p>
    <w:p w:rsidR="00B064CF" w:rsidRDefault="00E32F70">
      <w:pPr>
        <w:numPr>
          <w:ilvl w:val="1"/>
          <w:numId w:val="84"/>
        </w:numPr>
        <w:ind w:right="72" w:hanging="360"/>
      </w:pPr>
      <w:r>
        <w:t>La producción de molestias graves a los vecinos o transeúntes derivadas del funcionamiento de la actividad llevada a cabo en el dominio público, incumpliendo las condiciones establecidas en esta Ordenanza o en la autorización o</w:t>
      </w:r>
      <w:r>
        <w:t xml:space="preserve">torgada. </w:t>
      </w:r>
    </w:p>
    <w:p w:rsidR="00B064CF" w:rsidRDefault="00E32F70">
      <w:pPr>
        <w:numPr>
          <w:ilvl w:val="1"/>
          <w:numId w:val="84"/>
        </w:numPr>
        <w:ind w:right="72" w:hanging="360"/>
      </w:pPr>
      <w:r>
        <w:t xml:space="preserve">El impedimento o la grave y relevante obstrucción al normal funcionamiento de un servicio público.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Artículo 54. Sanciones </w:t>
      </w:r>
    </w:p>
    <w:p w:rsidR="00B064CF" w:rsidRDefault="00E32F70">
      <w:pPr>
        <w:spacing w:line="246" w:lineRule="auto"/>
        <w:ind w:left="628" w:right="58" w:hanging="283"/>
        <w:jc w:val="left"/>
      </w:pPr>
      <w:r>
        <w:t>1. Cualquier infracción a las disposiciones de la presente Ordenanza será sancionada, según proceda, con: un mero aper</w:t>
      </w:r>
      <w:r>
        <w:t xml:space="preserve">cibimiento y/o la incautación de la fianza y/o la suspensión y la revocación de la autorización junto con la retirada de la instalación y/o el precinto de las instalaciones y la imposición de multa conforme al punto 2 del presente. </w:t>
      </w:r>
    </w:p>
    <w:p w:rsidR="00B064CF" w:rsidRDefault="00E32F70">
      <w:pPr>
        <w:numPr>
          <w:ilvl w:val="0"/>
          <w:numId w:val="85"/>
        </w:numPr>
        <w:ind w:left="628" w:right="72" w:hanging="283"/>
      </w:pPr>
      <w:r>
        <w:t>Las infracciones a la p</w:t>
      </w:r>
      <w:r>
        <w:t xml:space="preserve">resente Ordenanza se sancionarán de la siguiente forma: </w:t>
      </w:r>
    </w:p>
    <w:p w:rsidR="00B064CF" w:rsidRDefault="00E32F70">
      <w:pPr>
        <w:numPr>
          <w:ilvl w:val="1"/>
          <w:numId w:val="85"/>
        </w:numPr>
        <w:spacing w:line="297" w:lineRule="auto"/>
        <w:ind w:right="72" w:hanging="360"/>
      </w:pPr>
      <w:r>
        <w:t xml:space="preserve">Las infracciones leves, con mero apercibimiento o con multa de doscientos euros (200,00 €) a setecientos cincuenta euros (750,00 €). </w:t>
      </w:r>
    </w:p>
    <w:p w:rsidR="00B064CF" w:rsidRDefault="00E32F70">
      <w:pPr>
        <w:numPr>
          <w:ilvl w:val="1"/>
          <w:numId w:val="85"/>
        </w:numPr>
        <w:spacing w:after="203"/>
        <w:ind w:right="72" w:hanging="360"/>
      </w:pPr>
      <w:r>
        <w:t xml:space="preserve">Las infracciones graves con multa de setecientos cincuenta y un euros (751,00 €) a mil quinientos euros (1.500 €) y/o, con la suspensión y revocación de la autorización junto con la retirada de la instalación o precinto de las instalaciones por un periodo </w:t>
      </w:r>
      <w:r>
        <w:t xml:space="preserve">de hasta tres (3) meses </w:t>
      </w:r>
    </w:p>
    <w:p w:rsidR="00B064CF" w:rsidRDefault="00E32F70">
      <w:pPr>
        <w:numPr>
          <w:ilvl w:val="1"/>
          <w:numId w:val="85"/>
        </w:numPr>
        <w:ind w:right="72" w:hanging="360"/>
      </w:pPr>
      <w:r>
        <w:t xml:space="preserve">Las infracciones muy graves, con multa de mil quinientos un euro (1.501,00 €) hasta tres mil euros (3.000,00 €), suspensión temporal de la autorización por un periodo de hasta seis (6) meses y/o revocación del título. En este último supuesto, el infractor </w:t>
      </w:r>
      <w:r>
        <w:t xml:space="preserve">no podrá obtener una nueva autorización para ocupar el dominio público durante el año siguiente al de la firmeza de la resolución por la que se imponga la sanción. </w:t>
      </w:r>
    </w:p>
    <w:p w:rsidR="00B064CF" w:rsidRDefault="00E32F70">
      <w:pPr>
        <w:numPr>
          <w:ilvl w:val="0"/>
          <w:numId w:val="85"/>
        </w:numPr>
        <w:ind w:left="628" w:right="72" w:hanging="283"/>
      </w:pPr>
      <w:r>
        <w:t>La reincidencia en la comisión de actos tipificados como infracción en la presente Ordenanz</w:t>
      </w:r>
      <w:r>
        <w:t xml:space="preserve">a, conllevará la graduación de la multa en límite máximo, y además, en caso de ser grave o muy grave se decretará la suspensión de la autorización junto con la retirada de la instalación de la vía pública o precinto de la instalación. </w:t>
      </w:r>
    </w:p>
    <w:p w:rsidR="00B064CF" w:rsidRDefault="00E32F70">
      <w:pPr>
        <w:numPr>
          <w:ilvl w:val="0"/>
          <w:numId w:val="85"/>
        </w:numPr>
        <w:ind w:left="628" w:right="72" w:hanging="283"/>
      </w:pPr>
      <w:r>
        <w:t>No tendrá carácter d</w:t>
      </w:r>
      <w:r>
        <w:t xml:space="preserve">e sanción la retirada de elementos regulada en el artículo 10, así como las medidas cautelares impuestas para asegurar el cumplimiento de las sanciones. </w:t>
      </w:r>
    </w:p>
    <w:p w:rsidR="00B064CF" w:rsidRDefault="00E32F70">
      <w:pPr>
        <w:spacing w:after="11"/>
        <w:ind w:left="355" w:right="72"/>
      </w:pPr>
      <w:r>
        <w:t xml:space="preserve">Artículo 55. Graduación de las sanciones: </w:t>
      </w:r>
    </w:p>
    <w:p w:rsidR="00B064CF" w:rsidRDefault="00E32F70">
      <w:pPr>
        <w:spacing w:after="0"/>
        <w:ind w:left="355" w:right="147"/>
      </w:pPr>
      <w:r>
        <w:rPr>
          <w:rFonts w:ascii="Calibri" w:eastAsia="Calibri" w:hAnsi="Calibri" w:cs="Calibri"/>
          <w:noProof/>
        </w:rPr>
        <mc:AlternateContent>
          <mc:Choice Requires="wpg">
            <w:drawing>
              <wp:anchor distT="0" distB="0" distL="114300" distR="114300" simplePos="0" relativeHeight="25183027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8604" name="Group 398604"/>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0614" name="Rectangle 30614"/>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64SKSNYNJRFPNN5DLPPAAC3GS | Verificació</w:t>
                              </w:r>
                              <w:r>
                                <w:rPr>
                                  <w:sz w:val="12"/>
                                </w:rPr>
                                <w:t xml:space="preserve">n: https://candelaria.sedelectronica.es/ </w:t>
                              </w:r>
                            </w:p>
                          </w:txbxContent>
                        </wps:txbx>
                        <wps:bodyPr horzOverflow="overflow" vert="horz" lIns="0" tIns="0" rIns="0" bIns="0" rtlCol="0">
                          <a:noAutofit/>
                        </wps:bodyPr>
                      </wps:wsp>
                      <wps:wsp>
                        <wps:cNvPr id="30615" name="Rectangle 30615"/>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164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8604" style="width:12.7031pt;height:278.91pt;position:absolute;mso-position-horizontal-relative:page;mso-position-horizontal:absolute;margin-left:682.278pt;mso-position-vertical-relative:page;margin-top:533.01pt;" coordsize="1613,35421">
                <v:rect id="Rectangle 30614"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0615"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164 de 298 </w:t>
                        </w:r>
                      </w:p>
                    </w:txbxContent>
                  </v:textbox>
                </v:rect>
                <w10:wrap type="square"/>
              </v:group>
            </w:pict>
          </mc:Fallback>
        </mc:AlternateContent>
      </w:r>
      <w:r>
        <w:t xml:space="preserve">En la imposición de las sanciones, el órgano competente para imponerlas se ajustará a criterios de proporcionalidad, </w:t>
      </w:r>
      <w:r>
        <w:t xml:space="preserve">teniendo en cuenta, para graduar la cuantía de las multas y la imposición de las sanciones accesorias, los siguientes criterios: </w:t>
      </w:r>
    </w:p>
    <w:p w:rsidR="00B064CF" w:rsidRDefault="00E32F70">
      <w:pPr>
        <w:numPr>
          <w:ilvl w:val="1"/>
          <w:numId w:val="85"/>
        </w:numPr>
        <w:ind w:right="72" w:hanging="360"/>
      </w:pPr>
      <w:r>
        <w:t xml:space="preserve">La transcendencia social y el perjuicio causado por la infracción cometida. </w:t>
      </w:r>
    </w:p>
    <w:p w:rsidR="00B064CF" w:rsidRDefault="00E32F70">
      <w:pPr>
        <w:numPr>
          <w:ilvl w:val="1"/>
          <w:numId w:val="85"/>
        </w:numPr>
        <w:ind w:right="72" w:hanging="360"/>
      </w:pPr>
      <w:r>
        <w:t>El ánimo de lucro ilícito y la cuantía del benefi</w:t>
      </w:r>
      <w:r>
        <w:t xml:space="preserve">cio obtenido en la comisión de la infracción. </w:t>
      </w:r>
    </w:p>
    <w:p w:rsidR="00B064CF" w:rsidRDefault="00E32F70">
      <w:pPr>
        <w:numPr>
          <w:ilvl w:val="1"/>
          <w:numId w:val="85"/>
        </w:numPr>
        <w:ind w:right="72" w:hanging="360"/>
      </w:pPr>
      <w:r>
        <w:t xml:space="preserve">La reiteración o reincidencia en la comisión de infracciones. </w:t>
      </w:r>
    </w:p>
    <w:p w:rsidR="00B064CF" w:rsidRDefault="00E32F70">
      <w:pPr>
        <w:numPr>
          <w:ilvl w:val="1"/>
          <w:numId w:val="85"/>
        </w:numPr>
        <w:ind w:right="72" w:hanging="360"/>
      </w:pPr>
      <w:r>
        <w:t xml:space="preserve">Grado de culpabilidad e intencionalidad </w:t>
      </w:r>
    </w:p>
    <w:p w:rsidR="00B064CF" w:rsidRDefault="00E32F70">
      <w:pPr>
        <w:numPr>
          <w:ilvl w:val="1"/>
          <w:numId w:val="85"/>
        </w:numPr>
        <w:ind w:right="72" w:hanging="360"/>
      </w:pPr>
      <w:r>
        <w:t xml:space="preserve">Beneficio económico obtenido y capacidad económica del infractor. </w:t>
      </w:r>
    </w:p>
    <w:p w:rsidR="00B064CF" w:rsidRDefault="00E32F70">
      <w:pPr>
        <w:spacing w:after="11"/>
        <w:ind w:left="355" w:right="72"/>
      </w:pPr>
      <w:r>
        <w:t>Artículo 56. Responsabilidad e indemni</w:t>
      </w:r>
      <w:r>
        <w:t xml:space="preserve">zaciones. </w:t>
      </w:r>
    </w:p>
    <w:p w:rsidR="00B064CF" w:rsidRDefault="00E32F70">
      <w:pPr>
        <w:spacing w:after="0"/>
        <w:ind w:left="355" w:right="147"/>
      </w:pPr>
      <w:r>
        <w:t xml:space="preserve">La imposición de cualquiera de las sanciones establecidas en la presente ordenanza no excluye la responsabilidad civil de la persona sancionada ni la indemnización que se le pueda exigir por daños y perjuicios. </w:t>
      </w:r>
    </w:p>
    <w:p w:rsidR="00B064CF" w:rsidRDefault="00E32F70">
      <w:pPr>
        <w:spacing w:after="0"/>
        <w:ind w:left="355" w:right="145"/>
      </w:pPr>
      <w:r>
        <w:t>El abono de las sanciones impuestas no eximirá de la obligación de restaurar la legalidad infringida, pudiendo el Ayuntamiento de Candelaria a realizar la ejecución subsidiaria a costa del incumplidor, así como las medidas cautelares precisas para asegurar</w:t>
      </w:r>
      <w:r>
        <w:t xml:space="preserve"> el cumplimiento. </w:t>
      </w:r>
    </w:p>
    <w:p w:rsidR="00B064CF" w:rsidRDefault="00E32F70">
      <w:pPr>
        <w:spacing w:after="11"/>
        <w:ind w:left="355" w:right="72"/>
      </w:pPr>
      <w:r>
        <w:t xml:space="preserve">Artículo 57. Personas responsables </w:t>
      </w:r>
    </w:p>
    <w:p w:rsidR="00B064CF" w:rsidRDefault="00E32F70">
      <w:pPr>
        <w:numPr>
          <w:ilvl w:val="1"/>
          <w:numId w:val="86"/>
        </w:numPr>
        <w:ind w:right="72" w:hanging="360"/>
      </w:pPr>
      <w:r>
        <w:t xml:space="preserve">Serán responsables directos de las infracciones a esta Ordenanza sus autores materiales y en todo caso la persona física o jurídica que explote la actividad que dé lugar a la ocupación. </w:t>
      </w:r>
    </w:p>
    <w:p w:rsidR="00B064CF" w:rsidRDefault="00E32F70">
      <w:pPr>
        <w:numPr>
          <w:ilvl w:val="1"/>
          <w:numId w:val="86"/>
        </w:numPr>
        <w:ind w:right="72" w:hanging="360"/>
      </w:pPr>
      <w:r>
        <w:t>Cuando las act</w:t>
      </w:r>
      <w:r>
        <w:t xml:space="preserve">uaciones constitutivas de infracción sean cometidas por varias personas, conjuntamente, responderán todas ellas de forma solidaria. </w:t>
      </w:r>
    </w:p>
    <w:p w:rsidR="00B064CF" w:rsidRDefault="00E32F70">
      <w:pPr>
        <w:numPr>
          <w:ilvl w:val="1"/>
          <w:numId w:val="86"/>
        </w:numPr>
        <w:ind w:right="72" w:hanging="360"/>
      </w:pPr>
      <w:r>
        <w:t xml:space="preserve">Los técnicos que suscriban la documentación técnica. </w:t>
      </w:r>
    </w:p>
    <w:p w:rsidR="00B064CF" w:rsidRDefault="00E32F70">
      <w:pPr>
        <w:spacing w:after="11"/>
        <w:ind w:left="355" w:right="72"/>
      </w:pPr>
      <w:r>
        <w:t xml:space="preserve">Artículo 58. Inspección y Control. </w:t>
      </w:r>
    </w:p>
    <w:p w:rsidR="00B064CF" w:rsidRDefault="00E32F70">
      <w:pPr>
        <w:spacing w:after="0"/>
        <w:ind w:left="355" w:right="144"/>
      </w:pPr>
      <w:r>
        <w:t>La inspección y control del cumpl</w:t>
      </w:r>
      <w:r>
        <w:t>imiento derivado de la aplicación de esta Ordenanza corresponde a la Policía Local de Candelaria y al servicio de Inspección de Vía Pública, quienes velarán por el fiel e íntegro cumplimiento de lo dispuesto en esta Ordenanza, vigilando y denunciando las i</w:t>
      </w:r>
      <w:r>
        <w:t xml:space="preserve">nfracciones en las que puedan incurrir los interesados. </w:t>
      </w:r>
    </w:p>
    <w:p w:rsidR="00B064CF" w:rsidRDefault="00E32F70">
      <w:pPr>
        <w:spacing w:after="0"/>
        <w:ind w:left="355" w:right="72"/>
      </w:pPr>
      <w:r>
        <w:t xml:space="preserve">Las denuncias formuladas por personas particulares, una vez comprobadas, podrán dar lugar a la adopción de medidas cautelares y a la incoación de un expediente sancionador.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11"/>
        <w:ind w:left="355" w:right="72"/>
      </w:pPr>
      <w:r>
        <w:t>Artículo 59. Proced</w:t>
      </w:r>
      <w:r>
        <w:t xml:space="preserve">imiento </w:t>
      </w:r>
    </w:p>
    <w:p w:rsidR="00B064CF" w:rsidRDefault="00E32F70">
      <w:pPr>
        <w:spacing w:after="0"/>
        <w:ind w:left="355" w:right="72"/>
      </w:pPr>
      <w:r>
        <w:t xml:space="preserve">La potestad sancionadora se ejercerá observando el procedimiento establecido al efecto por la legislación general del procedimiento administrativo común.  </w:t>
      </w:r>
    </w:p>
    <w:p w:rsidR="00B064CF" w:rsidRDefault="00E32F70">
      <w:pPr>
        <w:spacing w:after="0"/>
        <w:ind w:left="355" w:right="72"/>
      </w:pPr>
      <w:r>
        <w:t xml:space="preserve">En la resolución se adoptarán, en su caso, la disposición cautelar precisa para garantizar </w:t>
      </w:r>
      <w:r>
        <w:t xml:space="preserve">su eficacia en tanto no sea ejecutiva. </w:t>
      </w:r>
    </w:p>
    <w:p w:rsidR="00B064CF" w:rsidRDefault="00E32F70">
      <w:pPr>
        <w:spacing w:after="11"/>
        <w:ind w:left="355" w:right="72"/>
      </w:pPr>
      <w:r>
        <w:t xml:space="preserve">Artículo 60. Medidas cautelares. </w:t>
      </w:r>
    </w:p>
    <w:p w:rsidR="00B064CF" w:rsidRDefault="00E32F70">
      <w:pPr>
        <w:numPr>
          <w:ilvl w:val="0"/>
          <w:numId w:val="87"/>
        </w:numPr>
        <w:ind w:right="147" w:hanging="360"/>
      </w:pPr>
      <w:r>
        <w:t>El órgano competente para iniciar el procedimiento sancionador, por propia iniciativa o a propuesta de instructor, podrá adoptar motivadamente las medidas cautelares de carácter prov</w:t>
      </w:r>
      <w:r>
        <w:t xml:space="preserve">isional que sean necesarias para asegurar la eficacia de la resolución final que pudiera recaer. </w:t>
      </w:r>
    </w:p>
    <w:p w:rsidR="00B064CF" w:rsidRDefault="00E32F70">
      <w:pPr>
        <w:numPr>
          <w:ilvl w:val="0"/>
          <w:numId w:val="87"/>
        </w:numPr>
        <w:ind w:right="147" w:hanging="360"/>
      </w:pPr>
      <w:r>
        <w:rPr>
          <w:rFonts w:ascii="Calibri" w:eastAsia="Calibri" w:hAnsi="Calibri" w:cs="Calibri"/>
          <w:noProof/>
        </w:rPr>
        <mc:AlternateContent>
          <mc:Choice Requires="wpg">
            <w:drawing>
              <wp:anchor distT="0" distB="0" distL="114300" distR="114300" simplePos="0" relativeHeight="25183129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8605" name="Group 398605"/>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0721" name="Rectangle 30721"/>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0722" name="Rectangle 30722"/>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165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8605" style="width:12.7031pt;height:278.91pt;position:absolute;mso-position-horizontal-relative:page;mso-position-horizontal:absolute;margin-left:682.278pt;mso-position-vertical-relative:page;margin-top:533.01pt;" coordsize="1613,35421">
                <v:rect id="Rectangle 30721"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0722"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165 de 298 </w:t>
                        </w:r>
                      </w:p>
                    </w:txbxContent>
                  </v:textbox>
                </v:rect>
                <w10:wrap type="square"/>
              </v:group>
            </w:pict>
          </mc:Fallback>
        </mc:AlternateContent>
      </w:r>
      <w:r>
        <w:t>Excepcionalmente y motivadamente, los Servicios de Inspección y la Policía Local, por propia autoridad, están habilitados, para adoptar medidas cautelares que fu</w:t>
      </w:r>
      <w:r>
        <w:t xml:space="preserve">eran necesarias para garantizar el cumplimiento de la presente ordenanza. </w:t>
      </w:r>
    </w:p>
    <w:p w:rsidR="00B064CF" w:rsidRDefault="00E32F70">
      <w:pPr>
        <w:spacing w:after="11"/>
        <w:ind w:left="355" w:right="72"/>
      </w:pPr>
      <w:r>
        <w:t xml:space="preserve">Artículo 61. Prescripción </w:t>
      </w:r>
    </w:p>
    <w:p w:rsidR="00B064CF" w:rsidRDefault="00E32F70">
      <w:pPr>
        <w:spacing w:after="0"/>
        <w:ind w:left="355" w:right="151"/>
      </w:pPr>
      <w:r>
        <w:t>Las infracciones y sanciones muy graves según lo dispuesto en las leyes que las establezcan. Si estas no fijan plazos de prescripción, las infracciones mu</w:t>
      </w:r>
      <w:r>
        <w:t xml:space="preserve">y graves prescribirán a los tres años, las graves a los dos años y las leves a los seis meses.  </w:t>
      </w:r>
    </w:p>
    <w:p w:rsidR="00B064CF" w:rsidRDefault="00E32F70">
      <w:pPr>
        <w:spacing w:after="0"/>
        <w:ind w:left="355" w:right="72"/>
      </w:pPr>
      <w:r>
        <w:t xml:space="preserve">Las sanciones impuestas por infracciones muy graves prescribirán a los tres años, las graves a los dos años y las impuestas por infracciones leves al año. </w:t>
      </w:r>
    </w:p>
    <w:p w:rsidR="00B064CF" w:rsidRDefault="00E32F70">
      <w:pPr>
        <w:spacing w:after="0"/>
        <w:ind w:left="355" w:right="72"/>
      </w:pPr>
      <w:r>
        <w:t xml:space="preserve"> El</w:t>
      </w:r>
      <w:r>
        <w:t xml:space="preserve"> plazo de prescripción de la sanción comenzará a contarse desde el día siguiente a aquél en que adquiera firmeza la resolución por la que se imponga la sanción. </w:t>
      </w:r>
    </w:p>
    <w:p w:rsidR="00B064CF" w:rsidRDefault="00E32F70">
      <w:pPr>
        <w:spacing w:after="0"/>
        <w:ind w:left="355" w:right="72"/>
      </w:pPr>
      <w:r>
        <w:t xml:space="preserve">El plazo máximo para la resolución y notificación de los procedimientos sancionadores será de </w:t>
      </w:r>
      <w:r>
        <w:t xml:space="preserve">seis meses desde su inicio.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DISPOSICIÓN TRANSITORIA ÚNICA </w:t>
      </w:r>
    </w:p>
    <w:p w:rsidR="00B064CF" w:rsidRDefault="00E32F70">
      <w:pPr>
        <w:spacing w:after="0"/>
        <w:ind w:left="355" w:right="147"/>
      </w:pPr>
      <w:r>
        <w:t>Las ocupaciones de dominio público que a la entrada en vigor de la presente Ordenanza incumpliesen la misma, deberán solicitar en el plazo improrrogable de un mes, licencia municipal, y el Ayuntamiento deberá resolver en el plazo improrrogable de tres mese</w:t>
      </w:r>
      <w:r>
        <w:t xml:space="preserve">s la concesión o denegación de la misma, según cumplan o no con dicha Ordenanza, y a tal efecto estos expedientes gozarán de preferencia y sumariedad en la Oficina Técnica municipal. </w:t>
      </w:r>
    </w:p>
    <w:p w:rsidR="00B064CF" w:rsidRDefault="00E32F70">
      <w:pPr>
        <w:spacing w:after="0"/>
        <w:ind w:left="355" w:right="150"/>
      </w:pPr>
      <w:r>
        <w:t xml:space="preserve">Una vez finalizado dicho plazo de un mes sin solicitar la licencia para </w:t>
      </w:r>
      <w:r>
        <w:t xml:space="preserve">la adaptación a la Ordenanza municipal, o en el caso de que, solicitada la licencia, esta fuera denegada, las instalaciones serán retiradas de la vía pública por la Policía Local.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DISPOSICIÓN DEROGATORIA </w:t>
      </w:r>
    </w:p>
    <w:p w:rsidR="00B064CF" w:rsidRDefault="00E32F70">
      <w:pPr>
        <w:spacing w:after="11"/>
        <w:ind w:left="355" w:right="72"/>
      </w:pPr>
      <w:r>
        <w:t xml:space="preserve">Única. Derogación normativa </w:t>
      </w:r>
    </w:p>
    <w:p w:rsidR="00B064CF" w:rsidRDefault="00E32F70">
      <w:pPr>
        <w:spacing w:after="0"/>
        <w:ind w:left="355" w:right="72"/>
      </w:pPr>
      <w:r>
        <w:t xml:space="preserve">Queda derogadas las disposiciones de igual o inferior rango se opongan a lo dispuesto en la presente Ordenanza.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DISPOSICIÓN FINAL ÚNICA </w:t>
      </w:r>
    </w:p>
    <w:p w:rsidR="00B064CF" w:rsidRDefault="00E32F70">
      <w:pPr>
        <w:spacing w:after="11"/>
        <w:ind w:left="355" w:right="72"/>
      </w:pPr>
      <w:r>
        <w:t xml:space="preserve">Publicación y entrada en vigor </w:t>
      </w:r>
    </w:p>
    <w:p w:rsidR="00B064CF" w:rsidRDefault="00E32F70">
      <w:pPr>
        <w:spacing w:after="0"/>
        <w:ind w:left="355" w:right="72"/>
      </w:pPr>
      <w:r>
        <w:t>De conformidad con lo dispuesto en los artículos 56.1, 65.2 y 70.2 de la Ley 7/1985,</w:t>
      </w:r>
      <w:r>
        <w:t xml:space="preserve"> de 2 de abril, reguladora de las Bases del Régimen Local: </w:t>
      </w:r>
    </w:p>
    <w:p w:rsidR="00B064CF" w:rsidRDefault="00E32F70">
      <w:pPr>
        <w:numPr>
          <w:ilvl w:val="0"/>
          <w:numId w:val="88"/>
        </w:numPr>
        <w:spacing w:after="0"/>
        <w:ind w:right="146"/>
      </w:pPr>
      <w:r>
        <w:t xml:space="preserve">El acuerdo de aprobación definitiva de la presente Ordenanza se comunicará a la Administración del Estado y a la Administración de la Comunidad Autónoma de Canarias. </w:t>
      </w:r>
    </w:p>
    <w:p w:rsidR="00B064CF" w:rsidRDefault="00E32F70">
      <w:pPr>
        <w:numPr>
          <w:ilvl w:val="0"/>
          <w:numId w:val="88"/>
        </w:numPr>
        <w:spacing w:after="0"/>
        <w:ind w:right="146"/>
      </w:pPr>
      <w:r>
        <w:t>Transcurrido el plazo de quin</w:t>
      </w:r>
      <w:r>
        <w:t xml:space="preserve">ce días desde la recepción de la comunicación, el acuerdo de aprobación definitiva y el contenido de la Ordenanza se publicarán en el Boletín Oficial de la Provincia. </w:t>
      </w:r>
    </w:p>
    <w:p w:rsidR="00B064CF" w:rsidRDefault="00E32F70">
      <w:pPr>
        <w:numPr>
          <w:ilvl w:val="0"/>
          <w:numId w:val="88"/>
        </w:numPr>
        <w:spacing w:after="0"/>
        <w:ind w:right="146"/>
      </w:pPr>
      <w:r>
        <w:t>La Ordenanza entrará en vigor al día siguiente de su publicación íntegra en el Boletín O</w:t>
      </w:r>
      <w:r>
        <w:t xml:space="preserve">ficial de la Provincia, teniendo en cuenta, en todo caso, el plazo establecido en el artículo 65.2 de la Ley 7/1985, de 2 de abril, Reguladora de las Bases de Régimen Local.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ANEXO I   </w:t>
      </w:r>
    </w:p>
    <w:p w:rsidR="00B064CF" w:rsidRDefault="00E32F70">
      <w:pPr>
        <w:spacing w:after="0"/>
        <w:ind w:left="4411" w:right="837" w:hanging="4066"/>
      </w:pPr>
      <w:r>
        <w:rPr>
          <w:rFonts w:ascii="Calibri" w:eastAsia="Calibri" w:hAnsi="Calibri" w:cs="Calibri"/>
          <w:noProof/>
        </w:rPr>
        <mc:AlternateContent>
          <mc:Choice Requires="wpg">
            <w:drawing>
              <wp:anchor distT="0" distB="0" distL="114300" distR="114300" simplePos="0" relativeHeight="25183232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8451" name="Group 398451"/>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0791" name="Rectangle 30791"/>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64SKSNYNJRFPNN5DLPPAAC3GS | Verificación: https:</w:t>
                              </w:r>
                              <w:r>
                                <w:rPr>
                                  <w:sz w:val="12"/>
                                </w:rPr>
                                <w:t xml:space="preserve">//candelaria.sedelectronica.es/ </w:t>
                              </w:r>
                            </w:p>
                          </w:txbxContent>
                        </wps:txbx>
                        <wps:bodyPr horzOverflow="overflow" vert="horz" lIns="0" tIns="0" rIns="0" bIns="0" rtlCol="0">
                          <a:noAutofit/>
                        </wps:bodyPr>
                      </wps:wsp>
                      <wps:wsp>
                        <wps:cNvPr id="30792" name="Rectangle 30792"/>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166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8451" style="width:12.7031pt;height:278.91pt;position:absolute;mso-position-horizontal-relative:page;mso-position-horizontal:absolute;margin-left:682.278pt;mso-position-vertical-relative:page;margin-top:533.01pt;" coordsize="1613,35421">
                <v:rect id="Rectangle 30791"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0792"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166 de 298 </w:t>
                        </w:r>
                      </w:p>
                    </w:txbxContent>
                  </v:textbox>
                </v:rect>
                <w10:wrap type="square"/>
              </v:group>
            </w:pict>
          </mc:Fallback>
        </mc:AlternateContent>
      </w:r>
      <w:r>
        <w:t xml:space="preserve">GRÁFICOS OCUPACIONES VINCULADAS A ACTIVIDADES DE HOSTELERIA GRÁFICO 1.1. </w:t>
      </w:r>
    </w:p>
    <w:p w:rsidR="00B064CF" w:rsidRDefault="00E32F70">
      <w:pPr>
        <w:spacing w:after="0" w:line="259" w:lineRule="auto"/>
        <w:ind w:left="273" w:firstLine="0"/>
        <w:jc w:val="center"/>
      </w:pPr>
      <w:r>
        <w:t xml:space="preserve"> </w:t>
      </w:r>
    </w:p>
    <w:p w:rsidR="00B064CF" w:rsidRDefault="00E32F70">
      <w:pPr>
        <w:spacing w:after="0" w:line="259" w:lineRule="auto"/>
        <w:ind w:left="273" w:firstLine="0"/>
        <w:jc w:val="center"/>
      </w:pPr>
      <w:r>
        <w:t xml:space="preserve"> </w:t>
      </w:r>
    </w:p>
    <w:p w:rsidR="00B064CF" w:rsidRDefault="00E32F70">
      <w:pPr>
        <w:spacing w:after="0" w:line="259" w:lineRule="auto"/>
        <w:ind w:left="273" w:firstLine="0"/>
        <w:jc w:val="center"/>
      </w:pPr>
      <w:r>
        <w:t xml:space="preserve"> </w:t>
      </w:r>
    </w:p>
    <w:p w:rsidR="00B064CF" w:rsidRDefault="00E32F70">
      <w:pPr>
        <w:spacing w:after="23" w:line="216" w:lineRule="auto"/>
        <w:ind w:left="360" w:right="609" w:firstLine="523"/>
        <w:jc w:val="left"/>
      </w:pPr>
      <w:r>
        <w:rPr>
          <w:noProof/>
        </w:rPr>
        <w:drawing>
          <wp:inline distT="0" distB="0" distL="0" distR="0">
            <wp:extent cx="5401056" cy="2369820"/>
            <wp:effectExtent l="0" t="0" r="0" b="0"/>
            <wp:docPr id="30788" name="Picture 30788"/>
            <wp:cNvGraphicFramePr/>
            <a:graphic xmlns:a="http://schemas.openxmlformats.org/drawingml/2006/main">
              <a:graphicData uri="http://schemas.openxmlformats.org/drawingml/2006/picture">
                <pic:pic xmlns:pic="http://schemas.openxmlformats.org/drawingml/2006/picture">
                  <pic:nvPicPr>
                    <pic:cNvPr id="30788" name="Picture 30788"/>
                    <pic:cNvPicPr/>
                  </pic:nvPicPr>
                  <pic:blipFill>
                    <a:blip r:embed="rId45"/>
                    <a:stretch>
                      <a:fillRect/>
                    </a:stretch>
                  </pic:blipFill>
                  <pic:spPr>
                    <a:xfrm>
                      <a:off x="0" y="0"/>
                      <a:ext cx="5401056" cy="2369820"/>
                    </a:xfrm>
                    <a:prstGeom prst="rect">
                      <a:avLst/>
                    </a:prstGeom>
                  </pic:spPr>
                </pic:pic>
              </a:graphicData>
            </a:graphic>
          </wp:inline>
        </w:drawing>
      </w:r>
      <w:r>
        <w:rPr>
          <w:rFonts w:ascii="Times New Roman" w:eastAsia="Times New Roman" w:hAnsi="Times New Roman" w:cs="Times New Roman"/>
          <w:sz w:val="24"/>
        </w:rPr>
        <w:t xml:space="preserve"> </w:t>
      </w:r>
      <w:r>
        <w:t xml:space="preserve"> </w:t>
      </w:r>
    </w:p>
    <w:p w:rsidR="00B064CF" w:rsidRDefault="00E32F70">
      <w:pPr>
        <w:spacing w:after="13" w:line="250" w:lineRule="auto"/>
        <w:ind w:left="906" w:right="684"/>
        <w:jc w:val="center"/>
      </w:pPr>
      <w:r>
        <w:t xml:space="preserve">GRÁFICO 1.2. </w:t>
      </w:r>
    </w:p>
    <w:p w:rsidR="00B064CF" w:rsidRDefault="00E32F70">
      <w:pPr>
        <w:spacing w:after="78" w:line="259" w:lineRule="auto"/>
        <w:ind w:left="360" w:firstLine="0"/>
        <w:jc w:val="left"/>
      </w:pPr>
      <w:r>
        <w:rPr>
          <w:rFonts w:ascii="Calibri" w:eastAsia="Calibri" w:hAnsi="Calibri" w:cs="Calibri"/>
          <w:noProof/>
        </w:rPr>
        <mc:AlternateContent>
          <mc:Choice Requires="wpg">
            <w:drawing>
              <wp:inline distT="0" distB="0" distL="0" distR="0">
                <wp:extent cx="5751323" cy="4213860"/>
                <wp:effectExtent l="0" t="0" r="0" b="0"/>
                <wp:docPr id="398740" name="Group 398740"/>
                <wp:cNvGraphicFramePr/>
                <a:graphic xmlns:a="http://schemas.openxmlformats.org/drawingml/2006/main">
                  <a:graphicData uri="http://schemas.microsoft.com/office/word/2010/wordprocessingGroup">
                    <wpg:wgp>
                      <wpg:cNvGrpSpPr/>
                      <wpg:grpSpPr>
                        <a:xfrm>
                          <a:off x="0" y="0"/>
                          <a:ext cx="5751323" cy="4213860"/>
                          <a:chOff x="0" y="0"/>
                          <a:chExt cx="5751323" cy="4213860"/>
                        </a:xfrm>
                      </wpg:grpSpPr>
                      <pic:pic xmlns:pic="http://schemas.openxmlformats.org/drawingml/2006/picture">
                        <pic:nvPicPr>
                          <pic:cNvPr id="30814" name="Picture 30814"/>
                          <pic:cNvPicPr/>
                        </pic:nvPicPr>
                        <pic:blipFill>
                          <a:blip r:embed="rId46"/>
                          <a:stretch>
                            <a:fillRect/>
                          </a:stretch>
                        </pic:blipFill>
                        <pic:spPr>
                          <a:xfrm>
                            <a:off x="3392424" y="2414016"/>
                            <a:ext cx="2011680" cy="1799844"/>
                          </a:xfrm>
                          <a:prstGeom prst="rect">
                            <a:avLst/>
                          </a:prstGeom>
                        </pic:spPr>
                      </pic:pic>
                      <wps:wsp>
                        <wps:cNvPr id="30816" name="Rectangle 30816"/>
                        <wps:cNvSpPr/>
                        <wps:spPr>
                          <a:xfrm>
                            <a:off x="359969" y="2335007"/>
                            <a:ext cx="51809" cy="207921"/>
                          </a:xfrm>
                          <a:prstGeom prst="rect">
                            <a:avLst/>
                          </a:prstGeom>
                          <a:ln>
                            <a:noFill/>
                          </a:ln>
                        </wps:spPr>
                        <wps:txbx>
                          <w:txbxContent>
                            <w:p w:rsidR="00B064CF" w:rsidRDefault="00E32F70">
                              <w:pPr>
                                <w:spacing w:after="160" w:line="259" w:lineRule="auto"/>
                                <w:ind w:left="0" w:firstLine="0"/>
                                <w:jc w:val="left"/>
                              </w:pPr>
                              <w:r>
                                <w:t xml:space="preserve"> </w:t>
                              </w:r>
                            </w:p>
                          </w:txbxContent>
                        </wps:txbx>
                        <wps:bodyPr horzOverflow="overflow" vert="horz" lIns="0" tIns="0" rIns="0" bIns="0" rtlCol="0">
                          <a:noAutofit/>
                        </wps:bodyPr>
                      </wps:wsp>
                      <wps:wsp>
                        <wps:cNvPr id="30817" name="Rectangle 30817"/>
                        <wps:cNvSpPr/>
                        <wps:spPr>
                          <a:xfrm>
                            <a:off x="809498" y="2335007"/>
                            <a:ext cx="51809" cy="207921"/>
                          </a:xfrm>
                          <a:prstGeom prst="rect">
                            <a:avLst/>
                          </a:prstGeom>
                          <a:ln>
                            <a:noFill/>
                          </a:ln>
                        </wps:spPr>
                        <wps:txbx>
                          <w:txbxContent>
                            <w:p w:rsidR="00B064CF" w:rsidRDefault="00E32F70">
                              <w:pPr>
                                <w:spacing w:after="160" w:line="259" w:lineRule="auto"/>
                                <w:ind w:left="0" w:firstLine="0"/>
                                <w:jc w:val="left"/>
                              </w:pPr>
                              <w:r>
                                <w:t xml:space="preserve"> </w:t>
                              </w:r>
                            </w:p>
                          </w:txbxContent>
                        </wps:txbx>
                        <wps:bodyPr horzOverflow="overflow" vert="horz" lIns="0" tIns="0" rIns="0" bIns="0" rtlCol="0">
                          <a:noAutofit/>
                        </wps:bodyPr>
                      </wps:wsp>
                      <wps:wsp>
                        <wps:cNvPr id="30818" name="Rectangle 30818"/>
                        <wps:cNvSpPr/>
                        <wps:spPr>
                          <a:xfrm>
                            <a:off x="1259078" y="2335007"/>
                            <a:ext cx="51809" cy="207921"/>
                          </a:xfrm>
                          <a:prstGeom prst="rect">
                            <a:avLst/>
                          </a:prstGeom>
                          <a:ln>
                            <a:noFill/>
                          </a:ln>
                        </wps:spPr>
                        <wps:txbx>
                          <w:txbxContent>
                            <w:p w:rsidR="00B064CF" w:rsidRDefault="00E32F70">
                              <w:pPr>
                                <w:spacing w:after="160" w:line="259" w:lineRule="auto"/>
                                <w:ind w:left="0" w:firstLine="0"/>
                                <w:jc w:val="left"/>
                              </w:pPr>
                              <w:r>
                                <w:t xml:space="preserve"> </w:t>
                              </w:r>
                            </w:p>
                          </w:txbxContent>
                        </wps:txbx>
                        <wps:bodyPr horzOverflow="overflow" vert="horz" lIns="0" tIns="0" rIns="0" bIns="0" rtlCol="0">
                          <a:noAutofit/>
                        </wps:bodyPr>
                      </wps:wsp>
                      <wps:wsp>
                        <wps:cNvPr id="30819" name="Rectangle 30819"/>
                        <wps:cNvSpPr/>
                        <wps:spPr>
                          <a:xfrm>
                            <a:off x="1709039" y="2335007"/>
                            <a:ext cx="51809" cy="207921"/>
                          </a:xfrm>
                          <a:prstGeom prst="rect">
                            <a:avLst/>
                          </a:prstGeom>
                          <a:ln>
                            <a:noFill/>
                          </a:ln>
                        </wps:spPr>
                        <wps:txbx>
                          <w:txbxContent>
                            <w:p w:rsidR="00B064CF" w:rsidRDefault="00E32F70">
                              <w:pPr>
                                <w:spacing w:after="160" w:line="259" w:lineRule="auto"/>
                                <w:ind w:left="0" w:firstLine="0"/>
                                <w:jc w:val="left"/>
                              </w:pPr>
                              <w:r>
                                <w:t xml:space="preserve"> </w:t>
                              </w:r>
                            </w:p>
                          </w:txbxContent>
                        </wps:txbx>
                        <wps:bodyPr horzOverflow="overflow" vert="horz" lIns="0" tIns="0" rIns="0" bIns="0" rtlCol="0">
                          <a:noAutofit/>
                        </wps:bodyPr>
                      </wps:wsp>
                      <wps:wsp>
                        <wps:cNvPr id="30820" name="Rectangle 30820"/>
                        <wps:cNvSpPr/>
                        <wps:spPr>
                          <a:xfrm>
                            <a:off x="2158619" y="2335007"/>
                            <a:ext cx="51809" cy="207921"/>
                          </a:xfrm>
                          <a:prstGeom prst="rect">
                            <a:avLst/>
                          </a:prstGeom>
                          <a:ln>
                            <a:noFill/>
                          </a:ln>
                        </wps:spPr>
                        <wps:txbx>
                          <w:txbxContent>
                            <w:p w:rsidR="00B064CF" w:rsidRDefault="00E32F70">
                              <w:pPr>
                                <w:spacing w:after="160" w:line="259" w:lineRule="auto"/>
                                <w:ind w:left="0" w:firstLine="0"/>
                                <w:jc w:val="left"/>
                              </w:pPr>
                              <w:r>
                                <w:t xml:space="preserve"> </w:t>
                              </w:r>
                            </w:p>
                          </w:txbxContent>
                        </wps:txbx>
                        <wps:bodyPr horzOverflow="overflow" vert="horz" lIns="0" tIns="0" rIns="0" bIns="0" rtlCol="0">
                          <a:noAutofit/>
                        </wps:bodyPr>
                      </wps:wsp>
                      <wps:wsp>
                        <wps:cNvPr id="30821" name="Rectangle 30821"/>
                        <wps:cNvSpPr/>
                        <wps:spPr>
                          <a:xfrm>
                            <a:off x="2608199" y="2335007"/>
                            <a:ext cx="51809" cy="207921"/>
                          </a:xfrm>
                          <a:prstGeom prst="rect">
                            <a:avLst/>
                          </a:prstGeom>
                          <a:ln>
                            <a:noFill/>
                          </a:ln>
                        </wps:spPr>
                        <wps:txbx>
                          <w:txbxContent>
                            <w:p w:rsidR="00B064CF" w:rsidRDefault="00E32F70">
                              <w:pPr>
                                <w:spacing w:after="160" w:line="259" w:lineRule="auto"/>
                                <w:ind w:left="0" w:firstLine="0"/>
                                <w:jc w:val="left"/>
                              </w:pPr>
                              <w:r>
                                <w:t xml:space="preserve"> </w:t>
                              </w:r>
                            </w:p>
                          </w:txbxContent>
                        </wps:txbx>
                        <wps:bodyPr horzOverflow="overflow" vert="horz" lIns="0" tIns="0" rIns="0" bIns="0" rtlCol="0">
                          <a:noAutofit/>
                        </wps:bodyPr>
                      </wps:wsp>
                      <wps:wsp>
                        <wps:cNvPr id="30822" name="Rectangle 30822"/>
                        <wps:cNvSpPr/>
                        <wps:spPr>
                          <a:xfrm>
                            <a:off x="3057779" y="2335007"/>
                            <a:ext cx="51809" cy="207921"/>
                          </a:xfrm>
                          <a:prstGeom prst="rect">
                            <a:avLst/>
                          </a:prstGeom>
                          <a:ln>
                            <a:noFill/>
                          </a:ln>
                        </wps:spPr>
                        <wps:txbx>
                          <w:txbxContent>
                            <w:p w:rsidR="00B064CF" w:rsidRDefault="00E32F70">
                              <w:pPr>
                                <w:spacing w:after="160" w:line="259" w:lineRule="auto"/>
                                <w:ind w:left="0" w:firstLine="0"/>
                                <w:jc w:val="left"/>
                              </w:pPr>
                              <w:r>
                                <w:t xml:space="preserve"> </w:t>
                              </w:r>
                            </w:p>
                          </w:txbxContent>
                        </wps:txbx>
                        <wps:bodyPr horzOverflow="overflow" vert="horz" lIns="0" tIns="0" rIns="0" bIns="0" rtlCol="0">
                          <a:noAutofit/>
                        </wps:bodyPr>
                      </wps:wsp>
                      <wps:wsp>
                        <wps:cNvPr id="30823" name="Rectangle 30823"/>
                        <wps:cNvSpPr/>
                        <wps:spPr>
                          <a:xfrm>
                            <a:off x="3507613" y="2335007"/>
                            <a:ext cx="2931008" cy="207921"/>
                          </a:xfrm>
                          <a:prstGeom prst="rect">
                            <a:avLst/>
                          </a:prstGeom>
                          <a:ln>
                            <a:noFill/>
                          </a:ln>
                        </wps:spPr>
                        <wps:txbx>
                          <w:txbxContent>
                            <w:p w:rsidR="00B064CF" w:rsidRDefault="00E32F70">
                              <w:pPr>
                                <w:spacing w:after="160" w:line="259" w:lineRule="auto"/>
                                <w:ind w:left="0" w:firstLine="0"/>
                                <w:jc w:val="left"/>
                              </w:pPr>
                              <w:r>
                                <w:t>PAVIMENTO TÁCTIL ACANALADO</w:t>
                              </w:r>
                            </w:p>
                          </w:txbxContent>
                        </wps:txbx>
                        <wps:bodyPr horzOverflow="overflow" vert="horz" lIns="0" tIns="0" rIns="0" bIns="0" rtlCol="0">
                          <a:noAutofit/>
                        </wps:bodyPr>
                      </wps:wsp>
                      <wps:wsp>
                        <wps:cNvPr id="30824" name="Rectangle 30824"/>
                        <wps:cNvSpPr/>
                        <wps:spPr>
                          <a:xfrm>
                            <a:off x="5713223" y="2326107"/>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0825" name="Rectangle 30825"/>
                        <wps:cNvSpPr/>
                        <wps:spPr>
                          <a:xfrm>
                            <a:off x="305" y="2496550"/>
                            <a:ext cx="51809" cy="207921"/>
                          </a:xfrm>
                          <a:prstGeom prst="rect">
                            <a:avLst/>
                          </a:prstGeom>
                          <a:ln>
                            <a:noFill/>
                          </a:ln>
                        </wps:spPr>
                        <wps:txbx>
                          <w:txbxContent>
                            <w:p w:rsidR="00B064CF" w:rsidRDefault="00E32F70">
                              <w:pPr>
                                <w:spacing w:after="160" w:line="259" w:lineRule="auto"/>
                                <w:ind w:left="0" w:firstLine="0"/>
                                <w:jc w:val="left"/>
                              </w:pPr>
                              <w:r>
                                <w:t xml:space="preserve"> </w:t>
                              </w:r>
                            </w:p>
                          </w:txbxContent>
                        </wps:txbx>
                        <wps:bodyPr horzOverflow="overflow" vert="horz" lIns="0" tIns="0" rIns="0" bIns="0" rtlCol="0">
                          <a:noAutofit/>
                        </wps:bodyPr>
                      </wps:wsp>
                      <wps:wsp>
                        <wps:cNvPr id="30826" name="Rectangle 30826"/>
                        <wps:cNvSpPr/>
                        <wps:spPr>
                          <a:xfrm>
                            <a:off x="305" y="2656571"/>
                            <a:ext cx="51809" cy="207921"/>
                          </a:xfrm>
                          <a:prstGeom prst="rect">
                            <a:avLst/>
                          </a:prstGeom>
                          <a:ln>
                            <a:noFill/>
                          </a:ln>
                        </wps:spPr>
                        <wps:txbx>
                          <w:txbxContent>
                            <w:p w:rsidR="00B064CF" w:rsidRDefault="00E32F70">
                              <w:pPr>
                                <w:spacing w:after="160" w:line="259" w:lineRule="auto"/>
                                <w:ind w:left="0" w:firstLine="0"/>
                                <w:jc w:val="left"/>
                              </w:pPr>
                              <w:r>
                                <w:t xml:space="preserve"> </w:t>
                              </w:r>
                            </w:p>
                          </w:txbxContent>
                        </wps:txbx>
                        <wps:bodyPr horzOverflow="overflow" vert="horz" lIns="0" tIns="0" rIns="0" bIns="0" rtlCol="0">
                          <a:noAutofit/>
                        </wps:bodyPr>
                      </wps:wsp>
                      <wps:wsp>
                        <wps:cNvPr id="30827" name="Rectangle 30827"/>
                        <wps:cNvSpPr/>
                        <wps:spPr>
                          <a:xfrm>
                            <a:off x="305" y="2816591"/>
                            <a:ext cx="51809" cy="207921"/>
                          </a:xfrm>
                          <a:prstGeom prst="rect">
                            <a:avLst/>
                          </a:prstGeom>
                          <a:ln>
                            <a:noFill/>
                          </a:ln>
                        </wps:spPr>
                        <wps:txbx>
                          <w:txbxContent>
                            <w:p w:rsidR="00B064CF" w:rsidRDefault="00E32F70">
                              <w:pPr>
                                <w:spacing w:after="160" w:line="259" w:lineRule="auto"/>
                                <w:ind w:left="0" w:firstLine="0"/>
                                <w:jc w:val="left"/>
                              </w:pPr>
                              <w:r>
                                <w:t xml:space="preserve"> </w:t>
                              </w:r>
                            </w:p>
                          </w:txbxContent>
                        </wps:txbx>
                        <wps:bodyPr horzOverflow="overflow" vert="horz" lIns="0" tIns="0" rIns="0" bIns="0" rtlCol="0">
                          <a:noAutofit/>
                        </wps:bodyPr>
                      </wps:wsp>
                      <wps:wsp>
                        <wps:cNvPr id="30828" name="Rectangle 30828"/>
                        <wps:cNvSpPr/>
                        <wps:spPr>
                          <a:xfrm>
                            <a:off x="305" y="2978135"/>
                            <a:ext cx="51809" cy="207921"/>
                          </a:xfrm>
                          <a:prstGeom prst="rect">
                            <a:avLst/>
                          </a:prstGeom>
                          <a:ln>
                            <a:noFill/>
                          </a:ln>
                        </wps:spPr>
                        <wps:txbx>
                          <w:txbxContent>
                            <w:p w:rsidR="00B064CF" w:rsidRDefault="00E32F70">
                              <w:pPr>
                                <w:spacing w:after="160" w:line="259" w:lineRule="auto"/>
                                <w:ind w:left="0" w:firstLine="0"/>
                                <w:jc w:val="left"/>
                              </w:pPr>
                              <w:r>
                                <w:t xml:space="preserve"> </w:t>
                              </w:r>
                            </w:p>
                          </w:txbxContent>
                        </wps:txbx>
                        <wps:bodyPr horzOverflow="overflow" vert="horz" lIns="0" tIns="0" rIns="0" bIns="0" rtlCol="0">
                          <a:noAutofit/>
                        </wps:bodyPr>
                      </wps:wsp>
                      <wps:wsp>
                        <wps:cNvPr id="30829" name="Rectangle 30829"/>
                        <wps:cNvSpPr/>
                        <wps:spPr>
                          <a:xfrm>
                            <a:off x="305" y="3138155"/>
                            <a:ext cx="51809" cy="207921"/>
                          </a:xfrm>
                          <a:prstGeom prst="rect">
                            <a:avLst/>
                          </a:prstGeom>
                          <a:ln>
                            <a:noFill/>
                          </a:ln>
                        </wps:spPr>
                        <wps:txbx>
                          <w:txbxContent>
                            <w:p w:rsidR="00B064CF" w:rsidRDefault="00E32F70">
                              <w:pPr>
                                <w:spacing w:after="160" w:line="259" w:lineRule="auto"/>
                                <w:ind w:left="0" w:firstLine="0"/>
                                <w:jc w:val="left"/>
                              </w:pPr>
                              <w:r>
                                <w:t xml:space="preserve"> </w:t>
                              </w:r>
                            </w:p>
                          </w:txbxContent>
                        </wps:txbx>
                        <wps:bodyPr horzOverflow="overflow" vert="horz" lIns="0" tIns="0" rIns="0" bIns="0" rtlCol="0">
                          <a:noAutofit/>
                        </wps:bodyPr>
                      </wps:wsp>
                      <wps:wsp>
                        <wps:cNvPr id="30830" name="Rectangle 30830"/>
                        <wps:cNvSpPr/>
                        <wps:spPr>
                          <a:xfrm>
                            <a:off x="305" y="3299953"/>
                            <a:ext cx="51809" cy="207921"/>
                          </a:xfrm>
                          <a:prstGeom prst="rect">
                            <a:avLst/>
                          </a:prstGeom>
                          <a:ln>
                            <a:noFill/>
                          </a:ln>
                        </wps:spPr>
                        <wps:txbx>
                          <w:txbxContent>
                            <w:p w:rsidR="00B064CF" w:rsidRDefault="00E32F70">
                              <w:pPr>
                                <w:spacing w:after="160" w:line="259" w:lineRule="auto"/>
                                <w:ind w:left="0" w:firstLine="0"/>
                                <w:jc w:val="left"/>
                              </w:pPr>
                              <w:r>
                                <w:t xml:space="preserve"> </w:t>
                              </w:r>
                            </w:p>
                          </w:txbxContent>
                        </wps:txbx>
                        <wps:bodyPr horzOverflow="overflow" vert="horz" lIns="0" tIns="0" rIns="0" bIns="0" rtlCol="0">
                          <a:noAutofit/>
                        </wps:bodyPr>
                      </wps:wsp>
                      <wps:wsp>
                        <wps:cNvPr id="30831" name="Rectangle 30831"/>
                        <wps:cNvSpPr/>
                        <wps:spPr>
                          <a:xfrm>
                            <a:off x="305" y="3459973"/>
                            <a:ext cx="51809" cy="207921"/>
                          </a:xfrm>
                          <a:prstGeom prst="rect">
                            <a:avLst/>
                          </a:prstGeom>
                          <a:ln>
                            <a:noFill/>
                          </a:ln>
                        </wps:spPr>
                        <wps:txbx>
                          <w:txbxContent>
                            <w:p w:rsidR="00B064CF" w:rsidRDefault="00E32F70">
                              <w:pPr>
                                <w:spacing w:after="160" w:line="259" w:lineRule="auto"/>
                                <w:ind w:left="0" w:firstLine="0"/>
                                <w:jc w:val="left"/>
                              </w:pPr>
                              <w:r>
                                <w:t xml:space="preserve"> </w:t>
                              </w:r>
                            </w:p>
                          </w:txbxContent>
                        </wps:txbx>
                        <wps:bodyPr horzOverflow="overflow" vert="horz" lIns="0" tIns="0" rIns="0" bIns="0" rtlCol="0">
                          <a:noAutofit/>
                        </wps:bodyPr>
                      </wps:wsp>
                      <wps:wsp>
                        <wps:cNvPr id="30832" name="Rectangle 30832"/>
                        <wps:cNvSpPr/>
                        <wps:spPr>
                          <a:xfrm>
                            <a:off x="2582291" y="3621517"/>
                            <a:ext cx="1208710" cy="207921"/>
                          </a:xfrm>
                          <a:prstGeom prst="rect">
                            <a:avLst/>
                          </a:prstGeom>
                          <a:ln>
                            <a:noFill/>
                          </a:ln>
                        </wps:spPr>
                        <wps:txbx>
                          <w:txbxContent>
                            <w:p w:rsidR="00B064CF" w:rsidRDefault="00E32F70">
                              <w:pPr>
                                <w:spacing w:after="160" w:line="259" w:lineRule="auto"/>
                                <w:ind w:left="0" w:firstLine="0"/>
                                <w:jc w:val="left"/>
                              </w:pPr>
                              <w:r>
                                <w:t>GRÁFICO 1.3.</w:t>
                              </w:r>
                            </w:p>
                          </w:txbxContent>
                        </wps:txbx>
                        <wps:bodyPr horzOverflow="overflow" vert="horz" lIns="0" tIns="0" rIns="0" bIns="0" rtlCol="0">
                          <a:noAutofit/>
                        </wps:bodyPr>
                      </wps:wsp>
                      <wps:wsp>
                        <wps:cNvPr id="30833" name="Rectangle 30833"/>
                        <wps:cNvSpPr/>
                        <wps:spPr>
                          <a:xfrm>
                            <a:off x="3490849" y="3621517"/>
                            <a:ext cx="51809" cy="207921"/>
                          </a:xfrm>
                          <a:prstGeom prst="rect">
                            <a:avLst/>
                          </a:prstGeom>
                          <a:ln>
                            <a:noFill/>
                          </a:ln>
                        </wps:spPr>
                        <wps:txbx>
                          <w:txbxContent>
                            <w:p w:rsidR="00B064CF" w:rsidRDefault="00E32F7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0845" name="Picture 30845"/>
                          <pic:cNvPicPr/>
                        </pic:nvPicPr>
                        <pic:blipFill>
                          <a:blip r:embed="rId47"/>
                          <a:stretch>
                            <a:fillRect/>
                          </a:stretch>
                        </pic:blipFill>
                        <pic:spPr>
                          <a:xfrm>
                            <a:off x="0" y="0"/>
                            <a:ext cx="5401057" cy="2331720"/>
                          </a:xfrm>
                          <a:prstGeom prst="rect">
                            <a:avLst/>
                          </a:prstGeom>
                        </pic:spPr>
                      </pic:pic>
                      <wps:wsp>
                        <wps:cNvPr id="30848" name="Shape 30848"/>
                        <wps:cNvSpPr/>
                        <wps:spPr>
                          <a:xfrm>
                            <a:off x="4829557" y="1668653"/>
                            <a:ext cx="191008" cy="1090803"/>
                          </a:xfrm>
                          <a:custGeom>
                            <a:avLst/>
                            <a:gdLst/>
                            <a:ahLst/>
                            <a:cxnLst/>
                            <a:rect l="0" t="0" r="0" b="0"/>
                            <a:pathLst>
                              <a:path w="191008" h="1090803">
                                <a:moveTo>
                                  <a:pt x="188849" y="0"/>
                                </a:moveTo>
                                <a:lnTo>
                                  <a:pt x="191008" y="12446"/>
                                </a:lnTo>
                                <a:lnTo>
                                  <a:pt x="187418" y="13061"/>
                                </a:lnTo>
                                <a:lnTo>
                                  <a:pt x="184686" y="14508"/>
                                </a:lnTo>
                                <a:lnTo>
                                  <a:pt x="181136" y="17550"/>
                                </a:lnTo>
                                <a:lnTo>
                                  <a:pt x="177038" y="22352"/>
                                </a:lnTo>
                                <a:lnTo>
                                  <a:pt x="177546" y="21844"/>
                                </a:lnTo>
                                <a:lnTo>
                                  <a:pt x="173100" y="28448"/>
                                </a:lnTo>
                                <a:lnTo>
                                  <a:pt x="173355" y="27940"/>
                                </a:lnTo>
                                <a:lnTo>
                                  <a:pt x="169163" y="35814"/>
                                </a:lnTo>
                                <a:lnTo>
                                  <a:pt x="169290" y="35433"/>
                                </a:lnTo>
                                <a:lnTo>
                                  <a:pt x="164973" y="44577"/>
                                </a:lnTo>
                                <a:lnTo>
                                  <a:pt x="165100" y="44323"/>
                                </a:lnTo>
                                <a:lnTo>
                                  <a:pt x="160909" y="54737"/>
                                </a:lnTo>
                                <a:lnTo>
                                  <a:pt x="161036" y="54610"/>
                                </a:lnTo>
                                <a:lnTo>
                                  <a:pt x="156894" y="66030"/>
                                </a:lnTo>
                                <a:lnTo>
                                  <a:pt x="152908" y="78613"/>
                                </a:lnTo>
                                <a:lnTo>
                                  <a:pt x="153035" y="78486"/>
                                </a:lnTo>
                                <a:lnTo>
                                  <a:pt x="148971" y="92329"/>
                                </a:lnTo>
                                <a:lnTo>
                                  <a:pt x="148971" y="92075"/>
                                </a:lnTo>
                                <a:lnTo>
                                  <a:pt x="145161" y="106934"/>
                                </a:lnTo>
                                <a:lnTo>
                                  <a:pt x="145161" y="106807"/>
                                </a:lnTo>
                                <a:lnTo>
                                  <a:pt x="141477" y="122682"/>
                                </a:lnTo>
                                <a:lnTo>
                                  <a:pt x="141477" y="122555"/>
                                </a:lnTo>
                                <a:lnTo>
                                  <a:pt x="137795" y="139319"/>
                                </a:lnTo>
                                <a:lnTo>
                                  <a:pt x="137795" y="139192"/>
                                </a:lnTo>
                                <a:lnTo>
                                  <a:pt x="134238" y="156845"/>
                                </a:lnTo>
                                <a:lnTo>
                                  <a:pt x="134238" y="156718"/>
                                </a:lnTo>
                                <a:lnTo>
                                  <a:pt x="130810" y="175260"/>
                                </a:lnTo>
                                <a:lnTo>
                                  <a:pt x="127635" y="194437"/>
                                </a:lnTo>
                                <a:lnTo>
                                  <a:pt x="124460" y="214376"/>
                                </a:lnTo>
                                <a:lnTo>
                                  <a:pt x="124460" y="214249"/>
                                </a:lnTo>
                                <a:lnTo>
                                  <a:pt x="121538" y="234950"/>
                                </a:lnTo>
                                <a:lnTo>
                                  <a:pt x="121538" y="234823"/>
                                </a:lnTo>
                                <a:lnTo>
                                  <a:pt x="118745" y="256159"/>
                                </a:lnTo>
                                <a:lnTo>
                                  <a:pt x="116077" y="278130"/>
                                </a:lnTo>
                                <a:lnTo>
                                  <a:pt x="116077" y="278003"/>
                                </a:lnTo>
                                <a:lnTo>
                                  <a:pt x="113792" y="300482"/>
                                </a:lnTo>
                                <a:lnTo>
                                  <a:pt x="113792" y="300355"/>
                                </a:lnTo>
                                <a:lnTo>
                                  <a:pt x="109347" y="346710"/>
                                </a:lnTo>
                                <a:lnTo>
                                  <a:pt x="109347" y="346583"/>
                                </a:lnTo>
                                <a:lnTo>
                                  <a:pt x="105918" y="394589"/>
                                </a:lnTo>
                                <a:lnTo>
                                  <a:pt x="105918" y="394462"/>
                                </a:lnTo>
                                <a:lnTo>
                                  <a:pt x="103377" y="443611"/>
                                </a:lnTo>
                                <a:lnTo>
                                  <a:pt x="103377" y="443484"/>
                                </a:lnTo>
                                <a:lnTo>
                                  <a:pt x="101726" y="493395"/>
                                </a:lnTo>
                                <a:lnTo>
                                  <a:pt x="101853" y="493141"/>
                                </a:lnTo>
                                <a:lnTo>
                                  <a:pt x="101346" y="543433"/>
                                </a:lnTo>
                                <a:lnTo>
                                  <a:pt x="100711" y="593852"/>
                                </a:lnTo>
                                <a:lnTo>
                                  <a:pt x="99187" y="643890"/>
                                </a:lnTo>
                                <a:lnTo>
                                  <a:pt x="96647" y="693166"/>
                                </a:lnTo>
                                <a:lnTo>
                                  <a:pt x="93090" y="741172"/>
                                </a:lnTo>
                                <a:lnTo>
                                  <a:pt x="88773" y="787654"/>
                                </a:lnTo>
                                <a:lnTo>
                                  <a:pt x="86360" y="810260"/>
                                </a:lnTo>
                                <a:lnTo>
                                  <a:pt x="83693" y="832231"/>
                                </a:lnTo>
                                <a:lnTo>
                                  <a:pt x="81025" y="853694"/>
                                </a:lnTo>
                                <a:lnTo>
                                  <a:pt x="77977" y="874395"/>
                                </a:lnTo>
                                <a:lnTo>
                                  <a:pt x="74802" y="894461"/>
                                </a:lnTo>
                                <a:lnTo>
                                  <a:pt x="71627" y="913892"/>
                                </a:lnTo>
                                <a:lnTo>
                                  <a:pt x="68199" y="932434"/>
                                </a:lnTo>
                                <a:lnTo>
                                  <a:pt x="64643" y="950214"/>
                                </a:lnTo>
                                <a:lnTo>
                                  <a:pt x="60833" y="967105"/>
                                </a:lnTo>
                                <a:lnTo>
                                  <a:pt x="57150" y="982980"/>
                                </a:lnTo>
                                <a:lnTo>
                                  <a:pt x="53213" y="998093"/>
                                </a:lnTo>
                                <a:lnTo>
                                  <a:pt x="49718" y="1009996"/>
                                </a:lnTo>
                                <a:lnTo>
                                  <a:pt x="57023" y="999617"/>
                                </a:lnTo>
                                <a:cubicBezTo>
                                  <a:pt x="59055" y="996696"/>
                                  <a:pt x="62992" y="996061"/>
                                  <a:pt x="65786" y="998093"/>
                                </a:cubicBezTo>
                                <a:cubicBezTo>
                                  <a:pt x="68707" y="1000125"/>
                                  <a:pt x="69342" y="1004062"/>
                                  <a:pt x="67437" y="1006856"/>
                                </a:cubicBezTo>
                                <a:lnTo>
                                  <a:pt x="31215" y="1058382"/>
                                </a:lnTo>
                                <a:lnTo>
                                  <a:pt x="27559" y="1065276"/>
                                </a:lnTo>
                                <a:lnTo>
                                  <a:pt x="24249" y="1070285"/>
                                </a:lnTo>
                                <a:lnTo>
                                  <a:pt x="99822" y="1077722"/>
                                </a:lnTo>
                                <a:cubicBezTo>
                                  <a:pt x="103377" y="1078103"/>
                                  <a:pt x="105918" y="1081151"/>
                                  <a:pt x="105537" y="1084707"/>
                                </a:cubicBezTo>
                                <a:cubicBezTo>
                                  <a:pt x="105156" y="1088136"/>
                                  <a:pt x="102108" y="1090803"/>
                                  <a:pt x="98551" y="1090422"/>
                                </a:cubicBezTo>
                                <a:lnTo>
                                  <a:pt x="0" y="1080643"/>
                                </a:lnTo>
                                <a:lnTo>
                                  <a:pt x="20609" y="1051359"/>
                                </a:lnTo>
                                <a:lnTo>
                                  <a:pt x="24892" y="1042289"/>
                                </a:lnTo>
                                <a:lnTo>
                                  <a:pt x="24765" y="1042543"/>
                                </a:lnTo>
                                <a:lnTo>
                                  <a:pt x="28956" y="1032129"/>
                                </a:lnTo>
                                <a:lnTo>
                                  <a:pt x="28956" y="1032256"/>
                                </a:lnTo>
                                <a:lnTo>
                                  <a:pt x="33081" y="1020882"/>
                                </a:lnTo>
                                <a:lnTo>
                                  <a:pt x="36957" y="1008253"/>
                                </a:lnTo>
                                <a:lnTo>
                                  <a:pt x="36957" y="1008380"/>
                                </a:lnTo>
                                <a:lnTo>
                                  <a:pt x="40894" y="994537"/>
                                </a:lnTo>
                                <a:lnTo>
                                  <a:pt x="40894" y="994791"/>
                                </a:lnTo>
                                <a:lnTo>
                                  <a:pt x="44831" y="979932"/>
                                </a:lnTo>
                                <a:lnTo>
                                  <a:pt x="44831" y="980059"/>
                                </a:lnTo>
                                <a:lnTo>
                                  <a:pt x="48514" y="964184"/>
                                </a:lnTo>
                                <a:lnTo>
                                  <a:pt x="48514" y="964311"/>
                                </a:lnTo>
                                <a:lnTo>
                                  <a:pt x="52197" y="947547"/>
                                </a:lnTo>
                                <a:lnTo>
                                  <a:pt x="52197" y="947674"/>
                                </a:lnTo>
                                <a:lnTo>
                                  <a:pt x="55625" y="930021"/>
                                </a:lnTo>
                                <a:lnTo>
                                  <a:pt x="55625" y="930148"/>
                                </a:lnTo>
                                <a:lnTo>
                                  <a:pt x="59055" y="911606"/>
                                </a:lnTo>
                                <a:lnTo>
                                  <a:pt x="59055" y="911733"/>
                                </a:lnTo>
                                <a:lnTo>
                                  <a:pt x="62357" y="892429"/>
                                </a:lnTo>
                                <a:lnTo>
                                  <a:pt x="65405" y="872490"/>
                                </a:lnTo>
                                <a:lnTo>
                                  <a:pt x="65405" y="872617"/>
                                </a:lnTo>
                                <a:lnTo>
                                  <a:pt x="68452" y="851916"/>
                                </a:lnTo>
                                <a:lnTo>
                                  <a:pt x="68325" y="852043"/>
                                </a:lnTo>
                                <a:lnTo>
                                  <a:pt x="71120" y="830707"/>
                                </a:lnTo>
                                <a:lnTo>
                                  <a:pt x="73787" y="808736"/>
                                </a:lnTo>
                                <a:lnTo>
                                  <a:pt x="73787" y="808863"/>
                                </a:lnTo>
                                <a:lnTo>
                                  <a:pt x="76200" y="786384"/>
                                </a:lnTo>
                                <a:lnTo>
                                  <a:pt x="76200" y="786511"/>
                                </a:lnTo>
                                <a:lnTo>
                                  <a:pt x="80390" y="740156"/>
                                </a:lnTo>
                                <a:lnTo>
                                  <a:pt x="80390" y="740283"/>
                                </a:lnTo>
                                <a:lnTo>
                                  <a:pt x="83947" y="692277"/>
                                </a:lnTo>
                                <a:lnTo>
                                  <a:pt x="83947" y="692404"/>
                                </a:lnTo>
                                <a:lnTo>
                                  <a:pt x="86487" y="643255"/>
                                </a:lnTo>
                                <a:lnTo>
                                  <a:pt x="86487" y="643382"/>
                                </a:lnTo>
                                <a:lnTo>
                                  <a:pt x="88011" y="593471"/>
                                </a:lnTo>
                                <a:lnTo>
                                  <a:pt x="88011" y="593598"/>
                                </a:lnTo>
                                <a:lnTo>
                                  <a:pt x="88646" y="543433"/>
                                </a:lnTo>
                                <a:lnTo>
                                  <a:pt x="89153" y="493014"/>
                                </a:lnTo>
                                <a:lnTo>
                                  <a:pt x="90677" y="442976"/>
                                </a:lnTo>
                                <a:lnTo>
                                  <a:pt x="93345" y="393700"/>
                                </a:lnTo>
                                <a:lnTo>
                                  <a:pt x="96774" y="345694"/>
                                </a:lnTo>
                                <a:lnTo>
                                  <a:pt x="101092" y="299212"/>
                                </a:lnTo>
                                <a:lnTo>
                                  <a:pt x="103505" y="276606"/>
                                </a:lnTo>
                                <a:lnTo>
                                  <a:pt x="106172" y="254635"/>
                                </a:lnTo>
                                <a:lnTo>
                                  <a:pt x="108965" y="233172"/>
                                </a:lnTo>
                                <a:lnTo>
                                  <a:pt x="111887" y="212471"/>
                                </a:lnTo>
                                <a:lnTo>
                                  <a:pt x="115062" y="192405"/>
                                </a:lnTo>
                                <a:lnTo>
                                  <a:pt x="118363" y="173101"/>
                                </a:lnTo>
                                <a:lnTo>
                                  <a:pt x="121793" y="154432"/>
                                </a:lnTo>
                                <a:lnTo>
                                  <a:pt x="125349" y="136652"/>
                                </a:lnTo>
                                <a:lnTo>
                                  <a:pt x="129032" y="119761"/>
                                </a:lnTo>
                                <a:lnTo>
                                  <a:pt x="132842" y="103886"/>
                                </a:lnTo>
                                <a:lnTo>
                                  <a:pt x="136778" y="88773"/>
                                </a:lnTo>
                                <a:lnTo>
                                  <a:pt x="140843" y="74930"/>
                                </a:lnTo>
                                <a:lnTo>
                                  <a:pt x="144907" y="61849"/>
                                </a:lnTo>
                                <a:lnTo>
                                  <a:pt x="149098" y="50165"/>
                                </a:lnTo>
                                <a:lnTo>
                                  <a:pt x="153415" y="39370"/>
                                </a:lnTo>
                                <a:lnTo>
                                  <a:pt x="157861" y="29972"/>
                                </a:lnTo>
                                <a:lnTo>
                                  <a:pt x="162433" y="21590"/>
                                </a:lnTo>
                                <a:lnTo>
                                  <a:pt x="167132" y="14478"/>
                                </a:lnTo>
                                <a:lnTo>
                                  <a:pt x="172085" y="8636"/>
                                </a:lnTo>
                                <a:lnTo>
                                  <a:pt x="177546" y="3937"/>
                                </a:lnTo>
                                <a:lnTo>
                                  <a:pt x="183388" y="889"/>
                                </a:lnTo>
                                <a:lnTo>
                                  <a:pt x="188849" y="0"/>
                                </a:lnTo>
                                <a:close/>
                              </a:path>
                            </a:pathLst>
                          </a:custGeom>
                          <a:ln w="0" cap="sq">
                            <a:miter lim="127000"/>
                          </a:ln>
                        </wps:spPr>
                        <wps:style>
                          <a:lnRef idx="0">
                            <a:srgbClr val="000000">
                              <a:alpha val="0"/>
                            </a:srgbClr>
                          </a:lnRef>
                          <a:fillRef idx="1">
                            <a:srgbClr val="A5A5A5"/>
                          </a:fillRef>
                          <a:effectRef idx="0">
                            <a:scrgbClr r="0" g="0" b="0"/>
                          </a:effectRef>
                          <a:fontRef idx="none"/>
                        </wps:style>
                        <wps:bodyPr/>
                      </wps:wsp>
                    </wpg:wgp>
                  </a:graphicData>
                </a:graphic>
              </wp:inline>
            </w:drawing>
          </mc:Choice>
          <mc:Fallback xmlns:a="http://schemas.openxmlformats.org/drawingml/2006/main">
            <w:pict>
              <v:group id="Group 398740" style="width:452.86pt;height:331.8pt;mso-position-horizontal-relative:char;mso-position-vertical-relative:line" coordsize="57513,42138">
                <v:shape id="Picture 30814" style="position:absolute;width:20116;height:17998;left:33924;top:24140;" filled="f">
                  <v:imagedata r:id="rId48"/>
                </v:shape>
                <v:rect id="Rectangle 30816" style="position:absolute;width:518;height:2079;left:3599;top:23350;" filled="f" stroked="f">
                  <v:textbox inset="0,0,0,0">
                    <w:txbxContent>
                      <w:p>
                        <w:pPr>
                          <w:spacing w:before="0" w:after="160" w:line="259" w:lineRule="auto"/>
                          <w:ind w:left="0" w:firstLine="0"/>
                          <w:jc w:val="left"/>
                        </w:pPr>
                        <w:r>
                          <w:rPr/>
                          <w:t xml:space="preserve"> </w:t>
                        </w:r>
                      </w:p>
                    </w:txbxContent>
                  </v:textbox>
                </v:rect>
                <v:rect id="Rectangle 30817" style="position:absolute;width:518;height:2079;left:8094;top:23350;" filled="f" stroked="f">
                  <v:textbox inset="0,0,0,0">
                    <w:txbxContent>
                      <w:p>
                        <w:pPr>
                          <w:spacing w:before="0" w:after="160" w:line="259" w:lineRule="auto"/>
                          <w:ind w:left="0" w:firstLine="0"/>
                          <w:jc w:val="left"/>
                        </w:pPr>
                        <w:r>
                          <w:rPr/>
                          <w:t xml:space="preserve"> </w:t>
                        </w:r>
                      </w:p>
                    </w:txbxContent>
                  </v:textbox>
                </v:rect>
                <v:rect id="Rectangle 30818" style="position:absolute;width:518;height:2079;left:12590;top:23350;" filled="f" stroked="f">
                  <v:textbox inset="0,0,0,0">
                    <w:txbxContent>
                      <w:p>
                        <w:pPr>
                          <w:spacing w:before="0" w:after="160" w:line="259" w:lineRule="auto"/>
                          <w:ind w:left="0" w:firstLine="0"/>
                          <w:jc w:val="left"/>
                        </w:pPr>
                        <w:r>
                          <w:rPr/>
                          <w:t xml:space="preserve"> </w:t>
                        </w:r>
                      </w:p>
                    </w:txbxContent>
                  </v:textbox>
                </v:rect>
                <v:rect id="Rectangle 30819" style="position:absolute;width:518;height:2079;left:17090;top:23350;" filled="f" stroked="f">
                  <v:textbox inset="0,0,0,0">
                    <w:txbxContent>
                      <w:p>
                        <w:pPr>
                          <w:spacing w:before="0" w:after="160" w:line="259" w:lineRule="auto"/>
                          <w:ind w:left="0" w:firstLine="0"/>
                          <w:jc w:val="left"/>
                        </w:pPr>
                        <w:r>
                          <w:rPr/>
                          <w:t xml:space="preserve"> </w:t>
                        </w:r>
                      </w:p>
                    </w:txbxContent>
                  </v:textbox>
                </v:rect>
                <v:rect id="Rectangle 30820" style="position:absolute;width:518;height:2079;left:21586;top:23350;" filled="f" stroked="f">
                  <v:textbox inset="0,0,0,0">
                    <w:txbxContent>
                      <w:p>
                        <w:pPr>
                          <w:spacing w:before="0" w:after="160" w:line="259" w:lineRule="auto"/>
                          <w:ind w:left="0" w:firstLine="0"/>
                          <w:jc w:val="left"/>
                        </w:pPr>
                        <w:r>
                          <w:rPr/>
                          <w:t xml:space="preserve"> </w:t>
                        </w:r>
                      </w:p>
                    </w:txbxContent>
                  </v:textbox>
                </v:rect>
                <v:rect id="Rectangle 30821" style="position:absolute;width:518;height:2079;left:26081;top:23350;" filled="f" stroked="f">
                  <v:textbox inset="0,0,0,0">
                    <w:txbxContent>
                      <w:p>
                        <w:pPr>
                          <w:spacing w:before="0" w:after="160" w:line="259" w:lineRule="auto"/>
                          <w:ind w:left="0" w:firstLine="0"/>
                          <w:jc w:val="left"/>
                        </w:pPr>
                        <w:r>
                          <w:rPr/>
                          <w:t xml:space="preserve"> </w:t>
                        </w:r>
                      </w:p>
                    </w:txbxContent>
                  </v:textbox>
                </v:rect>
                <v:rect id="Rectangle 30822" style="position:absolute;width:518;height:2079;left:30577;top:23350;" filled="f" stroked="f">
                  <v:textbox inset="0,0,0,0">
                    <w:txbxContent>
                      <w:p>
                        <w:pPr>
                          <w:spacing w:before="0" w:after="160" w:line="259" w:lineRule="auto"/>
                          <w:ind w:left="0" w:firstLine="0"/>
                          <w:jc w:val="left"/>
                        </w:pPr>
                        <w:r>
                          <w:rPr/>
                          <w:t xml:space="preserve"> </w:t>
                        </w:r>
                      </w:p>
                    </w:txbxContent>
                  </v:textbox>
                </v:rect>
                <v:rect id="Rectangle 30823" style="position:absolute;width:29310;height:2079;left:35076;top:23350;" filled="f" stroked="f">
                  <v:textbox inset="0,0,0,0">
                    <w:txbxContent>
                      <w:p>
                        <w:pPr>
                          <w:spacing w:before="0" w:after="160" w:line="259" w:lineRule="auto"/>
                          <w:ind w:left="0" w:firstLine="0"/>
                          <w:jc w:val="left"/>
                        </w:pPr>
                        <w:r>
                          <w:rPr/>
                          <w:t xml:space="preserve">PAVIMENTO TÁCTIL ACANALADO</w:t>
                        </w:r>
                      </w:p>
                    </w:txbxContent>
                  </v:textbox>
                </v:rect>
                <v:rect id="Rectangle 30824" style="position:absolute;width:506;height:2243;left:57132;top:2326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0825" style="position:absolute;width:518;height:2079;left:3;top:24965;" filled="f" stroked="f">
                  <v:textbox inset="0,0,0,0">
                    <w:txbxContent>
                      <w:p>
                        <w:pPr>
                          <w:spacing w:before="0" w:after="160" w:line="259" w:lineRule="auto"/>
                          <w:ind w:left="0" w:firstLine="0"/>
                          <w:jc w:val="left"/>
                        </w:pPr>
                        <w:r>
                          <w:rPr/>
                          <w:t xml:space="preserve"> </w:t>
                        </w:r>
                      </w:p>
                    </w:txbxContent>
                  </v:textbox>
                </v:rect>
                <v:rect id="Rectangle 30826" style="position:absolute;width:518;height:2079;left:3;top:26565;" filled="f" stroked="f">
                  <v:textbox inset="0,0,0,0">
                    <w:txbxContent>
                      <w:p>
                        <w:pPr>
                          <w:spacing w:before="0" w:after="160" w:line="259" w:lineRule="auto"/>
                          <w:ind w:left="0" w:firstLine="0"/>
                          <w:jc w:val="left"/>
                        </w:pPr>
                        <w:r>
                          <w:rPr/>
                          <w:t xml:space="preserve"> </w:t>
                        </w:r>
                      </w:p>
                    </w:txbxContent>
                  </v:textbox>
                </v:rect>
                <v:rect id="Rectangle 30827" style="position:absolute;width:518;height:2079;left:3;top:28165;" filled="f" stroked="f">
                  <v:textbox inset="0,0,0,0">
                    <w:txbxContent>
                      <w:p>
                        <w:pPr>
                          <w:spacing w:before="0" w:after="160" w:line="259" w:lineRule="auto"/>
                          <w:ind w:left="0" w:firstLine="0"/>
                          <w:jc w:val="left"/>
                        </w:pPr>
                        <w:r>
                          <w:rPr/>
                          <w:t xml:space="preserve"> </w:t>
                        </w:r>
                      </w:p>
                    </w:txbxContent>
                  </v:textbox>
                </v:rect>
                <v:rect id="Rectangle 30828" style="position:absolute;width:518;height:2079;left:3;top:29781;" filled="f" stroked="f">
                  <v:textbox inset="0,0,0,0">
                    <w:txbxContent>
                      <w:p>
                        <w:pPr>
                          <w:spacing w:before="0" w:after="160" w:line="259" w:lineRule="auto"/>
                          <w:ind w:left="0" w:firstLine="0"/>
                          <w:jc w:val="left"/>
                        </w:pPr>
                        <w:r>
                          <w:rPr/>
                          <w:t xml:space="preserve"> </w:t>
                        </w:r>
                      </w:p>
                    </w:txbxContent>
                  </v:textbox>
                </v:rect>
                <v:rect id="Rectangle 30829" style="position:absolute;width:518;height:2079;left:3;top:31381;" filled="f" stroked="f">
                  <v:textbox inset="0,0,0,0">
                    <w:txbxContent>
                      <w:p>
                        <w:pPr>
                          <w:spacing w:before="0" w:after="160" w:line="259" w:lineRule="auto"/>
                          <w:ind w:left="0" w:firstLine="0"/>
                          <w:jc w:val="left"/>
                        </w:pPr>
                        <w:r>
                          <w:rPr/>
                          <w:t xml:space="preserve"> </w:t>
                        </w:r>
                      </w:p>
                    </w:txbxContent>
                  </v:textbox>
                </v:rect>
                <v:rect id="Rectangle 30830" style="position:absolute;width:518;height:2079;left:3;top:32999;" filled="f" stroked="f">
                  <v:textbox inset="0,0,0,0">
                    <w:txbxContent>
                      <w:p>
                        <w:pPr>
                          <w:spacing w:before="0" w:after="160" w:line="259" w:lineRule="auto"/>
                          <w:ind w:left="0" w:firstLine="0"/>
                          <w:jc w:val="left"/>
                        </w:pPr>
                        <w:r>
                          <w:rPr/>
                          <w:t xml:space="preserve"> </w:t>
                        </w:r>
                      </w:p>
                    </w:txbxContent>
                  </v:textbox>
                </v:rect>
                <v:rect id="Rectangle 30831" style="position:absolute;width:518;height:2079;left:3;top:34599;" filled="f" stroked="f">
                  <v:textbox inset="0,0,0,0">
                    <w:txbxContent>
                      <w:p>
                        <w:pPr>
                          <w:spacing w:before="0" w:after="160" w:line="259" w:lineRule="auto"/>
                          <w:ind w:left="0" w:firstLine="0"/>
                          <w:jc w:val="left"/>
                        </w:pPr>
                        <w:r>
                          <w:rPr/>
                          <w:t xml:space="preserve"> </w:t>
                        </w:r>
                      </w:p>
                    </w:txbxContent>
                  </v:textbox>
                </v:rect>
                <v:rect id="Rectangle 30832" style="position:absolute;width:12087;height:2079;left:25822;top:36215;" filled="f" stroked="f">
                  <v:textbox inset="0,0,0,0">
                    <w:txbxContent>
                      <w:p>
                        <w:pPr>
                          <w:spacing w:before="0" w:after="160" w:line="259" w:lineRule="auto"/>
                          <w:ind w:left="0" w:firstLine="0"/>
                          <w:jc w:val="left"/>
                        </w:pPr>
                        <w:r>
                          <w:rPr/>
                          <w:t xml:space="preserve">GRÁFICO 1.3.</w:t>
                        </w:r>
                      </w:p>
                    </w:txbxContent>
                  </v:textbox>
                </v:rect>
                <v:rect id="Rectangle 30833" style="position:absolute;width:518;height:2079;left:34908;top:36215;" filled="f" stroked="f">
                  <v:textbox inset="0,0,0,0">
                    <w:txbxContent>
                      <w:p>
                        <w:pPr>
                          <w:spacing w:before="0" w:after="160" w:line="259" w:lineRule="auto"/>
                          <w:ind w:left="0" w:firstLine="0"/>
                          <w:jc w:val="left"/>
                        </w:pPr>
                        <w:r>
                          <w:rPr/>
                          <w:t xml:space="preserve"> </w:t>
                        </w:r>
                      </w:p>
                    </w:txbxContent>
                  </v:textbox>
                </v:rect>
                <v:shape id="Picture 30845" style="position:absolute;width:54010;height:23317;left:0;top:0;" filled="f">
                  <v:imagedata r:id="rId49"/>
                </v:shape>
                <v:shape id="Shape 30848" style="position:absolute;width:1910;height:10908;left:48295;top:16686;" coordsize="191008,1090803" path="m188849,0l191008,12446l187418,13061l184686,14508l181136,17550l177038,22352l177546,21844l173100,28448l173355,27940l169163,35814l169290,35433l164973,44577l165100,44323l160909,54737l161036,54610l156894,66030l152908,78613l153035,78486l148971,92329l148971,92075l145161,106934l145161,106807l141477,122682l141477,122555l137795,139319l137795,139192l134238,156845l134238,156718l130810,175260l127635,194437l124460,214376l124460,214249l121538,234950l121538,234823l118745,256159l116077,278130l116077,278003l113792,300482l113792,300355l109347,346710l109347,346583l105918,394589l105918,394462l103377,443611l103377,443484l101726,493395l101853,493141l101346,543433l100711,593852l99187,643890l96647,693166l93090,741172l88773,787654l86360,810260l83693,832231l81025,853694l77977,874395l74802,894461l71627,913892l68199,932434l64643,950214l60833,967105l57150,982980l53213,998093l49718,1009996l57023,999617c59055,996696,62992,996061,65786,998093c68707,1000125,69342,1004062,67437,1006856l31215,1058382l27559,1065276l24249,1070285l99822,1077722c103377,1078103,105918,1081151,105537,1084707c105156,1088136,102108,1090803,98551,1090422l0,1080643l20609,1051359l24892,1042289l24765,1042543l28956,1032129l28956,1032256l33081,1020882l36957,1008253l36957,1008380l40894,994537l40894,994791l44831,979932l44831,980059l48514,964184l48514,964311l52197,947547l52197,947674l55625,930021l55625,930148l59055,911606l59055,911733l62357,892429l65405,872490l65405,872617l68452,851916l68325,852043l71120,830707l73787,808736l73787,808863l76200,786384l76200,786511l80390,740156l80390,740283l83947,692277l83947,692404l86487,643255l86487,643382l88011,593471l88011,593598l88646,543433l89153,493014l90677,442976l93345,393700l96774,345694l101092,299212l103505,276606l106172,254635l108965,233172l111887,212471l115062,192405l118363,173101l121793,154432l125349,136652l129032,119761l132842,103886l136778,88773l140843,74930l144907,61849l149098,50165l153415,39370l157861,29972l162433,21590l167132,14478l172085,8636l177546,3937l183388,889l188849,0x">
                  <v:stroke weight="0pt" endcap="square" joinstyle="miter" miterlimit="10" on="false" color="#000000" opacity="0"/>
                  <v:fill on="true" color="#a5a5a5"/>
                </v:shape>
              </v:group>
            </w:pict>
          </mc:Fallback>
        </mc:AlternateContent>
      </w:r>
    </w:p>
    <w:p w:rsidR="00B064CF" w:rsidRDefault="00E32F70">
      <w:pPr>
        <w:spacing w:after="0" w:line="259" w:lineRule="auto"/>
        <w:ind w:left="273" w:firstLine="0"/>
        <w:jc w:val="center"/>
      </w:pPr>
      <w:r>
        <w:t xml:space="preserve"> </w:t>
      </w:r>
    </w:p>
    <w:p w:rsidR="00B064CF" w:rsidRDefault="00E32F70">
      <w:pPr>
        <w:spacing w:after="0" w:line="259" w:lineRule="auto"/>
        <w:ind w:left="273" w:firstLine="0"/>
        <w:jc w:val="center"/>
      </w:pPr>
      <w:r>
        <w:rPr>
          <w:rFonts w:ascii="Calibri" w:eastAsia="Calibri" w:hAnsi="Calibri" w:cs="Calibri"/>
          <w:noProof/>
        </w:rPr>
        <mc:AlternateContent>
          <mc:Choice Requires="wpg">
            <w:drawing>
              <wp:anchor distT="0" distB="0" distL="114300" distR="114300" simplePos="0" relativeHeight="25183334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8742" name="Group 398742"/>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0851" name="Rectangle 30851"/>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0852" name="Rectangle 30852"/>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167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8742" style="width:12.7031pt;height:278.91pt;position:absolute;mso-position-horizontal-relative:page;mso-position-horizontal:absolute;margin-left:682.278pt;mso-position-vertical-relative:page;margin-top:533.01pt;" coordsize="1613,35421">
                <v:rect id="Rectangle 30851"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0852"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167 de 298 </w:t>
                        </w:r>
                      </w:p>
                    </w:txbxContent>
                  </v:textbox>
                </v:rect>
                <w10:wrap type="square"/>
              </v:group>
            </w:pict>
          </mc:Fallback>
        </mc:AlternateContent>
      </w:r>
      <w:r>
        <w:t xml:space="preserve"> </w:t>
      </w:r>
    </w:p>
    <w:p w:rsidR="00B064CF" w:rsidRDefault="00E32F70">
      <w:pPr>
        <w:spacing w:after="26" w:line="216" w:lineRule="auto"/>
        <w:ind w:left="1080" w:right="609" w:hanging="197"/>
        <w:jc w:val="left"/>
      </w:pPr>
      <w:r>
        <w:rPr>
          <w:noProof/>
        </w:rPr>
        <w:drawing>
          <wp:inline distT="0" distB="0" distL="0" distR="0">
            <wp:extent cx="5401056" cy="2644140"/>
            <wp:effectExtent l="0" t="0" r="0" b="0"/>
            <wp:docPr id="30847" name="Picture 30847"/>
            <wp:cNvGraphicFramePr/>
            <a:graphic xmlns:a="http://schemas.openxmlformats.org/drawingml/2006/main">
              <a:graphicData uri="http://schemas.openxmlformats.org/drawingml/2006/picture">
                <pic:pic xmlns:pic="http://schemas.openxmlformats.org/drawingml/2006/picture">
                  <pic:nvPicPr>
                    <pic:cNvPr id="30847" name="Picture 30847"/>
                    <pic:cNvPicPr/>
                  </pic:nvPicPr>
                  <pic:blipFill>
                    <a:blip r:embed="rId50"/>
                    <a:stretch>
                      <a:fillRect/>
                    </a:stretch>
                  </pic:blipFill>
                  <pic:spPr>
                    <a:xfrm>
                      <a:off x="0" y="0"/>
                      <a:ext cx="5401056" cy="2644140"/>
                    </a:xfrm>
                    <a:prstGeom prst="rect">
                      <a:avLst/>
                    </a:prstGeom>
                  </pic:spPr>
                </pic:pic>
              </a:graphicData>
            </a:graphic>
          </wp:inline>
        </w:drawing>
      </w:r>
      <w:r>
        <w:rPr>
          <w:rFonts w:ascii="Times New Roman" w:eastAsia="Times New Roman" w:hAnsi="Times New Roman" w:cs="Times New Roman"/>
          <w:sz w:val="24"/>
        </w:rPr>
        <w:t xml:space="preserve"> </w:t>
      </w:r>
      <w:r>
        <w:t xml:space="preserve"> </w:t>
      </w:r>
    </w:p>
    <w:p w:rsidR="00B064CF" w:rsidRDefault="00E32F70">
      <w:pPr>
        <w:spacing w:after="0" w:line="259" w:lineRule="auto"/>
        <w:ind w:left="273" w:firstLine="0"/>
        <w:jc w:val="center"/>
      </w:pPr>
      <w:r>
        <w:t xml:space="preserve"> </w:t>
      </w:r>
    </w:p>
    <w:p w:rsidR="00B064CF" w:rsidRDefault="00E32F70">
      <w:pPr>
        <w:spacing w:after="13" w:line="250" w:lineRule="auto"/>
        <w:ind w:left="906" w:right="684"/>
        <w:jc w:val="center"/>
      </w:pPr>
      <w:r>
        <w:t xml:space="preserve">GRÁFICO 1.4. </w:t>
      </w:r>
    </w:p>
    <w:p w:rsidR="00B064CF" w:rsidRDefault="00E32F70">
      <w:pPr>
        <w:spacing w:after="0" w:line="259" w:lineRule="auto"/>
        <w:ind w:left="0" w:right="1132" w:firstLine="0"/>
        <w:jc w:val="right"/>
      </w:pPr>
      <w:r>
        <w:rPr>
          <w:noProof/>
        </w:rPr>
        <w:drawing>
          <wp:inline distT="0" distB="0" distL="0" distR="0">
            <wp:extent cx="5401057" cy="2659380"/>
            <wp:effectExtent l="0" t="0" r="0" b="0"/>
            <wp:docPr id="30936" name="Picture 30936"/>
            <wp:cNvGraphicFramePr/>
            <a:graphic xmlns:a="http://schemas.openxmlformats.org/drawingml/2006/main">
              <a:graphicData uri="http://schemas.openxmlformats.org/drawingml/2006/picture">
                <pic:pic xmlns:pic="http://schemas.openxmlformats.org/drawingml/2006/picture">
                  <pic:nvPicPr>
                    <pic:cNvPr id="30936" name="Picture 30936"/>
                    <pic:cNvPicPr/>
                  </pic:nvPicPr>
                  <pic:blipFill>
                    <a:blip r:embed="rId51"/>
                    <a:stretch>
                      <a:fillRect/>
                    </a:stretch>
                  </pic:blipFill>
                  <pic:spPr>
                    <a:xfrm>
                      <a:off x="0" y="0"/>
                      <a:ext cx="5401057" cy="2659380"/>
                    </a:xfrm>
                    <a:prstGeom prst="rect">
                      <a:avLst/>
                    </a:prstGeom>
                  </pic:spPr>
                </pic:pic>
              </a:graphicData>
            </a:graphic>
          </wp:inline>
        </w:drawing>
      </w:r>
      <w:r>
        <w:rPr>
          <w:rFonts w:ascii="Times New Roman" w:eastAsia="Times New Roman" w:hAnsi="Times New Roman" w:cs="Times New Roman"/>
          <w:sz w:val="24"/>
        </w:rPr>
        <w:t xml:space="preserve"> </w:t>
      </w:r>
    </w:p>
    <w:p w:rsidR="00B064CF" w:rsidRDefault="00E32F70">
      <w:pPr>
        <w:spacing w:after="0" w:line="259" w:lineRule="auto"/>
        <w:ind w:left="993" w:firstLine="0"/>
        <w:jc w:val="center"/>
      </w:pPr>
      <w:r>
        <w:t xml:space="preserve"> </w:t>
      </w:r>
    </w:p>
    <w:p w:rsidR="00B064CF" w:rsidRDefault="00E32F70">
      <w:pPr>
        <w:spacing w:after="0" w:line="259" w:lineRule="auto"/>
        <w:ind w:left="1080" w:firstLine="0"/>
        <w:jc w:val="left"/>
      </w:pPr>
      <w:r>
        <w:t xml:space="preserve"> </w:t>
      </w:r>
    </w:p>
    <w:p w:rsidR="00B064CF" w:rsidRDefault="00E32F70">
      <w:pPr>
        <w:spacing w:after="0" w:line="259" w:lineRule="auto"/>
        <w:ind w:left="1080" w:firstLine="0"/>
        <w:jc w:val="left"/>
      </w:pPr>
      <w:r>
        <w:t xml:space="preserve"> </w:t>
      </w:r>
    </w:p>
    <w:p w:rsidR="00B064CF" w:rsidRDefault="00E32F70">
      <w:pPr>
        <w:spacing w:after="11"/>
        <w:ind w:left="355" w:right="72"/>
      </w:pPr>
      <w:r>
        <w:t xml:space="preserve">ANEXO II  </w:t>
      </w:r>
    </w:p>
    <w:p w:rsidR="00B064CF" w:rsidRDefault="00E32F70">
      <w:pPr>
        <w:spacing w:after="11"/>
        <w:ind w:left="355" w:right="72"/>
      </w:pPr>
      <w:r>
        <w:t xml:space="preserve">MOBILIARIO </w:t>
      </w:r>
    </w:p>
    <w:p w:rsidR="00B064CF" w:rsidRDefault="00E32F70">
      <w:pPr>
        <w:spacing w:after="0"/>
        <w:ind w:left="0" w:right="1585" w:firstLine="360"/>
      </w:pPr>
      <w:r>
        <w:t xml:space="preserve">II.1. </w:t>
      </w:r>
      <w:r>
        <w:tab/>
        <w:t xml:space="preserve">Características de las mesas, sillas, sombrillas, cenadores, carpas y toldos </w:t>
      </w:r>
      <w:r>
        <w:rPr>
          <w:rFonts w:ascii="Segoe UI Symbol" w:eastAsia="Segoe UI Symbol" w:hAnsi="Segoe UI Symbol" w:cs="Segoe UI Symbol"/>
        </w:rPr>
        <w:t></w:t>
      </w:r>
      <w:r>
        <w:t xml:space="preserve"> </w:t>
      </w:r>
      <w:r>
        <w:tab/>
        <w:t xml:space="preserve">Mesas y sillas: </w:t>
      </w:r>
    </w:p>
    <w:p w:rsidR="00B064CF" w:rsidRDefault="00E32F70">
      <w:pPr>
        <w:spacing w:after="0"/>
        <w:ind w:left="355" w:right="147"/>
      </w:pPr>
      <w:r>
        <w:t xml:space="preserve">Las mesas deben ser funcionales y estar mantenidas. El espacio exterior debe contribuir al esquema general de la imagen en conjunto, con los demás del entorno, en apariencia y calidad. Las mesas no deben estar coloreadas, serán de materiales naturales sin </w:t>
      </w:r>
      <w:r>
        <w:t xml:space="preserve">pintar como madera o metal.  </w:t>
      </w:r>
    </w:p>
    <w:p w:rsidR="00B064CF" w:rsidRDefault="00E32F70">
      <w:pPr>
        <w:spacing w:after="0"/>
        <w:ind w:left="355" w:right="72"/>
      </w:pPr>
      <w:r>
        <w:t xml:space="preserve">Las sillas deben contribuir como todo el mobiliario de las terrazas a la imagen homogénea y de calidad de las mismas. </w:t>
      </w:r>
    </w:p>
    <w:p w:rsidR="00B064CF" w:rsidRDefault="00E32F70">
      <w:pPr>
        <w:spacing w:after="0"/>
        <w:ind w:left="355" w:right="145"/>
      </w:pPr>
      <w:r>
        <w:rPr>
          <w:rFonts w:ascii="Calibri" w:eastAsia="Calibri" w:hAnsi="Calibri" w:cs="Calibri"/>
          <w:noProof/>
        </w:rPr>
        <mc:AlternateContent>
          <mc:Choice Requires="wpg">
            <w:drawing>
              <wp:anchor distT="0" distB="0" distL="114300" distR="114300" simplePos="0" relativeHeight="25183436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9046" name="Group 399046"/>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0939" name="Rectangle 30939"/>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0940" name="Rectangle 30940"/>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168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9046" style="width:12.7031pt;height:278.91pt;position:absolute;mso-position-horizontal-relative:page;mso-position-horizontal:absolute;margin-left:682.278pt;mso-position-vertical-relative:page;margin-top:533.01pt;" coordsize="1613,35421">
                <v:rect id="Rectangle 30939"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0940"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168 de 298 </w:t>
                        </w:r>
                      </w:p>
                    </w:txbxContent>
                  </v:textbox>
                </v:rect>
                <w10:wrap type="square"/>
              </v:group>
            </w:pict>
          </mc:Fallback>
        </mc:AlternateContent>
      </w:r>
      <w:r>
        <w:t>Las sillas deben poder resistir los factores ambientales como el sol, la humedad y el salitre y mantenerse en buenas condiciones. Deben de ser de construcción ro</w:t>
      </w:r>
      <w:r>
        <w:t xml:space="preserve">busta y no mostrar signos de deterioro o daño en la estructura y acabados. </w:t>
      </w:r>
    </w:p>
    <w:p w:rsidR="00B064CF" w:rsidRDefault="00E32F70">
      <w:pPr>
        <w:spacing w:after="11"/>
        <w:ind w:left="355" w:right="72"/>
      </w:pPr>
      <w:r>
        <w:t xml:space="preserve">Los colores de las mesas y las sillas están sujetas a la aprobación de la Oficina Técnica. </w:t>
      </w:r>
    </w:p>
    <w:p w:rsidR="00B064CF" w:rsidRDefault="00E32F70">
      <w:pPr>
        <w:spacing w:after="0" w:line="259" w:lineRule="auto"/>
        <w:ind w:left="360" w:firstLine="0"/>
        <w:jc w:val="left"/>
      </w:pPr>
      <w:r>
        <w:t xml:space="preserve"> </w:t>
      </w:r>
    </w:p>
    <w:p w:rsidR="00B064CF" w:rsidRDefault="00E32F70">
      <w:pPr>
        <w:tabs>
          <w:tab w:val="center" w:pos="2280"/>
        </w:tabs>
        <w:spacing w:after="11"/>
        <w:ind w:left="0" w:firstLine="0"/>
        <w:jc w:val="left"/>
      </w:pPr>
      <w:r>
        <w:rPr>
          <w:rFonts w:ascii="Segoe UI Symbol" w:eastAsia="Segoe UI Symbol" w:hAnsi="Segoe UI Symbol" w:cs="Segoe UI Symbol"/>
        </w:rPr>
        <w:t></w:t>
      </w:r>
      <w:r>
        <w:t xml:space="preserve"> </w:t>
      </w:r>
      <w:r>
        <w:tab/>
        <w:t xml:space="preserve">Sombrillas, cenadores, carpas y toldos: </w:t>
      </w:r>
    </w:p>
    <w:p w:rsidR="00B064CF" w:rsidRDefault="00E32F70">
      <w:pPr>
        <w:spacing w:after="0"/>
        <w:ind w:left="355" w:right="72"/>
      </w:pPr>
      <w:r>
        <w:t xml:space="preserve">Deberán ajustarse a los condicionantes de </w:t>
      </w:r>
      <w:r>
        <w:t xml:space="preserve">altura libre, altura máxima y dimensiones, estipuladas en los artículos que les sean de aplicación en la presente Ordenanza. </w:t>
      </w:r>
    </w:p>
    <w:p w:rsidR="00B064CF" w:rsidRDefault="00E32F70">
      <w:pPr>
        <w:spacing w:after="0"/>
        <w:ind w:left="355" w:right="144"/>
      </w:pPr>
      <w:r>
        <w:t xml:space="preserve">Señalización o texto prohibido: los toldos y sombrillas no deberán contener rotulación de cualquier otra entidad, diferente de la </w:t>
      </w:r>
      <w:r>
        <w:t xml:space="preserve">propia actividad, en forma de texto, logotipos, dibujos, representaciones fotográficas o fotográficas, o cualquier otra característica de identificación similar. </w:t>
      </w:r>
    </w:p>
    <w:p w:rsidR="00B064CF" w:rsidRDefault="00E32F70">
      <w:pPr>
        <w:spacing w:after="26"/>
        <w:ind w:left="355" w:right="72"/>
      </w:pPr>
      <w:r>
        <w:t>Los colores de las sombrillas, cenadores, carpas y toldos están sujetas a la aprobación de la</w:t>
      </w:r>
      <w:r>
        <w:t xml:space="preserve"> Oficina Técnica.”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4"/>
        <w:ind w:left="355" w:right="145"/>
      </w:pPr>
      <w:r>
        <w:rPr>
          <w:b/>
        </w:rPr>
        <w:t xml:space="preserve">SEGUNDA. - </w:t>
      </w:r>
      <w:r>
        <w:rPr>
          <w:b/>
        </w:rPr>
        <w:t>Someter dicha Ordenanza municipal a información pública y audiencia de los interesados, con publicación en el boletín Oficial de la Provincia y tablón de anuncio del Ayuntamiento, por el plazo de treinta días hábiles, para que puedan presentar reclamacione</w:t>
      </w:r>
      <w:r>
        <w:rPr>
          <w:b/>
        </w:rPr>
        <w:t xml:space="preserve">s o sugerencias, que serán resueltas por la Corporación. </w:t>
      </w:r>
    </w:p>
    <w:p w:rsidR="00B064CF" w:rsidRDefault="00E32F70">
      <w:pPr>
        <w:spacing w:after="0" w:line="259" w:lineRule="auto"/>
        <w:ind w:left="360" w:firstLine="0"/>
        <w:jc w:val="left"/>
      </w:pPr>
      <w:r>
        <w:rPr>
          <w:b/>
        </w:rPr>
        <w:t xml:space="preserve"> </w:t>
      </w:r>
    </w:p>
    <w:p w:rsidR="00B064CF" w:rsidRDefault="00E32F70">
      <w:pPr>
        <w:spacing w:after="4"/>
        <w:ind w:left="355" w:right="145"/>
      </w:pPr>
      <w:r>
        <w:rPr>
          <w:b/>
        </w:rPr>
        <w:t>Simultáneamente, publicar el texto de la Ordenanza municipal en el portal web del Ayuntamiento (</w:t>
      </w:r>
      <w:r>
        <w:rPr>
          <w:b/>
          <w:color w:val="0000FF"/>
          <w:u w:val="single" w:color="0000FF"/>
        </w:rPr>
        <w:t>https://sedeelectronica.candelaria.es/transparencia/participacion/..../</w:t>
      </w:r>
      <w:r>
        <w:rPr>
          <w:b/>
        </w:rPr>
        <w:t>), con el objeto de dar audie</w:t>
      </w:r>
      <w:r>
        <w:rPr>
          <w:b/>
        </w:rPr>
        <w:t>ncia a los ciudadanos afectados y recabar cuantas aportaciones adicionales puedan hacerse por otras personal o entidades.</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rPr>
          <w:b/>
        </w:rPr>
        <w:t xml:space="preserve"> </w:t>
      </w:r>
    </w:p>
    <w:p w:rsidR="00B064CF" w:rsidRDefault="00E32F70">
      <w:pPr>
        <w:spacing w:after="4"/>
        <w:ind w:left="355" w:right="144"/>
      </w:pPr>
      <w:r>
        <w:rPr>
          <w:b/>
        </w:rPr>
        <w:t>TERCERA. - De no presentarse reclamaciones o sugerencias en el plazo señalado en la propuesta anterior, se considerará aprobada def</w:t>
      </w:r>
      <w:r>
        <w:rPr>
          <w:b/>
        </w:rPr>
        <w:t xml:space="preserve">initivamente sin necesidad de Acuerdo expreso por el Pleno y el Acuerdo de aprobación definitiva tácita de la ordenanza, con el texto íntegro de la misma, se publicará para su general conocimiento en el Boletín Oficial de la Provincia y asimismo, estará a </w:t>
      </w:r>
      <w:r>
        <w:rPr>
          <w:b/>
        </w:rPr>
        <w:t xml:space="preserve">disposición de los interesados en la sede electrónica de este Ayuntamiento. </w:t>
      </w:r>
    </w:p>
    <w:p w:rsidR="00B064CF" w:rsidRDefault="00E32F70">
      <w:pPr>
        <w:spacing w:after="4"/>
        <w:ind w:left="355" w:right="145"/>
      </w:pPr>
      <w:r>
        <w:rPr>
          <w:b/>
        </w:rPr>
        <w:t>Además, se remitirá a la Administración del Estado y al Departamento correspondiente de la Comunidad Autónoma Canaria, en el plazo de quince días, la certificación que acredite la</w:t>
      </w:r>
      <w:r>
        <w:rPr>
          <w:b/>
        </w:rPr>
        <w:t xml:space="preserve"> elevación a definitiva de la aprobación inicial, así como copia íntegra autenticada. </w:t>
      </w:r>
    </w:p>
    <w:p w:rsidR="00B064CF" w:rsidRDefault="00E32F70">
      <w:pPr>
        <w:spacing w:after="0" w:line="259" w:lineRule="auto"/>
        <w:ind w:left="360" w:firstLine="0"/>
        <w:jc w:val="left"/>
      </w:pPr>
      <w:r>
        <w:rPr>
          <w:b/>
        </w:rPr>
        <w:t xml:space="preserve"> </w:t>
      </w:r>
    </w:p>
    <w:p w:rsidR="00B064CF" w:rsidRDefault="00E32F70">
      <w:pPr>
        <w:spacing w:after="4"/>
        <w:ind w:left="355" w:right="68"/>
      </w:pPr>
      <w:r>
        <w:rPr>
          <w:b/>
        </w:rPr>
        <w:t xml:space="preserve">CUARTA. - Facultar a la Sra. Alcaldesa-Presidenta para suscribir y firmar toda clase de documentos relacionados con este asunto.” </w:t>
      </w:r>
    </w:p>
    <w:p w:rsidR="00B064CF" w:rsidRDefault="00E32F70">
      <w:pPr>
        <w:spacing w:after="98" w:line="259" w:lineRule="auto"/>
        <w:ind w:left="360" w:firstLine="0"/>
        <w:jc w:val="left"/>
      </w:pPr>
      <w:r>
        <w:rPr>
          <w:b/>
        </w:rPr>
        <w:t xml:space="preserve"> </w:t>
      </w:r>
    </w:p>
    <w:p w:rsidR="00B064CF" w:rsidRDefault="00E32F70">
      <w:pPr>
        <w:spacing w:after="98" w:line="259" w:lineRule="auto"/>
        <w:ind w:left="360" w:firstLine="0"/>
        <w:jc w:val="left"/>
      </w:pPr>
      <w:r>
        <w:rPr>
          <w:b/>
        </w:rPr>
        <w:t xml:space="preserve"> </w:t>
      </w:r>
    </w:p>
    <w:p w:rsidR="00B064CF" w:rsidRDefault="00E32F70">
      <w:pPr>
        <w:spacing w:after="4"/>
        <w:ind w:left="345" w:right="147" w:firstLine="708"/>
      </w:pPr>
      <w:r>
        <w:rPr>
          <w:b/>
        </w:rPr>
        <w:t>Consta en el expediente propuest</w:t>
      </w:r>
      <w:r>
        <w:rPr>
          <w:b/>
        </w:rPr>
        <w:t>a de la Concejala delegada de Planificación y Gestión Urbanística y Ambiental, Dª Hilaria Cecilia Otazo González, de fecha 19 de mayo de 2021, que transcrito literalmente dice:</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rPr>
          <w:rFonts w:ascii="Calibri" w:eastAsia="Calibri" w:hAnsi="Calibri" w:cs="Calibri"/>
          <w:noProof/>
        </w:rPr>
        <mc:AlternateContent>
          <mc:Choice Requires="wpg">
            <w:drawing>
              <wp:anchor distT="0" distB="0" distL="114300" distR="114300" simplePos="0" relativeHeight="25183539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9291" name="Group 399291"/>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1060" name="Rectangle 31060"/>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64SKSNYNJRFPNN5DLPPAAC3GS | Verificación: https://candelar</w:t>
                              </w:r>
                              <w:r>
                                <w:rPr>
                                  <w:sz w:val="12"/>
                                </w:rPr>
                                <w:t xml:space="preserve">ia.sedelectronica.es/ </w:t>
                              </w:r>
                            </w:p>
                          </w:txbxContent>
                        </wps:txbx>
                        <wps:bodyPr horzOverflow="overflow" vert="horz" lIns="0" tIns="0" rIns="0" bIns="0" rtlCol="0">
                          <a:noAutofit/>
                        </wps:bodyPr>
                      </wps:wsp>
                      <wps:wsp>
                        <wps:cNvPr id="31061" name="Rectangle 31061"/>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169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9291" style="width:12.7031pt;height:278.91pt;position:absolute;mso-position-horizontal-relative:page;mso-position-horizontal:absolute;margin-left:682.278pt;mso-position-vertical-relative:page;margin-top:533.01pt;" coordsize="1613,35421">
                <v:rect id="Rectangle 31060"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1061"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169 de 298 </w:t>
                        </w:r>
                      </w:p>
                    </w:txbxContent>
                  </v:textbox>
                </v:rect>
                <w10:wrap type="square"/>
              </v:group>
            </w:pict>
          </mc:Fallback>
        </mc:AlternateContent>
      </w:r>
      <w:r>
        <w:rPr>
          <w:b/>
        </w:rPr>
        <w:t xml:space="preserve"> </w:t>
      </w:r>
    </w:p>
    <w:p w:rsidR="00B064CF" w:rsidRDefault="00E32F70">
      <w:pPr>
        <w:spacing w:after="0" w:line="259" w:lineRule="auto"/>
        <w:ind w:left="360" w:firstLine="0"/>
        <w:jc w:val="left"/>
      </w:pPr>
      <w:r>
        <w:rPr>
          <w:b/>
        </w:rPr>
        <w:t xml:space="preserve"> </w:t>
      </w:r>
    </w:p>
    <w:p w:rsidR="00B064CF" w:rsidRDefault="00E32F70">
      <w:pPr>
        <w:spacing w:after="0" w:line="259" w:lineRule="auto"/>
        <w:ind w:left="360" w:firstLine="0"/>
        <w:jc w:val="left"/>
      </w:pPr>
      <w:r>
        <w:rPr>
          <w:b/>
        </w:rPr>
        <w:t xml:space="preserve"> </w:t>
      </w:r>
    </w:p>
    <w:p w:rsidR="00B064CF" w:rsidRDefault="00E32F70">
      <w:pPr>
        <w:pStyle w:val="Ttulo2"/>
        <w:spacing w:after="9"/>
        <w:ind w:left="290" w:right="68"/>
      </w:pPr>
      <w:r>
        <w:t xml:space="preserve">“PROPUESTA AL PLENO </w:t>
      </w:r>
    </w:p>
    <w:p w:rsidR="00B064CF" w:rsidRDefault="00E32F70">
      <w:pPr>
        <w:spacing w:after="0" w:line="259" w:lineRule="auto"/>
        <w:ind w:left="273" w:firstLine="0"/>
        <w:jc w:val="center"/>
      </w:pPr>
      <w:r>
        <w:rPr>
          <w:b/>
        </w:rPr>
        <w:t xml:space="preserve"> </w:t>
      </w:r>
    </w:p>
    <w:p w:rsidR="00B064CF" w:rsidRDefault="00E32F70">
      <w:pPr>
        <w:spacing w:after="4"/>
        <w:ind w:left="355" w:right="68"/>
      </w:pPr>
      <w:r>
        <w:rPr>
          <w:b/>
        </w:rPr>
        <w:t xml:space="preserve">      </w:t>
      </w:r>
      <w:r>
        <w:rPr>
          <w:b/>
        </w:rPr>
        <w:t xml:space="preserve">Visto el presente expediente sobre Ordenanza de ocupación del dominio público de Candelaria cuyos documentos obran en el mismo. </w:t>
      </w:r>
    </w:p>
    <w:p w:rsidR="00B064CF" w:rsidRDefault="00E32F70">
      <w:pPr>
        <w:spacing w:after="0" w:line="259" w:lineRule="auto"/>
        <w:ind w:left="360" w:firstLine="0"/>
        <w:jc w:val="left"/>
      </w:pPr>
      <w:r>
        <w:rPr>
          <w:b/>
        </w:rPr>
        <w:t xml:space="preserve"> </w:t>
      </w:r>
    </w:p>
    <w:p w:rsidR="00B064CF" w:rsidRDefault="00E32F70">
      <w:pPr>
        <w:spacing w:after="4"/>
        <w:ind w:left="355" w:right="68"/>
      </w:pPr>
      <w:r>
        <w:rPr>
          <w:b/>
        </w:rPr>
        <w:t xml:space="preserve">       Visto el informe jurídico de Secretaría General que transcrito literalmente dice (págs. 1 a la 57 de la presente propu</w:t>
      </w:r>
      <w:r>
        <w:rPr>
          <w:b/>
        </w:rPr>
        <w:t xml:space="preserve">esta) </w:t>
      </w:r>
    </w:p>
    <w:p w:rsidR="00B064CF" w:rsidRDefault="00E32F70">
      <w:pPr>
        <w:spacing w:after="0" w:line="259" w:lineRule="auto"/>
        <w:ind w:left="360" w:firstLine="0"/>
        <w:jc w:val="left"/>
      </w:pPr>
      <w:r>
        <w:rPr>
          <w:b/>
        </w:rPr>
        <w:t xml:space="preserve"> </w:t>
      </w:r>
    </w:p>
    <w:p w:rsidR="00B064CF" w:rsidRDefault="00E32F70">
      <w:pPr>
        <w:spacing w:after="0" w:line="259" w:lineRule="auto"/>
        <w:ind w:left="360" w:firstLine="0"/>
        <w:jc w:val="left"/>
      </w:pPr>
      <w:r>
        <w:rPr>
          <w:b/>
        </w:rPr>
        <w:t xml:space="preserve"> </w:t>
      </w:r>
    </w:p>
    <w:p w:rsidR="00B064CF" w:rsidRDefault="00E32F70">
      <w:pPr>
        <w:spacing w:after="109"/>
        <w:ind w:left="2497" w:right="68"/>
      </w:pPr>
      <w:r>
        <w:rPr>
          <w:b/>
        </w:rPr>
        <w:t xml:space="preserve">            ANTECEDENTES DE HECHO  </w:t>
      </w:r>
    </w:p>
    <w:p w:rsidR="00B064CF" w:rsidRDefault="00E32F70">
      <w:pPr>
        <w:spacing w:after="111"/>
        <w:ind w:left="1078" w:right="68"/>
      </w:pPr>
      <w:r>
        <w:rPr>
          <w:b/>
        </w:rPr>
        <w:t xml:space="preserve">Único. -  Constan en el expediente los siguientes documentos: </w:t>
      </w:r>
    </w:p>
    <w:p w:rsidR="00B064CF" w:rsidRDefault="00E32F70">
      <w:pPr>
        <w:spacing w:after="111"/>
        <w:ind w:left="345" w:right="72" w:firstLine="708"/>
      </w:pPr>
      <w:r>
        <w:t>1.-El expediente comienza con una providencia de la Alcaldesa de 26 de mayo de 2020 y un anuncio en el portal web firmado igualmente por la Alcald</w:t>
      </w:r>
      <w:r>
        <w:t xml:space="preserve">esa de 26 de mayo de 2020.  </w:t>
      </w:r>
    </w:p>
    <w:p w:rsidR="00B064CF" w:rsidRDefault="00E32F70">
      <w:pPr>
        <w:spacing w:after="111"/>
        <w:ind w:left="345" w:right="72" w:firstLine="708"/>
      </w:pPr>
      <w:r>
        <w:t xml:space="preserve">2.- Durante 5 meses: desde mayo de 2020 a septiembre de 2020 no figura ningún trámite o informe realizado en el expediente.  </w:t>
      </w:r>
    </w:p>
    <w:p w:rsidR="00B064CF" w:rsidRDefault="00E32F70">
      <w:pPr>
        <w:spacing w:after="112"/>
        <w:ind w:left="345" w:right="151" w:firstLine="708"/>
      </w:pPr>
      <w:r>
        <w:t>3.-</w:t>
      </w:r>
      <w:r>
        <w:t xml:space="preserve">Posteriormente en el mes de septiembre hay un escrito del Técnico de Accesibilidad dirigido a Gesplan de 29 de septiembre de 2020 al objeto de que colabore en la redacción de la Ordenanza.  </w:t>
      </w:r>
    </w:p>
    <w:p w:rsidR="00B064CF" w:rsidRDefault="00E32F70">
      <w:pPr>
        <w:spacing w:after="3" w:line="259" w:lineRule="auto"/>
        <w:ind w:right="137"/>
        <w:jc w:val="right"/>
      </w:pPr>
      <w:r>
        <w:t>4.-Durante 5 meses: desde finales de septiembre de 2020 a marzo d</w:t>
      </w:r>
      <w:r>
        <w:t xml:space="preserve">e 2021 no figura ningún </w:t>
      </w:r>
    </w:p>
    <w:p w:rsidR="00B064CF" w:rsidRDefault="00E32F70">
      <w:pPr>
        <w:spacing w:after="111"/>
        <w:ind w:left="355" w:right="72"/>
      </w:pPr>
      <w:r>
        <w:t xml:space="preserve">trámite o informe realizado en el expediente.  </w:t>
      </w:r>
    </w:p>
    <w:p w:rsidR="00B064CF" w:rsidRDefault="00E32F70">
      <w:pPr>
        <w:spacing w:after="3" w:line="259" w:lineRule="auto"/>
        <w:ind w:right="137"/>
        <w:jc w:val="right"/>
      </w:pPr>
      <w:r>
        <w:t xml:space="preserve">5. -Se ha incluido el 3 de marzo de 2020 un borrador de texto de Ordenanza en formato </w:t>
      </w:r>
    </w:p>
    <w:p w:rsidR="00B064CF" w:rsidRDefault="00E32F70">
      <w:pPr>
        <w:spacing w:after="109"/>
        <w:ind w:left="355" w:right="72"/>
      </w:pPr>
      <w:r>
        <w:t xml:space="preserve">Word que según el título dice que “Borrador Ordenanza Dominio Público Candelaria en fase de redacción” de 66 páginas </w:t>
      </w:r>
    </w:p>
    <w:p w:rsidR="00B064CF" w:rsidRDefault="00E32F70">
      <w:pPr>
        <w:spacing w:after="109"/>
        <w:ind w:left="1078" w:right="72"/>
      </w:pPr>
      <w:r>
        <w:t xml:space="preserve">6.- Diligencia para hacer consta de la Secretaría General de fecha 13 de marzo de 2021. </w:t>
      </w:r>
    </w:p>
    <w:p w:rsidR="00B064CF" w:rsidRDefault="00E32F70">
      <w:pPr>
        <w:spacing w:after="101" w:line="259" w:lineRule="auto"/>
        <w:ind w:right="137"/>
        <w:jc w:val="right"/>
      </w:pPr>
      <w:r>
        <w:t>7.- Recibí de Alcaldía y de la Concejal de Recurs</w:t>
      </w:r>
      <w:r>
        <w:t xml:space="preserve">os Humanos de fecha 9 de abril de 2021. </w:t>
      </w:r>
    </w:p>
    <w:p w:rsidR="00B064CF" w:rsidRDefault="00E32F70">
      <w:pPr>
        <w:spacing w:after="114"/>
        <w:ind w:left="345" w:right="72" w:firstLine="708"/>
      </w:pPr>
      <w:r>
        <w:t xml:space="preserve">8.- Informe de 14 de abril de 2021 del Técnico de Artesanía sobre que no se ha recibido ninguna alegación en el proceso de consulta pública. </w:t>
      </w:r>
    </w:p>
    <w:p w:rsidR="00B064CF" w:rsidRDefault="00E32F70">
      <w:pPr>
        <w:spacing w:after="109"/>
        <w:ind w:left="1078" w:right="72"/>
      </w:pPr>
      <w:r>
        <w:t>9.- Providencia de 26 de abril de 2021 de la Concejal delegada de Urbanis</w:t>
      </w:r>
      <w:r>
        <w:t xml:space="preserve">mo que dice: </w:t>
      </w:r>
    </w:p>
    <w:p w:rsidR="00B064CF" w:rsidRDefault="00E32F70">
      <w:pPr>
        <w:spacing w:after="114"/>
        <w:ind w:left="345" w:right="144" w:firstLine="708"/>
      </w:pPr>
      <w:r>
        <w:rPr>
          <w:i/>
        </w:rPr>
        <w:t>Con motivo de la asignación de la redacción técnica de la Ordenanza Reguladora de Ocupación de Dominio Público, al técnico Gerhard Alejandro Pagel Cambeiro, se solicita la paralización de sus atribuciones, debido a la necesidad inaplazable de</w:t>
      </w:r>
      <w:r>
        <w:rPr>
          <w:i/>
        </w:rPr>
        <w:t xml:space="preserve"> redacción de dicha Ordenanza. </w:t>
      </w:r>
    </w:p>
    <w:p w:rsidR="00B064CF" w:rsidRDefault="00E32F70">
      <w:pPr>
        <w:spacing w:after="114"/>
        <w:ind w:left="345" w:right="142" w:firstLine="708"/>
      </w:pPr>
      <w:r>
        <w:t>10.- Consta en el expediente Ordenanza de 14 de mayo de 2021 firmada por el Arquitecto Técnico y la Técnico de Administración General y posteriormente de 19 de mayo de 2021 donde se han subsanado lo manifestado por el Secret</w:t>
      </w:r>
      <w:r>
        <w:t xml:space="preserve">ario en su informe de 17 de mayo de 2021. </w:t>
      </w:r>
    </w:p>
    <w:p w:rsidR="00B064CF" w:rsidRDefault="00E32F70">
      <w:pPr>
        <w:spacing w:after="131"/>
        <w:ind w:left="345" w:right="72" w:firstLine="708"/>
      </w:pPr>
      <w:r>
        <w:t xml:space="preserve">11.- Consta en el expediente informe técnico del Arquitecto Técnico de 14 de mayo de 2021 en el que se concluye: </w:t>
      </w:r>
    </w:p>
    <w:p w:rsidR="00B064CF" w:rsidRDefault="00E32F70">
      <w:pPr>
        <w:spacing w:after="111"/>
        <w:ind w:left="345" w:right="144" w:firstLine="708"/>
      </w:pPr>
      <w:r>
        <w:rPr>
          <w:rFonts w:ascii="Calibri" w:eastAsia="Calibri" w:hAnsi="Calibri" w:cs="Calibri"/>
          <w:noProof/>
        </w:rPr>
        <mc:AlternateContent>
          <mc:Choice Requires="wpg">
            <w:drawing>
              <wp:anchor distT="0" distB="0" distL="114300" distR="114300" simplePos="0" relativeHeight="25183641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399583" name="Group 399583"/>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1193" name="Rectangle 31193"/>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1194" name="Rectangle 31194"/>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170 de 298 </w:t>
                              </w:r>
                            </w:p>
                          </w:txbxContent>
                        </wps:txbx>
                        <wps:bodyPr horzOverflow="overflow" vert="horz" lIns="0" tIns="0" rIns="0" bIns="0" rtlCol="0">
                          <a:noAutofit/>
                        </wps:bodyPr>
                      </wps:wsp>
                    </wpg:wgp>
                  </a:graphicData>
                </a:graphic>
              </wp:anchor>
            </w:drawing>
          </mc:Choice>
          <mc:Fallback xmlns:a="http://schemas.openxmlformats.org/drawingml/2006/main">
            <w:pict>
              <v:group id="Group 399583" style="width:12.7031pt;height:278.91pt;position:absolute;mso-position-horizontal-relative:page;mso-position-horizontal:absolute;margin-left:682.278pt;mso-position-vertical-relative:page;margin-top:533.01pt;" coordsize="1613,35421">
                <v:rect id="Rectangle 31193"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1194"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170 de 298 </w:t>
                        </w:r>
                      </w:p>
                    </w:txbxContent>
                  </v:textbox>
                </v:rect>
                <w10:wrap type="square"/>
              </v:group>
            </w:pict>
          </mc:Fallback>
        </mc:AlternateContent>
      </w:r>
      <w:r>
        <w:rPr>
          <w:i/>
        </w:rPr>
        <w:t xml:space="preserve">“De lo anteriormente expuesto, se informa que el proyecto de </w:t>
      </w:r>
      <w:r>
        <w:rPr>
          <w:i/>
        </w:rPr>
        <w:t>ordenanza es compatible con el Plan General vigente en el municipio de Candelaria y con la legislación sectorial correspondiente, y se ajusta a las disposiciones sectoriales reguladoras de la seguridad, actividades, salubridad, habitabilidad, protección de</w:t>
      </w:r>
      <w:r>
        <w:rPr>
          <w:i/>
        </w:rPr>
        <w:t xml:space="preserve">l medio ambiente urbano, patrimonio arquitectónico e histórico artístico.  </w:t>
      </w:r>
    </w:p>
    <w:p w:rsidR="00B064CF" w:rsidRDefault="00E32F70">
      <w:pPr>
        <w:spacing w:after="106"/>
        <w:ind w:left="345" w:right="144" w:firstLine="708"/>
      </w:pPr>
      <w:r>
        <w:rPr>
          <w:i/>
        </w:rPr>
        <w:t xml:space="preserve">En conclusión, se emite informe técnico favorable sobre el proyecto de Ordenanza de Dominio Público del municipio de Candelaria para su aprobación inicial” </w:t>
      </w:r>
    </w:p>
    <w:p w:rsidR="00B064CF" w:rsidRDefault="00E32F70">
      <w:pPr>
        <w:spacing w:after="110" w:line="249" w:lineRule="auto"/>
        <w:ind w:left="345" w:right="126" w:firstLine="708"/>
      </w:pPr>
      <w:r>
        <w:rPr>
          <w:u w:val="single" w:color="000000"/>
        </w:rPr>
        <w:t>Es de resaltar por la S</w:t>
      </w:r>
      <w:r>
        <w:rPr>
          <w:u w:val="single" w:color="000000"/>
        </w:rPr>
        <w:t>ecretaría General el trabajo realizado por el Arquitecto Técnico don</w:t>
      </w:r>
      <w:r>
        <w:t xml:space="preserve"> </w:t>
      </w:r>
      <w:r>
        <w:rPr>
          <w:u w:val="single" w:color="000000"/>
        </w:rPr>
        <w:t>Gerhard Alejandro Pagel Cambeiro</w:t>
      </w:r>
      <w:r>
        <w:t xml:space="preserve"> que en tan solo un mes y medio aproximadamente </w:t>
      </w:r>
      <w:r>
        <w:rPr>
          <w:u w:val="single" w:color="000000"/>
        </w:rPr>
        <w:t>ha</w:t>
      </w:r>
      <w:r>
        <w:t xml:space="preserve"> </w:t>
      </w:r>
      <w:r>
        <w:rPr>
          <w:u w:val="single" w:color="000000"/>
        </w:rPr>
        <w:t>redactado la presente Ordenanza</w:t>
      </w:r>
      <w:r>
        <w:t xml:space="preserve"> de 61 artículos que llevaba años sin tramitarse en el Área de Urbanismo </w:t>
      </w:r>
      <w:r>
        <w:rPr>
          <w:u w:val="single" w:color="000000"/>
        </w:rPr>
        <w:t>y también posteriormente es de resaltar el trabajo realizado por la Técnico de</w:t>
      </w:r>
      <w:r>
        <w:t xml:space="preserve"> </w:t>
      </w:r>
      <w:r>
        <w:rPr>
          <w:u w:val="single" w:color="000000"/>
        </w:rPr>
        <w:t>Administración General, Doña Helena Larrinaga Doval, que se ha encargado de supervisar la parte</w:t>
      </w:r>
      <w:r>
        <w:t xml:space="preserve"> </w:t>
      </w:r>
      <w:r>
        <w:rPr>
          <w:u w:val="single" w:color="000000"/>
        </w:rPr>
        <w:t>jurídica-procedimental y sustancial de la Ordenanza redactada por el Arqutecto Té</w:t>
      </w:r>
      <w:r>
        <w:rPr>
          <w:u w:val="single" w:color="000000"/>
        </w:rPr>
        <w:t>cnico.</w:t>
      </w:r>
      <w:r>
        <w:t xml:space="preserve"> </w:t>
      </w:r>
    </w:p>
    <w:p w:rsidR="00B064CF" w:rsidRDefault="00E32F70">
      <w:pPr>
        <w:spacing w:after="112"/>
        <w:ind w:left="345" w:right="146" w:firstLine="708"/>
      </w:pPr>
      <w:r>
        <w:t xml:space="preserve">Sin embargo, el informe técnico emitido por dicho Arquitecto Técnico de 2 páginas es insuficiente ya que no detalla en relación a la Ordenanza el amparo a la normativa técnica de cada uno de los requisitos técnicos de la Ordenanza ya que se limita </w:t>
      </w:r>
      <w:r>
        <w:t>a decir que cumple con las normas urbanísticas y de accesibilidad sin entrar a detallar los preceptos concretos de la normativa técnica en relación a los preceptos de la Ordenanza, ni tan siquiera citar lo más destacados (especialmente falta concretar de l</w:t>
      </w:r>
      <w:r>
        <w:t xml:space="preserve">os artículos 19 al 28 que es la parte más técnica de la Ordenanza la concreta normativa concreta aplicable y no una simple remisión general a la ley o reglamento de aplicación) por lo que deberá ampliarse hasta el día de la comisión: el 24 de mayo. </w:t>
      </w:r>
    </w:p>
    <w:p w:rsidR="00B064CF" w:rsidRDefault="00E32F70">
      <w:pPr>
        <w:spacing w:after="98" w:line="259" w:lineRule="auto"/>
        <w:ind w:left="2487" w:firstLine="0"/>
        <w:jc w:val="left"/>
      </w:pPr>
      <w:r>
        <w:rPr>
          <w:b/>
        </w:rPr>
        <w:t xml:space="preserve"> </w:t>
      </w:r>
    </w:p>
    <w:p w:rsidR="00B064CF" w:rsidRDefault="00E32F70">
      <w:pPr>
        <w:spacing w:after="100" w:line="259" w:lineRule="auto"/>
        <w:ind w:left="2487" w:firstLine="0"/>
        <w:jc w:val="left"/>
      </w:pPr>
      <w:r>
        <w:rPr>
          <w:b/>
        </w:rPr>
        <w:t xml:space="preserve">    </w:t>
      </w:r>
      <w:r>
        <w:rPr>
          <w:b/>
        </w:rPr>
        <w:t xml:space="preserve">      </w:t>
      </w:r>
    </w:p>
    <w:p w:rsidR="00B064CF" w:rsidRDefault="00E32F70">
      <w:pPr>
        <w:spacing w:after="0" w:line="259" w:lineRule="auto"/>
        <w:ind w:left="2487" w:firstLine="0"/>
        <w:jc w:val="left"/>
      </w:pPr>
      <w:r>
        <w:rPr>
          <w:b/>
        </w:rPr>
        <w:t xml:space="preserve"> </w:t>
      </w:r>
    </w:p>
    <w:p w:rsidR="00B064CF" w:rsidRDefault="00E32F70">
      <w:pPr>
        <w:spacing w:after="111"/>
        <w:ind w:left="2497" w:right="68"/>
      </w:pPr>
      <w:r>
        <w:rPr>
          <w:b/>
        </w:rPr>
        <w:t xml:space="preserve">FUNDAMENTOS DE DERECHO  </w:t>
      </w:r>
    </w:p>
    <w:p w:rsidR="00B064CF" w:rsidRDefault="00E32F70">
      <w:pPr>
        <w:spacing w:after="98" w:line="259" w:lineRule="auto"/>
        <w:ind w:left="2487" w:firstLine="0"/>
        <w:jc w:val="left"/>
      </w:pPr>
      <w:r>
        <w:rPr>
          <w:b/>
        </w:rPr>
        <w:t xml:space="preserve"> </w:t>
      </w:r>
    </w:p>
    <w:p w:rsidR="00B064CF" w:rsidRDefault="00E32F70">
      <w:pPr>
        <w:spacing w:after="111"/>
        <w:ind w:left="1078" w:right="68"/>
      </w:pPr>
      <w:r>
        <w:rPr>
          <w:b/>
        </w:rPr>
        <w:t xml:space="preserve">Primero.- Procedimiento para la ocupación del dominio público municipal: </w:t>
      </w:r>
    </w:p>
    <w:p w:rsidR="00B064CF" w:rsidRDefault="00E32F70">
      <w:pPr>
        <w:spacing w:after="112"/>
        <w:ind w:left="345" w:right="146" w:firstLine="708"/>
      </w:pPr>
      <w:r>
        <w:t>Toda ocupación del dominio público municipal exige de forma preceptiva que el órgano competente, la Alcaldía-</w:t>
      </w:r>
      <w:r>
        <w:t xml:space="preserve">Presidencia, con carácter general, (actualmente delegado en la Concejal delegada de Planificación y Gestión Urbanística y Ambiental) incoe la tramitación de un expediente administrativo en plataforma electrónica “Gestiona” conducente a la obtención de una </w:t>
      </w:r>
      <w:r>
        <w:t xml:space="preserve">licencia como establece el artículo 77 del Reglamento de Bienes de las Entidades locales aprobado por el Real Decreto 1732/1986, de 13 de junio por el que aprueba el Reglamento de Bienes de las Entidades locales (RBEL) </w:t>
      </w:r>
    </w:p>
    <w:p w:rsidR="00B064CF" w:rsidRDefault="00E32F70">
      <w:pPr>
        <w:spacing w:after="111"/>
        <w:ind w:left="1078" w:right="72"/>
      </w:pPr>
      <w:r>
        <w:t xml:space="preserve">1.- Solicitud del interesado. </w:t>
      </w:r>
    </w:p>
    <w:p w:rsidR="00B064CF" w:rsidRDefault="00E32F70">
      <w:pPr>
        <w:spacing w:after="113" w:line="246" w:lineRule="auto"/>
        <w:ind w:left="345" w:right="58" w:firstLine="698"/>
        <w:jc w:val="left"/>
      </w:pPr>
      <w:r>
        <w:t>2.- P</w:t>
      </w:r>
      <w:r>
        <w:t>rovidencia del órgano competente de petición de informe técnico de la Oficina Técnica encargado de la accesibilidad y/o al Aparejador correspondiente y de informe jurídico a la Técnico en Derecho o de la Técnico de Administración General encargada de las a</w:t>
      </w:r>
      <w:r>
        <w:t xml:space="preserve">ctividades clasificadas y en consecuencia de las ocupaciones en la vía pública de las mismas. </w:t>
      </w:r>
    </w:p>
    <w:p w:rsidR="00B064CF" w:rsidRDefault="00E32F70">
      <w:pPr>
        <w:spacing w:after="112"/>
        <w:ind w:left="345" w:right="72" w:firstLine="708"/>
      </w:pPr>
      <w:r>
        <w:t xml:space="preserve">3.- Informe técnico de la Oficina Técnica encargado de la accesibilidad y/o al Aparejador correspondiente </w:t>
      </w:r>
    </w:p>
    <w:p w:rsidR="00B064CF" w:rsidRDefault="00E32F70">
      <w:pPr>
        <w:spacing w:after="114"/>
        <w:ind w:left="345" w:right="140" w:firstLine="708"/>
      </w:pPr>
      <w:r>
        <w:rPr>
          <w:rFonts w:ascii="Calibri" w:eastAsia="Calibri" w:hAnsi="Calibri" w:cs="Calibri"/>
          <w:noProof/>
        </w:rPr>
        <mc:AlternateContent>
          <mc:Choice Requires="wpg">
            <w:drawing>
              <wp:anchor distT="0" distB="0" distL="114300" distR="114300" simplePos="0" relativeHeight="25183744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0202" name="Group 400202"/>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1317" name="Rectangle 31317"/>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64SKSNYNJRFPNN5DLPPAAC3GS | Verifi</w:t>
                              </w:r>
                              <w:r>
                                <w:rPr>
                                  <w:sz w:val="12"/>
                                </w:rPr>
                                <w:t xml:space="preserve">cación: https://candelaria.sedelectronica.es/ </w:t>
                              </w:r>
                            </w:p>
                          </w:txbxContent>
                        </wps:txbx>
                        <wps:bodyPr horzOverflow="overflow" vert="horz" lIns="0" tIns="0" rIns="0" bIns="0" rtlCol="0">
                          <a:noAutofit/>
                        </wps:bodyPr>
                      </wps:wsp>
                      <wps:wsp>
                        <wps:cNvPr id="31318" name="Rectangle 31318"/>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171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0202" style="width:12.7031pt;height:278.91pt;position:absolute;mso-position-horizontal-relative:page;mso-position-horizontal:absolute;margin-left:682.278pt;mso-position-vertical-relative:page;margin-top:533.01pt;" coordsize="1613,35421">
                <v:rect id="Rectangle 31317"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1318"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171 de 298 </w:t>
                        </w:r>
                      </w:p>
                    </w:txbxContent>
                  </v:textbox>
                </v:rect>
                <w10:wrap type="square"/>
              </v:group>
            </w:pict>
          </mc:Fallback>
        </mc:AlternateContent>
      </w:r>
      <w:r>
        <w:t xml:space="preserve">4.- </w:t>
      </w:r>
      <w:r>
        <w:t>Informe jurídico de la Técnico Jurídico o Técnico de Administración General del Área de Urbanismo encargado de las licencias de actividades de bares, hostelería y restauración y en consecuencia de la ocupación en la vía pública que, en su caso, hayan solic</w:t>
      </w:r>
      <w:r>
        <w:t xml:space="preserve">itado los titulares de dichos establecimientos.  </w:t>
      </w:r>
    </w:p>
    <w:p w:rsidR="00B064CF" w:rsidRDefault="00E32F70">
      <w:pPr>
        <w:spacing w:after="112"/>
        <w:ind w:left="345" w:right="150" w:firstLine="708"/>
      </w:pPr>
      <w:r>
        <w:t>5.- Decreto de la Alcaldía o Concejal delegada de Planificación y Gestión Urbanística y Ambiental sobre la concesión o denegación de las licencias de ocupación de la vía pública según el sentido de los info</w:t>
      </w:r>
      <w:r>
        <w:t xml:space="preserve">rmes emitidos.  </w:t>
      </w:r>
    </w:p>
    <w:p w:rsidR="00B064CF" w:rsidRDefault="00E32F70">
      <w:pPr>
        <w:spacing w:after="109"/>
        <w:ind w:left="1078" w:right="72"/>
      </w:pPr>
      <w:r>
        <w:t xml:space="preserve">6.- Notificación a los interesados. </w:t>
      </w:r>
    </w:p>
    <w:p w:rsidR="00B064CF" w:rsidRDefault="00E32F70">
      <w:pPr>
        <w:spacing w:after="98" w:line="259" w:lineRule="auto"/>
        <w:ind w:left="1068" w:firstLine="0"/>
        <w:jc w:val="left"/>
      </w:pPr>
      <w:r>
        <w:t xml:space="preserve"> </w:t>
      </w:r>
    </w:p>
    <w:p w:rsidR="00B064CF" w:rsidRDefault="00E32F70">
      <w:pPr>
        <w:spacing w:after="177"/>
        <w:ind w:left="345" w:right="68" w:firstLine="708"/>
      </w:pPr>
      <w:r>
        <w:rPr>
          <w:b/>
        </w:rPr>
        <w:t xml:space="preserve">Así el artículo 84.1 de la ley 33/2003, de Patrimonio de las Administraciones Públicas </w:t>
      </w:r>
      <w:r>
        <w:rPr>
          <w:b/>
          <w:u w:val="single" w:color="000000"/>
        </w:rPr>
        <w:t>consagra la necesidad del título habilitante:</w:t>
      </w:r>
      <w:r>
        <w:rPr>
          <w:b/>
        </w:rPr>
        <w:t xml:space="preserve"> </w:t>
      </w:r>
      <w:r>
        <w:t xml:space="preserve"> </w:t>
      </w:r>
    </w:p>
    <w:p w:rsidR="00B064CF" w:rsidRDefault="00E32F70">
      <w:pPr>
        <w:spacing w:after="174"/>
        <w:ind w:left="345" w:right="144" w:firstLine="360"/>
      </w:pPr>
      <w:r>
        <w:rPr>
          <w:i/>
        </w:rPr>
        <w:t xml:space="preserve">Nadie puede, sin título que lo autorice otorgado por la autoridad competente, ocupar bienes de dominio público o utilizarlos en forma que exceda el derecho de uso que, en su caso, corresponde a todos. </w:t>
      </w:r>
    </w:p>
    <w:p w:rsidR="00B064CF" w:rsidRDefault="00E32F70">
      <w:pPr>
        <w:spacing w:after="95" w:line="259" w:lineRule="auto"/>
        <w:ind w:left="360" w:firstLine="0"/>
        <w:jc w:val="left"/>
      </w:pPr>
      <w:r>
        <w:t xml:space="preserve"> </w:t>
      </w:r>
    </w:p>
    <w:p w:rsidR="00B064CF" w:rsidRDefault="00E32F70">
      <w:pPr>
        <w:spacing w:after="111"/>
        <w:ind w:left="345" w:right="68" w:firstLine="360"/>
      </w:pPr>
      <w:r>
        <w:rPr>
          <w:b/>
        </w:rPr>
        <w:t>Segundo.- Infracción muy grave en el caso de la ocup</w:t>
      </w:r>
      <w:r>
        <w:rPr>
          <w:b/>
        </w:rPr>
        <w:t xml:space="preserve">ación en precario o sin licencia del dominio público mediante actividades clasificadas: </w:t>
      </w:r>
    </w:p>
    <w:p w:rsidR="00B064CF" w:rsidRDefault="00E32F70">
      <w:pPr>
        <w:spacing w:after="114"/>
        <w:ind w:left="345" w:right="146" w:firstLine="708"/>
      </w:pPr>
      <w:r>
        <w:rPr>
          <w:b/>
        </w:rPr>
        <w:t>Es de aplicación el artículo 62 de la Ley 7/2011, de 5 de abril de actividades clasificadas y espectáculos públicos y otras medidas administrativas complementarias que</w:t>
      </w:r>
      <w:r>
        <w:rPr>
          <w:b/>
        </w:rPr>
        <w:t xml:space="preserve"> establece como infracción muy grave: </w:t>
      </w:r>
    </w:p>
    <w:p w:rsidR="00B064CF" w:rsidRDefault="00E32F70">
      <w:pPr>
        <w:spacing w:after="4"/>
        <w:ind w:left="355" w:right="144"/>
      </w:pPr>
      <w:r>
        <w:rPr>
          <w:i/>
        </w:rPr>
        <w:t xml:space="preserve">El desarrollo de una actividad o la apertura de un establecimiento de los sujetos a esta ley, sin la previa licencia correspondiente o sin haber cursado la comunicación previa, o declaración responsable cuando fueren exigibles. </w:t>
      </w:r>
      <w:r>
        <w:rPr>
          <w:b/>
          <w:i/>
        </w:rPr>
        <w:t xml:space="preserve"> </w:t>
      </w:r>
      <w:r>
        <w:t xml:space="preserve"> </w:t>
      </w:r>
    </w:p>
    <w:p w:rsidR="00B064CF" w:rsidRDefault="00E32F70">
      <w:pPr>
        <w:spacing w:after="114"/>
        <w:ind w:left="345" w:right="144" w:firstLine="708"/>
      </w:pPr>
      <w:r>
        <w:rPr>
          <w:b/>
        </w:rPr>
        <w:t>Tercero.- Es de aplicació</w:t>
      </w:r>
      <w:r>
        <w:rPr>
          <w:b/>
        </w:rPr>
        <w:t xml:space="preserve">n el artículo 69 de la ley 7/2011, de 5 de abril, de actividades clasificadas y espectáculos públicos y otras medidas administrativas complementarias que establece la obligatoriedad de incoar expediente sancionador en los siguientes términos: </w:t>
      </w:r>
    </w:p>
    <w:p w:rsidR="00B064CF" w:rsidRDefault="00E32F70">
      <w:pPr>
        <w:spacing w:after="110"/>
        <w:ind w:left="355" w:right="144"/>
      </w:pPr>
      <w:r>
        <w:rPr>
          <w:i/>
        </w:rPr>
        <w:t>Artículo 69.</w:t>
      </w:r>
      <w:r>
        <w:rPr>
          <w:i/>
        </w:rPr>
        <w:t xml:space="preserve"> Procedimiento. 1. La imposición de sanciones en materia de actividades clasificadas y espectáculos públicos se hará previo expediente, que se ajustará a las prescripciones de la legislación general sobre el ejercicio de la potestad sancionadora y del proc</w:t>
      </w:r>
      <w:r>
        <w:rPr>
          <w:i/>
        </w:rPr>
        <w:t>edimiento administrativo común, con las particularidades previstas en los artículos siguientes.</w:t>
      </w:r>
      <w:r>
        <w:t xml:space="preserve"> </w:t>
      </w:r>
    </w:p>
    <w:p w:rsidR="00B064CF" w:rsidRDefault="00E32F70">
      <w:pPr>
        <w:spacing w:after="116"/>
        <w:ind w:left="345" w:right="146" w:firstLine="708"/>
      </w:pPr>
      <w:r>
        <w:rPr>
          <w:b/>
        </w:rPr>
        <w:t>Cuarto.-  Es de aplicación los artículo 56 y 57 de la ley 7/2011, de 5 de abril, de actividades clasificadas y espectáculos públicos y otras medidas administra</w:t>
      </w:r>
      <w:r>
        <w:rPr>
          <w:b/>
        </w:rPr>
        <w:t xml:space="preserve">tivas complementarias que establece el procedimiento para  la adopción de medidas provisionales entre las que se encuentran las siguientes: </w:t>
      </w:r>
    </w:p>
    <w:p w:rsidR="00B064CF" w:rsidRDefault="00E32F70">
      <w:pPr>
        <w:numPr>
          <w:ilvl w:val="0"/>
          <w:numId w:val="89"/>
        </w:numPr>
        <w:spacing w:after="9" w:line="250" w:lineRule="auto"/>
        <w:ind w:left="838" w:right="138" w:hanging="304"/>
      </w:pPr>
      <w:r>
        <w:rPr>
          <w:i/>
        </w:rPr>
        <w:t xml:space="preserve">Precintado de locales, establecimientos, recintos, instalaciones, aparatos, equipos y </w:t>
      </w:r>
    </w:p>
    <w:p w:rsidR="00B064CF" w:rsidRDefault="00E32F70">
      <w:pPr>
        <w:spacing w:after="111"/>
        <w:ind w:left="355" w:right="144"/>
      </w:pPr>
      <w:r>
        <w:rPr>
          <w:i/>
        </w:rPr>
        <w:t>demás enseres relacionados c</w:t>
      </w:r>
      <w:r>
        <w:rPr>
          <w:i/>
        </w:rPr>
        <w:t xml:space="preserve">on la actividad o espectáculo objeto de las medidas.  </w:t>
      </w:r>
    </w:p>
    <w:p w:rsidR="00B064CF" w:rsidRDefault="00E32F70">
      <w:pPr>
        <w:numPr>
          <w:ilvl w:val="0"/>
          <w:numId w:val="89"/>
        </w:numPr>
        <w:spacing w:after="106"/>
        <w:ind w:left="838" w:right="138" w:hanging="304"/>
      </w:pPr>
      <w:r>
        <w:rPr>
          <w:i/>
        </w:rPr>
        <w:t xml:space="preserve">Clausura temporal, parcial o total, de las instalaciones.  </w:t>
      </w:r>
    </w:p>
    <w:p w:rsidR="00B064CF" w:rsidRDefault="00E32F70">
      <w:pPr>
        <w:spacing w:after="112"/>
        <w:ind w:left="345" w:right="147" w:firstLine="708"/>
      </w:pPr>
      <w:r>
        <w:rPr>
          <w:b/>
        </w:rPr>
        <w:t>Quinto.- Es de aplicación el artículo 5.4.25 de la normativa pormenorizada del Plan General de Ordenación de Candelaria que prohíbe que los t</w:t>
      </w:r>
      <w:r>
        <w:rPr>
          <w:b/>
        </w:rPr>
        <w:t xml:space="preserve">oldos puedan invadir el dominio público. </w:t>
      </w:r>
    </w:p>
    <w:p w:rsidR="00B064CF" w:rsidRDefault="00E32F70">
      <w:pPr>
        <w:spacing w:after="174"/>
        <w:ind w:left="345" w:right="68" w:firstLine="708"/>
      </w:pPr>
      <w:r>
        <w:rPr>
          <w:b/>
        </w:rPr>
        <w:t xml:space="preserve">Sexta.- Es de aplicación el artículo 78 del Reglamento de Bienes de las Entidades Locales aprobado por Real Decreto 1732/986 que establece: </w:t>
      </w:r>
    </w:p>
    <w:p w:rsidR="00B064CF" w:rsidRDefault="00E32F70">
      <w:pPr>
        <w:spacing w:after="169"/>
        <w:ind w:left="730" w:right="144"/>
      </w:pPr>
      <w:r>
        <w:rPr>
          <w:rFonts w:ascii="Calibri" w:eastAsia="Calibri" w:hAnsi="Calibri" w:cs="Calibri"/>
          <w:noProof/>
        </w:rPr>
        <mc:AlternateContent>
          <mc:Choice Requires="wpg">
            <w:drawing>
              <wp:anchor distT="0" distB="0" distL="114300" distR="114300" simplePos="0" relativeHeight="25183846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0334" name="Group 400334"/>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1426" name="Rectangle 31426"/>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1427" name="Rectangle 31427"/>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172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0334" style="width:12.7031pt;height:278.91pt;position:absolute;mso-position-horizontal-relative:page;mso-position-horizontal:absolute;margin-left:682.278pt;mso-position-vertical-relative:page;margin-top:533.01pt;" coordsize="1613,35421">
                <v:rect id="Rectangle 31426"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1427"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172 de 298 </w:t>
                        </w:r>
                      </w:p>
                    </w:txbxContent>
                  </v:textbox>
                </v:rect>
                <w10:wrap type="square"/>
              </v:group>
            </w:pict>
          </mc:Fallback>
        </mc:AlternateContent>
      </w:r>
      <w:r>
        <w:rPr>
          <w:i/>
        </w:rPr>
        <w:t xml:space="preserve">1. Estarán sujetos a concesión administrativa: </w:t>
      </w:r>
    </w:p>
    <w:p w:rsidR="00B064CF" w:rsidRDefault="00E32F70">
      <w:pPr>
        <w:numPr>
          <w:ilvl w:val="0"/>
          <w:numId w:val="90"/>
        </w:numPr>
        <w:spacing w:after="171"/>
        <w:ind w:right="144" w:hanging="259"/>
      </w:pPr>
      <w:r>
        <w:rPr>
          <w:i/>
        </w:rPr>
        <w:t>El uso privat</w:t>
      </w:r>
      <w:r>
        <w:rPr>
          <w:i/>
        </w:rPr>
        <w:t xml:space="preserve">ivo de bienes de dominio público. </w:t>
      </w:r>
    </w:p>
    <w:p w:rsidR="00B064CF" w:rsidRDefault="00E32F70">
      <w:pPr>
        <w:numPr>
          <w:ilvl w:val="0"/>
          <w:numId w:val="90"/>
        </w:numPr>
        <w:spacing w:after="169"/>
        <w:ind w:right="144" w:hanging="259"/>
      </w:pPr>
      <w:r>
        <w:rPr>
          <w:i/>
        </w:rPr>
        <w:t xml:space="preserve">El uso anormal de los mismos. </w:t>
      </w:r>
    </w:p>
    <w:p w:rsidR="00B064CF" w:rsidRDefault="00E32F70">
      <w:pPr>
        <w:spacing w:after="169"/>
        <w:ind w:left="345" w:right="144" w:firstLine="360"/>
      </w:pPr>
      <w:r>
        <w:rPr>
          <w:i/>
        </w:rPr>
        <w:t xml:space="preserve">2. Las concesiones se otorgarán previa licitación, con arreglo a los artículos siguientes y a la normativa reguladora de la contratación de las Corporaciones locales. </w:t>
      </w:r>
    </w:p>
    <w:p w:rsidR="00B064CF" w:rsidRDefault="00E32F70">
      <w:pPr>
        <w:spacing w:after="98" w:line="259" w:lineRule="auto"/>
        <w:ind w:left="720" w:firstLine="0"/>
        <w:jc w:val="left"/>
      </w:pPr>
      <w:r>
        <w:rPr>
          <w:b/>
        </w:rPr>
        <w:t xml:space="preserve"> </w:t>
      </w:r>
    </w:p>
    <w:p w:rsidR="00B064CF" w:rsidRDefault="00E32F70">
      <w:pPr>
        <w:spacing w:after="154"/>
        <w:ind w:left="345" w:right="146" w:firstLine="360"/>
      </w:pPr>
      <w:r>
        <w:rPr>
          <w:b/>
        </w:rPr>
        <w:t>Séptimo.- Es de apli</w:t>
      </w:r>
      <w:r>
        <w:rPr>
          <w:b/>
        </w:rPr>
        <w:t>cación la Orden VIV/561/2010, de 1 de febrero, por la que se desarrolla el documento técnico de condiciones básicas de accesibilidad y no discriminación para el acceso y utilización de los espacios públicos urbanizados.</w:t>
      </w:r>
      <w:r>
        <w:rPr>
          <w:sz w:val="24"/>
        </w:rPr>
        <w:t xml:space="preserve"> </w:t>
      </w:r>
    </w:p>
    <w:p w:rsidR="00B064CF" w:rsidRDefault="00E32F70">
      <w:pPr>
        <w:spacing w:after="113"/>
        <w:ind w:left="355" w:right="144"/>
      </w:pPr>
      <w:r>
        <w:rPr>
          <w:i/>
        </w:rPr>
        <w:t>Artículo 5. Condiciones generales d</w:t>
      </w:r>
      <w:r>
        <w:rPr>
          <w:i/>
        </w:rPr>
        <w:t>el itinerario peatonal accesible.</w:t>
      </w:r>
      <w:r>
        <w:rPr>
          <w:sz w:val="24"/>
        </w:rPr>
        <w:t xml:space="preserve"> </w:t>
      </w:r>
    </w:p>
    <w:p w:rsidR="00B064CF" w:rsidRDefault="00E32F70">
      <w:pPr>
        <w:numPr>
          <w:ilvl w:val="0"/>
          <w:numId w:val="91"/>
        </w:numPr>
        <w:spacing w:after="4"/>
        <w:ind w:right="144" w:firstLine="341"/>
      </w:pPr>
      <w:r>
        <w:rPr>
          <w:i/>
        </w:rPr>
        <w:t>Son itinerarios peatonales accesibles aquellos que garantizan el uso no discriminatorio y la circulación de forma autónoma y continua de todas las personas. Siempre que exista más de un itinerario posible entre dos puntos</w:t>
      </w:r>
      <w:r>
        <w:rPr>
          <w:i/>
        </w:rPr>
        <w:t>, y en la eventualidad de que todos no puedan ser accesibles, se habilitarán las medidas necesarias para que el recorrido del itinerario peatonal accesible no resulte en ningún caso discriminatorio, ni por su longitud, ni por transcurrir fuera de las áreas</w:t>
      </w:r>
      <w:r>
        <w:rPr>
          <w:i/>
        </w:rPr>
        <w:t xml:space="preserve"> de mayor afluencia de personas. </w:t>
      </w:r>
    </w:p>
    <w:p w:rsidR="00B064CF" w:rsidRDefault="00E32F70">
      <w:pPr>
        <w:numPr>
          <w:ilvl w:val="0"/>
          <w:numId w:val="91"/>
        </w:numPr>
        <w:spacing w:after="4"/>
        <w:ind w:right="144" w:firstLine="341"/>
      </w:pPr>
      <w:r>
        <w:rPr>
          <w:i/>
        </w:rPr>
        <w:t xml:space="preserve">Todo itinerario peatonal accesible deberá cumplir los siguientes requisitos: </w:t>
      </w:r>
    </w:p>
    <w:p w:rsidR="00B064CF" w:rsidRDefault="00E32F70">
      <w:pPr>
        <w:spacing w:after="4"/>
        <w:ind w:left="355" w:right="144"/>
      </w:pPr>
      <w:r>
        <w:rPr>
          <w:i/>
        </w:rPr>
        <w:t>a) Discurrirá siempre de manera colindante o adyacente a la línea de fachada o elemento horizontal que materialice físicamente el límite edificado a nivel del suelo.</w:t>
      </w:r>
      <w:r>
        <w:rPr>
          <w:sz w:val="24"/>
        </w:rPr>
        <w:t xml:space="preserve"> </w:t>
      </w:r>
    </w:p>
    <w:p w:rsidR="00B064CF" w:rsidRDefault="00E32F70">
      <w:pPr>
        <w:spacing w:after="98" w:line="259" w:lineRule="auto"/>
        <w:ind w:left="720" w:firstLine="0"/>
        <w:jc w:val="left"/>
      </w:pPr>
      <w:r>
        <w:rPr>
          <w:b/>
        </w:rPr>
        <w:t xml:space="preserve"> </w:t>
      </w:r>
    </w:p>
    <w:p w:rsidR="00B064CF" w:rsidRDefault="00E32F70">
      <w:pPr>
        <w:spacing w:after="0" w:line="259" w:lineRule="auto"/>
        <w:ind w:left="1068" w:firstLine="0"/>
        <w:jc w:val="left"/>
      </w:pPr>
      <w:r>
        <w:rPr>
          <w:b/>
        </w:rPr>
        <w:t xml:space="preserve"> </w:t>
      </w:r>
    </w:p>
    <w:p w:rsidR="00B064CF" w:rsidRDefault="00E32F70">
      <w:pPr>
        <w:spacing w:after="135"/>
        <w:ind w:left="345" w:right="148" w:firstLine="708"/>
      </w:pPr>
      <w:r>
        <w:rPr>
          <w:b/>
        </w:rPr>
        <w:t xml:space="preserve">Octavo. - </w:t>
      </w:r>
      <w:r>
        <w:rPr>
          <w:b/>
        </w:rPr>
        <w:t>Es de aplicación la reciente Sentencia del Tribunal Supremo de fecha 11 de febrero de 2019 que anula la Ordenanza de ocupación de la vía pública de Elche al permitir las terrazas en la vía pública sin la debida separación de las fachadas de los edificios i</w:t>
      </w:r>
      <w:r>
        <w:rPr>
          <w:b/>
        </w:rPr>
        <w:t xml:space="preserve">mpidiendo el paso de personas con movilidad reducida o invidentes. </w:t>
      </w:r>
    </w:p>
    <w:p w:rsidR="00B064CF" w:rsidRDefault="00E32F70">
      <w:pPr>
        <w:spacing w:after="11"/>
        <w:ind w:left="355" w:right="72"/>
      </w:pPr>
      <w:r>
        <w:t>“Roj: STS 354/2019 - ECLI: ES:TS:2019:354</w:t>
      </w:r>
      <w:r>
        <w:rPr>
          <w:rFonts w:ascii="Times New Roman" w:eastAsia="Times New Roman" w:hAnsi="Times New Roman" w:cs="Times New Roman"/>
          <w:sz w:val="24"/>
        </w:rPr>
        <w:t xml:space="preserve"> </w:t>
      </w:r>
    </w:p>
    <w:p w:rsidR="00B064CF" w:rsidRDefault="00E32F70">
      <w:pPr>
        <w:spacing w:after="11"/>
        <w:ind w:left="355" w:right="72"/>
      </w:pPr>
      <w:r>
        <w:rPr>
          <w:color w:val="827F8D"/>
        </w:rPr>
        <w:t xml:space="preserve">Id Cendoj: </w:t>
      </w:r>
      <w:r>
        <w:t>28079130052019100037</w:t>
      </w:r>
      <w:r>
        <w:rPr>
          <w:rFonts w:ascii="Times New Roman" w:eastAsia="Times New Roman" w:hAnsi="Times New Roman" w:cs="Times New Roman"/>
          <w:sz w:val="24"/>
        </w:rPr>
        <w:t xml:space="preserve"> </w:t>
      </w:r>
    </w:p>
    <w:p w:rsidR="00B064CF" w:rsidRDefault="00E32F70">
      <w:pPr>
        <w:spacing w:after="11"/>
        <w:ind w:left="355" w:right="72"/>
      </w:pPr>
      <w:r>
        <w:rPr>
          <w:color w:val="827F8D"/>
        </w:rPr>
        <w:t xml:space="preserve">Órgano: </w:t>
      </w:r>
      <w:r>
        <w:t>Tribunal Supremo. Sala de lo Contencioso</w:t>
      </w:r>
      <w:r>
        <w:rPr>
          <w:rFonts w:ascii="Times New Roman" w:eastAsia="Times New Roman" w:hAnsi="Times New Roman" w:cs="Times New Roman"/>
          <w:sz w:val="24"/>
        </w:rPr>
        <w:t xml:space="preserve"> </w:t>
      </w:r>
    </w:p>
    <w:p w:rsidR="00B064CF" w:rsidRDefault="00E32F70">
      <w:pPr>
        <w:spacing w:after="11"/>
        <w:ind w:left="355" w:right="72"/>
      </w:pPr>
      <w:r>
        <w:rPr>
          <w:color w:val="827F8D"/>
        </w:rPr>
        <w:t xml:space="preserve">Sede: </w:t>
      </w:r>
      <w:r>
        <w:t>Madrid</w:t>
      </w:r>
      <w:r>
        <w:rPr>
          <w:rFonts w:ascii="Times New Roman" w:eastAsia="Times New Roman" w:hAnsi="Times New Roman" w:cs="Times New Roman"/>
          <w:sz w:val="24"/>
        </w:rPr>
        <w:t xml:space="preserve"> </w:t>
      </w:r>
    </w:p>
    <w:p w:rsidR="00B064CF" w:rsidRDefault="00E32F70">
      <w:pPr>
        <w:spacing w:after="0" w:line="259" w:lineRule="auto"/>
        <w:ind w:left="355"/>
        <w:jc w:val="left"/>
      </w:pPr>
      <w:r>
        <w:rPr>
          <w:color w:val="827F8D"/>
        </w:rPr>
        <w:t xml:space="preserve">Sección: </w:t>
      </w:r>
      <w:r>
        <w:t>5</w:t>
      </w:r>
      <w:r>
        <w:rPr>
          <w:rFonts w:ascii="Times New Roman" w:eastAsia="Times New Roman" w:hAnsi="Times New Roman" w:cs="Times New Roman"/>
          <w:sz w:val="24"/>
        </w:rPr>
        <w:t xml:space="preserve"> </w:t>
      </w:r>
    </w:p>
    <w:p w:rsidR="00B064CF" w:rsidRDefault="00E32F70">
      <w:pPr>
        <w:spacing w:after="11"/>
        <w:ind w:left="355" w:right="72"/>
      </w:pPr>
      <w:r>
        <w:rPr>
          <w:color w:val="827F8D"/>
        </w:rPr>
        <w:t xml:space="preserve">Fecha: </w:t>
      </w:r>
      <w:r>
        <w:t>11/02/2019</w:t>
      </w:r>
      <w:r>
        <w:rPr>
          <w:rFonts w:ascii="Times New Roman" w:eastAsia="Times New Roman" w:hAnsi="Times New Roman" w:cs="Times New Roman"/>
          <w:sz w:val="24"/>
        </w:rPr>
        <w:t xml:space="preserve"> </w:t>
      </w:r>
    </w:p>
    <w:p w:rsidR="00B064CF" w:rsidRDefault="00E32F70">
      <w:pPr>
        <w:spacing w:after="0" w:line="259" w:lineRule="auto"/>
        <w:ind w:left="355"/>
        <w:jc w:val="left"/>
      </w:pPr>
      <w:r>
        <w:rPr>
          <w:color w:val="827F8D"/>
        </w:rPr>
        <w:t xml:space="preserve">Nº de Recurso: </w:t>
      </w:r>
      <w:r>
        <w:t>11</w:t>
      </w:r>
      <w:r>
        <w:t>52/2016</w:t>
      </w:r>
      <w:r>
        <w:rPr>
          <w:rFonts w:ascii="Times New Roman" w:eastAsia="Times New Roman" w:hAnsi="Times New Roman" w:cs="Times New Roman"/>
          <w:sz w:val="24"/>
        </w:rPr>
        <w:t xml:space="preserve"> </w:t>
      </w:r>
    </w:p>
    <w:p w:rsidR="00B064CF" w:rsidRDefault="00E32F70">
      <w:pPr>
        <w:spacing w:after="0" w:line="259" w:lineRule="auto"/>
        <w:ind w:left="355"/>
        <w:jc w:val="left"/>
      </w:pPr>
      <w:r>
        <w:rPr>
          <w:color w:val="827F8D"/>
        </w:rPr>
        <w:t xml:space="preserve">Nº de Resolución: </w:t>
      </w:r>
      <w:r>
        <w:t>159/2019</w:t>
      </w:r>
      <w:r>
        <w:rPr>
          <w:rFonts w:ascii="Times New Roman" w:eastAsia="Times New Roman" w:hAnsi="Times New Roman" w:cs="Times New Roman"/>
          <w:sz w:val="24"/>
        </w:rPr>
        <w:t xml:space="preserve"> </w:t>
      </w:r>
    </w:p>
    <w:p w:rsidR="00B064CF" w:rsidRDefault="00E32F70">
      <w:pPr>
        <w:spacing w:after="11"/>
        <w:ind w:left="355" w:right="72"/>
      </w:pPr>
      <w:r>
        <w:rPr>
          <w:color w:val="827F8D"/>
        </w:rPr>
        <w:t xml:space="preserve">Procedimiento: </w:t>
      </w:r>
      <w:r>
        <w:t>Recurso de casación</w:t>
      </w:r>
      <w:r>
        <w:rPr>
          <w:rFonts w:ascii="Times New Roman" w:eastAsia="Times New Roman" w:hAnsi="Times New Roman" w:cs="Times New Roman"/>
          <w:sz w:val="24"/>
        </w:rPr>
        <w:t xml:space="preserve"> </w:t>
      </w:r>
    </w:p>
    <w:p w:rsidR="00B064CF" w:rsidRDefault="00E32F70">
      <w:pPr>
        <w:spacing w:after="11"/>
        <w:ind w:left="355" w:right="72"/>
      </w:pPr>
      <w:r>
        <w:rPr>
          <w:color w:val="827F8D"/>
        </w:rPr>
        <w:t xml:space="preserve">Ponente: </w:t>
      </w:r>
      <w:r>
        <w:t>JUAN CARLOS TRILLO ALONSO</w:t>
      </w:r>
      <w:r>
        <w:rPr>
          <w:rFonts w:ascii="Times New Roman" w:eastAsia="Times New Roman" w:hAnsi="Times New Roman" w:cs="Times New Roman"/>
          <w:sz w:val="24"/>
        </w:rPr>
        <w:t xml:space="preserve"> </w:t>
      </w:r>
    </w:p>
    <w:p w:rsidR="00B064CF" w:rsidRDefault="00E32F70">
      <w:pPr>
        <w:spacing w:after="0" w:line="259" w:lineRule="auto"/>
        <w:ind w:left="355"/>
        <w:jc w:val="left"/>
      </w:pPr>
      <w:r>
        <w:rPr>
          <w:color w:val="827F8D"/>
        </w:rPr>
        <w:t xml:space="preserve">Tipo de Resolución: </w:t>
      </w:r>
      <w:r>
        <w:t>Sentencia</w:t>
      </w:r>
      <w:r>
        <w:rPr>
          <w:rFonts w:ascii="Times New Roman" w:eastAsia="Times New Roman" w:hAnsi="Times New Roman" w:cs="Times New Roman"/>
          <w:sz w:val="24"/>
        </w:rPr>
        <w:t xml:space="preserve"> </w:t>
      </w:r>
    </w:p>
    <w:p w:rsidR="00B064CF" w:rsidRDefault="00E32F70">
      <w:pPr>
        <w:spacing w:after="0" w:line="259" w:lineRule="auto"/>
        <w:ind w:left="355"/>
        <w:jc w:val="left"/>
      </w:pPr>
      <w:r>
        <w:rPr>
          <w:color w:val="827F8D"/>
        </w:rPr>
        <w:t xml:space="preserve">Resoluciones del caso: </w:t>
      </w:r>
      <w:r>
        <w:rPr>
          <w:color w:val="2A4770"/>
        </w:rPr>
        <w:t>STSJ CV 1500/2016,</w:t>
      </w:r>
      <w:r>
        <w:rPr>
          <w:rFonts w:ascii="Times New Roman" w:eastAsia="Times New Roman" w:hAnsi="Times New Roman" w:cs="Times New Roman"/>
          <w:sz w:val="24"/>
        </w:rPr>
        <w:t xml:space="preserve"> </w:t>
      </w:r>
    </w:p>
    <w:p w:rsidR="00B064CF" w:rsidRDefault="00E32F70">
      <w:pPr>
        <w:spacing w:after="109"/>
        <w:ind w:left="1078" w:right="72"/>
      </w:pPr>
      <w:r>
        <w:t xml:space="preserve">STS 354/2019 </w:t>
      </w:r>
    </w:p>
    <w:p w:rsidR="00B064CF" w:rsidRDefault="00E32F70">
      <w:pPr>
        <w:spacing w:after="4"/>
        <w:ind w:left="345" w:right="144" w:firstLine="708"/>
      </w:pPr>
      <w:r>
        <w:rPr>
          <w:i/>
        </w:rPr>
        <w:t xml:space="preserve">CUARTO. - </w:t>
      </w:r>
      <w:r>
        <w:rPr>
          <w:i/>
        </w:rPr>
        <w:t>La aprobación de las condiciones básicas de accesibilidad y utilización de los espacios públicos constituye una obligación de las administraciones públicas impuesto por el artículo 9.2 de la Constitución.</w:t>
      </w:r>
      <w:r>
        <w:rPr>
          <w:rFonts w:ascii="Times New Roman" w:eastAsia="Times New Roman" w:hAnsi="Times New Roman" w:cs="Times New Roman"/>
          <w:sz w:val="24"/>
        </w:rPr>
        <w:t xml:space="preserve"> </w:t>
      </w:r>
    </w:p>
    <w:p w:rsidR="00B064CF" w:rsidRDefault="00E32F70">
      <w:pPr>
        <w:spacing w:after="4"/>
        <w:ind w:left="355" w:right="144"/>
      </w:pPr>
      <w:r>
        <w:rPr>
          <w:rFonts w:ascii="Calibri" w:eastAsia="Calibri" w:hAnsi="Calibri" w:cs="Calibri"/>
          <w:noProof/>
        </w:rPr>
        <mc:AlternateContent>
          <mc:Choice Requires="wpg">
            <w:drawing>
              <wp:anchor distT="0" distB="0" distL="114300" distR="114300" simplePos="0" relativeHeight="25183948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0681" name="Group 400681"/>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1559" name="Rectangle 31559"/>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64SKSNYNJRFPNN5DLPPAAC3GS | Ve</w:t>
                              </w:r>
                              <w:r>
                                <w:rPr>
                                  <w:sz w:val="12"/>
                                </w:rPr>
                                <w:t xml:space="preserve">rificación: https://candelaria.sedelectronica.es/ </w:t>
                              </w:r>
                            </w:p>
                          </w:txbxContent>
                        </wps:txbx>
                        <wps:bodyPr horzOverflow="overflow" vert="horz" lIns="0" tIns="0" rIns="0" bIns="0" rtlCol="0">
                          <a:noAutofit/>
                        </wps:bodyPr>
                      </wps:wsp>
                      <wps:wsp>
                        <wps:cNvPr id="31560" name="Rectangle 31560"/>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173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0681" style="width:12.7031pt;height:278.91pt;position:absolute;mso-position-horizontal-relative:page;mso-position-horizontal:absolute;margin-left:682.278pt;mso-position-vertical-relative:page;margin-top:533.01pt;" coordsize="1613,35421">
                <v:rect id="Rectangle 31559"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1560"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173 de 298 </w:t>
                        </w:r>
                      </w:p>
                    </w:txbxContent>
                  </v:textbox>
                </v:rect>
                <w10:wrap type="square"/>
              </v:group>
            </w:pict>
          </mc:Fallback>
        </mc:AlternateContent>
      </w:r>
      <w:r>
        <w:rPr>
          <w:i/>
        </w:rPr>
        <w:t>La necesidad de una política de integración de los disminuidos físicos, sensoriales y psíquicos constituye u</w:t>
      </w:r>
      <w:r>
        <w:rPr>
          <w:i/>
        </w:rPr>
        <w:t>n mandato de nuestra Carta Magna que exige la adopción de una serie de medidas tendentes a facilitar la movilidad y accesibilidad a este grupo social, a cuyo fin las administraciones públicas competentes deberán aprobar las normas urbanísticas y arquitectó</w:t>
      </w:r>
      <w:r>
        <w:rPr>
          <w:i/>
        </w:rPr>
        <w:t xml:space="preserve">nicas básicas que persigan la finalidad expresada. </w:t>
      </w:r>
    </w:p>
    <w:p w:rsidR="00B064CF" w:rsidRDefault="00E32F70">
      <w:pPr>
        <w:spacing w:after="0" w:line="259" w:lineRule="auto"/>
        <w:ind w:left="360" w:firstLine="0"/>
        <w:jc w:val="left"/>
      </w:pPr>
      <w:r>
        <w:rPr>
          <w:i/>
        </w:rPr>
        <w:t xml:space="preserve"> </w:t>
      </w:r>
    </w:p>
    <w:p w:rsidR="00B064CF" w:rsidRDefault="00E32F70">
      <w:pPr>
        <w:spacing w:after="4"/>
        <w:ind w:left="345" w:right="144" w:firstLine="708"/>
      </w:pPr>
      <w:r>
        <w:rPr>
          <w:i/>
        </w:rPr>
        <w:t>El Real decreto 505/2007, de 20 de abril, por el que se aprueban las condiciones básicas de accesibilidad y no discriminación de las personas con discapacidad para el acceso y utilidad de los espacios p</w:t>
      </w:r>
      <w:r>
        <w:rPr>
          <w:i/>
        </w:rPr>
        <w:t>úblicos urbanizados y edificaciones, la Ley 13/1982, de 7 de abril, de integración social de los minusválidos, así como la Ley 51/2003, de 2 de diciembre, de igualdad de oportunidades, no discriminación y accesibilidad universal de las personas con discapa</w:t>
      </w:r>
      <w:r>
        <w:rPr>
          <w:i/>
        </w:rPr>
        <w:t xml:space="preserve">cidad, son un reflejo nítido de la obligación que referenciamos. </w:t>
      </w:r>
    </w:p>
    <w:p w:rsidR="00B064CF" w:rsidRDefault="00E32F70">
      <w:pPr>
        <w:spacing w:after="0" w:line="259" w:lineRule="auto"/>
        <w:ind w:left="360" w:firstLine="0"/>
        <w:jc w:val="left"/>
      </w:pPr>
      <w:r>
        <w:rPr>
          <w:b/>
        </w:rPr>
        <w:t xml:space="preserve"> </w:t>
      </w:r>
    </w:p>
    <w:p w:rsidR="00B064CF" w:rsidRDefault="00E32F70">
      <w:pPr>
        <w:spacing w:after="4"/>
        <w:ind w:left="355" w:right="144"/>
      </w:pPr>
      <w:r>
        <w:rPr>
          <w:i/>
        </w:rPr>
        <w:t xml:space="preserve">También la Orden del Ministerio de la Vivienda 561/2010, de 1 de febrero, por la que, en cumplimiento de la disposición final cuarta del Real Decreto 305/2007 , se desarrolla el documento </w:t>
      </w:r>
      <w:r>
        <w:rPr>
          <w:i/>
        </w:rPr>
        <w:t xml:space="preserve">técnico de condiciones básicas de accesibilidad y no discriminación para el acceso y utilización de los espacios públicos urbanizados. </w:t>
      </w:r>
    </w:p>
    <w:p w:rsidR="00B064CF" w:rsidRDefault="00E32F70">
      <w:pPr>
        <w:spacing w:after="0" w:line="259" w:lineRule="auto"/>
        <w:ind w:left="360" w:firstLine="0"/>
        <w:jc w:val="left"/>
      </w:pPr>
      <w:r>
        <w:rPr>
          <w:i/>
        </w:rPr>
        <w:t xml:space="preserve"> </w:t>
      </w:r>
    </w:p>
    <w:p w:rsidR="00B064CF" w:rsidRDefault="00E32F70">
      <w:pPr>
        <w:spacing w:after="4"/>
        <w:ind w:left="355" w:right="144"/>
      </w:pPr>
      <w:r>
        <w:rPr>
          <w:i/>
        </w:rPr>
        <w:t xml:space="preserve">Se previene en dicha Orden, en su artículo 5, bajo el epígrafe &lt;&lt;Condiciones generales del itinerario peatonal accesible&gt;&gt;, que ese itinerario ha de cumplir los siguientes requisitos: </w:t>
      </w:r>
    </w:p>
    <w:p w:rsidR="00B064CF" w:rsidRDefault="00E32F70">
      <w:pPr>
        <w:spacing w:after="0" w:line="259" w:lineRule="auto"/>
        <w:ind w:left="360" w:firstLine="0"/>
        <w:jc w:val="left"/>
      </w:pPr>
      <w:r>
        <w:rPr>
          <w:i/>
        </w:rPr>
        <w:t xml:space="preserve"> </w:t>
      </w:r>
    </w:p>
    <w:p w:rsidR="00B064CF" w:rsidRDefault="00E32F70">
      <w:pPr>
        <w:spacing w:after="4"/>
        <w:ind w:left="355" w:right="144"/>
      </w:pPr>
      <w:r>
        <w:rPr>
          <w:i/>
        </w:rPr>
        <w:t xml:space="preserve">&lt;&lt; a) Discurrirá siempre de manera colindante o adyacente a la línea </w:t>
      </w:r>
      <w:r>
        <w:rPr>
          <w:i/>
        </w:rPr>
        <w:t xml:space="preserve">de fachada o elemento horizontal que materialice físicamente el límite edificado a nivel del suelo. </w:t>
      </w:r>
    </w:p>
    <w:p w:rsidR="00B064CF" w:rsidRDefault="00E32F70">
      <w:pPr>
        <w:spacing w:after="0" w:line="259" w:lineRule="auto"/>
        <w:ind w:left="360" w:firstLine="0"/>
        <w:jc w:val="left"/>
      </w:pPr>
      <w:r>
        <w:rPr>
          <w:i/>
        </w:rPr>
        <w:t xml:space="preserve"> </w:t>
      </w:r>
    </w:p>
    <w:p w:rsidR="00B064CF" w:rsidRDefault="00E32F70">
      <w:pPr>
        <w:numPr>
          <w:ilvl w:val="0"/>
          <w:numId w:val="92"/>
        </w:numPr>
        <w:spacing w:after="4"/>
        <w:ind w:right="144" w:hanging="259"/>
      </w:pPr>
      <w:r>
        <w:rPr>
          <w:i/>
        </w:rPr>
        <w:t>En todo su desarrollo poseerá una anchura libre de paso no inferior a 1,80 m, que garantice el giro, cruce y cambio de dirección de las personas independ</w:t>
      </w:r>
      <w:r>
        <w:rPr>
          <w:i/>
        </w:rPr>
        <w:t xml:space="preserve">ientemente de sus características o modo de desplazamiento. </w:t>
      </w:r>
    </w:p>
    <w:p w:rsidR="00B064CF" w:rsidRDefault="00E32F70">
      <w:pPr>
        <w:spacing w:after="0" w:line="259" w:lineRule="auto"/>
        <w:ind w:left="360" w:firstLine="0"/>
        <w:jc w:val="left"/>
      </w:pPr>
      <w:r>
        <w:rPr>
          <w:i/>
        </w:rPr>
        <w:t xml:space="preserve"> </w:t>
      </w:r>
    </w:p>
    <w:p w:rsidR="00B064CF" w:rsidRDefault="00E32F70">
      <w:pPr>
        <w:numPr>
          <w:ilvl w:val="0"/>
          <w:numId w:val="92"/>
        </w:numPr>
        <w:spacing w:after="4"/>
        <w:ind w:right="144" w:hanging="259"/>
      </w:pPr>
      <w:r>
        <w:rPr>
          <w:i/>
        </w:rPr>
        <w:t xml:space="preserve">En todo su desarrollo poseerá una altura libre de paso no inferior a 2,20 m. </w:t>
      </w:r>
    </w:p>
    <w:p w:rsidR="00B064CF" w:rsidRDefault="00E32F70">
      <w:pPr>
        <w:spacing w:after="0" w:line="259" w:lineRule="auto"/>
        <w:ind w:left="360" w:firstLine="0"/>
        <w:jc w:val="left"/>
      </w:pPr>
      <w:r>
        <w:rPr>
          <w:i/>
        </w:rPr>
        <w:t xml:space="preserve"> </w:t>
      </w:r>
    </w:p>
    <w:p w:rsidR="00B064CF" w:rsidRDefault="00E32F70">
      <w:pPr>
        <w:numPr>
          <w:ilvl w:val="0"/>
          <w:numId w:val="92"/>
        </w:numPr>
        <w:spacing w:after="4"/>
        <w:ind w:right="144" w:hanging="259"/>
      </w:pPr>
      <w:r>
        <w:rPr>
          <w:i/>
        </w:rPr>
        <w:t xml:space="preserve">No presentará escalones aislados ni resaltes. </w:t>
      </w:r>
    </w:p>
    <w:p w:rsidR="00B064CF" w:rsidRDefault="00E32F70">
      <w:pPr>
        <w:spacing w:after="0" w:line="259" w:lineRule="auto"/>
        <w:ind w:left="360" w:firstLine="0"/>
        <w:jc w:val="left"/>
      </w:pPr>
      <w:r>
        <w:rPr>
          <w:i/>
        </w:rPr>
        <w:t xml:space="preserve"> </w:t>
      </w:r>
    </w:p>
    <w:p w:rsidR="00B064CF" w:rsidRDefault="00E32F70">
      <w:pPr>
        <w:numPr>
          <w:ilvl w:val="0"/>
          <w:numId w:val="92"/>
        </w:numPr>
        <w:spacing w:after="4"/>
        <w:ind w:right="144" w:hanging="259"/>
      </w:pPr>
      <w:r>
        <w:rPr>
          <w:i/>
        </w:rPr>
        <w:t xml:space="preserve">Los desniveles serán salvados de </w:t>
      </w:r>
      <w:r>
        <w:rPr>
          <w:i/>
        </w:rPr>
        <w:t xml:space="preserve">acuerdo con las características establecidas en los artículos 14, 15, 16 y 17. </w:t>
      </w:r>
    </w:p>
    <w:p w:rsidR="00B064CF" w:rsidRDefault="00E32F70">
      <w:pPr>
        <w:numPr>
          <w:ilvl w:val="0"/>
          <w:numId w:val="92"/>
        </w:numPr>
        <w:spacing w:after="109"/>
        <w:ind w:right="144" w:hanging="259"/>
      </w:pPr>
      <w:r>
        <w:rPr>
          <w:i/>
        </w:rPr>
        <w:t>Su pavimentación reunirá las características definidas en el artículo 11.</w:t>
      </w:r>
      <w:r>
        <w:t xml:space="preserve"> </w:t>
      </w:r>
    </w:p>
    <w:p w:rsidR="00B064CF" w:rsidRDefault="00E32F70">
      <w:pPr>
        <w:numPr>
          <w:ilvl w:val="0"/>
          <w:numId w:val="92"/>
        </w:numPr>
        <w:spacing w:after="4"/>
        <w:ind w:right="144" w:hanging="259"/>
      </w:pPr>
      <w:r>
        <w:rPr>
          <w:i/>
        </w:rPr>
        <w:t xml:space="preserve">La pendiente transversal máxima será del 2%. </w:t>
      </w:r>
    </w:p>
    <w:p w:rsidR="00B064CF" w:rsidRDefault="00E32F70">
      <w:pPr>
        <w:spacing w:after="0" w:line="259" w:lineRule="auto"/>
        <w:ind w:left="360" w:firstLine="0"/>
        <w:jc w:val="left"/>
      </w:pPr>
      <w:r>
        <w:rPr>
          <w:i/>
        </w:rPr>
        <w:t xml:space="preserve"> </w:t>
      </w:r>
    </w:p>
    <w:p w:rsidR="00B064CF" w:rsidRDefault="00E32F70">
      <w:pPr>
        <w:numPr>
          <w:ilvl w:val="0"/>
          <w:numId w:val="92"/>
        </w:numPr>
        <w:spacing w:after="4"/>
        <w:ind w:right="144" w:hanging="259"/>
      </w:pPr>
      <w:r>
        <w:rPr>
          <w:i/>
        </w:rPr>
        <w:t xml:space="preserve">La pendiente longitudinal máxima será del 6%. </w:t>
      </w:r>
    </w:p>
    <w:p w:rsidR="00B064CF" w:rsidRDefault="00E32F70">
      <w:pPr>
        <w:numPr>
          <w:ilvl w:val="0"/>
          <w:numId w:val="92"/>
        </w:numPr>
        <w:spacing w:after="4"/>
        <w:ind w:right="144" w:hanging="259"/>
      </w:pPr>
      <w:r>
        <w:rPr>
          <w:i/>
        </w:rPr>
        <w:t>En tod</w:t>
      </w:r>
      <w:r>
        <w:rPr>
          <w:i/>
        </w:rPr>
        <w:t xml:space="preserve">o su desarrollo dispondrá de un nivel mínimo de iluminación de 20 luxes, proyectada de forma homogénea, evitándose el deslumbramiento. </w:t>
      </w:r>
    </w:p>
    <w:p w:rsidR="00B064CF" w:rsidRDefault="00E32F70">
      <w:pPr>
        <w:numPr>
          <w:ilvl w:val="0"/>
          <w:numId w:val="92"/>
        </w:numPr>
        <w:spacing w:after="4"/>
        <w:ind w:right="144" w:hanging="259"/>
      </w:pPr>
      <w:r>
        <w:rPr>
          <w:i/>
        </w:rPr>
        <w:t>Dispondrá de una correcta señalización y comunicación siguiendo las condiciones</w:t>
      </w:r>
      <w:r>
        <w:t xml:space="preserve"> establecidas en el capítulo</w:t>
      </w:r>
      <w:r>
        <w:rPr>
          <w:rFonts w:ascii="Times New Roman" w:eastAsia="Times New Roman" w:hAnsi="Times New Roman" w:cs="Times New Roman"/>
          <w:sz w:val="24"/>
        </w:rPr>
        <w:t xml:space="preserve"> </w:t>
      </w:r>
      <w:r>
        <w:rPr>
          <w:u w:val="single" w:color="000000"/>
        </w:rPr>
        <w:t>XI&gt;&gt;.</w:t>
      </w:r>
      <w:r>
        <w:t xml:space="preserve">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1" w:line="239" w:lineRule="auto"/>
        <w:ind w:left="355" w:right="132"/>
      </w:pPr>
      <w:r>
        <w:rPr>
          <w:rFonts w:ascii="Calibri" w:eastAsia="Calibri" w:hAnsi="Calibri" w:cs="Calibri"/>
          <w:noProof/>
        </w:rPr>
        <mc:AlternateContent>
          <mc:Choice Requires="wpg">
            <w:drawing>
              <wp:anchor distT="0" distB="0" distL="114300" distR="114300" simplePos="0" relativeHeight="25184051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1044" name="Group 401044"/>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1676" name="Rectangle 31676"/>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1677" name="Rectangle 31677"/>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174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1044" style="width:12.7031pt;height:278.91pt;position:absolute;mso-position-horizontal-relative:page;mso-position-horizontal:absolute;margin-left:682.278pt;mso-position-vertical-relative:page;margin-top:533.01pt;" coordsize="1613,35421">
                <v:rect id="Rectangle 31676"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1677"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174 de 298 </w:t>
                        </w:r>
                      </w:p>
                    </w:txbxContent>
                  </v:textbox>
                </v:rect>
                <w10:wrap type="square"/>
              </v:group>
            </w:pict>
          </mc:Fallback>
        </mc:AlternateContent>
      </w:r>
      <w:r>
        <w:rPr>
          <w:b/>
          <w:i/>
          <w:u w:val="single" w:color="000000"/>
        </w:rPr>
        <w:t>Pues bien, parece olvidarse por el Ayuntamiento recurrido q</w:t>
      </w:r>
      <w:r>
        <w:rPr>
          <w:b/>
          <w:i/>
          <w:u w:val="single" w:color="000000"/>
        </w:rPr>
        <w:t>ue el requisito contemplado en</w:t>
      </w:r>
      <w:r>
        <w:rPr>
          <w:b/>
          <w:i/>
        </w:rPr>
        <w:t xml:space="preserve"> </w:t>
      </w:r>
      <w:r>
        <w:rPr>
          <w:b/>
          <w:i/>
          <w:u w:val="single" w:color="000000"/>
        </w:rPr>
        <w:t>la letra a) tiene por finalidad que un invidente pueda en su deambular orientarse con la línea</w:t>
      </w:r>
      <w:r>
        <w:rPr>
          <w:b/>
          <w:i/>
        </w:rPr>
        <w:t xml:space="preserve"> </w:t>
      </w:r>
      <w:r>
        <w:rPr>
          <w:b/>
          <w:i/>
          <w:u w:val="single" w:color="000000"/>
        </w:rPr>
        <w:t>de fachada o elemento horizontal que materialice físicamente el límite edificado a nivel del</w:t>
      </w:r>
      <w:r>
        <w:rPr>
          <w:b/>
          <w:i/>
        </w:rPr>
        <w:t xml:space="preserve"> </w:t>
      </w:r>
      <w:r>
        <w:rPr>
          <w:b/>
          <w:i/>
          <w:u w:val="single" w:color="000000"/>
        </w:rPr>
        <w:t>suelo. Al efecto, haciendo un inciso,</w:t>
      </w:r>
      <w:r>
        <w:rPr>
          <w:b/>
          <w:i/>
          <w:u w:val="single" w:color="000000"/>
        </w:rPr>
        <w:t xml:space="preserve"> parece oportuno constatar una realidad fácilmente comprobable en nuestras ciudades, cual es la de cómo los invidentes pretenden orientarse con</w:t>
      </w:r>
      <w:r>
        <w:rPr>
          <w:b/>
          <w:i/>
        </w:rPr>
        <w:t xml:space="preserve"> </w:t>
      </w:r>
      <w:r>
        <w:rPr>
          <w:b/>
          <w:i/>
          <w:u w:val="single" w:color="000000"/>
        </w:rPr>
        <w:t xml:space="preserve">su bastón, por razones evidentes de seguridad, siguiendo la línea de fachada de las edificaciones o el elemento </w:t>
      </w:r>
      <w:r>
        <w:rPr>
          <w:b/>
          <w:i/>
          <w:u w:val="single" w:color="000000"/>
        </w:rPr>
        <w:t>horizontal de mención.</w:t>
      </w:r>
      <w:r>
        <w:rPr>
          <w:b/>
          <w:i/>
        </w:rPr>
        <w:t xml:space="preserve"> </w:t>
      </w:r>
    </w:p>
    <w:p w:rsidR="00B064CF" w:rsidRDefault="00E32F70">
      <w:pPr>
        <w:spacing w:after="0" w:line="259" w:lineRule="auto"/>
        <w:ind w:left="360" w:firstLine="0"/>
        <w:jc w:val="left"/>
      </w:pPr>
      <w:r>
        <w:rPr>
          <w:i/>
        </w:rPr>
        <w:t xml:space="preserve"> </w:t>
      </w:r>
    </w:p>
    <w:p w:rsidR="00B064CF" w:rsidRDefault="00E32F70">
      <w:pPr>
        <w:spacing w:after="1" w:line="239" w:lineRule="auto"/>
        <w:ind w:left="355" w:right="127"/>
      </w:pPr>
      <w:r>
        <w:rPr>
          <w:i/>
          <w:u w:val="single" w:color="000000"/>
        </w:rPr>
        <w:t>Y es que siendo ello así, ninguna duda debe ofrecer que la ocupación del espacio inmediato a esa</w:t>
      </w:r>
      <w:r>
        <w:rPr>
          <w:i/>
        </w:rPr>
        <w:t xml:space="preserve"> </w:t>
      </w:r>
      <w:r>
        <w:rPr>
          <w:i/>
          <w:u w:val="single" w:color="000000"/>
        </w:rPr>
        <w:t>línea de fachada o de la correspondiente a ese elemento horizontal, supone un obstáculo para</w:t>
      </w:r>
      <w:r>
        <w:rPr>
          <w:i/>
        </w:rPr>
        <w:t xml:space="preserve"> </w:t>
      </w:r>
      <w:r>
        <w:rPr>
          <w:i/>
          <w:u w:val="single" w:color="000000"/>
        </w:rPr>
        <w:t>quien siendo invidente no puede tomar como referencia la línea de fachada o elemento horizontal</w:t>
      </w:r>
      <w:r>
        <w:rPr>
          <w:i/>
        </w:rPr>
        <w:t xml:space="preserve"> </w:t>
      </w:r>
      <w:r>
        <w:rPr>
          <w:i/>
          <w:u w:val="single" w:color="000000"/>
        </w:rPr>
        <w:t>y, en definitiva, una limitación de su derecho de movilidad por los espacios públicos cuales son las</w:t>
      </w:r>
      <w:r>
        <w:rPr>
          <w:i/>
        </w:rPr>
        <w:t xml:space="preserve"> </w:t>
      </w:r>
      <w:r>
        <w:rPr>
          <w:i/>
          <w:u w:val="single" w:color="000000"/>
        </w:rPr>
        <w:t>aceras.</w:t>
      </w:r>
      <w:r>
        <w:rPr>
          <w:i/>
        </w:rPr>
        <w:t xml:space="preserve"> </w:t>
      </w:r>
    </w:p>
    <w:p w:rsidR="00B064CF" w:rsidRDefault="00E32F70">
      <w:pPr>
        <w:spacing w:after="0" w:line="259" w:lineRule="auto"/>
        <w:ind w:left="360" w:firstLine="0"/>
        <w:jc w:val="left"/>
      </w:pPr>
      <w:r>
        <w:rPr>
          <w:i/>
        </w:rPr>
        <w:t xml:space="preserve"> </w:t>
      </w:r>
    </w:p>
    <w:p w:rsidR="00B064CF" w:rsidRDefault="00E32F70">
      <w:pPr>
        <w:spacing w:after="1" w:line="239" w:lineRule="auto"/>
        <w:ind w:left="355" w:right="130"/>
        <w:jc w:val="left"/>
      </w:pPr>
      <w:r>
        <w:rPr>
          <w:i/>
        </w:rPr>
        <w:t xml:space="preserve">Esa limitación u obstáculo es lo que se origina </w:t>
      </w:r>
      <w:r>
        <w:rPr>
          <w:i/>
        </w:rPr>
        <w:t>con la ordenanza impugnada cuando en su artículo 63 permite autorizar la instalación en aceras de terrazas pegadas a la alineación de fachadas (artículo 63.b).i)), cuando para calles peatonales o de acceso restringido se contempla la instalación de terraza</w:t>
      </w:r>
      <w:r>
        <w:rPr>
          <w:i/>
        </w:rPr>
        <w:t>s adosadas a fachadas o pegadas a la alienación de ellas (artículo 63.b).i).), o cuando en el artículo 65 se contemplan diversos modelos de terrazas en posición interior, en aceras o en calles peatonales, parques, plazas o bulevares (artículo 65.1.1.a) y 2</w:t>
      </w:r>
      <w:r>
        <w:rPr>
          <w:i/>
        </w:rPr>
        <w:t xml:space="preserve">). </w:t>
      </w:r>
    </w:p>
    <w:p w:rsidR="00B064CF" w:rsidRDefault="00E32F70">
      <w:pPr>
        <w:spacing w:after="0" w:line="259" w:lineRule="auto"/>
        <w:ind w:left="360" w:firstLine="0"/>
        <w:jc w:val="left"/>
      </w:pPr>
      <w:r>
        <w:rPr>
          <w:i/>
        </w:rPr>
        <w:t xml:space="preserve"> </w:t>
      </w:r>
    </w:p>
    <w:p w:rsidR="00B064CF" w:rsidRDefault="00E32F70">
      <w:pPr>
        <w:spacing w:after="4"/>
        <w:ind w:left="355" w:right="144"/>
      </w:pPr>
      <w:r>
        <w:rPr>
          <w:i/>
        </w:rPr>
        <w:t>Conviene advertir que la circunstancia de que se atribuya en la ordenanza a los servicios técnicos municipales la decisión de la instalación en aceras de terrazas en posición interior o exterior (artículo 63.1.b).iii) o en calles peatonales o de acce</w:t>
      </w:r>
      <w:r>
        <w:rPr>
          <w:i/>
        </w:rPr>
        <w:t>so rodado restringido (art. 63.1.b).iii), o de la que se atribuya también a dichos servicios la decisión del modelo de terraza (art. 65.2), para nada impide que, de conformidad con lo hasta aquí expuesto, concluyamos que los artículos 63 y 65, en cuanto co</w:t>
      </w:r>
      <w:r>
        <w:rPr>
          <w:i/>
        </w:rPr>
        <w:t xml:space="preserve">ntemplan autorizaciones de las llamadas terrazas interiores, infringen la normativa estatal de aplicación y que por ello deben anularse. </w:t>
      </w:r>
    </w:p>
    <w:p w:rsidR="00B064CF" w:rsidRDefault="00E32F70">
      <w:pPr>
        <w:spacing w:after="0" w:line="259" w:lineRule="auto"/>
        <w:ind w:left="360" w:firstLine="0"/>
        <w:jc w:val="left"/>
      </w:pPr>
      <w:r>
        <w:t xml:space="preserve"> </w:t>
      </w:r>
    </w:p>
    <w:p w:rsidR="00B064CF" w:rsidRDefault="00E32F70">
      <w:pPr>
        <w:spacing w:after="4"/>
        <w:ind w:left="355" w:right="144"/>
      </w:pPr>
      <w:r>
        <w:rPr>
          <w:i/>
        </w:rPr>
        <w:t>Solo nos resta añadir que la referencia en la sentencia recurrida a la extensión y complejidad de la Orden ministeri</w:t>
      </w:r>
      <w:r>
        <w:rPr>
          <w:i/>
        </w:rPr>
        <w:t xml:space="preserve">al no es motivo para la desestimación de la impugnación ejercitada por la asociación recurrente, como no lo es tampoco la abstracta y desnuda mención a prioridades y excepciones, nunca concretadas, máxime cuando además de omitirse toda consideración sobre </w:t>
      </w:r>
      <w:r>
        <w:rPr>
          <w:i/>
        </w:rPr>
        <w:t>las terrazas interiores, centrándose exclusivamente la sala a quo en el ancho del itinerario peatonal accesible, no repara en que nos encontramos ante la protección de un derecho fundamental y sensible”.</w:t>
      </w:r>
      <w:r>
        <w:rPr>
          <w:rFonts w:ascii="Times New Roman" w:eastAsia="Times New Roman" w:hAnsi="Times New Roman" w:cs="Times New Roman"/>
          <w:sz w:val="24"/>
        </w:rPr>
        <w:t xml:space="preserve"> </w:t>
      </w:r>
    </w:p>
    <w:p w:rsidR="00B064CF" w:rsidRDefault="00E32F70">
      <w:pPr>
        <w:spacing w:after="101" w:line="259" w:lineRule="auto"/>
        <w:ind w:left="720" w:firstLine="0"/>
        <w:jc w:val="left"/>
      </w:pPr>
      <w:r>
        <w:rPr>
          <w:b/>
        </w:rPr>
        <w:t xml:space="preserve"> </w:t>
      </w:r>
    </w:p>
    <w:p w:rsidR="00B064CF" w:rsidRDefault="00E32F70">
      <w:pPr>
        <w:spacing w:after="176"/>
        <w:ind w:left="345" w:right="143" w:firstLine="360"/>
      </w:pPr>
      <w:r>
        <w:rPr>
          <w:b/>
        </w:rPr>
        <w:t>Noveno. - Es de aplicación el artículo 20 del Tex</w:t>
      </w:r>
      <w:r>
        <w:rPr>
          <w:b/>
        </w:rPr>
        <w:t xml:space="preserve">to Refundido de la Ley Reguladora de las Haciendas Locales aprobado por Real Decreto Legislativo 2/2004, de 5 de marzo, que establece:  </w:t>
      </w:r>
    </w:p>
    <w:p w:rsidR="00B064CF" w:rsidRDefault="00E32F70">
      <w:pPr>
        <w:spacing w:after="174"/>
        <w:ind w:left="345" w:right="144" w:firstLine="360"/>
      </w:pPr>
      <w:r>
        <w:rPr>
          <w:i/>
        </w:rPr>
        <w:t>En todo caso, tendrán la consideración de tasas las prestaciones patrimoniales que establezcan las entidades locales po</w:t>
      </w:r>
      <w:r>
        <w:rPr>
          <w:i/>
        </w:rPr>
        <w:t xml:space="preserve">r: </w:t>
      </w:r>
    </w:p>
    <w:p w:rsidR="00B064CF" w:rsidRDefault="00E32F70">
      <w:pPr>
        <w:spacing w:after="166"/>
        <w:ind w:left="730" w:right="144"/>
      </w:pPr>
      <w:r>
        <w:rPr>
          <w:i/>
        </w:rPr>
        <w:t xml:space="preserve">A) La utilización privativa o el aprovechamiento especial del dominio público local. </w:t>
      </w:r>
    </w:p>
    <w:p w:rsidR="00B064CF" w:rsidRDefault="00E32F70">
      <w:pPr>
        <w:spacing w:after="112"/>
        <w:ind w:left="345" w:right="143" w:firstLine="360"/>
      </w:pPr>
      <w:r>
        <w:rPr>
          <w:b/>
        </w:rPr>
        <w:t>Es de aplicación en el mismo sentido la Ordenanza fiscal reguladora de la tasa por ocupación de terrenos de uso público con mesas y sillas con finalidad lucrativa e i</w:t>
      </w:r>
      <w:r>
        <w:rPr>
          <w:b/>
        </w:rPr>
        <w:t>nstalación de kioskos en la vía pública publicada en el BOP de fecha 29 de diciembre de 2005 que obliga al Ayuntamiento de Candelaria a cobrar tasa por el uso de dominio público ( salvo en los años 2021 y 2022 que el Pleno según informe del Tesorero y acue</w:t>
      </w:r>
      <w:r>
        <w:rPr>
          <w:b/>
        </w:rPr>
        <w:t xml:space="preserve">rdo del pleno del año 2020 ha habido una exención de la misma por el covid-19). </w:t>
      </w:r>
    </w:p>
    <w:p w:rsidR="00B064CF" w:rsidRDefault="00E32F70">
      <w:pPr>
        <w:spacing w:after="100" w:line="259" w:lineRule="auto"/>
        <w:ind w:left="720" w:firstLine="0"/>
        <w:jc w:val="left"/>
      </w:pPr>
      <w:r>
        <w:rPr>
          <w:rFonts w:ascii="Calibri" w:eastAsia="Calibri" w:hAnsi="Calibri" w:cs="Calibri"/>
          <w:noProof/>
        </w:rPr>
        <mc:AlternateContent>
          <mc:Choice Requires="wpg">
            <w:drawing>
              <wp:anchor distT="0" distB="0" distL="114300" distR="114300" simplePos="0" relativeHeight="25184153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0981" name="Group 400981"/>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1789" name="Rectangle 31789"/>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1790" name="Rectangle 31790"/>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175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0981" style="width:12.7031pt;height:278.91pt;position:absolute;mso-position-horizontal-relative:page;mso-position-horizontal:absolute;margin-left:682.278pt;mso-position-vertical-relative:page;margin-top:533.01pt;" coordsize="1613,35421">
                <v:rect id="Rectangle 31789"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1790"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175 de 298 </w:t>
                        </w:r>
                      </w:p>
                    </w:txbxContent>
                  </v:textbox>
                </v:rect>
                <w10:wrap type="square"/>
              </v:group>
            </w:pict>
          </mc:Fallback>
        </mc:AlternateContent>
      </w:r>
      <w:r>
        <w:rPr>
          <w:b/>
        </w:rPr>
        <w:t xml:space="preserve"> </w:t>
      </w:r>
    </w:p>
    <w:p w:rsidR="00B064CF" w:rsidRDefault="00E32F70">
      <w:pPr>
        <w:spacing w:after="176"/>
        <w:ind w:left="345" w:right="68" w:firstLine="360"/>
      </w:pPr>
      <w:r>
        <w:rPr>
          <w:b/>
        </w:rPr>
        <w:t xml:space="preserve">Décimo. - Es de aplicación el artículo 7 de la ley 49/1960, de 21 de julio, sobre propiedad horizontal que establece: </w:t>
      </w:r>
    </w:p>
    <w:p w:rsidR="00B064CF" w:rsidRDefault="00E32F70">
      <w:pPr>
        <w:spacing w:after="171"/>
        <w:ind w:left="345" w:right="144" w:firstLine="360"/>
      </w:pPr>
      <w:r>
        <w:rPr>
          <w:i/>
        </w:rPr>
        <w:t xml:space="preserve"> El propietario de cada piso o local pod</w:t>
      </w:r>
      <w:r>
        <w:rPr>
          <w:i/>
        </w:rPr>
        <w:t xml:space="preserve">rá modificar los elementos arquitectónicos, instalaciones o servicios de aquél cuando no menoscabe o altere la seguridad del edificio, su estructura general, su configuración o estado exteriores, o perjudique los derechos de otro propietario, debiendo dar </w:t>
      </w:r>
      <w:r>
        <w:rPr>
          <w:i/>
        </w:rPr>
        <w:t xml:space="preserve">cuenta de tales obras previamente a quien represente a la comunidad. </w:t>
      </w:r>
    </w:p>
    <w:p w:rsidR="00B064CF" w:rsidRDefault="00E32F70">
      <w:pPr>
        <w:spacing w:after="171"/>
        <w:ind w:left="345" w:right="144" w:firstLine="360"/>
      </w:pPr>
      <w:r>
        <w:rPr>
          <w:i/>
        </w:rPr>
        <w:t xml:space="preserve">En el resto del inmueble no podrá realizar alteración alguna y si advirtiere la necesidad de reparaciones urgentes deberá comunicarlo sin dilación al administrador. </w:t>
      </w:r>
    </w:p>
    <w:p w:rsidR="00B064CF" w:rsidRDefault="00E32F70">
      <w:pPr>
        <w:spacing w:after="154"/>
        <w:ind w:left="345" w:right="144" w:firstLine="360"/>
      </w:pPr>
      <w:r>
        <w:rPr>
          <w:i/>
        </w:rPr>
        <w:t xml:space="preserve">2. Al propietario y </w:t>
      </w:r>
      <w:r>
        <w:rPr>
          <w:i/>
        </w:rPr>
        <w:t>al ocupante del piso o local no les está permitido desarrollar en él o en el resto del inmueble actividades prohibidas en los estatutos, que resulten dañosas para la finca o que contravengan las disposiciones generales sobre actividades molestas, insalubre</w:t>
      </w:r>
      <w:r>
        <w:rPr>
          <w:i/>
        </w:rPr>
        <w:t>s, nocivas, peligrosas o ilícitas</w:t>
      </w:r>
      <w:r>
        <w:t>.</w:t>
      </w:r>
      <w:r>
        <w:rPr>
          <w:rFonts w:ascii="Times New Roman" w:eastAsia="Times New Roman" w:hAnsi="Times New Roman" w:cs="Times New Roman"/>
          <w:sz w:val="24"/>
        </w:rPr>
        <w:t xml:space="preserve"> </w:t>
      </w:r>
    </w:p>
    <w:p w:rsidR="00B064CF" w:rsidRDefault="00E32F70">
      <w:pPr>
        <w:spacing w:after="98" w:line="259" w:lineRule="auto"/>
        <w:ind w:left="720" w:firstLine="0"/>
        <w:jc w:val="left"/>
      </w:pPr>
      <w:r>
        <w:rPr>
          <w:b/>
        </w:rPr>
        <w:t xml:space="preserve"> </w:t>
      </w:r>
    </w:p>
    <w:p w:rsidR="00B064CF" w:rsidRDefault="00E32F70">
      <w:pPr>
        <w:spacing w:after="4" w:line="353" w:lineRule="auto"/>
        <w:ind w:left="345" w:right="150" w:firstLine="360"/>
      </w:pPr>
      <w:r>
        <w:rPr>
          <w:b/>
        </w:rPr>
        <w:t xml:space="preserve">Undécimo. - Es de aplicación el artículo 49 de la Ley de Bases del Régimen local que regula el procedimiento de aprobación de un reglamento u ordenanza: </w:t>
      </w:r>
      <w:r>
        <w:rPr>
          <w:i/>
        </w:rPr>
        <w:t xml:space="preserve">La aprobación de las Ordenanzas locales se ajustará al siguiente </w:t>
      </w:r>
      <w:r>
        <w:rPr>
          <w:i/>
        </w:rPr>
        <w:t xml:space="preserve">procedimiento: a) Aprobación inicial por el Pleno. </w:t>
      </w:r>
    </w:p>
    <w:p w:rsidR="00B064CF" w:rsidRDefault="00E32F70">
      <w:pPr>
        <w:numPr>
          <w:ilvl w:val="0"/>
          <w:numId w:val="93"/>
        </w:numPr>
        <w:spacing w:after="9" w:line="250" w:lineRule="auto"/>
        <w:ind w:right="132" w:hanging="257"/>
        <w:jc w:val="right"/>
      </w:pPr>
      <w:r>
        <w:rPr>
          <w:i/>
        </w:rPr>
        <w:t xml:space="preserve">Información pública y audiencia a los interesados por el plazo mínimo de treinta días para la </w:t>
      </w:r>
    </w:p>
    <w:p w:rsidR="00B064CF" w:rsidRDefault="00E32F70">
      <w:pPr>
        <w:spacing w:after="169"/>
        <w:ind w:left="355" w:right="144"/>
      </w:pPr>
      <w:r>
        <w:rPr>
          <w:i/>
        </w:rPr>
        <w:t xml:space="preserve">presentación de reclamaciones y sugerencias. </w:t>
      </w:r>
    </w:p>
    <w:p w:rsidR="00B064CF" w:rsidRDefault="00E32F70">
      <w:pPr>
        <w:numPr>
          <w:ilvl w:val="0"/>
          <w:numId w:val="93"/>
        </w:numPr>
        <w:spacing w:after="9" w:line="250" w:lineRule="auto"/>
        <w:ind w:right="132" w:hanging="257"/>
        <w:jc w:val="right"/>
      </w:pPr>
      <w:r>
        <w:rPr>
          <w:i/>
        </w:rPr>
        <w:t>Resolución de todas las reclamaciones y sugerencias presentadas dentro del plazo y apro-</w:t>
      </w:r>
    </w:p>
    <w:p w:rsidR="00B064CF" w:rsidRDefault="00E32F70">
      <w:pPr>
        <w:spacing w:after="171"/>
        <w:ind w:left="355" w:right="144"/>
      </w:pPr>
      <w:r>
        <w:rPr>
          <w:i/>
        </w:rPr>
        <w:t xml:space="preserve">bación definitiva por el Pleno. </w:t>
      </w:r>
    </w:p>
    <w:p w:rsidR="00B064CF" w:rsidRDefault="00E32F70">
      <w:pPr>
        <w:spacing w:after="172"/>
        <w:ind w:left="345" w:right="144" w:firstLine="360"/>
      </w:pPr>
      <w:r>
        <w:rPr>
          <w:i/>
        </w:rPr>
        <w:t>En el caso de que no se hubiera presentado ninguna reclamación o sugerencia, se entenderá definitivamente adoptado el acuerdo hasta en</w:t>
      </w:r>
      <w:r>
        <w:rPr>
          <w:i/>
        </w:rPr>
        <w:t xml:space="preserve">tonces provisional. </w:t>
      </w:r>
    </w:p>
    <w:p w:rsidR="00B064CF" w:rsidRDefault="00E32F70">
      <w:pPr>
        <w:spacing w:after="98" w:line="259" w:lineRule="auto"/>
        <w:ind w:left="720" w:firstLine="0"/>
        <w:jc w:val="left"/>
      </w:pPr>
      <w:r>
        <w:rPr>
          <w:b/>
        </w:rPr>
        <w:t xml:space="preserve"> </w:t>
      </w:r>
    </w:p>
    <w:p w:rsidR="00B064CF" w:rsidRDefault="00E32F70">
      <w:pPr>
        <w:spacing w:after="111"/>
        <w:ind w:left="730" w:right="68"/>
      </w:pPr>
      <w:r>
        <w:rPr>
          <w:b/>
        </w:rPr>
        <w:t xml:space="preserve">Duodécimo. - Preceptos objeto de modificación de la Ordenanza. </w:t>
      </w:r>
    </w:p>
    <w:p w:rsidR="00B064CF" w:rsidRDefault="00E32F70">
      <w:pPr>
        <w:spacing w:after="112"/>
        <w:ind w:left="345" w:right="68" w:firstLine="360"/>
      </w:pPr>
      <w:r>
        <w:rPr>
          <w:b/>
        </w:rPr>
        <w:t xml:space="preserve">En relación a los mismos y al informe emitido el día 17 de mayo de 2019 por Secretaría General ya han sido subsanados.  </w:t>
      </w:r>
    </w:p>
    <w:p w:rsidR="00B064CF" w:rsidRDefault="00E32F70">
      <w:pPr>
        <w:spacing w:after="111"/>
        <w:ind w:left="345" w:right="68" w:firstLine="360"/>
      </w:pPr>
      <w:r>
        <w:rPr>
          <w:b/>
        </w:rPr>
        <w:t xml:space="preserve">Falta por subsanar la mayor amplitud del informe técnico que deberá estar subsanado antes del comienzo de la Comisión Informativa de Urbanismo de fecha 24 de mayo de 2021. </w:t>
      </w:r>
    </w:p>
    <w:p w:rsidR="00B064CF" w:rsidRDefault="00E32F70">
      <w:pPr>
        <w:spacing w:after="100" w:line="259" w:lineRule="auto"/>
        <w:ind w:left="360" w:firstLine="0"/>
        <w:jc w:val="left"/>
      </w:pPr>
      <w:r>
        <w:rPr>
          <w:b/>
        </w:rPr>
        <w:t xml:space="preserve"> </w:t>
      </w:r>
    </w:p>
    <w:p w:rsidR="00B064CF" w:rsidRDefault="00E32F70">
      <w:pPr>
        <w:spacing w:after="98" w:line="259" w:lineRule="auto"/>
        <w:ind w:left="360" w:firstLine="0"/>
        <w:jc w:val="left"/>
      </w:pPr>
      <w:r>
        <w:rPr>
          <w:b/>
        </w:rPr>
        <w:t xml:space="preserve"> </w:t>
      </w:r>
    </w:p>
    <w:p w:rsidR="00B064CF" w:rsidRDefault="00E32F70">
      <w:pPr>
        <w:spacing w:after="98" w:line="259" w:lineRule="auto"/>
        <w:ind w:left="2487" w:firstLine="0"/>
        <w:jc w:val="left"/>
      </w:pPr>
      <w:r>
        <w:rPr>
          <w:b/>
        </w:rPr>
        <w:t xml:space="preserve"> </w:t>
      </w:r>
    </w:p>
    <w:p w:rsidR="00B064CF" w:rsidRDefault="00E32F70">
      <w:pPr>
        <w:spacing w:after="111"/>
        <w:ind w:left="2497" w:right="68"/>
      </w:pPr>
      <w:r>
        <w:rPr>
          <w:b/>
        </w:rPr>
        <w:t xml:space="preserve">PROPUESTA DE ACUERDO AL PLENO </w:t>
      </w:r>
    </w:p>
    <w:p w:rsidR="00B064CF" w:rsidRDefault="00E32F70">
      <w:pPr>
        <w:spacing w:after="0" w:line="259" w:lineRule="auto"/>
        <w:ind w:left="273" w:firstLine="0"/>
        <w:jc w:val="center"/>
      </w:pPr>
      <w:r>
        <w:rPr>
          <w:b/>
        </w:rPr>
        <w:t xml:space="preserve"> </w:t>
      </w:r>
    </w:p>
    <w:p w:rsidR="00B064CF" w:rsidRDefault="00E32F70">
      <w:pPr>
        <w:spacing w:after="4"/>
        <w:ind w:left="345" w:right="149" w:firstLine="708"/>
      </w:pPr>
      <w:r>
        <w:rPr>
          <w:rFonts w:ascii="Calibri" w:eastAsia="Calibri" w:hAnsi="Calibri" w:cs="Calibri"/>
          <w:noProof/>
        </w:rPr>
        <mc:AlternateContent>
          <mc:Choice Requires="wpg">
            <w:drawing>
              <wp:anchor distT="0" distB="0" distL="114300" distR="114300" simplePos="0" relativeHeight="25184256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1342" name="Group 401342"/>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1895" name="Rectangle 31895"/>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1896" name="Rectangle 31896"/>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176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1342" style="width:12.7031pt;height:278.91pt;position:absolute;mso-position-horizontal-relative:page;mso-position-horizontal:absolute;margin-left:682.278pt;mso-position-vertical-relative:page;margin-top:533.01pt;" coordsize="1613,35421">
                <v:rect id="Rectangle 31895"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1896"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176 de 298 </w:t>
                        </w:r>
                      </w:p>
                    </w:txbxContent>
                  </v:textbox>
                </v:rect>
                <w10:wrap type="square"/>
              </v:group>
            </w:pict>
          </mc:Fallback>
        </mc:AlternateContent>
      </w:r>
      <w:r>
        <w:rPr>
          <w:b/>
        </w:rPr>
        <w:t>PRIMERA. - Aprobar inicialmente la Ordenanza Municipal de Ocu</w:t>
      </w:r>
      <w:r>
        <w:rPr>
          <w:b/>
        </w:rPr>
        <w:t xml:space="preserve">pación del Dominio Público en el municipio de Candelaria firmada con fecha 19 de mayo de 2021 por el Arquitecto Técnico y la Técnico de Administración General: </w:t>
      </w:r>
    </w:p>
    <w:p w:rsidR="00B064CF" w:rsidRDefault="00E32F70">
      <w:pPr>
        <w:spacing w:after="0" w:line="259" w:lineRule="auto"/>
        <w:ind w:left="1068" w:firstLine="0"/>
        <w:jc w:val="left"/>
      </w:pPr>
      <w:r>
        <w:rPr>
          <w:b/>
        </w:rPr>
        <w:t xml:space="preserve"> </w:t>
      </w:r>
    </w:p>
    <w:p w:rsidR="00B064CF" w:rsidRDefault="00E32F70">
      <w:pPr>
        <w:spacing w:after="0" w:line="259" w:lineRule="auto"/>
        <w:ind w:left="1068" w:firstLine="0"/>
        <w:jc w:val="left"/>
      </w:pPr>
      <w:r>
        <w:rPr>
          <w:b/>
        </w:rPr>
        <w:t xml:space="preserve"> </w:t>
      </w:r>
    </w:p>
    <w:p w:rsidR="00B064CF" w:rsidRDefault="00E32F70">
      <w:pPr>
        <w:spacing w:after="17" w:line="259" w:lineRule="auto"/>
        <w:ind w:left="360" w:firstLine="0"/>
        <w:jc w:val="left"/>
      </w:pPr>
      <w:r>
        <w:t xml:space="preserve"> </w:t>
      </w:r>
    </w:p>
    <w:p w:rsidR="00B064CF" w:rsidRDefault="00E32F70">
      <w:pPr>
        <w:spacing w:after="13" w:line="250" w:lineRule="auto"/>
        <w:ind w:left="906" w:right="679"/>
        <w:jc w:val="center"/>
      </w:pPr>
      <w:r>
        <w:t xml:space="preserve">“ÍNDICE </w:t>
      </w:r>
    </w:p>
    <w:p w:rsidR="00B064CF" w:rsidRDefault="00E32F70">
      <w:pPr>
        <w:spacing w:after="0" w:line="259" w:lineRule="auto"/>
        <w:ind w:left="273" w:firstLine="0"/>
        <w:jc w:val="center"/>
      </w:pPr>
      <w:r>
        <w:t xml:space="preserve"> </w:t>
      </w:r>
    </w:p>
    <w:p w:rsidR="00B064CF" w:rsidRDefault="00E32F70">
      <w:pPr>
        <w:spacing w:after="10" w:line="249" w:lineRule="auto"/>
        <w:ind w:left="355" w:right="126"/>
      </w:pPr>
      <w:r>
        <w:rPr>
          <w:u w:val="single" w:color="000000"/>
        </w:rPr>
        <w:t>EXPOSICIÓN DE MOTIVOS</w:t>
      </w:r>
      <w:r>
        <w:rPr>
          <w:rFonts w:ascii="Times New Roman" w:eastAsia="Times New Roman" w:hAnsi="Times New Roman" w:cs="Times New Roman"/>
          <w:sz w:val="24"/>
        </w:rPr>
        <w:t xml:space="preserve"> </w:t>
      </w:r>
    </w:p>
    <w:p w:rsidR="00B064CF" w:rsidRDefault="00E32F70">
      <w:pPr>
        <w:spacing w:after="10" w:line="249" w:lineRule="auto"/>
        <w:ind w:left="355" w:right="126"/>
      </w:pPr>
      <w:r>
        <w:rPr>
          <w:u w:val="single" w:color="000000"/>
        </w:rPr>
        <w:t>TÍTULO I. DISPOSICIONES PRELIMINARES</w:t>
      </w:r>
      <w:r>
        <w:t xml:space="preserve"> </w:t>
      </w:r>
    </w:p>
    <w:p w:rsidR="00B064CF" w:rsidRDefault="00E32F70">
      <w:pPr>
        <w:spacing w:after="11"/>
        <w:ind w:left="355" w:right="72"/>
      </w:pPr>
      <w:r>
        <w:t xml:space="preserve">Artículo 1. Objeto </w:t>
      </w:r>
    </w:p>
    <w:p w:rsidR="00B064CF" w:rsidRDefault="00E32F70">
      <w:pPr>
        <w:spacing w:after="11"/>
        <w:ind w:left="355" w:right="72"/>
      </w:pPr>
      <w:r>
        <w:t xml:space="preserve">Artículo 2. Ámbito territorial de aplicación </w:t>
      </w:r>
    </w:p>
    <w:p w:rsidR="00B064CF" w:rsidRDefault="00E32F70">
      <w:pPr>
        <w:spacing w:after="11"/>
        <w:ind w:left="355" w:right="72"/>
      </w:pPr>
      <w:r>
        <w:t xml:space="preserve">Artículo 3. Normativa subsidiaria y concurrencia de regímenes  </w:t>
      </w:r>
    </w:p>
    <w:p w:rsidR="00B064CF" w:rsidRDefault="00E32F70">
      <w:pPr>
        <w:spacing w:after="11"/>
        <w:ind w:left="355" w:right="72"/>
      </w:pPr>
      <w:r>
        <w:t xml:space="preserve">Artículo 4. Efectos </w:t>
      </w:r>
    </w:p>
    <w:p w:rsidR="00B064CF" w:rsidRDefault="00E32F70">
      <w:pPr>
        <w:spacing w:after="11"/>
        <w:ind w:left="355" w:right="72"/>
      </w:pPr>
      <w:r>
        <w:t xml:space="preserve">Artículo 5. Interpretación y aplicación  </w:t>
      </w:r>
    </w:p>
    <w:p w:rsidR="00B064CF" w:rsidRDefault="00E32F70">
      <w:pPr>
        <w:spacing w:after="11"/>
        <w:ind w:left="355" w:right="72"/>
      </w:pPr>
      <w:r>
        <w:t xml:space="preserve">Artículo 6. Definiciones </w:t>
      </w:r>
    </w:p>
    <w:p w:rsidR="00B064CF" w:rsidRDefault="00E32F70">
      <w:pPr>
        <w:spacing w:after="0" w:line="259" w:lineRule="auto"/>
        <w:ind w:left="360" w:firstLine="0"/>
        <w:jc w:val="left"/>
      </w:pPr>
      <w:r>
        <w:t xml:space="preserve"> </w:t>
      </w:r>
    </w:p>
    <w:p w:rsidR="00B064CF" w:rsidRDefault="00E32F70">
      <w:pPr>
        <w:spacing w:after="10" w:line="249" w:lineRule="auto"/>
        <w:ind w:left="355" w:right="126"/>
      </w:pPr>
      <w:r>
        <w:rPr>
          <w:u w:val="single" w:color="000000"/>
        </w:rPr>
        <w:t>TÍTULO II. DISPOSICIONES GENERALES</w:t>
      </w:r>
      <w:r>
        <w:t xml:space="preserve"> </w:t>
      </w:r>
    </w:p>
    <w:p w:rsidR="00B064CF" w:rsidRDefault="00E32F70">
      <w:pPr>
        <w:spacing w:after="11"/>
        <w:ind w:left="355" w:right="72"/>
      </w:pPr>
      <w:r>
        <w:t xml:space="preserve">CAPÍTULO 1. PRINCIPIOS Y CONDICIONES GENERALES DE LA OCUPACÓN </w:t>
      </w:r>
    </w:p>
    <w:p w:rsidR="00B064CF" w:rsidRDefault="00E32F70">
      <w:pPr>
        <w:spacing w:after="11"/>
        <w:ind w:left="1078" w:right="72"/>
      </w:pPr>
      <w:r>
        <w:t xml:space="preserve">Artículo 7. Principios básicos </w:t>
      </w:r>
    </w:p>
    <w:p w:rsidR="00B064CF" w:rsidRDefault="00E32F70">
      <w:pPr>
        <w:spacing w:after="11"/>
        <w:ind w:left="1078" w:right="72"/>
      </w:pPr>
      <w:r>
        <w:t xml:space="preserve">Artículo 8. Condiciones generales de la ocupación  </w:t>
      </w:r>
    </w:p>
    <w:p w:rsidR="00B064CF" w:rsidRDefault="00E32F70">
      <w:pPr>
        <w:spacing w:after="11"/>
        <w:ind w:left="1078" w:right="72"/>
      </w:pPr>
      <w:r>
        <w:t xml:space="preserve">Artículo 9. Garantías y conservación del dominio público  </w:t>
      </w:r>
    </w:p>
    <w:p w:rsidR="00B064CF" w:rsidRDefault="00E32F70">
      <w:pPr>
        <w:spacing w:after="11"/>
        <w:ind w:left="1078" w:right="72"/>
      </w:pPr>
      <w:r>
        <w:t>Artículo 10. Retirada del dominio público de elem</w:t>
      </w:r>
      <w:r>
        <w:t xml:space="preserve">entos e instalaciones no autorizados </w:t>
      </w:r>
    </w:p>
    <w:p w:rsidR="00B064CF" w:rsidRDefault="00E32F70">
      <w:pPr>
        <w:spacing w:after="11"/>
        <w:ind w:left="1078" w:right="72"/>
      </w:pPr>
      <w:r>
        <w:t xml:space="preserve">Ocupaciones con instalaciones y elementos especiales </w:t>
      </w:r>
    </w:p>
    <w:p w:rsidR="00B064CF" w:rsidRDefault="00E32F70">
      <w:pPr>
        <w:ind w:left="1078" w:right="72"/>
      </w:pPr>
      <w:r>
        <w:t xml:space="preserve">Artículo 11. Ocupaciones con instalaciones y elementos especiales </w:t>
      </w:r>
    </w:p>
    <w:p w:rsidR="00B064CF" w:rsidRDefault="00E32F70">
      <w:pPr>
        <w:spacing w:after="11"/>
        <w:ind w:left="1078" w:right="72"/>
      </w:pPr>
      <w:r>
        <w:t xml:space="preserve">Artículo 12. Cierre total o parcial del tráfico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CAPÍTULO 2. ASPECTOS PROCEDIMENTALES Y NORMAS COMUNES </w:t>
      </w:r>
    </w:p>
    <w:p w:rsidR="00B064CF" w:rsidRDefault="00E32F70">
      <w:pPr>
        <w:spacing w:after="11"/>
        <w:ind w:left="1078" w:right="72"/>
      </w:pPr>
      <w:r>
        <w:t xml:space="preserve">Artículo 13. Títulos habilitantes  </w:t>
      </w:r>
    </w:p>
    <w:p w:rsidR="00B064CF" w:rsidRDefault="00E32F70">
      <w:pPr>
        <w:spacing w:after="11"/>
        <w:ind w:left="1078" w:right="72"/>
      </w:pPr>
      <w:r>
        <w:t xml:space="preserve">Artículo 14. Competencias </w:t>
      </w:r>
    </w:p>
    <w:p w:rsidR="00B064CF" w:rsidRDefault="00E32F70">
      <w:pPr>
        <w:spacing w:after="11"/>
        <w:ind w:left="1078" w:right="72"/>
      </w:pPr>
      <w:r>
        <w:t xml:space="preserve">Artículo 15. Procedimiento de autorización </w:t>
      </w:r>
    </w:p>
    <w:p w:rsidR="00B064CF" w:rsidRDefault="00E32F70">
      <w:pPr>
        <w:spacing w:after="11"/>
        <w:ind w:left="1078" w:right="72"/>
      </w:pPr>
      <w:r>
        <w:t xml:space="preserve"> Artículo 16. Procedimiento de concesión  </w:t>
      </w:r>
    </w:p>
    <w:p w:rsidR="00B064CF" w:rsidRDefault="00E32F70">
      <w:pPr>
        <w:spacing w:after="11"/>
        <w:ind w:left="1078" w:right="72"/>
      </w:pPr>
      <w:r>
        <w:t xml:space="preserve">Artículo 17. Plazos de vigencia </w:t>
      </w:r>
    </w:p>
    <w:p w:rsidR="00B064CF" w:rsidRDefault="00E32F70">
      <w:pPr>
        <w:spacing w:after="11"/>
        <w:ind w:left="1078" w:right="72"/>
      </w:pPr>
      <w:r>
        <w:t>Artículo 18. Oblig</w:t>
      </w:r>
      <w:r>
        <w:t xml:space="preserve">aciones tributarias </w:t>
      </w:r>
    </w:p>
    <w:p w:rsidR="00B064CF" w:rsidRDefault="00E32F70">
      <w:pPr>
        <w:spacing w:after="0" w:line="259" w:lineRule="auto"/>
        <w:ind w:left="360" w:firstLine="0"/>
        <w:jc w:val="left"/>
      </w:pPr>
      <w:r>
        <w:t xml:space="preserve"> </w:t>
      </w:r>
    </w:p>
    <w:p w:rsidR="00B064CF" w:rsidRDefault="00E32F70">
      <w:pPr>
        <w:spacing w:after="10" w:line="249" w:lineRule="auto"/>
        <w:ind w:left="355" w:right="126"/>
      </w:pPr>
      <w:r>
        <w:rPr>
          <w:u w:val="single" w:color="000000"/>
        </w:rPr>
        <w:t>TÍTULO III. CONDICIONES PARTICULARES DE CADA TIPO DE OCUPACIÓN</w:t>
      </w:r>
      <w:r>
        <w:t xml:space="preserve"> </w:t>
      </w:r>
    </w:p>
    <w:p w:rsidR="00B064CF" w:rsidRDefault="00E32F70">
      <w:pPr>
        <w:spacing w:after="11"/>
        <w:ind w:left="355" w:right="72"/>
      </w:pPr>
      <w:r>
        <w:t xml:space="preserve">CAPÍTULO 1. CONDICIONES DE LA OCUPACIONES VINCULADAS A ACTIVIDADES </w:t>
      </w:r>
    </w:p>
    <w:p w:rsidR="00B064CF" w:rsidRDefault="00E32F70">
      <w:pPr>
        <w:spacing w:after="11"/>
        <w:ind w:left="355" w:right="72"/>
      </w:pPr>
      <w:r>
        <w:t xml:space="preserve">TERCIARIAS EJERCIDAS EN ESTABLECIMIENTOS PRIVADOS O PÚBLICOS </w:t>
      </w:r>
    </w:p>
    <w:p w:rsidR="00B064CF" w:rsidRDefault="00E32F70">
      <w:pPr>
        <w:spacing w:after="11"/>
        <w:ind w:left="1078" w:right="72"/>
      </w:pPr>
      <w:r>
        <w:t xml:space="preserve">Sección 1ª. DISPOSICIONES GENERALES </w:t>
      </w:r>
    </w:p>
    <w:p w:rsidR="00B064CF" w:rsidRDefault="00E32F70">
      <w:pPr>
        <w:spacing w:after="11"/>
        <w:ind w:left="1786" w:right="72"/>
      </w:pPr>
      <w:r>
        <w:t>Ar</w:t>
      </w:r>
      <w:r>
        <w:t xml:space="preserve">tículo 19. Ocupaciones permitidas y título habilitante  </w:t>
      </w:r>
    </w:p>
    <w:p w:rsidR="00B064CF" w:rsidRDefault="00E32F70">
      <w:pPr>
        <w:spacing w:after="0" w:line="259" w:lineRule="auto"/>
        <w:ind w:left="360" w:firstLine="0"/>
        <w:jc w:val="left"/>
      </w:pPr>
      <w:r>
        <w:t xml:space="preserve"> </w:t>
      </w:r>
    </w:p>
    <w:p w:rsidR="00B064CF" w:rsidRDefault="00E32F70">
      <w:pPr>
        <w:spacing w:after="0"/>
        <w:ind w:left="1078" w:right="72"/>
      </w:pPr>
      <w:r>
        <w:t xml:space="preserve">Sección 2ª. </w:t>
      </w:r>
      <w:r>
        <w:tab/>
        <w:t xml:space="preserve">CONDICIONES DE LAS OCUPACIONES VINCULADAS A ACTIVIDADES HOSTELERAS </w:t>
      </w:r>
    </w:p>
    <w:p w:rsidR="00B064CF" w:rsidRDefault="00E32F70">
      <w:pPr>
        <w:spacing w:after="0"/>
        <w:ind w:left="1786" w:right="72"/>
      </w:pPr>
      <w:r>
        <w:t xml:space="preserve">Artículo 20. Condiciones superficiales y dimensionales de las ocupaciones vinculadas a las actividades hosteleras </w:t>
      </w:r>
    </w:p>
    <w:p w:rsidR="00B064CF" w:rsidRDefault="00E32F70">
      <w:pPr>
        <w:spacing w:after="0"/>
        <w:ind w:left="1786" w:right="72"/>
      </w:pPr>
      <w:r>
        <w:t xml:space="preserve">Artículo 21. Señalización de los límites de las ocupaciones vinculadas a las actividades hosteleras </w:t>
      </w:r>
    </w:p>
    <w:p w:rsidR="00B064CF" w:rsidRDefault="00E32F70">
      <w:pPr>
        <w:spacing w:after="0"/>
        <w:ind w:left="1786" w:right="72"/>
      </w:pPr>
      <w:r>
        <w:rPr>
          <w:rFonts w:ascii="Calibri" w:eastAsia="Calibri" w:hAnsi="Calibri" w:cs="Calibri"/>
          <w:noProof/>
        </w:rPr>
        <mc:AlternateContent>
          <mc:Choice Requires="wpg">
            <w:drawing>
              <wp:anchor distT="0" distB="0" distL="114300" distR="114300" simplePos="0" relativeHeight="25184358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1771" name="Group 401771"/>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2011" name="Rectangle 32011"/>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2012" name="Rectangle 32012"/>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Documento firmado electrónicamente desde la platafor</w:t>
                              </w:r>
                              <w:r>
                                <w:rPr>
                                  <w:sz w:val="12"/>
                                </w:rPr>
                                <w:t xml:space="preserve">ma esPublico Gestiona | Página 177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1771" style="width:12.7031pt;height:278.91pt;position:absolute;mso-position-horizontal-relative:page;mso-position-horizontal:absolute;margin-left:682.278pt;mso-position-vertical-relative:page;margin-top:533.01pt;" coordsize="1613,35421">
                <v:rect id="Rectangle 32011"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2012"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177 de 298 </w:t>
                        </w:r>
                      </w:p>
                    </w:txbxContent>
                  </v:textbox>
                </v:rect>
                <w10:wrap type="square"/>
              </v:group>
            </w:pict>
          </mc:Fallback>
        </mc:AlternateContent>
      </w:r>
      <w:r>
        <w:t xml:space="preserve">Artículo 22. Características de los elementos accesorios vinculados a las actividades hosteleras </w:t>
      </w:r>
    </w:p>
    <w:p w:rsidR="00B064CF" w:rsidRDefault="00E32F70">
      <w:pPr>
        <w:spacing w:after="0"/>
        <w:ind w:left="1786" w:right="72"/>
      </w:pPr>
      <w:r>
        <w:t xml:space="preserve">Artículo 23. Obligaciones y limitaciones específicas de las ocupaciones vinculadas a actividades hosteleras </w:t>
      </w:r>
    </w:p>
    <w:p w:rsidR="00B064CF" w:rsidRDefault="00E32F70">
      <w:pPr>
        <w:spacing w:after="0" w:line="259" w:lineRule="auto"/>
        <w:ind w:left="360" w:firstLine="0"/>
        <w:jc w:val="left"/>
      </w:pPr>
      <w:r>
        <w:t xml:space="preserve"> </w:t>
      </w:r>
    </w:p>
    <w:p w:rsidR="00B064CF" w:rsidRDefault="00E32F70">
      <w:pPr>
        <w:spacing w:after="0"/>
        <w:ind w:left="1078" w:right="72"/>
      </w:pPr>
      <w:r>
        <w:t>Secc</w:t>
      </w:r>
      <w:r>
        <w:t xml:space="preserve">ión 3ª. CONDICIONES DE LAS OCUPACIONES VINCULADAS A ACTIVIDADES COMERCIALES O DE OFICINA </w:t>
      </w:r>
    </w:p>
    <w:p w:rsidR="00B064CF" w:rsidRDefault="00E32F70">
      <w:pPr>
        <w:spacing w:after="0"/>
        <w:ind w:left="1786" w:right="72"/>
      </w:pPr>
      <w:r>
        <w:t xml:space="preserve">Artículo 24. Características de los elementos accesorios vinculados a las actividades comerciales o de oficina </w:t>
      </w:r>
    </w:p>
    <w:p w:rsidR="00B064CF" w:rsidRDefault="00E32F70">
      <w:pPr>
        <w:spacing w:after="0"/>
        <w:ind w:left="1786" w:right="72"/>
      </w:pPr>
      <w:r>
        <w:t>Artículo 25. Obligaciones y limitaciones específicas d</w:t>
      </w:r>
      <w:r>
        <w:t xml:space="preserve">e las ocupaciones vinculadas a actividades comerciales o de oficina </w:t>
      </w:r>
    </w:p>
    <w:p w:rsidR="00B064CF" w:rsidRDefault="00E32F70">
      <w:pPr>
        <w:spacing w:after="0"/>
        <w:ind w:left="1786" w:right="72"/>
      </w:pPr>
      <w:r>
        <w:t xml:space="preserve">Artículo 26. </w:t>
      </w:r>
      <w:r>
        <w:tab/>
        <w:t xml:space="preserve">Ocupaciones </w:t>
      </w:r>
      <w:r>
        <w:tab/>
        <w:t xml:space="preserve">con </w:t>
      </w:r>
      <w:r>
        <w:tab/>
        <w:t xml:space="preserve">elementos </w:t>
      </w:r>
      <w:r>
        <w:tab/>
        <w:t xml:space="preserve">decorativos </w:t>
      </w:r>
      <w:r>
        <w:tab/>
        <w:t xml:space="preserve">en </w:t>
      </w:r>
      <w:r>
        <w:tab/>
        <w:t xml:space="preserve">celebraciones tradicionales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CAPÍTULO 2. CONDICIONES DE LAS OCUPACIONES VINCULADAS A ACTIVIDADES LÚDICAS, </w:t>
      </w:r>
    </w:p>
    <w:p w:rsidR="00B064CF" w:rsidRDefault="00E32F70">
      <w:pPr>
        <w:spacing w:after="11"/>
        <w:ind w:left="355" w:right="72"/>
      </w:pPr>
      <w:r>
        <w:t>ARTÍSTICAS, RECREA</w:t>
      </w:r>
      <w:r>
        <w:t xml:space="preserve">TIVAS, INFORMATIVAS, PUBLICITARIAS O SOLIDARIAS </w:t>
      </w:r>
    </w:p>
    <w:p w:rsidR="00B064CF" w:rsidRDefault="00E32F70">
      <w:pPr>
        <w:spacing w:after="11"/>
        <w:ind w:left="1078" w:right="72"/>
      </w:pPr>
      <w:r>
        <w:t xml:space="preserve">Sección 1ª. DISPOSICIONES GENERALES </w:t>
      </w:r>
    </w:p>
    <w:p w:rsidR="00B064CF" w:rsidRDefault="00E32F70">
      <w:pPr>
        <w:spacing w:after="11"/>
        <w:ind w:left="1786" w:right="72"/>
      </w:pPr>
      <w:r>
        <w:t xml:space="preserve">Artículo 27. Ocupaciones permitidas y título habilitante </w:t>
      </w:r>
    </w:p>
    <w:p w:rsidR="00B064CF" w:rsidRDefault="00E32F70">
      <w:pPr>
        <w:spacing w:after="11"/>
        <w:ind w:left="1786" w:right="72"/>
      </w:pPr>
      <w:r>
        <w:t xml:space="preserve">Artículo 28. Condiciones particulares </w:t>
      </w:r>
    </w:p>
    <w:p w:rsidR="00B064CF" w:rsidRDefault="00E32F70">
      <w:pPr>
        <w:spacing w:after="0" w:line="259" w:lineRule="auto"/>
        <w:ind w:left="1068" w:firstLine="0"/>
        <w:jc w:val="left"/>
      </w:pPr>
      <w:r>
        <w:t xml:space="preserve"> </w:t>
      </w:r>
    </w:p>
    <w:p w:rsidR="00B064CF" w:rsidRDefault="00E32F70">
      <w:pPr>
        <w:spacing w:after="11"/>
        <w:ind w:left="1078" w:right="72"/>
      </w:pPr>
      <w:r>
        <w:t xml:space="preserve">Sección 2ª. ACTUACIONES MUSICALES Y OTRAS ACTIVIDADES ARTÍSTICAS </w:t>
      </w:r>
    </w:p>
    <w:p w:rsidR="00B064CF" w:rsidRDefault="00E32F70">
      <w:pPr>
        <w:spacing w:after="11"/>
        <w:ind w:left="1786" w:right="72"/>
      </w:pPr>
      <w:r>
        <w:t xml:space="preserve">Artículo 29. Supuestos sujetos a autorización </w:t>
      </w:r>
    </w:p>
    <w:p w:rsidR="00B064CF" w:rsidRDefault="00E32F70">
      <w:pPr>
        <w:spacing w:after="11"/>
        <w:ind w:left="1786" w:right="72"/>
      </w:pPr>
      <w:r>
        <w:t xml:space="preserve">Artículo 30. Solicitudes, zonas y periodos de ocupación  </w:t>
      </w:r>
    </w:p>
    <w:p w:rsidR="00B064CF" w:rsidRDefault="00E32F70">
      <w:pPr>
        <w:spacing w:after="11"/>
        <w:ind w:left="1786" w:right="72"/>
      </w:pPr>
      <w:r>
        <w:t xml:space="preserve">Artículo 31. Condiciones específicas y obligaciones </w:t>
      </w:r>
    </w:p>
    <w:p w:rsidR="00B064CF" w:rsidRDefault="00E32F70">
      <w:pPr>
        <w:spacing w:after="0" w:line="259" w:lineRule="auto"/>
        <w:ind w:left="360" w:firstLine="0"/>
        <w:jc w:val="left"/>
      </w:pPr>
      <w:r>
        <w:t xml:space="preserve"> </w:t>
      </w:r>
    </w:p>
    <w:p w:rsidR="00B064CF" w:rsidRDefault="00E32F70">
      <w:pPr>
        <w:spacing w:after="11"/>
        <w:ind w:left="1078" w:right="72"/>
      </w:pPr>
      <w:r>
        <w:t xml:space="preserve">Sección 3ª. ACTIVIDADES INFORMATIVAS, DE SENSIBILIZACIÓN O PROMOCIONALES </w:t>
      </w:r>
    </w:p>
    <w:p w:rsidR="00B064CF" w:rsidRDefault="00E32F70">
      <w:pPr>
        <w:spacing w:after="11"/>
        <w:ind w:left="1786" w:right="72"/>
      </w:pPr>
      <w:r>
        <w:t>Artículo 32. Supuestos</w:t>
      </w:r>
      <w:r>
        <w:t xml:space="preserve"> sujetos a autorización  </w:t>
      </w:r>
    </w:p>
    <w:p w:rsidR="00B064CF" w:rsidRDefault="00E32F70">
      <w:pPr>
        <w:spacing w:after="11"/>
        <w:ind w:left="1786" w:right="72"/>
      </w:pPr>
      <w:r>
        <w:t xml:space="preserve">Artículo 33. Condiciones específicas y obligaciones  </w:t>
      </w:r>
    </w:p>
    <w:p w:rsidR="00B064CF" w:rsidRDefault="00E32F70">
      <w:pPr>
        <w:spacing w:after="11"/>
        <w:ind w:left="1786" w:right="72"/>
      </w:pPr>
      <w:r>
        <w:t xml:space="preserve">Artículo 34. Características de los elementos </w:t>
      </w:r>
    </w:p>
    <w:p w:rsidR="00B064CF" w:rsidRDefault="00E32F70">
      <w:pPr>
        <w:spacing w:after="0" w:line="259" w:lineRule="auto"/>
        <w:ind w:left="360" w:firstLine="0"/>
        <w:jc w:val="left"/>
      </w:pPr>
      <w:r>
        <w:t xml:space="preserve"> </w:t>
      </w:r>
    </w:p>
    <w:p w:rsidR="00B064CF" w:rsidRDefault="00E32F70">
      <w:pPr>
        <w:spacing w:after="11"/>
        <w:ind w:left="1078" w:right="72"/>
      </w:pPr>
      <w:r>
        <w:t xml:space="preserve">Sección 4ª. ACTIVIDADES DE CUESTACIÓN, PETITORIAS Y OTRAS SIMILARES CON </w:t>
      </w:r>
    </w:p>
    <w:p w:rsidR="00B064CF" w:rsidRDefault="00E32F70">
      <w:pPr>
        <w:spacing w:after="11"/>
        <w:ind w:left="1078" w:right="72"/>
      </w:pPr>
      <w:r>
        <w:t xml:space="preserve">FINES SOLIDARIOS </w:t>
      </w:r>
    </w:p>
    <w:p w:rsidR="00B064CF" w:rsidRDefault="00E32F70">
      <w:pPr>
        <w:spacing w:after="11"/>
        <w:ind w:left="1786" w:right="72"/>
      </w:pPr>
      <w:r>
        <w:t xml:space="preserve">Artículo 35. Supuestos sujetos a autorización  </w:t>
      </w:r>
    </w:p>
    <w:p w:rsidR="00B064CF" w:rsidRDefault="00E32F70">
      <w:pPr>
        <w:spacing w:after="11"/>
        <w:ind w:left="1786" w:right="72"/>
      </w:pPr>
      <w:r>
        <w:t xml:space="preserve">Artículo 36. Condiciones específicas y obligaciones </w:t>
      </w:r>
    </w:p>
    <w:p w:rsidR="00B064CF" w:rsidRDefault="00E32F70">
      <w:pPr>
        <w:tabs>
          <w:tab w:val="center" w:pos="360"/>
          <w:tab w:val="center" w:pos="1068"/>
          <w:tab w:val="center" w:pos="3959"/>
        </w:tabs>
        <w:spacing w:after="11"/>
        <w:ind w:left="0" w:firstLine="0"/>
        <w:jc w:val="left"/>
      </w:pPr>
      <w:r>
        <w:rPr>
          <w:rFonts w:ascii="Calibri" w:eastAsia="Calibri" w:hAnsi="Calibri" w:cs="Calibri"/>
        </w:rPr>
        <w:tab/>
      </w:r>
      <w:r>
        <w:t xml:space="preserve">  </w:t>
      </w:r>
      <w:r>
        <w:tab/>
        <w:t xml:space="preserve"> </w:t>
      </w:r>
      <w:r>
        <w:tab/>
        <w:t xml:space="preserve">Artículo 37. Características de los elementos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CAPÍTULO 3. OCUPACIONES CON QUIOSCOS </w:t>
      </w:r>
    </w:p>
    <w:p w:rsidR="00B064CF" w:rsidRDefault="00E32F70">
      <w:pPr>
        <w:spacing w:after="11"/>
        <w:ind w:left="1078" w:right="72"/>
      </w:pPr>
      <w:r>
        <w:t xml:space="preserve">Artículo 38. Ocupaciones permitidas y título habilitante  </w:t>
      </w:r>
    </w:p>
    <w:p w:rsidR="00B064CF" w:rsidRDefault="00E32F70">
      <w:pPr>
        <w:spacing w:after="11"/>
        <w:ind w:left="1078" w:right="72"/>
      </w:pPr>
      <w:r>
        <w:t xml:space="preserve">Artículo 39. Condiciones específicas y obligaciones  </w:t>
      </w:r>
    </w:p>
    <w:p w:rsidR="00B064CF" w:rsidRDefault="00E32F70">
      <w:pPr>
        <w:spacing w:after="11"/>
        <w:ind w:left="1078" w:right="72"/>
      </w:pPr>
      <w:r>
        <w:t xml:space="preserve">Artículo 40. Condiciones de los quioscos-bar </w:t>
      </w:r>
    </w:p>
    <w:p w:rsidR="00B064CF" w:rsidRDefault="00E32F70">
      <w:pPr>
        <w:spacing w:after="11"/>
        <w:ind w:left="1078" w:right="72"/>
      </w:pPr>
      <w:r>
        <w:t xml:space="preserve">Artículo 41. Traslado del quiosco </w:t>
      </w:r>
    </w:p>
    <w:p w:rsidR="00B064CF" w:rsidRDefault="00E32F70">
      <w:pPr>
        <w:spacing w:after="11"/>
        <w:ind w:left="1078" w:right="72"/>
      </w:pPr>
      <w:r>
        <w:t xml:space="preserve">Artículo 42. Suspensión o revocación de la concesión </w:t>
      </w:r>
    </w:p>
    <w:p w:rsidR="00B064CF" w:rsidRDefault="00E32F70">
      <w:pPr>
        <w:spacing w:after="0" w:line="259" w:lineRule="auto"/>
        <w:ind w:left="360" w:firstLine="0"/>
        <w:jc w:val="left"/>
      </w:pPr>
      <w:r>
        <w:t xml:space="preserve"> </w:t>
      </w:r>
    </w:p>
    <w:p w:rsidR="00B064CF" w:rsidRDefault="00E32F70">
      <w:pPr>
        <w:spacing w:after="11"/>
        <w:ind w:left="355" w:right="72"/>
      </w:pPr>
      <w:r>
        <w:t>CAPÍTULO 4. OCUPACIONES PARA EL DESARROLLO DE ESPECTÁCULOS Y FEST</w:t>
      </w:r>
      <w:r>
        <w:t xml:space="preserve">IVIDADES </w:t>
      </w:r>
    </w:p>
    <w:p w:rsidR="00B064CF" w:rsidRDefault="00E32F70">
      <w:pPr>
        <w:spacing w:after="11"/>
        <w:ind w:left="355" w:right="72"/>
      </w:pPr>
      <w:r>
        <w:t xml:space="preserve">TRADICIONALES </w:t>
      </w:r>
    </w:p>
    <w:p w:rsidR="00B064CF" w:rsidRDefault="00E32F70">
      <w:pPr>
        <w:spacing w:after="11"/>
        <w:ind w:left="1078" w:right="72"/>
      </w:pPr>
      <w:r>
        <w:t xml:space="preserve">Artículo 43. Ocupaciones permitidas y título habilitante  </w:t>
      </w:r>
    </w:p>
    <w:p w:rsidR="00B064CF" w:rsidRDefault="00E32F70">
      <w:pPr>
        <w:spacing w:after="11"/>
        <w:ind w:left="1078" w:right="72"/>
      </w:pPr>
      <w:r>
        <w:t xml:space="preserve">Artículo 44. Condiciones específicas y obligaciones  </w:t>
      </w:r>
    </w:p>
    <w:p w:rsidR="00B064CF" w:rsidRDefault="00E32F70">
      <w:pPr>
        <w:spacing w:after="11"/>
        <w:ind w:left="1078" w:right="72"/>
      </w:pPr>
      <w:r>
        <w:t xml:space="preserve">Artículo 45. Características de los elementos y vehículos </w:t>
      </w:r>
    </w:p>
    <w:p w:rsidR="00B064CF" w:rsidRDefault="00E32F70">
      <w:pPr>
        <w:spacing w:after="0" w:line="259" w:lineRule="auto"/>
        <w:ind w:left="360" w:firstLine="0"/>
        <w:jc w:val="left"/>
      </w:pPr>
      <w:r>
        <w:t xml:space="preserve"> </w:t>
      </w:r>
    </w:p>
    <w:p w:rsidR="00B064CF" w:rsidRDefault="00E32F70">
      <w:pPr>
        <w:spacing w:after="11"/>
        <w:ind w:left="355" w:right="72"/>
      </w:pPr>
      <w:r>
        <w:rPr>
          <w:rFonts w:ascii="Calibri" w:eastAsia="Calibri" w:hAnsi="Calibri" w:cs="Calibri"/>
          <w:noProof/>
        </w:rPr>
        <mc:AlternateContent>
          <mc:Choice Requires="wpg">
            <w:drawing>
              <wp:anchor distT="0" distB="0" distL="114300" distR="114300" simplePos="0" relativeHeight="25184460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1906" name="Group 401906"/>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2134" name="Rectangle 32134"/>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64SKSNYNJRFPNN5DLPPAAC3GS | Verificac</w:t>
                              </w:r>
                              <w:r>
                                <w:rPr>
                                  <w:sz w:val="12"/>
                                </w:rPr>
                                <w:t xml:space="preserve">ión: https://candelaria.sedelectronica.es/ </w:t>
                              </w:r>
                            </w:p>
                          </w:txbxContent>
                        </wps:txbx>
                        <wps:bodyPr horzOverflow="overflow" vert="horz" lIns="0" tIns="0" rIns="0" bIns="0" rtlCol="0">
                          <a:noAutofit/>
                        </wps:bodyPr>
                      </wps:wsp>
                      <wps:wsp>
                        <wps:cNvPr id="32135" name="Rectangle 32135"/>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178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1906" style="width:12.7031pt;height:278.91pt;position:absolute;mso-position-horizontal-relative:page;mso-position-horizontal:absolute;margin-left:682.278pt;mso-position-vertical-relative:page;margin-top:533.01pt;" coordsize="1613,35421">
                <v:rect id="Rectangle 32134"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2135"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178 de 298 </w:t>
                        </w:r>
                      </w:p>
                    </w:txbxContent>
                  </v:textbox>
                </v:rect>
                <w10:wrap type="square"/>
              </v:group>
            </w:pict>
          </mc:Fallback>
        </mc:AlternateContent>
      </w:r>
      <w:r>
        <w:t xml:space="preserve">CAPÍTULO 5. OCUPACIONES PARA EL DESARROLLO DE EVENTOS DEPORTIVOS </w:t>
      </w:r>
    </w:p>
    <w:p w:rsidR="00B064CF" w:rsidRDefault="00E32F70">
      <w:pPr>
        <w:spacing w:after="11"/>
        <w:ind w:left="1078" w:right="72"/>
      </w:pPr>
      <w:r>
        <w:t>Artículo 46. Ocupaciones permitidas y título habi</w:t>
      </w:r>
      <w:r>
        <w:t xml:space="preserve">litante  </w:t>
      </w:r>
    </w:p>
    <w:p w:rsidR="00B064CF" w:rsidRDefault="00E32F70">
      <w:pPr>
        <w:spacing w:after="11"/>
        <w:ind w:left="1078" w:right="72"/>
      </w:pPr>
      <w:r>
        <w:t xml:space="preserve">Artículo 47. Condiciones específicas y obligaciones  </w:t>
      </w:r>
    </w:p>
    <w:p w:rsidR="00B064CF" w:rsidRDefault="00E32F70">
      <w:pPr>
        <w:spacing w:after="11"/>
        <w:ind w:left="1078" w:right="72"/>
      </w:pPr>
      <w:r>
        <w:t xml:space="preserve">Artículo 48. Características de los elementos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CAPÍTULO 6. OTRAS OCUPACIONES </w:t>
      </w:r>
    </w:p>
    <w:p w:rsidR="00B064CF" w:rsidRDefault="00E32F70">
      <w:pPr>
        <w:spacing w:after="11"/>
        <w:ind w:left="1078" w:right="72"/>
      </w:pPr>
      <w:r>
        <w:t xml:space="preserve">Artículo 49. Elementos para la protección de las aceras </w:t>
      </w:r>
    </w:p>
    <w:p w:rsidR="00B064CF" w:rsidRDefault="00E32F70">
      <w:pPr>
        <w:spacing w:after="11"/>
        <w:ind w:left="1078" w:right="72"/>
      </w:pPr>
      <w:r>
        <w:t xml:space="preserve">Artículo 50. Espejos de tráfico </w:t>
      </w:r>
    </w:p>
    <w:p w:rsidR="00B064CF" w:rsidRDefault="00E32F70">
      <w:pPr>
        <w:spacing w:after="11"/>
        <w:ind w:left="1078" w:right="72"/>
      </w:pPr>
      <w:r>
        <w:t xml:space="preserve">Artículo 51. Cajeros automáticos y máquinas expendedoras  </w:t>
      </w:r>
    </w:p>
    <w:p w:rsidR="00B064CF" w:rsidRDefault="00E32F70">
      <w:pPr>
        <w:spacing w:after="0" w:line="259" w:lineRule="auto"/>
        <w:ind w:left="360" w:firstLine="0"/>
        <w:jc w:val="left"/>
      </w:pPr>
      <w:r>
        <w:t xml:space="preserve"> </w:t>
      </w:r>
    </w:p>
    <w:p w:rsidR="00B064CF" w:rsidRDefault="00E32F70">
      <w:pPr>
        <w:spacing w:after="10" w:line="249" w:lineRule="auto"/>
        <w:ind w:left="355" w:right="126"/>
      </w:pPr>
      <w:r>
        <w:rPr>
          <w:u w:val="single" w:color="000000"/>
        </w:rPr>
        <w:t>TÍTULO IV. INFRACCIONES Y SANCIONES</w:t>
      </w:r>
      <w:r>
        <w:t xml:space="preserve"> </w:t>
      </w:r>
    </w:p>
    <w:p w:rsidR="00B064CF" w:rsidRDefault="00E32F70">
      <w:pPr>
        <w:spacing w:after="11"/>
        <w:ind w:left="1078" w:right="72"/>
      </w:pPr>
      <w:r>
        <w:t xml:space="preserve">Artículo 52. Sujetos responsables </w:t>
      </w:r>
    </w:p>
    <w:p w:rsidR="00B064CF" w:rsidRDefault="00E32F70">
      <w:pPr>
        <w:spacing w:after="11"/>
        <w:ind w:left="1078" w:right="72"/>
      </w:pPr>
      <w:r>
        <w:t xml:space="preserve">Artículo 53. Tipificación de las infracciones  </w:t>
      </w:r>
    </w:p>
    <w:p w:rsidR="00B064CF" w:rsidRDefault="00E32F70">
      <w:pPr>
        <w:spacing w:after="11"/>
        <w:ind w:left="1078" w:right="72"/>
      </w:pPr>
      <w:r>
        <w:t xml:space="preserve">Artículo 54. Sanciones </w:t>
      </w:r>
    </w:p>
    <w:p w:rsidR="00B064CF" w:rsidRDefault="00E32F70">
      <w:pPr>
        <w:spacing w:after="11"/>
        <w:ind w:left="1078" w:right="72"/>
      </w:pPr>
      <w:r>
        <w:t xml:space="preserve">Artículo 55. Graduación de las sanciones. </w:t>
      </w:r>
    </w:p>
    <w:p w:rsidR="00B064CF" w:rsidRDefault="00E32F70">
      <w:pPr>
        <w:spacing w:after="0" w:line="246" w:lineRule="auto"/>
        <w:ind w:left="1068" w:right="4258" w:firstLine="0"/>
        <w:jc w:val="left"/>
      </w:pPr>
      <w:r>
        <w:t xml:space="preserve">Artículo 56. Responsabilidad e indemnizaciones. Artículo 57. Personas responsables Artículo 58. Inspección y Control. Artículo 59. Procedimiento Artículo 60. Medidas cautelares. </w:t>
      </w:r>
    </w:p>
    <w:p w:rsidR="00B064CF" w:rsidRDefault="00E32F70">
      <w:pPr>
        <w:spacing w:after="11"/>
        <w:ind w:left="1078" w:right="72"/>
      </w:pPr>
      <w:r>
        <w:t xml:space="preserve">Artículo 61. Prescripción </w:t>
      </w:r>
    </w:p>
    <w:p w:rsidR="00B064CF" w:rsidRDefault="00E32F70">
      <w:pPr>
        <w:spacing w:after="0" w:line="259" w:lineRule="auto"/>
        <w:ind w:left="360" w:firstLine="0"/>
        <w:jc w:val="left"/>
      </w:pPr>
      <w:r>
        <w:t xml:space="preserve"> </w:t>
      </w:r>
    </w:p>
    <w:p w:rsidR="00B064CF" w:rsidRDefault="00E32F70">
      <w:pPr>
        <w:spacing w:after="10" w:line="249" w:lineRule="auto"/>
        <w:ind w:left="355" w:right="126"/>
      </w:pPr>
      <w:r>
        <w:rPr>
          <w:u w:val="single" w:color="000000"/>
        </w:rPr>
        <w:t>DISPOSICIÓN TRANSITORIA ÚNICA</w:t>
      </w:r>
      <w:r>
        <w:t xml:space="preserve"> </w:t>
      </w:r>
    </w:p>
    <w:p w:rsidR="00B064CF" w:rsidRDefault="00E32F70">
      <w:pPr>
        <w:spacing w:after="0" w:line="259" w:lineRule="auto"/>
        <w:ind w:left="360" w:firstLine="0"/>
        <w:jc w:val="left"/>
      </w:pPr>
      <w:r>
        <w:t xml:space="preserve"> </w:t>
      </w:r>
    </w:p>
    <w:p w:rsidR="00B064CF" w:rsidRDefault="00E32F70">
      <w:pPr>
        <w:spacing w:after="10" w:line="249" w:lineRule="auto"/>
        <w:ind w:left="355" w:right="126"/>
      </w:pPr>
      <w:r>
        <w:rPr>
          <w:u w:val="single" w:color="000000"/>
        </w:rPr>
        <w:t>DISPOSICIÓN DER</w:t>
      </w:r>
      <w:r>
        <w:rPr>
          <w:u w:val="single" w:color="000000"/>
        </w:rPr>
        <w:t>OGATORIA</w:t>
      </w:r>
      <w:r>
        <w:t xml:space="preserve"> </w:t>
      </w:r>
    </w:p>
    <w:p w:rsidR="00B064CF" w:rsidRDefault="00E32F70">
      <w:pPr>
        <w:spacing w:after="11"/>
        <w:ind w:left="355" w:right="72"/>
      </w:pPr>
      <w:r>
        <w:t xml:space="preserve">Única. Derogación normativa  </w:t>
      </w:r>
    </w:p>
    <w:p w:rsidR="00B064CF" w:rsidRDefault="00E32F70">
      <w:pPr>
        <w:spacing w:after="0" w:line="259" w:lineRule="auto"/>
        <w:ind w:left="360" w:firstLine="0"/>
        <w:jc w:val="left"/>
      </w:pPr>
      <w:r>
        <w:t xml:space="preserve"> </w:t>
      </w:r>
    </w:p>
    <w:p w:rsidR="00B064CF" w:rsidRDefault="00E32F70">
      <w:pPr>
        <w:spacing w:after="10" w:line="249" w:lineRule="auto"/>
        <w:ind w:left="355" w:right="126"/>
      </w:pPr>
      <w:r>
        <w:rPr>
          <w:u w:val="single" w:color="000000"/>
        </w:rPr>
        <w:t>DISPOSICIÓN FINAL ÚNICA</w:t>
      </w:r>
      <w:r>
        <w:t xml:space="preserve"> </w:t>
      </w:r>
    </w:p>
    <w:p w:rsidR="00B064CF" w:rsidRDefault="00E32F70">
      <w:pPr>
        <w:spacing w:after="11"/>
        <w:ind w:left="355" w:right="72"/>
      </w:pPr>
      <w:r>
        <w:t xml:space="preserve">Publicación y entrada en vigor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ANEXO I – GRÁFICOS OCUPACIONES VINCULADAS A ACTIVIDADES HOSTELERAS </w:t>
      </w:r>
    </w:p>
    <w:p w:rsidR="00B064CF" w:rsidRDefault="00E32F70">
      <w:pPr>
        <w:spacing w:after="11"/>
        <w:ind w:left="355" w:right="72"/>
      </w:pPr>
      <w:r>
        <w:t xml:space="preserve">ANEXO II - MOBILIARIO </w:t>
      </w:r>
    </w:p>
    <w:p w:rsidR="00B064CF" w:rsidRDefault="00E32F70">
      <w:pPr>
        <w:tabs>
          <w:tab w:val="center" w:pos="545"/>
          <w:tab w:val="center" w:pos="3580"/>
        </w:tabs>
        <w:spacing w:after="11"/>
        <w:ind w:left="0" w:firstLine="0"/>
        <w:jc w:val="left"/>
      </w:pPr>
      <w:r>
        <w:rPr>
          <w:rFonts w:ascii="Calibri" w:eastAsia="Calibri" w:hAnsi="Calibri" w:cs="Calibri"/>
        </w:rPr>
        <w:tab/>
      </w:r>
      <w:r>
        <w:t xml:space="preserve">II.1. </w:t>
      </w:r>
      <w:r>
        <w:tab/>
        <w:t xml:space="preserve">Características de mesas, sillas, sombrillas y toldos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EXPOSICIÓN DE MOTIVOS </w:t>
      </w:r>
    </w:p>
    <w:p w:rsidR="00B064CF" w:rsidRDefault="00E32F70">
      <w:pPr>
        <w:spacing w:after="0"/>
        <w:ind w:left="355" w:right="143"/>
      </w:pPr>
      <w:r>
        <w:t>La regulación de la protección, ordenación y uso del suelo público del municipio de Candelaria es necesaria e imprescindible y requiere de una ordenanza que asegure la mejora del espacio público para la convivencia ciudadana, la</w:t>
      </w:r>
      <w:r>
        <w:t xml:space="preserve"> preservación de los bienes y derechos públicos, la calidad del paisaje urbano del municipio y la sostenibilidad ambiental y que ordene el conjunto de intereses legítimos, tanto públicos como privados, que confluyen sobre el mismo, de un modo racional y so</w:t>
      </w:r>
      <w:r>
        <w:t xml:space="preserve">stenible, de forma que el municipio sea un lugar accesible e inclusivo, manteniendo, en cualquier caso, como prioritario el uso común general del espacio público  </w:t>
      </w:r>
    </w:p>
    <w:p w:rsidR="00B064CF" w:rsidRDefault="00E32F70">
      <w:pPr>
        <w:spacing w:after="0"/>
        <w:ind w:left="355" w:right="143"/>
      </w:pPr>
      <w:r>
        <w:t>Esta ordenanza tiene por objeto racionalizar y encauzar las diferentes ocupaciones del domin</w:t>
      </w:r>
      <w:r>
        <w:t>io público en el municipio de Candelaria, consiguiendo la compatibilidad entre quien pretenda un uso especial del dominio público, también generador de riqueza y empleo, con el uso común por toda la ciudadanía</w:t>
      </w:r>
      <w:r>
        <w:rPr>
          <w:color w:val="7030A0"/>
        </w:rPr>
        <w:t>.</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rPr>
          <w:rFonts w:ascii="Calibri" w:eastAsia="Calibri" w:hAnsi="Calibri" w:cs="Calibri"/>
          <w:noProof/>
        </w:rPr>
        <mc:AlternateContent>
          <mc:Choice Requires="wpg">
            <w:drawing>
              <wp:anchor distT="0" distB="0" distL="114300" distR="114300" simplePos="0" relativeHeight="25184563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2061" name="Group 402061"/>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2242" name="Rectangle 32242"/>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w:t>
                              </w:r>
                              <w:r>
                                <w:rPr>
                                  <w:sz w:val="12"/>
                                </w:rPr>
                                <w:t xml:space="preserve">S | Verificación: https://candelaria.sedelectronica.es/ </w:t>
                              </w:r>
                            </w:p>
                          </w:txbxContent>
                        </wps:txbx>
                        <wps:bodyPr horzOverflow="overflow" vert="horz" lIns="0" tIns="0" rIns="0" bIns="0" rtlCol="0">
                          <a:noAutofit/>
                        </wps:bodyPr>
                      </wps:wsp>
                      <wps:wsp>
                        <wps:cNvPr id="32243" name="Rectangle 32243"/>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179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2061" style="width:12.7031pt;height:278.91pt;position:absolute;mso-position-horizontal-relative:page;mso-position-horizontal:absolute;margin-left:682.278pt;mso-position-vertical-relative:page;margin-top:533.01pt;" coordsize="1613,35421">
                <v:rect id="Rectangle 32242"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2243"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179 de 298 </w:t>
                        </w:r>
                      </w:p>
                    </w:txbxContent>
                  </v:textbox>
                </v:rect>
                <w10:wrap type="square"/>
              </v:group>
            </w:pict>
          </mc:Fallback>
        </mc:AlternateContent>
      </w:r>
      <w:r>
        <w:rPr>
          <w:color w:val="7030A0"/>
        </w:rPr>
        <w:t xml:space="preserve"> </w:t>
      </w:r>
    </w:p>
    <w:p w:rsidR="00B064CF" w:rsidRDefault="00E32F70">
      <w:pPr>
        <w:spacing w:after="0"/>
        <w:ind w:left="355" w:right="145"/>
      </w:pPr>
      <w:r>
        <w:t>El buen clima predominante en el municipio de Candelaria durante la mayor parte del año, convierte sus espacios públicos en lugares de encuentro y entretenimiento, lo que justifica la importancia de la intervención administrativa en la gestión y conservaci</w:t>
      </w:r>
      <w:r>
        <w:t>ón del dominio público.</w:t>
      </w:r>
      <w:r>
        <w:rPr>
          <w:color w:val="7030A0"/>
        </w:rPr>
        <w:t xml:space="preserve"> </w:t>
      </w:r>
      <w:r>
        <w:t>En este sentido, existen principios incuestionables que deben primar en todos los casos, de manera que la ocupación del dominio público no puede suponer una merma de los requisitos mínimos de</w:t>
      </w:r>
      <w:r>
        <w:rPr>
          <w:color w:val="7030A0"/>
        </w:rPr>
        <w:t xml:space="preserve"> </w:t>
      </w:r>
      <w:r>
        <w:t>accesibilidad de nuestras calles o de la</w:t>
      </w:r>
      <w:r>
        <w:t xml:space="preserve"> perturbación del derecho al descanso de su población.</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rPr>
          <w:color w:val="7030A0"/>
        </w:rPr>
        <w:t xml:space="preserve"> </w:t>
      </w:r>
    </w:p>
    <w:p w:rsidR="00B064CF" w:rsidRDefault="00E32F70">
      <w:pPr>
        <w:spacing w:after="0"/>
        <w:ind w:left="355" w:right="146"/>
      </w:pPr>
      <w:r>
        <w:t xml:space="preserve">En relación con la protección del dominio público, tan importante es contar con la norma legal que determine su alcance y sancione su incumplimiento como que la ciudadanía tenga presente que con su </w:t>
      </w:r>
      <w:r>
        <w:t>colaboración se puede conseguir que el municipio sea un lugar grato y confortable donde se desarrollen las relaciones familiares, sociales y profesionales y, al mismo tiempo, lugar de acogida amable para quien nos visite, tanto en lo que se refiere a la es</w:t>
      </w:r>
      <w:r>
        <w:t xml:space="preserve">tancia como al ocio. </w:t>
      </w:r>
    </w:p>
    <w:p w:rsidR="00B064CF" w:rsidRDefault="00E32F70">
      <w:pPr>
        <w:spacing w:after="0" w:line="259" w:lineRule="auto"/>
        <w:ind w:left="360" w:firstLine="0"/>
        <w:jc w:val="left"/>
      </w:pPr>
      <w:r>
        <w:t xml:space="preserve"> </w:t>
      </w:r>
    </w:p>
    <w:p w:rsidR="00B064CF" w:rsidRDefault="00E32F70">
      <w:pPr>
        <w:numPr>
          <w:ilvl w:val="0"/>
          <w:numId w:val="94"/>
        </w:numPr>
        <w:spacing w:after="0"/>
        <w:ind w:right="106"/>
      </w:pPr>
      <w:r>
        <w:t>La presente Ordenanza se dicta al amparo de las facultades atribuidas  a las entidades locales por la Constitución Española y su normativa básica de desarrollo, haciendo uso de la potestad normativa que tales entidades tienen recono</w:t>
      </w:r>
      <w:r>
        <w:t>cida en virtud de lo dispuesto en los artículos 4 y 84 de la Ley 7/1985, de 2 de abril, reguladora de las Bases de Régimen Local; 55 del Real Decreto Legislativo 781/1986, de 18 de abril, por el que se aprueba el Texto Refundido de las Disposiciones Legale</w:t>
      </w:r>
      <w:r>
        <w:t>s Vigentes en materia de Régimen Local; y en el ejercicio de las facultades de gestión y administración de los bienes de dominio público derivadas de la Ley 33/2003, de 3 de noviembre, de Patrimonio de las Administraciones Públicas y del Real Decreto 1372/</w:t>
      </w:r>
      <w:r>
        <w:t xml:space="preserve">1986, de 13 de junio, por el que se aprueba el Reglamento de Bienes de las Entidades Locales. </w:t>
      </w:r>
    </w:p>
    <w:p w:rsidR="00B064CF" w:rsidRDefault="00E32F70">
      <w:pPr>
        <w:numPr>
          <w:ilvl w:val="0"/>
          <w:numId w:val="94"/>
        </w:numPr>
        <w:spacing w:after="0"/>
        <w:ind w:right="106"/>
      </w:pPr>
      <w:r>
        <w:t xml:space="preserve">Esta nueva Ordenanza parte del establecimiento de unas disposiciones generales para regular, seguidamente, las diferentes modalidades de ocupación. </w:t>
      </w:r>
    </w:p>
    <w:p w:rsidR="00B064CF" w:rsidRDefault="00E32F70">
      <w:pPr>
        <w:spacing w:after="0"/>
        <w:ind w:left="355" w:right="142"/>
      </w:pPr>
      <w:r>
        <w:t>En el Título</w:t>
      </w:r>
      <w:r>
        <w:t xml:space="preserve"> I se recogen las disposiciones de carácter preliminar, encaminadas a delimitar el objeto y ámbito de aplicación de esta norma, así como la normativa subsidiaria y los criterios interpretativos. Dicho Título contiene, en su último artículo, una relación de</w:t>
      </w:r>
      <w:r>
        <w:t xml:space="preserve"> conceptos que ayudará a la correcta interpretación y aplicación de la presente Ordenanza. </w:t>
      </w:r>
    </w:p>
    <w:p w:rsidR="00B064CF" w:rsidRDefault="00E32F70">
      <w:pPr>
        <w:spacing w:after="0"/>
        <w:ind w:left="355" w:right="143"/>
      </w:pPr>
      <w:r>
        <w:t>El Título II contiene las disposiciones de carácter general estructuradas en dos bloques. En un primer bloque se sientan los principios básicos y las condiciones ge</w:t>
      </w:r>
      <w:r>
        <w:t>nerales que debe observar toda ocupación; se señalan las facultades de la Administración para velar por el adecuado uso y conservación del dominio; y se establecen las condiciones para la implantación de instalaciones especiales (gradas, escenarios, carpas</w:t>
      </w:r>
      <w:r>
        <w:t>, etc.) o el cierre al tráfico de las vías públicas. El segundo bloque trata los aspectos procedimentales, los títulos habilitantes (autorización expresa o concesión), la distribución competencial entre los diferentes departamentos y órganos municipales, l</w:t>
      </w:r>
      <w:r>
        <w:t xml:space="preserve">os plazos de vigencia de los títulos y las obligaciones tributarias de los autorizados o concesionarios. </w:t>
      </w:r>
    </w:p>
    <w:p w:rsidR="00B064CF" w:rsidRDefault="00E32F70">
      <w:pPr>
        <w:spacing w:after="0" w:line="259" w:lineRule="auto"/>
        <w:ind w:left="360" w:firstLine="0"/>
        <w:jc w:val="left"/>
      </w:pPr>
      <w:r>
        <w:t xml:space="preserve"> </w:t>
      </w:r>
    </w:p>
    <w:p w:rsidR="00B064CF" w:rsidRDefault="00E32F70">
      <w:pPr>
        <w:spacing w:after="0"/>
        <w:ind w:left="355" w:right="144"/>
      </w:pPr>
      <w:r>
        <w:rPr>
          <w:rFonts w:ascii="Calibri" w:eastAsia="Calibri" w:hAnsi="Calibri" w:cs="Calibri"/>
          <w:noProof/>
        </w:rPr>
        <mc:AlternateContent>
          <mc:Choice Requires="wpg">
            <w:drawing>
              <wp:anchor distT="0" distB="0" distL="114300" distR="114300" simplePos="0" relativeHeight="25184665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2413" name="Group 402413"/>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2355" name="Rectangle 32355"/>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2356" name="Rectangle 32356"/>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180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2413" style="width:12.7031pt;height:278.91pt;position:absolute;mso-position-horizontal-relative:page;mso-position-horizontal:absolute;margin-left:682.278pt;mso-position-vertical-relative:page;margin-top:533.01pt;" coordsize="1613,35421">
                <v:rect id="Rectangle 32355"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2356"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180 de 298 </w:t>
                        </w:r>
                      </w:p>
                    </w:txbxContent>
                  </v:textbox>
                </v:rect>
                <w10:wrap type="square"/>
              </v:group>
            </w:pict>
          </mc:Fallback>
        </mc:AlternateContent>
      </w:r>
      <w:r>
        <w:t>El Título III se estructura en seis capítulos, que se corresponden con cada una de las diferentes modalidades de ocupación (ocupaciones vinculadas a las activida</w:t>
      </w:r>
      <w:r>
        <w:t xml:space="preserve">des terciarias -hostelería, comercial y oficinas- desarrolladas en establecimientos privados o públicos; ocupaciones vinculadas a actividades lúdicas, artísticas, recreativas, informativas, publicitarias o solidarias; ocupaciones con quioscos; ocupaciones </w:t>
      </w:r>
      <w:r>
        <w:t>para la celebración de espectáculos y festividades tradicionales; ocupaciones para el desarrollo de eventos deportivos; y otras modalidades de ocupación -protección de aceras, espejos de tráfico, cajeros automáticos y máquinas expendedoras-). Para cada una</w:t>
      </w:r>
      <w:r>
        <w:t xml:space="preserve"> de esas modalidades de ocupación se establece una doble regulación: por un lado, se fijan las condiciones dimensionales y de posicionamiento del espacio a ocupar, y por otro lado se señalan las características de los elementos y dispositivos asociados y v</w:t>
      </w:r>
      <w:r>
        <w:t xml:space="preserve">inculados a cada tipo de ocupación. </w:t>
      </w:r>
    </w:p>
    <w:p w:rsidR="00B064CF" w:rsidRDefault="00E32F70">
      <w:pPr>
        <w:spacing w:after="0" w:line="259" w:lineRule="auto"/>
        <w:ind w:left="360" w:firstLine="0"/>
        <w:jc w:val="left"/>
      </w:pPr>
      <w:r>
        <w:t xml:space="preserve"> </w:t>
      </w:r>
    </w:p>
    <w:p w:rsidR="00B064CF" w:rsidRDefault="00E32F70">
      <w:pPr>
        <w:spacing w:after="0"/>
        <w:ind w:left="355" w:right="150"/>
      </w:pPr>
      <w:r>
        <w:t>El Título IV contiene el régimen sancionador, especificando las conductas contrarias a lo previsto en la presente Ordenanza que quedan tipificadas como infracciones a la misma, y estableciendo las sanciones que corres</w:t>
      </w:r>
      <w:r>
        <w:t xml:space="preserve">ponden a cada una.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TÍTULO I DISPOSICIONES PRELIMINARES COMUNES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Artículo 1. Objeto </w:t>
      </w:r>
    </w:p>
    <w:p w:rsidR="00B064CF" w:rsidRDefault="00E32F70">
      <w:pPr>
        <w:numPr>
          <w:ilvl w:val="0"/>
          <w:numId w:val="95"/>
        </w:numPr>
        <w:spacing w:after="0"/>
        <w:ind w:left="628" w:right="146" w:hanging="283"/>
      </w:pPr>
      <w:r>
        <w:t xml:space="preserve">La presente Ordenanza tiene por objeto establecer la regulación jurídica del aprovechamiento especial o la utilización privativa de los espacios de dominio público </w:t>
      </w:r>
      <w:r>
        <w:t xml:space="preserve">de titularidad municipal, mediante su ocupación especial o privativa con: </w:t>
      </w:r>
    </w:p>
    <w:p w:rsidR="00B064CF" w:rsidRDefault="00E32F70">
      <w:pPr>
        <w:spacing w:after="0"/>
        <w:ind w:left="355" w:right="72"/>
      </w:pPr>
      <w:r>
        <w:t>◦</w:t>
      </w:r>
      <w:r>
        <w:t xml:space="preserve"> Instalaciones accesorias vinculadas a actividades terciarias (hosteleras, comerciales o de oficina) que se desarrollan en establecimientos de titularidad privada o pública. </w:t>
      </w:r>
    </w:p>
    <w:p w:rsidR="00B064CF" w:rsidRDefault="00E32F70">
      <w:pPr>
        <w:spacing w:after="0"/>
        <w:ind w:left="355" w:right="146"/>
      </w:pPr>
      <w:r>
        <w:t>◦</w:t>
      </w:r>
      <w:r>
        <w:t xml:space="preserve"> Act</w:t>
      </w:r>
      <w:r>
        <w:t xml:space="preserve">ividades lúdicas, artísticas, informativas, publicitarias, solidarias, de sensibilización, promocionales, cuestación, petitorias, quioscos, espectáculos y festividades tradicionales, eventos deportivos y otras ocupaciones como elementos para protección de </w:t>
      </w:r>
      <w:r>
        <w:t xml:space="preserve">aceras, espejos de tráfico, cajeros automáticos y máquinas expendedoras, incluidos los elementos accesorios que les sirvan de soporte. </w:t>
      </w:r>
    </w:p>
    <w:p w:rsidR="00B064CF" w:rsidRDefault="00E32F70">
      <w:pPr>
        <w:numPr>
          <w:ilvl w:val="0"/>
          <w:numId w:val="95"/>
        </w:numPr>
        <w:spacing w:after="0"/>
        <w:ind w:left="628" w:right="146" w:hanging="283"/>
      </w:pPr>
      <w:r>
        <w:t>Quedan fuera del ámbito de aplicación de esta Ordenanza las modalidades de ocupación diferentes a las señaladas en el nú</w:t>
      </w:r>
      <w:r>
        <w:t xml:space="preserve">mero anterior y las que afecten al dominio público no municipal, cuyas regulaciones vendrán determinadas en las correspondientes normas legales y reglamentarias. </w:t>
      </w:r>
    </w:p>
    <w:p w:rsidR="00B064CF" w:rsidRDefault="00E32F70">
      <w:pPr>
        <w:spacing w:after="11"/>
        <w:ind w:left="355" w:right="72"/>
      </w:pPr>
      <w:r>
        <w:t xml:space="preserve">Artículo 2. Ámbito territorial de aplicación </w:t>
      </w:r>
    </w:p>
    <w:p w:rsidR="00B064CF" w:rsidRDefault="00E32F70">
      <w:pPr>
        <w:spacing w:after="0"/>
        <w:ind w:left="355" w:right="72"/>
      </w:pPr>
      <w:r>
        <w:t xml:space="preserve">La presente Ordenanza es de aplicación en todo </w:t>
      </w:r>
      <w:r>
        <w:t xml:space="preserve">el término municipal de Candelaria y queda referida exclusivamente al dominio público de titularidad municipal. </w:t>
      </w:r>
    </w:p>
    <w:p w:rsidR="00B064CF" w:rsidRDefault="00E32F70">
      <w:pPr>
        <w:spacing w:after="11"/>
        <w:ind w:left="355" w:right="72"/>
      </w:pPr>
      <w:r>
        <w:t xml:space="preserve">Artículo 3. Normativa subsidiaria y concurrencia de regímenes </w:t>
      </w:r>
    </w:p>
    <w:p w:rsidR="00B064CF" w:rsidRDefault="00E32F70">
      <w:pPr>
        <w:numPr>
          <w:ilvl w:val="0"/>
          <w:numId w:val="95"/>
        </w:numPr>
        <w:spacing w:after="199"/>
        <w:ind w:left="628" w:right="146" w:hanging="283"/>
      </w:pPr>
      <w:r>
        <w:t xml:space="preserve">Sin perjuicio de lo establecido en esta Ordenanza, resultarán aplicables a las ocupaciones del dominio público las disposiciones que resulten procedentes contenidas en las demás ordenanzas municipales y en el resto de la normativa sectorial. </w:t>
      </w:r>
    </w:p>
    <w:p w:rsidR="00B064CF" w:rsidRDefault="00E32F70">
      <w:pPr>
        <w:numPr>
          <w:ilvl w:val="0"/>
          <w:numId w:val="95"/>
        </w:numPr>
        <w:spacing w:after="145"/>
        <w:ind w:left="628" w:right="146" w:hanging="283"/>
      </w:pPr>
      <w:r>
        <w:t>Las determina</w:t>
      </w:r>
      <w:r>
        <w:t>ciones de esta Ordenanza se aplicarán sin perjuicio de las competencias y atribuciones que, por razones territoriales o competenciales, correspondan a otras Administraciones</w:t>
      </w:r>
      <w:r>
        <w:rPr>
          <w:color w:val="7030A0"/>
        </w:rPr>
        <w:t xml:space="preserve"> </w:t>
      </w:r>
      <w:r>
        <w:t>o en normas contenidas en las Ordenanzas Municipales específicas en vigor.</w:t>
      </w:r>
      <w:r>
        <w:rPr>
          <w:rFonts w:ascii="Times New Roman" w:eastAsia="Times New Roman" w:hAnsi="Times New Roman" w:cs="Times New Roman"/>
          <w:sz w:val="24"/>
        </w:rPr>
        <w:t xml:space="preserve"> </w:t>
      </w:r>
    </w:p>
    <w:p w:rsidR="00B064CF" w:rsidRDefault="00E32F70">
      <w:pPr>
        <w:spacing w:after="11"/>
        <w:ind w:left="355" w:right="72"/>
      </w:pPr>
      <w:r>
        <w:t>Artícu</w:t>
      </w:r>
      <w:r>
        <w:t xml:space="preserve">lo 4. Efectos </w:t>
      </w:r>
    </w:p>
    <w:p w:rsidR="00B064CF" w:rsidRDefault="00E32F70">
      <w:pPr>
        <w:numPr>
          <w:ilvl w:val="0"/>
          <w:numId w:val="95"/>
        </w:numPr>
        <w:ind w:left="628" w:right="146" w:hanging="283"/>
      </w:pPr>
      <w:r>
        <w:t xml:space="preserve">La entrada en vigor de la Ordenanza Reguladora de la Ocupación del Dominio Público del Ayuntamiento de Candelaria produce los efectos legalmente previstos y, en concreto, los siguientes: </w:t>
      </w:r>
    </w:p>
    <w:p w:rsidR="00B064CF" w:rsidRDefault="00E32F70">
      <w:pPr>
        <w:numPr>
          <w:ilvl w:val="1"/>
          <w:numId w:val="95"/>
        </w:numPr>
        <w:ind w:right="72" w:hanging="360"/>
      </w:pPr>
      <w:r>
        <w:t>La obligatoriedad del cumplimiento de sus determinaci</w:t>
      </w:r>
      <w:r>
        <w:t xml:space="preserve">ones tanto para el Ayuntamiento como para otras Administraciones o entidades públicas, y para los particulares. </w:t>
      </w:r>
    </w:p>
    <w:p w:rsidR="00B064CF" w:rsidRDefault="00E32F70">
      <w:pPr>
        <w:numPr>
          <w:ilvl w:val="1"/>
          <w:numId w:val="95"/>
        </w:numPr>
        <w:ind w:right="72" w:hanging="360"/>
      </w:pPr>
      <w:r>
        <w:t xml:space="preserve">La publicidad de su contenido, teniendo cualquier persona, derecho de consulta e información sobre la misma. </w:t>
      </w:r>
    </w:p>
    <w:p w:rsidR="00B064CF" w:rsidRDefault="00E32F70">
      <w:pPr>
        <w:numPr>
          <w:ilvl w:val="0"/>
          <w:numId w:val="95"/>
        </w:numPr>
        <w:ind w:left="628" w:right="146" w:hanging="283"/>
      </w:pPr>
      <w:r>
        <w:t>Esta Ordenanza tendrá vigencia in</w:t>
      </w:r>
      <w:r>
        <w:t xml:space="preserve">definida, sin perjuicio de las modificaciones que se puedan introducir con arreglo a lo dispuesto en la legislación aplicable. </w:t>
      </w:r>
    </w:p>
    <w:p w:rsidR="00B064CF" w:rsidRDefault="00E32F70">
      <w:pPr>
        <w:spacing w:after="11"/>
        <w:ind w:left="355" w:right="72"/>
      </w:pPr>
      <w:r>
        <w:rPr>
          <w:rFonts w:ascii="Calibri" w:eastAsia="Calibri" w:hAnsi="Calibri" w:cs="Calibri"/>
          <w:noProof/>
        </w:rPr>
        <mc:AlternateContent>
          <mc:Choice Requires="wpg">
            <w:drawing>
              <wp:anchor distT="0" distB="0" distL="114300" distR="114300" simplePos="0" relativeHeight="25184768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3067" name="Group 403067"/>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2477" name="Rectangle 32477"/>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2478" name="Rectangle 32478"/>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Documento firmado electró</w:t>
                              </w:r>
                              <w:r>
                                <w:rPr>
                                  <w:sz w:val="12"/>
                                </w:rPr>
                                <w:t xml:space="preserve">nicamente desde la plataforma esPublico Gestiona | Página 181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3067" style="width:12.7031pt;height:278.91pt;position:absolute;mso-position-horizontal-relative:page;mso-position-horizontal:absolute;margin-left:682.278pt;mso-position-vertical-relative:page;margin-top:533.01pt;" coordsize="1613,35421">
                <v:rect id="Rectangle 32477"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2478"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181 de 298 </w:t>
                        </w:r>
                      </w:p>
                    </w:txbxContent>
                  </v:textbox>
                </v:rect>
                <w10:wrap type="square"/>
              </v:group>
            </w:pict>
          </mc:Fallback>
        </mc:AlternateContent>
      </w:r>
      <w:r>
        <w:t xml:space="preserve">Artículo 5. Interpretación y aplicación </w:t>
      </w:r>
    </w:p>
    <w:p w:rsidR="00B064CF" w:rsidRDefault="00E32F70">
      <w:pPr>
        <w:numPr>
          <w:ilvl w:val="0"/>
          <w:numId w:val="96"/>
        </w:numPr>
        <w:ind w:left="628" w:right="72" w:hanging="283"/>
      </w:pPr>
      <w:r>
        <w:t xml:space="preserve">La interpretación de esta Ordenanza corresponde exclusivamente al Ayuntamiento de Candelaria en el ejercicio de sus competencias. </w:t>
      </w:r>
    </w:p>
    <w:p w:rsidR="00B064CF" w:rsidRDefault="00E32F70">
      <w:pPr>
        <w:numPr>
          <w:ilvl w:val="0"/>
          <w:numId w:val="96"/>
        </w:numPr>
        <w:ind w:left="628" w:right="72" w:hanging="283"/>
      </w:pPr>
      <w:r>
        <w:t>Las referencia</w:t>
      </w:r>
      <w:r>
        <w:t xml:space="preserve">s a la legislación o reglamentación vigente deberán entenderse referidas, en su caso, a la legislación o reglamentación que las modifique o sustituya. </w:t>
      </w:r>
    </w:p>
    <w:p w:rsidR="00B064CF" w:rsidRDefault="00E32F70">
      <w:pPr>
        <w:numPr>
          <w:ilvl w:val="0"/>
          <w:numId w:val="96"/>
        </w:numPr>
        <w:ind w:left="628" w:right="72" w:hanging="283"/>
      </w:pPr>
      <w:r>
        <w:t>A los efectos de la interpretación y aplicación de esta Ordenanza, los conceptos y términos utilizados tienen el significado y el alcance que para cada uno de ellos se precisa en el propio articulado, estando para el resto a lo establecido en el artículo 3</w:t>
      </w:r>
      <w:r>
        <w:t xml:space="preserve">.1 del Código Civil. </w:t>
      </w:r>
    </w:p>
    <w:p w:rsidR="00B064CF" w:rsidRDefault="00E32F70">
      <w:pPr>
        <w:spacing w:after="11"/>
        <w:ind w:left="355" w:right="72"/>
      </w:pPr>
      <w:r>
        <w:t xml:space="preserve">Artículo 6. Definiciones </w:t>
      </w:r>
    </w:p>
    <w:p w:rsidR="00B064CF" w:rsidRDefault="00E32F70">
      <w:pPr>
        <w:spacing w:after="30"/>
        <w:ind w:left="355" w:right="72"/>
      </w:pPr>
      <w:r>
        <w:t xml:space="preserve">A efectos de la interpretación y aplicación de esta Ordenanza, los conceptos utilizados en la misma tienen el significado y el alcance que para cada uno de ellos se precisa a continuación: </w:t>
      </w:r>
    </w:p>
    <w:p w:rsidR="00B064CF" w:rsidRDefault="00E32F70">
      <w:pPr>
        <w:numPr>
          <w:ilvl w:val="0"/>
          <w:numId w:val="97"/>
        </w:numPr>
        <w:spacing w:after="11"/>
        <w:ind w:right="145" w:hanging="139"/>
      </w:pPr>
      <w:r>
        <w:t>Acera: parte de la</w:t>
      </w:r>
      <w:r>
        <w:t xml:space="preserve"> vía pública destinada al tránsito peatonal </w:t>
      </w:r>
    </w:p>
    <w:p w:rsidR="00B064CF" w:rsidRDefault="00E32F70">
      <w:pPr>
        <w:numPr>
          <w:ilvl w:val="0"/>
          <w:numId w:val="97"/>
        </w:numPr>
        <w:spacing w:after="0"/>
        <w:ind w:right="145" w:hanging="139"/>
      </w:pPr>
      <w:r>
        <w:t>Actividades de cuestación o petitorias: aquellas de carácter temporal destinadas a recabar fondos para causas humanitarias o fines sociales de significación ciudadana e interés general, realizadas siempre con fi</w:t>
      </w:r>
      <w:r>
        <w:t xml:space="preserve">nalidades benéficas. </w:t>
      </w:r>
    </w:p>
    <w:p w:rsidR="00B064CF" w:rsidRDefault="00E32F70">
      <w:pPr>
        <w:numPr>
          <w:ilvl w:val="0"/>
          <w:numId w:val="97"/>
        </w:numPr>
        <w:spacing w:after="0"/>
        <w:ind w:right="145" w:hanging="139"/>
      </w:pPr>
      <w:r>
        <w:t>Actividades informativas, de sensibilización o promocionales: aquellas de carácter temporal que tienen por objeto el desarrollo de labores divulgativas o difusoras, la obtención de datos, la realización de encuestas y sondeos o la rec</w:t>
      </w:r>
      <w:r>
        <w:t xml:space="preserve">ogida de firmas. </w:t>
      </w:r>
    </w:p>
    <w:p w:rsidR="00B064CF" w:rsidRDefault="00E32F70">
      <w:pPr>
        <w:numPr>
          <w:ilvl w:val="0"/>
          <w:numId w:val="97"/>
        </w:numPr>
        <w:spacing w:after="30"/>
        <w:ind w:right="145" w:hanging="139"/>
      </w:pPr>
      <w:r>
        <w:t xml:space="preserve">Calle peatonal: aquélla en que la totalidad de la vía esté reservada de forma permanente al uso peatonal excepto en el horario permitido para carga/descarga y para el paso de vehículos de servicio público o de residentes. </w:t>
      </w:r>
    </w:p>
    <w:p w:rsidR="00B064CF" w:rsidRDefault="00E32F70">
      <w:pPr>
        <w:numPr>
          <w:ilvl w:val="0"/>
          <w:numId w:val="97"/>
        </w:numPr>
        <w:ind w:right="145" w:hanging="139"/>
      </w:pPr>
      <w:r>
        <w:t xml:space="preserve">Calzada: parte de la vía pública destinada al tráfico rodado. </w:t>
      </w:r>
    </w:p>
    <w:p w:rsidR="00B064CF" w:rsidRDefault="00E32F70">
      <w:pPr>
        <w:numPr>
          <w:ilvl w:val="0"/>
          <w:numId w:val="97"/>
        </w:numPr>
        <w:spacing w:after="0"/>
        <w:ind w:right="145" w:hanging="139"/>
      </w:pPr>
      <w:r>
        <w:t xml:space="preserve">Carpa: instalación desmontable compuesta por una gran lona o elemento similar que cubre un recinto amplio, pudiendo quedar perimetralmente abierta o cerrada. </w:t>
      </w:r>
    </w:p>
    <w:p w:rsidR="00B064CF" w:rsidRDefault="00E32F70">
      <w:pPr>
        <w:numPr>
          <w:ilvl w:val="0"/>
          <w:numId w:val="97"/>
        </w:numPr>
        <w:spacing w:after="0"/>
        <w:ind w:right="145" w:hanging="139"/>
      </w:pPr>
      <w:r>
        <w:t>Cenador: Instalación desmontable c</w:t>
      </w:r>
      <w:r>
        <w:t xml:space="preserve">ompuesta por una estructura apoyada en el suelo o anclada en él mediante dos o más pies o fustes, que soporta una o varias lonas o elementos similares (fijos, enrollables o plegables), pudiendo tener cerramientos laterales enrollables o plegables. </w:t>
      </w:r>
    </w:p>
    <w:p w:rsidR="00B064CF" w:rsidRDefault="00E32F70">
      <w:pPr>
        <w:numPr>
          <w:ilvl w:val="0"/>
          <w:numId w:val="97"/>
        </w:numPr>
        <w:spacing w:after="27"/>
        <w:ind w:right="145" w:hanging="139"/>
      </w:pPr>
      <w:r>
        <w:t>Dominio</w:t>
      </w:r>
      <w:r>
        <w:t xml:space="preserve"> público: bienes de titularidad municipal destinados al uso público   afectos a un servicio público. </w:t>
      </w:r>
    </w:p>
    <w:p w:rsidR="00B064CF" w:rsidRDefault="00E32F70">
      <w:pPr>
        <w:numPr>
          <w:ilvl w:val="0"/>
          <w:numId w:val="97"/>
        </w:numPr>
        <w:spacing w:after="0"/>
        <w:ind w:right="145" w:hanging="139"/>
      </w:pPr>
      <w:r>
        <w:t xml:space="preserve">Hostelería: actividad que tiene por finalidad la preparación y servicio de comidas y/o bebidas para su venta y consumición en el propio establecimiento y </w:t>
      </w:r>
      <w:r>
        <w:t xml:space="preserve">espacios anexos. </w:t>
      </w:r>
    </w:p>
    <w:p w:rsidR="00B064CF" w:rsidRDefault="00E32F70">
      <w:pPr>
        <w:numPr>
          <w:ilvl w:val="0"/>
          <w:numId w:val="97"/>
        </w:numPr>
        <w:spacing w:after="0"/>
        <w:ind w:right="145" w:hanging="139"/>
      </w:pPr>
      <w:r>
        <w:t>Mampara, biombo, pantalla, bastidor: panel vertical móvil, apoyado en el suelo por uno o varios pies, que sirve para dividir, delimitar o aislar un espacio (nunca anclados al suelo o pared). • Plataforma o Parklet: Instalación de carácter</w:t>
      </w:r>
      <w:r>
        <w:t xml:space="preserve"> provisional, que permite la ocupación de plazas de estacionamiento en la vía pública mediante la instalación de tarimas que enrasen el espacio ocupado por las terrazas con la acera existente, de manera que no se perciba ningún cambio de nivel. </w:t>
      </w:r>
    </w:p>
    <w:p w:rsidR="00B064CF" w:rsidRDefault="00E32F70">
      <w:pPr>
        <w:numPr>
          <w:ilvl w:val="0"/>
          <w:numId w:val="97"/>
        </w:numPr>
        <w:spacing w:after="0"/>
        <w:ind w:right="145" w:hanging="139"/>
      </w:pPr>
      <w:r>
        <w:t>Quiosco: E</w:t>
      </w:r>
      <w:r>
        <w:t>spacio comercial de pequeño tamaño y construcción ligera, formado por varias columnas que sostienen una cubierta, destinado a la venta de periódicos, revistas, golosinas y otros artículos.</w:t>
      </w:r>
      <w:r>
        <w:rPr>
          <w:rFonts w:ascii="Times New Roman" w:eastAsia="Times New Roman" w:hAnsi="Times New Roman" w:cs="Times New Roman"/>
          <w:sz w:val="24"/>
        </w:rPr>
        <w:t xml:space="preserve"> </w:t>
      </w:r>
    </w:p>
    <w:p w:rsidR="00B064CF" w:rsidRDefault="00E32F70">
      <w:pPr>
        <w:numPr>
          <w:ilvl w:val="0"/>
          <w:numId w:val="97"/>
        </w:numPr>
        <w:spacing w:after="0"/>
        <w:ind w:right="145" w:hanging="139"/>
      </w:pPr>
      <w:r>
        <w:t>Rótulo: cartel, fijo o móvil, instalado permanentemente para publi</w:t>
      </w:r>
      <w:r>
        <w:t xml:space="preserve">citar cualquier tipo de actividad o negocio y dotado de corporeidad, incluidos los elementos accesorios que les sirvan de soporte y los que les proporcionen iluminación, ya sea propia o indirecta </w:t>
      </w:r>
    </w:p>
    <w:p w:rsidR="00B064CF" w:rsidRDefault="00E32F70">
      <w:pPr>
        <w:numPr>
          <w:ilvl w:val="0"/>
          <w:numId w:val="97"/>
        </w:numPr>
        <w:spacing w:after="26"/>
        <w:ind w:right="145" w:hanging="139"/>
      </w:pPr>
      <w:r>
        <w:t xml:space="preserve">Sombrilla: instalación auxiliar para resguardar del sol, compuesta por un solo pie o mástil que soporta una lona o elemento similar plegable, sin cerramientos laterales. </w:t>
      </w:r>
    </w:p>
    <w:p w:rsidR="00B064CF" w:rsidRDefault="00E32F70">
      <w:pPr>
        <w:numPr>
          <w:ilvl w:val="0"/>
          <w:numId w:val="97"/>
        </w:numPr>
        <w:spacing w:after="16"/>
        <w:ind w:right="145" w:hanging="139"/>
      </w:pPr>
      <w:r>
        <w:rPr>
          <w:rFonts w:ascii="Calibri" w:eastAsia="Calibri" w:hAnsi="Calibri" w:cs="Calibri"/>
          <w:noProof/>
        </w:rPr>
        <mc:AlternateContent>
          <mc:Choice Requires="wpg">
            <w:drawing>
              <wp:anchor distT="0" distB="0" distL="114300" distR="114300" simplePos="0" relativeHeight="25184870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2980" name="Group 402980"/>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2587" name="Rectangle 32587"/>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64SKSNYNJRFPNN5DLPPAAC3GS | Verificación: https://candelaria.sede</w:t>
                              </w:r>
                              <w:r>
                                <w:rPr>
                                  <w:sz w:val="12"/>
                                </w:rPr>
                                <w:t xml:space="preserve">lectronica.es/ </w:t>
                              </w:r>
                            </w:p>
                          </w:txbxContent>
                        </wps:txbx>
                        <wps:bodyPr horzOverflow="overflow" vert="horz" lIns="0" tIns="0" rIns="0" bIns="0" rtlCol="0">
                          <a:noAutofit/>
                        </wps:bodyPr>
                      </wps:wsp>
                      <wps:wsp>
                        <wps:cNvPr id="32588" name="Rectangle 32588"/>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182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2980" style="width:12.7031pt;height:278.91pt;position:absolute;mso-position-horizontal-relative:page;mso-position-horizontal:absolute;margin-left:682.278pt;mso-position-vertical-relative:page;margin-top:533.01pt;" coordsize="1613,35421">
                <v:rect id="Rectangle 32587"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2588"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182 de 298 </w:t>
                        </w:r>
                      </w:p>
                    </w:txbxContent>
                  </v:textbox>
                </v:rect>
                <w10:wrap type="square"/>
              </v:group>
            </w:pict>
          </mc:Fallback>
        </mc:AlternateContent>
      </w:r>
      <w:r>
        <w:t>Terraza: ocupación del suelo de uso público aneja a un establecimiento comercial de hostelería o restauración autorizado para la instalación de</w:t>
      </w:r>
      <w:r>
        <w:t xml:space="preserve"> elementos accesorios de las actividades de hostelería (mesas, sillas, sombrillas, toldos, mamparas…), nunca anclados al suelo. </w:t>
      </w:r>
    </w:p>
    <w:p w:rsidR="00B064CF" w:rsidRDefault="00E32F70">
      <w:pPr>
        <w:numPr>
          <w:ilvl w:val="0"/>
          <w:numId w:val="97"/>
        </w:numPr>
        <w:spacing w:after="0"/>
        <w:ind w:right="145" w:hanging="139"/>
      </w:pPr>
      <w:r>
        <w:t>Toldo: instalación auxiliar anclada en la pared, compuesta por una estructura ligera retráctil y una cubierta de lona, o elemen</w:t>
      </w:r>
      <w:r>
        <w:t xml:space="preserve">to similar, enrollable o plegable. </w:t>
      </w:r>
    </w:p>
    <w:p w:rsidR="00B064CF" w:rsidRDefault="00E32F70">
      <w:pPr>
        <w:numPr>
          <w:ilvl w:val="0"/>
          <w:numId w:val="97"/>
        </w:numPr>
        <w:spacing w:after="0"/>
        <w:ind w:right="145" w:hanging="139"/>
      </w:pPr>
      <w:r>
        <w:t>Vía pública, aquella parte del dominio público y que por naturaleza está destinada al uso general y al tránsito de personas, vehículos y semovientes. A los mismos efectos es independiente que esté urbanizada o no, cuando</w:t>
      </w:r>
      <w:r>
        <w:t xml:space="preserve"> de su destino urbanístico se deduzca el carácter de vía pública.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TÍTULO II DISPOSICIONES GENERALES </w:t>
      </w:r>
    </w:p>
    <w:p w:rsidR="00B064CF" w:rsidRDefault="00E32F70">
      <w:pPr>
        <w:spacing w:after="11"/>
        <w:ind w:left="355" w:right="72"/>
      </w:pPr>
      <w:r>
        <w:t xml:space="preserve">CAPÍTULO 1 PRINCIPIOS Y CONDICIONES GENERALES DE LA OCUPACIÓN </w:t>
      </w:r>
    </w:p>
    <w:p w:rsidR="00B064CF" w:rsidRDefault="00E32F70">
      <w:pPr>
        <w:spacing w:after="11"/>
        <w:ind w:left="355" w:right="72"/>
      </w:pPr>
      <w:r>
        <w:t xml:space="preserve">Artículo 7. Principios básicos </w:t>
      </w:r>
    </w:p>
    <w:p w:rsidR="00B064CF" w:rsidRDefault="00E32F70">
      <w:pPr>
        <w:spacing w:after="0"/>
        <w:ind w:left="355" w:right="72"/>
      </w:pPr>
      <w:r>
        <w:t>La ocupación de los espacios municipales de dominio públi</w:t>
      </w:r>
      <w:r>
        <w:t xml:space="preserve">co se regirá por los siguientes principios generales: </w:t>
      </w:r>
    </w:p>
    <w:p w:rsidR="00B064CF" w:rsidRDefault="00E32F70">
      <w:pPr>
        <w:numPr>
          <w:ilvl w:val="0"/>
          <w:numId w:val="98"/>
        </w:numPr>
        <w:ind w:left="628" w:right="72" w:hanging="283"/>
      </w:pPr>
      <w:r>
        <w:t xml:space="preserve">Obligación de obtención del título habilitante, de forma previa a la ocupación, mediante licencia municipal otorgada por el Ayuntamiento de </w:t>
      </w:r>
      <w:r>
        <w:t>Candelaria, como titular del dominio público, instada a requerimiento de la persona física o jurídica  interesada mediante escrito, presentado en los términos y medios legalmente admitidos, al que se acompañarán los documentos que en cada caso se determine</w:t>
      </w:r>
      <w:r>
        <w:t xml:space="preserve"> en los artículos que conforman esta ordenanza, y la tasa exigible conforme a la ordenanza fiscal correspondiente. </w:t>
      </w:r>
    </w:p>
    <w:p w:rsidR="00B064CF" w:rsidRDefault="00E32F70">
      <w:pPr>
        <w:numPr>
          <w:ilvl w:val="0"/>
          <w:numId w:val="98"/>
        </w:numPr>
        <w:ind w:left="628" w:right="72" w:hanging="283"/>
      </w:pPr>
      <w:r>
        <w:t>La tramitación de solicitudes de licencias se ajustará a los procedimientos señalados en esta ordenanza, sin perjuicio de las peculiaridades</w:t>
      </w:r>
      <w:r>
        <w:t xml:space="preserve"> y requisitos que, por razón de su contenido específico, se establezcan en normas de rango superior y en las normas reguladoras de la tramitación de otras autorizaciones administrativas que sean exigibles. </w:t>
      </w:r>
    </w:p>
    <w:p w:rsidR="00B064CF" w:rsidRDefault="00E32F70">
      <w:pPr>
        <w:numPr>
          <w:ilvl w:val="0"/>
          <w:numId w:val="98"/>
        </w:numPr>
        <w:ind w:left="628" w:right="72" w:hanging="283"/>
      </w:pPr>
      <w:r>
        <w:t>Limitación de las ocupaciones, al objeto de evita</w:t>
      </w:r>
      <w:r>
        <w:t xml:space="preserve">r una proliferación excesiva de las mismas que limite o impida innecesaria e injustificadamente el uso común, igual y gratuito del espacio público. </w:t>
      </w:r>
    </w:p>
    <w:p w:rsidR="00B064CF" w:rsidRDefault="00E32F70">
      <w:pPr>
        <w:numPr>
          <w:ilvl w:val="0"/>
          <w:numId w:val="98"/>
        </w:numPr>
        <w:ind w:left="628" w:right="72" w:hanging="283"/>
      </w:pPr>
      <w:r>
        <w:t xml:space="preserve">Uniformidad de los elementos, para logar así una imagen coherente y ordenada del conjunto. </w:t>
      </w:r>
    </w:p>
    <w:p w:rsidR="00B064CF" w:rsidRDefault="00E32F70">
      <w:pPr>
        <w:numPr>
          <w:ilvl w:val="0"/>
          <w:numId w:val="98"/>
        </w:numPr>
        <w:ind w:left="628" w:right="72" w:hanging="283"/>
      </w:pPr>
      <w:r>
        <w:t xml:space="preserve">Compatibilidad </w:t>
      </w:r>
      <w:r>
        <w:t xml:space="preserve">entre los elementos a instalar y el entorno, con la finalidad de obtener una integración armónica de los primeros en el segundo. </w:t>
      </w:r>
    </w:p>
    <w:p w:rsidR="00B064CF" w:rsidRDefault="00E32F70">
      <w:pPr>
        <w:numPr>
          <w:ilvl w:val="0"/>
          <w:numId w:val="98"/>
        </w:numPr>
        <w:ind w:left="628" w:right="72" w:hanging="283"/>
      </w:pPr>
      <w:r>
        <w:t>Evitación del desarrollo de actividades y ocupaciones que, individualmente o por concurrencia, supongan efectos aditivos negat</w:t>
      </w:r>
      <w:r>
        <w:t xml:space="preserve">ivos o contraproducentes. </w:t>
      </w:r>
    </w:p>
    <w:p w:rsidR="00B064CF" w:rsidRDefault="00E32F70">
      <w:pPr>
        <w:numPr>
          <w:ilvl w:val="0"/>
          <w:numId w:val="98"/>
        </w:numPr>
        <w:ind w:left="628" w:right="72" w:hanging="283"/>
      </w:pPr>
      <w:r>
        <w:t xml:space="preserve">Cumplimiento de las medidas de seguridad, accesibilidad y funcionalidad del espacio público. </w:t>
      </w:r>
    </w:p>
    <w:p w:rsidR="00B064CF" w:rsidRDefault="00E32F70">
      <w:pPr>
        <w:numPr>
          <w:ilvl w:val="0"/>
          <w:numId w:val="98"/>
        </w:numPr>
        <w:ind w:left="628" w:right="72" w:hanging="283"/>
      </w:pPr>
      <w:r>
        <w:t xml:space="preserve">Protección de los recursos paisajísticos, históricos y culturales.  </w:t>
      </w:r>
    </w:p>
    <w:p w:rsidR="00B064CF" w:rsidRDefault="00E32F70">
      <w:pPr>
        <w:numPr>
          <w:ilvl w:val="0"/>
          <w:numId w:val="98"/>
        </w:numPr>
        <w:ind w:left="628" w:right="72" w:hanging="283"/>
      </w:pPr>
      <w:r>
        <w:t xml:space="preserve">Respeto a las reglas de convivencia. </w:t>
      </w:r>
    </w:p>
    <w:p w:rsidR="00B064CF" w:rsidRDefault="00E32F70">
      <w:pPr>
        <w:numPr>
          <w:ilvl w:val="0"/>
          <w:numId w:val="98"/>
        </w:numPr>
        <w:ind w:left="628" w:right="72" w:hanging="283"/>
      </w:pPr>
      <w:r>
        <w:t xml:space="preserve">Fomento del espacio público </w:t>
      </w:r>
      <w:r>
        <w:t xml:space="preserve">como lugar de encuentro que cumple un contenido social específico. </w:t>
      </w:r>
    </w:p>
    <w:p w:rsidR="00B064CF" w:rsidRDefault="00E32F70">
      <w:pPr>
        <w:spacing w:after="11"/>
        <w:ind w:left="355" w:right="72"/>
      </w:pPr>
      <w:r>
        <w:t xml:space="preserve">Artículo 8. Condiciones generales de la ocupación </w:t>
      </w:r>
    </w:p>
    <w:p w:rsidR="00B064CF" w:rsidRDefault="00E32F70">
      <w:pPr>
        <w:numPr>
          <w:ilvl w:val="0"/>
          <w:numId w:val="99"/>
        </w:numPr>
        <w:spacing w:after="0"/>
        <w:ind w:right="72"/>
      </w:pPr>
      <w:r>
        <w:t xml:space="preserve">Las ocupaciones de los espacios municipales de dominio público cumplirán, con carácter general, las siguientes condiciones: </w:t>
      </w:r>
    </w:p>
    <w:p w:rsidR="00B064CF" w:rsidRDefault="00E32F70">
      <w:pPr>
        <w:numPr>
          <w:ilvl w:val="2"/>
          <w:numId w:val="100"/>
        </w:numPr>
        <w:ind w:right="72" w:hanging="360"/>
      </w:pPr>
      <w:r>
        <w:t>Permitirán e</w:t>
      </w:r>
      <w:r>
        <w:t xml:space="preserve">l tránsito normal de peatones y vehículos en condiciones adecuadas. </w:t>
      </w:r>
    </w:p>
    <w:p w:rsidR="00B064CF" w:rsidRDefault="00E32F70">
      <w:pPr>
        <w:numPr>
          <w:ilvl w:val="2"/>
          <w:numId w:val="100"/>
        </w:numPr>
        <w:ind w:right="72" w:hanging="360"/>
      </w:pPr>
      <w:r>
        <w:rPr>
          <w:rFonts w:ascii="Calibri" w:eastAsia="Calibri" w:hAnsi="Calibri" w:cs="Calibri"/>
          <w:noProof/>
        </w:rPr>
        <mc:AlternateContent>
          <mc:Choice Requires="wpg">
            <w:drawing>
              <wp:anchor distT="0" distB="0" distL="114300" distR="114300" simplePos="0" relativeHeight="25184972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3332" name="Group 403332"/>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2710" name="Rectangle 32710"/>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2711" name="Rectangle 32711"/>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Documento firmado electrónicamente desde la plataforma esPublico Gestiona | Página 1</w:t>
                              </w:r>
                              <w:r>
                                <w:rPr>
                                  <w:sz w:val="12"/>
                                </w:rPr>
                                <w:t xml:space="preserve">83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3332" style="width:12.7031pt;height:278.91pt;position:absolute;mso-position-horizontal-relative:page;mso-position-horizontal:absolute;margin-left:682.278pt;mso-position-vertical-relative:page;margin-top:533.01pt;" coordsize="1613,35421">
                <v:rect id="Rectangle 32710"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2711"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183 de 298 </w:t>
                        </w:r>
                      </w:p>
                    </w:txbxContent>
                  </v:textbox>
                </v:rect>
                <w10:wrap type="square"/>
              </v:group>
            </w:pict>
          </mc:Fallback>
        </mc:AlternateContent>
      </w:r>
      <w:r>
        <w:t xml:space="preserve">No impedirán ni dificultarán el acceso a edificios y parcelas, ya sean de titularidad privada o pública. </w:t>
      </w:r>
    </w:p>
    <w:p w:rsidR="00B064CF" w:rsidRDefault="00E32F70">
      <w:pPr>
        <w:numPr>
          <w:ilvl w:val="2"/>
          <w:numId w:val="100"/>
        </w:numPr>
        <w:ind w:right="72" w:hanging="360"/>
      </w:pPr>
      <w:r>
        <w:t>No obstaculizarán los pasos y vados (tanto peatonales como vehiculares, incluidos los reservados o destinados a personas con movilidad redu</w:t>
      </w:r>
      <w:r>
        <w:t xml:space="preserve">cida), las paradas de transporte público, las salidas de emergencia ni las zonas habilitadas para carga y descarga. </w:t>
      </w:r>
    </w:p>
    <w:p w:rsidR="00B064CF" w:rsidRDefault="00E32F70">
      <w:pPr>
        <w:numPr>
          <w:ilvl w:val="2"/>
          <w:numId w:val="100"/>
        </w:numPr>
        <w:ind w:right="72" w:hanging="360"/>
      </w:pPr>
      <w:r>
        <w:t xml:space="preserve">No afectarán a espacios públicos ajardinados existentes. </w:t>
      </w:r>
    </w:p>
    <w:p w:rsidR="00B064CF" w:rsidRDefault="00E32F70">
      <w:pPr>
        <w:numPr>
          <w:ilvl w:val="2"/>
          <w:numId w:val="100"/>
        </w:numPr>
        <w:ind w:right="72" w:hanging="360"/>
      </w:pPr>
      <w:r>
        <w:t xml:space="preserve">No dificultarán o limitarán la visión de la señalización de tráfico ni pondrán en riesgo la seguridad vial.  </w:t>
      </w:r>
    </w:p>
    <w:p w:rsidR="00B064CF" w:rsidRDefault="00E32F70">
      <w:pPr>
        <w:numPr>
          <w:ilvl w:val="2"/>
          <w:numId w:val="100"/>
        </w:numPr>
        <w:ind w:right="72" w:hanging="360"/>
      </w:pPr>
      <w:r>
        <w:t xml:space="preserve">No supondrán un riesgo para la seguridad en caso de afluencia masiva de personas. </w:t>
      </w:r>
    </w:p>
    <w:p w:rsidR="00B064CF" w:rsidRDefault="00E32F70">
      <w:pPr>
        <w:numPr>
          <w:ilvl w:val="2"/>
          <w:numId w:val="100"/>
        </w:numPr>
        <w:ind w:right="72" w:hanging="360"/>
      </w:pPr>
      <w:r>
        <w:t>No ampararán el desarrollo de actividades o la instalación de d</w:t>
      </w:r>
      <w:r>
        <w:t xml:space="preserve">ispositivos que puedan producir molestias por ruidos, olores, humos o similares a los residentes, salvo en los casos debidamente justificados y autorizados de eventos públicos o celebraciones populares de carácter esporádico u ocasional. </w:t>
      </w:r>
    </w:p>
    <w:p w:rsidR="00B064CF" w:rsidRDefault="00E32F70">
      <w:pPr>
        <w:numPr>
          <w:ilvl w:val="0"/>
          <w:numId w:val="99"/>
        </w:numPr>
        <w:spacing w:after="0"/>
        <w:ind w:right="72"/>
      </w:pPr>
      <w:r>
        <w:t>La personas o ent</w:t>
      </w:r>
      <w:r>
        <w:t xml:space="preserve">idades titulares de las licencias concedidas para la ocupación del dominio público tendrán las siguientes obligaciones: </w:t>
      </w:r>
    </w:p>
    <w:p w:rsidR="00B064CF" w:rsidRDefault="00E32F70">
      <w:pPr>
        <w:numPr>
          <w:ilvl w:val="1"/>
          <w:numId w:val="99"/>
        </w:numPr>
        <w:ind w:right="143" w:hanging="360"/>
      </w:pPr>
      <w:r>
        <w:t>Observar y cumplir las condiciones comunes y específicas establecidas en la presente Ordenanza y, en su caso, las particulares contenid</w:t>
      </w:r>
      <w:r>
        <w:t xml:space="preserve">as en la autorización habilitante para la ocupación. </w:t>
      </w:r>
    </w:p>
    <w:p w:rsidR="00B064CF" w:rsidRDefault="00E32F70">
      <w:pPr>
        <w:numPr>
          <w:ilvl w:val="1"/>
          <w:numId w:val="99"/>
        </w:numPr>
        <w:ind w:right="143" w:hanging="360"/>
      </w:pPr>
      <w:r>
        <w:t xml:space="preserve">Mantener en perfecto estado de limpieza y decoro la superficie ocupada y sus alrededores. </w:t>
      </w:r>
    </w:p>
    <w:p w:rsidR="00B064CF" w:rsidRDefault="00E32F70">
      <w:pPr>
        <w:numPr>
          <w:ilvl w:val="1"/>
          <w:numId w:val="99"/>
        </w:numPr>
        <w:ind w:right="143" w:hanging="360"/>
      </w:pPr>
      <w:r>
        <w:t>Respetar la urbanización, instalaciones y mobiliario urbano integrado en el ámbito espacial afectado por la ocu</w:t>
      </w:r>
      <w:r>
        <w:t xml:space="preserve">pación. </w:t>
      </w:r>
    </w:p>
    <w:p w:rsidR="00B064CF" w:rsidRDefault="00E32F70">
      <w:pPr>
        <w:numPr>
          <w:ilvl w:val="1"/>
          <w:numId w:val="99"/>
        </w:numPr>
        <w:ind w:right="143" w:hanging="360"/>
      </w:pPr>
      <w:r>
        <w:t xml:space="preserve">Facilitar el acceso a los registros e instalaciones de los servicios públicos (abastecimiento de agua, suministro eléctrico, saneamiento, alumbrado público, telecomunicaciones, riego, etc.) para su reparación, supervisión o mantenimiento. </w:t>
      </w:r>
    </w:p>
    <w:p w:rsidR="00B064CF" w:rsidRDefault="00E32F70">
      <w:pPr>
        <w:numPr>
          <w:ilvl w:val="1"/>
          <w:numId w:val="99"/>
        </w:numPr>
        <w:spacing w:line="246" w:lineRule="auto"/>
        <w:ind w:right="143" w:hanging="360"/>
      </w:pPr>
      <w:r>
        <w:t>Mantene</w:t>
      </w:r>
      <w:r>
        <w:t xml:space="preserve">r las instalaciones y elementos de la ocupación en adecuadas condiciones de limpieza, ornato, seguridad y funcionalidad. A tal efecto se deberá adoptar, en todo momento, las medidas que garanticen el cumplimiento de dicha obligación. </w:t>
      </w:r>
    </w:p>
    <w:p w:rsidR="00B064CF" w:rsidRDefault="00E32F70">
      <w:pPr>
        <w:numPr>
          <w:ilvl w:val="1"/>
          <w:numId w:val="99"/>
        </w:numPr>
        <w:ind w:right="143" w:hanging="360"/>
      </w:pPr>
      <w:r>
        <w:t>Responder por los dañ</w:t>
      </w:r>
      <w:r>
        <w:t xml:space="preserve">os que se puedan ocasionar a los bienes privados o públicos, ejecutando, en su caso, cuantas actuaciones u obras fueran necesarias para la restitución de los bienes afectados a su estado original. </w:t>
      </w:r>
    </w:p>
    <w:p w:rsidR="00B064CF" w:rsidRDefault="00E32F70">
      <w:pPr>
        <w:numPr>
          <w:ilvl w:val="1"/>
          <w:numId w:val="99"/>
        </w:numPr>
        <w:spacing w:line="246" w:lineRule="auto"/>
        <w:ind w:right="143" w:hanging="360"/>
      </w:pPr>
      <w:r>
        <w:t>Tener cubierto, mediante póliza de seguros, cualquier acci</w:t>
      </w:r>
      <w:r>
        <w:t xml:space="preserve">dente o daño que se pueda producir, a la administración y/o a terceros, como consecuencia de la ocupación del suelo público. Dicha póliza debe encontrarse, en todo momento, al corriente de pago. </w:t>
      </w:r>
    </w:p>
    <w:p w:rsidR="00B064CF" w:rsidRDefault="00E32F70">
      <w:pPr>
        <w:numPr>
          <w:ilvl w:val="1"/>
          <w:numId w:val="99"/>
        </w:numPr>
        <w:ind w:right="143" w:hanging="360"/>
      </w:pPr>
      <w:r>
        <w:t>Cesar la actividad vinculada a la ocupación y retirar de man</w:t>
      </w:r>
      <w:r>
        <w:t xml:space="preserve">era inmediata, a requerimiento de las autoridades municipales, insulares, autonómicas o estatales, las instalaciones y elementos de la ocupación, cuando concurra causa de emergencia, necesidad o interés público. </w:t>
      </w:r>
    </w:p>
    <w:p w:rsidR="00B064CF" w:rsidRDefault="00E32F70">
      <w:pPr>
        <w:numPr>
          <w:ilvl w:val="1"/>
          <w:numId w:val="99"/>
        </w:numPr>
        <w:spacing w:line="246" w:lineRule="auto"/>
        <w:ind w:right="143" w:hanging="360"/>
      </w:pPr>
      <w:r>
        <w:rPr>
          <w:rFonts w:ascii="Calibri" w:eastAsia="Calibri" w:hAnsi="Calibri" w:cs="Calibri"/>
          <w:noProof/>
        </w:rPr>
        <mc:AlternateContent>
          <mc:Choice Requires="wpg">
            <w:drawing>
              <wp:anchor distT="0" distB="0" distL="114300" distR="114300" simplePos="0" relativeHeight="25185075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3446" name="Group 403446"/>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2823" name="Rectangle 32823"/>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w:t>
                              </w:r>
                              <w:r>
                                <w:rPr>
                                  <w:sz w:val="12"/>
                                </w:rPr>
                                <w:t xml:space="preserve">GS | Verificación: https://candelaria.sedelectronica.es/ </w:t>
                              </w:r>
                            </w:p>
                          </w:txbxContent>
                        </wps:txbx>
                        <wps:bodyPr horzOverflow="overflow" vert="horz" lIns="0" tIns="0" rIns="0" bIns="0" rtlCol="0">
                          <a:noAutofit/>
                        </wps:bodyPr>
                      </wps:wsp>
                      <wps:wsp>
                        <wps:cNvPr id="32824" name="Rectangle 32824"/>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184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3446" style="width:12.7031pt;height:278.91pt;position:absolute;mso-position-horizontal-relative:page;mso-position-horizontal:absolute;margin-left:682.278pt;mso-position-vertical-relative:page;margin-top:533.01pt;" coordsize="1613,35421">
                <v:rect id="Rectangle 32823"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2824"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184 de 298 </w:t>
                        </w:r>
                      </w:p>
                    </w:txbxContent>
                  </v:textbox>
                </v:rect>
                <w10:wrap type="square"/>
              </v:group>
            </w:pict>
          </mc:Fallback>
        </mc:AlternateContent>
      </w:r>
      <w:r>
        <w:t>Retirar las instalaciones y elementos de la ocupación y cesar, en su caso, la actividad vinculada a l</w:t>
      </w:r>
      <w:r>
        <w:t xml:space="preserve">a misma, a instancia de las autoridades municipales y en el plazo que se señale al efecto, cuando se revoque o suspenda el título habilitante; en tales supuestos la retirada y/o suspensión tendrá, respectivamente, carácter definitivo o provisional. </w:t>
      </w:r>
    </w:p>
    <w:p w:rsidR="00B064CF" w:rsidRDefault="00E32F70">
      <w:pPr>
        <w:numPr>
          <w:ilvl w:val="1"/>
          <w:numId w:val="99"/>
        </w:numPr>
        <w:ind w:right="143" w:hanging="360"/>
      </w:pPr>
      <w:r>
        <w:t>Retira</w:t>
      </w:r>
      <w:r>
        <w:t xml:space="preserve">r las instalaciones y elementos de la ocupación y cesar, en su caso, la actividad vinculada a la misma, cuando finalice el plazo de vigencia establecido en título habilitante y éste no haya sido renovado. </w:t>
      </w:r>
    </w:p>
    <w:p w:rsidR="00B064CF" w:rsidRDefault="00E32F70">
      <w:pPr>
        <w:numPr>
          <w:ilvl w:val="1"/>
          <w:numId w:val="99"/>
        </w:numPr>
        <w:ind w:right="143" w:hanging="360"/>
      </w:pPr>
      <w:r>
        <w:t xml:space="preserve">Queda expresamente prohibido almacenar </w:t>
      </w:r>
      <w:r>
        <w:t xml:space="preserve">o apilar productos y materiales, de toda clase, en suelo público, salvo los expresamente autorizados. </w:t>
      </w:r>
    </w:p>
    <w:p w:rsidR="00B064CF" w:rsidRDefault="00E32F70">
      <w:pPr>
        <w:numPr>
          <w:ilvl w:val="1"/>
          <w:numId w:val="99"/>
        </w:numPr>
        <w:ind w:right="143" w:hanging="360"/>
      </w:pPr>
      <w:r>
        <w:t>Queda prohibida la instalación de cualquier tipo de máquinas comerciales, dispensadoras, recreativas o de azar en suelo público, salvo que se autorice de</w:t>
      </w:r>
      <w:r>
        <w:t xml:space="preserve"> forma expresa. Queda igualmente prohibido cualquier tipo de uso instrumental del arbolado y de los elementos del mobiliario urbano municipal en la ocupación de suelo público o en el desarrollo de la actividad que justifica la ocupación. </w:t>
      </w:r>
    </w:p>
    <w:p w:rsidR="00B064CF" w:rsidRDefault="00E32F70">
      <w:pPr>
        <w:numPr>
          <w:ilvl w:val="1"/>
          <w:numId w:val="99"/>
        </w:numPr>
        <w:ind w:right="143" w:hanging="360"/>
      </w:pPr>
      <w:r>
        <w:t xml:space="preserve">El mobiliario de </w:t>
      </w:r>
      <w:r>
        <w:t>las instalaciones deberá ser ajustado a las características del entorno urbano en el que se ubiquen, pudiendo exigirse el cumplimiento de determinadas condiciones estéticas y de uniformidad entre los diversos establecimientos asentados en un entorno urbano</w:t>
      </w:r>
      <w:r>
        <w:t xml:space="preserve"> semejante. </w:t>
      </w:r>
    </w:p>
    <w:p w:rsidR="00B064CF" w:rsidRDefault="00E32F70">
      <w:pPr>
        <w:numPr>
          <w:ilvl w:val="1"/>
          <w:numId w:val="99"/>
        </w:numPr>
        <w:ind w:right="143" w:hanging="360"/>
      </w:pPr>
      <w:r>
        <w:t xml:space="preserve">Queda prohibido instalar aparatos reproductores de imagen y/o sonido en la vía pública, tales como: equipos de música, televisores, o aparatos de cualquier otra índole (equipos informáticos, karaokes, etc.) así como emitir sonido hacia la vía </w:t>
      </w:r>
      <w:r>
        <w:t xml:space="preserve">pública por ningún medio, ni siquiera desde el interior del local. </w:t>
      </w:r>
    </w:p>
    <w:p w:rsidR="00B064CF" w:rsidRDefault="00E32F70">
      <w:pPr>
        <w:numPr>
          <w:ilvl w:val="1"/>
          <w:numId w:val="99"/>
        </w:numPr>
        <w:ind w:right="143" w:hanging="360"/>
      </w:pPr>
      <w:r>
        <w:t>Queda prohibida la exposición o la instalación, en fachada, de elementos que no estén expresamente incluidos en la presente ordenanza y/o permitidos por la Normativa Urbanística vigente de</w:t>
      </w:r>
      <w:r>
        <w:t xml:space="preserve"> aplicación. </w:t>
      </w:r>
    </w:p>
    <w:p w:rsidR="00B064CF" w:rsidRDefault="00E32F70">
      <w:pPr>
        <w:numPr>
          <w:ilvl w:val="0"/>
          <w:numId w:val="101"/>
        </w:numPr>
        <w:ind w:left="628" w:right="145" w:hanging="283"/>
      </w:pPr>
      <w:r>
        <w:t>El incumplimiento de las obligaciones señaladas en el número anterior habilitará al Ayuntamiento para ejecutar subsidiariamente, a costa de la persona o entidad interesada y sin derecho a indemnización, cuantas acciones, actuaciones y obras s</w:t>
      </w:r>
      <w:r>
        <w:t xml:space="preserve">ean necesarias para el adecuado mantenimiento, reposición, uso y/o liberación del espacio público, todo ello sin perjuicio de la incoación del correspondiente procedimiento sancionador. </w:t>
      </w:r>
    </w:p>
    <w:p w:rsidR="00B064CF" w:rsidRDefault="00E32F70">
      <w:pPr>
        <w:numPr>
          <w:ilvl w:val="0"/>
          <w:numId w:val="101"/>
        </w:numPr>
        <w:ind w:left="628" w:right="145" w:hanging="283"/>
      </w:pPr>
      <w:r>
        <w:t>Cuando el Ayuntamiento, por razones de interés público, requiera disp</w:t>
      </w:r>
      <w:r>
        <w:t>oner libremente del espacio público, ordenará la retirada temporal de los elementos e instalaciones y la suspensión de las actividades. La retirada temporal también podrá ser ordenada directamente por la Policía Local cuando se constate que la ocupación de</w:t>
      </w:r>
      <w:r>
        <w:t>l dominio público genera una situación de riesgo inminente para la seguridad de las personas o bienes. Dichas retiradas o suspensiones temporales, que se podrán mantener mientras persistan las necesidades de libre disposición del espacio público o se mante</w:t>
      </w:r>
      <w:r>
        <w:t xml:space="preserve">ngan las circunstancias que originaron la situación de riesgo, no generarán derecho de indemnización alguno, sin perjuicio de la devolución de la parte proporcional de la tasa que, en su caso, corresponda. </w:t>
      </w:r>
    </w:p>
    <w:p w:rsidR="00B064CF" w:rsidRDefault="00E32F70">
      <w:pPr>
        <w:spacing w:after="11"/>
        <w:ind w:left="355" w:right="72"/>
      </w:pPr>
      <w:r>
        <w:t>Artículo 9. Garantías, conservación del dominio p</w:t>
      </w:r>
      <w:r>
        <w:t>úblico y seguros</w:t>
      </w:r>
      <w:r>
        <w:rPr>
          <w:rFonts w:ascii="Times New Roman" w:eastAsia="Times New Roman" w:hAnsi="Times New Roman" w:cs="Times New Roman"/>
          <w:sz w:val="24"/>
        </w:rPr>
        <w:t xml:space="preserve"> </w:t>
      </w:r>
    </w:p>
    <w:p w:rsidR="00B064CF" w:rsidRDefault="00E32F70">
      <w:pPr>
        <w:numPr>
          <w:ilvl w:val="0"/>
          <w:numId w:val="102"/>
        </w:numPr>
        <w:ind w:left="628" w:right="145" w:hanging="283"/>
      </w:pPr>
      <w:r>
        <w:rPr>
          <w:rFonts w:ascii="Calibri" w:eastAsia="Calibri" w:hAnsi="Calibri" w:cs="Calibri"/>
          <w:noProof/>
        </w:rPr>
        <mc:AlternateContent>
          <mc:Choice Requires="wpg">
            <w:drawing>
              <wp:anchor distT="0" distB="0" distL="114300" distR="114300" simplePos="0" relativeHeight="25185177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3849" name="Group 403849"/>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2931" name="Rectangle 32931"/>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2932" name="Rectangle 32932"/>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185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3849" style="width:12.7031pt;height:278.91pt;position:absolute;mso-position-horizontal-relative:page;mso-position-horizontal:absolute;margin-left:682.278pt;mso-position-vertical-relative:page;margin-top:533.01pt;" coordsize="1613,35421">
                <v:rect id="Rectangle 32931"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2932"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185 de 298 </w:t>
                        </w:r>
                      </w:p>
                    </w:txbxContent>
                  </v:textbox>
                </v:rect>
                <w10:wrap type="square"/>
              </v:group>
            </w:pict>
          </mc:Fallback>
        </mc:AlternateContent>
      </w:r>
      <w:r>
        <w:t>El Ayuntamiento exigirá a la persona o e</w:t>
      </w:r>
      <w:r>
        <w:t xml:space="preserve">ntidad solicitante de la autorización para ocupar el dominio público, que constituya una garantía, mediante los medios admitidos en derecho, que sea suficiente para asegurar la retirada de los elementos e instalaciones una vez finalizada la ocupación, así </w:t>
      </w:r>
      <w:r>
        <w:t xml:space="preserve">como para garantizar la correcta reposición o reparación del espacio público ocupado. </w:t>
      </w:r>
    </w:p>
    <w:p w:rsidR="00B064CF" w:rsidRDefault="00E32F70">
      <w:pPr>
        <w:numPr>
          <w:ilvl w:val="0"/>
          <w:numId w:val="102"/>
        </w:numPr>
        <w:ind w:left="628" w:right="145" w:hanging="283"/>
      </w:pPr>
      <w:r>
        <w:t>Si la ocupación del dominio público lleva aparejado el deterioro o la destrucción del mismo, la persona o entidad ocupante queda obligada a ejecutar cuantas obras de rep</w:t>
      </w:r>
      <w:r>
        <w:t>aración o reposición fueran necesarias para restituir el espacio público. Si no lo hiciese, el Ayuntamiento efectuará la reconstrucción o reparación con cargo a la garantía prestada. En caso de que ésta no se hubiese constituido o no cubriese el coste tota</w:t>
      </w:r>
      <w:r>
        <w:t xml:space="preserve">l de los gastos de las actuaciones, el ocupante procederá a abonar al Ayuntamiento los gastos no cubiertos. </w:t>
      </w:r>
    </w:p>
    <w:p w:rsidR="00B064CF" w:rsidRDefault="00E32F70">
      <w:pPr>
        <w:numPr>
          <w:ilvl w:val="0"/>
          <w:numId w:val="102"/>
        </w:numPr>
        <w:ind w:left="628" w:right="145" w:hanging="283"/>
      </w:pPr>
      <w:r>
        <w:t>Cuando se considere conveniente para la salvaguarda y protección de las personas y bienes, en función de las características concretas de la ocupac</w:t>
      </w:r>
      <w:r>
        <w:t>ión, el Ayuntamiento, con carácter previo al otorgamiento de la autorización o como condición de eficacia de la misma, podrá exigir la suscripción de un seguro de responsabilidad civil y daños a terceros en cuantía suficiente para cubrir las eventuales afe</w:t>
      </w:r>
      <w:r>
        <w:t xml:space="preserve">cciones que pudieran ocasionarse.  </w:t>
      </w:r>
    </w:p>
    <w:p w:rsidR="00B064CF" w:rsidRDefault="00E32F70">
      <w:pPr>
        <w:numPr>
          <w:ilvl w:val="0"/>
          <w:numId w:val="102"/>
        </w:numPr>
        <w:ind w:left="628" w:right="145" w:hanging="283"/>
      </w:pPr>
      <w:r>
        <w:t xml:space="preserve">El Ayuntamiento podrá denegar la autorización para ocupar el dominio público cuando prevea que dicha ocupación generará un deterioro o destrucción del mismo.   </w:t>
      </w:r>
    </w:p>
    <w:p w:rsidR="00B064CF" w:rsidRDefault="00E32F70">
      <w:pPr>
        <w:spacing w:after="11"/>
        <w:ind w:left="355" w:right="72"/>
      </w:pPr>
      <w:r>
        <w:t>Artículo 10. Retirada del dominio público de elementos o in</w:t>
      </w:r>
      <w:r>
        <w:t xml:space="preserve">stalaciones no autorizados </w:t>
      </w:r>
    </w:p>
    <w:p w:rsidR="00B064CF" w:rsidRDefault="00E32F70">
      <w:pPr>
        <w:numPr>
          <w:ilvl w:val="0"/>
          <w:numId w:val="103"/>
        </w:numPr>
        <w:ind w:left="628" w:right="141" w:hanging="283"/>
      </w:pPr>
      <w:r>
        <w:t xml:space="preserve">El Ayuntamiento, a través de la intervención de los agentes de la autoridad, ordenará de manera inmediata el cese de la actividad y la retirada de todos los elementos e instalaciones que se </w:t>
      </w:r>
      <w:r>
        <w:t xml:space="preserve">dispongan sobre el dominio público, cuando no cuenten con la correspondiente autorización o cuando contravengan de manera manifiesta las condiciones de la otorgada. </w:t>
      </w:r>
    </w:p>
    <w:p w:rsidR="00B064CF" w:rsidRDefault="00E32F70">
      <w:pPr>
        <w:numPr>
          <w:ilvl w:val="0"/>
          <w:numId w:val="103"/>
        </w:numPr>
        <w:ind w:left="628" w:right="141" w:hanging="283"/>
      </w:pPr>
      <w:r>
        <w:t>Los agentes intervinientes levantarán acta o diligencia en la que se deje constancia de lo</w:t>
      </w:r>
      <w:r>
        <w:t>s hechos, se ordene el cese de la actividad y la retirada de los elementos que procedan y se otorgue un plazo para ello, que en ningún caso podrá ser superior a setenta y dos (72) horas. Una copia del acta o diligencia que se levante será entregada al resp</w:t>
      </w:r>
      <w:r>
        <w:t xml:space="preserve">onsable de la ocupación. </w:t>
      </w:r>
    </w:p>
    <w:p w:rsidR="00B064CF" w:rsidRDefault="00E32F70">
      <w:pPr>
        <w:numPr>
          <w:ilvl w:val="0"/>
          <w:numId w:val="103"/>
        </w:numPr>
        <w:ind w:left="628" w:right="141" w:hanging="283"/>
      </w:pPr>
      <w:r>
        <w:t xml:space="preserve">El Ayuntamiento procederá a la ejecución subsidiaria de la retirada, que será efectuada materialmente por el departamento municipal competente acompañado de la Policía Local, en los siguientes casos: </w:t>
      </w:r>
    </w:p>
    <w:p w:rsidR="00B064CF" w:rsidRDefault="00E32F70">
      <w:pPr>
        <w:numPr>
          <w:ilvl w:val="1"/>
          <w:numId w:val="103"/>
        </w:numPr>
        <w:ind w:right="72" w:hanging="360"/>
      </w:pPr>
      <w:r>
        <w:t>Cuando la persona física o ju</w:t>
      </w:r>
      <w:r>
        <w:t xml:space="preserve">rídica ocupante no retire los elementos en el plazo que se señale en el acta o diligencia. </w:t>
      </w:r>
    </w:p>
    <w:p w:rsidR="00B064CF" w:rsidRDefault="00E32F70">
      <w:pPr>
        <w:numPr>
          <w:ilvl w:val="1"/>
          <w:numId w:val="103"/>
        </w:numPr>
        <w:ind w:right="72" w:hanging="360"/>
      </w:pPr>
      <w:r>
        <w:t>Cuando la persona o entidad ocupante rehúse expresamente la recepción del acta o diligencia, o cuando por cualquier causa imputable a él, debidamente justificada, n</w:t>
      </w:r>
      <w:r>
        <w:t xml:space="preserve">o haya sido posible la entrega de la misma. </w:t>
      </w:r>
    </w:p>
    <w:p w:rsidR="00B064CF" w:rsidRDefault="00E32F70">
      <w:pPr>
        <w:numPr>
          <w:ilvl w:val="1"/>
          <w:numId w:val="103"/>
        </w:numPr>
        <w:ind w:right="72" w:hanging="360"/>
      </w:pPr>
      <w:r>
        <w:t xml:space="preserve">Cuando no haya sido posible identificar a la persona física o jurídica responsable de la ocupación. </w:t>
      </w:r>
    </w:p>
    <w:p w:rsidR="00B064CF" w:rsidRDefault="00E32F70">
      <w:pPr>
        <w:numPr>
          <w:ilvl w:val="0"/>
          <w:numId w:val="103"/>
        </w:numPr>
        <w:ind w:left="628" w:right="141" w:hanging="283"/>
      </w:pPr>
      <w:r>
        <w:rPr>
          <w:rFonts w:ascii="Calibri" w:eastAsia="Calibri" w:hAnsi="Calibri" w:cs="Calibri"/>
          <w:noProof/>
        </w:rPr>
        <mc:AlternateContent>
          <mc:Choice Requires="wpg">
            <w:drawing>
              <wp:anchor distT="0" distB="0" distL="114300" distR="114300" simplePos="0" relativeHeight="25185280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3903" name="Group 403903"/>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3042" name="Rectangle 33042"/>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3043" name="Rectangle 33043"/>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186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3903" style="width:12.7031pt;height:278.91pt;position:absolute;mso-position-horizontal-relative:page;mso-position-horizontal:absolute;margin-left:682.278pt;mso-position-vertical-relative:page;margin-top:533.01pt;" coordsize="1613,35421">
                <v:rect id="Rectangle 33042"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3043"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186 de 298 </w:t>
                        </w:r>
                      </w:p>
                    </w:txbxContent>
                  </v:textbox>
                </v:rect>
                <w10:wrap type="square"/>
              </v:group>
            </w:pict>
          </mc:Fallback>
        </mc:AlternateContent>
      </w:r>
      <w:r>
        <w:t>Los elementos retirados serán depositados y custodiados en el recinto que a tales efectos habilite el Ayuntamiento, por un plazo máximo de 15 días de forma que s</w:t>
      </w:r>
      <w:r>
        <w:t>i no son retirados se procederá a su destrucción y/o reciclaje, quedando obligado la persona propietaria de los mismos al abono de la tasa por la prestación del servicio de retirada, transporte y almacenaje, de acuerdo con lo dispuesto en la Ordenanza Fisc</w:t>
      </w:r>
      <w:r>
        <w:t xml:space="preserve">al correspondiente. </w:t>
      </w:r>
    </w:p>
    <w:p w:rsidR="00B064CF" w:rsidRDefault="00E32F70">
      <w:pPr>
        <w:numPr>
          <w:ilvl w:val="0"/>
          <w:numId w:val="103"/>
        </w:numPr>
        <w:ind w:left="628" w:right="141" w:hanging="283"/>
      </w:pPr>
      <w:r>
        <w:t xml:space="preserve">La retirada de los elementos regulada en este artículo se efectuará sin perjuicio del procedimiento sancionador que, en su caso, pudiera incoarse. </w:t>
      </w:r>
    </w:p>
    <w:p w:rsidR="00B064CF" w:rsidRDefault="00E32F70">
      <w:pPr>
        <w:spacing w:after="11"/>
        <w:ind w:left="355" w:right="72"/>
      </w:pPr>
      <w:r>
        <w:t xml:space="preserve">Artículo 11. Ocupaciones con instalaciones y elementos especiales </w:t>
      </w:r>
    </w:p>
    <w:p w:rsidR="00B064CF" w:rsidRDefault="00E32F70">
      <w:pPr>
        <w:numPr>
          <w:ilvl w:val="0"/>
          <w:numId w:val="104"/>
        </w:numPr>
        <w:spacing w:line="246" w:lineRule="auto"/>
        <w:ind w:left="628" w:right="147" w:hanging="283"/>
      </w:pPr>
      <w:r>
        <w:t>El dominio público p</w:t>
      </w:r>
      <w:r>
        <w:t xml:space="preserve">odrá ser ocupado mediante la instalación ocasional de escenarios, carpas, gradas o algún otro elemento similar de carácter eventual, cuando la característica de la actividad a desarrollar así lo requiera. </w:t>
      </w:r>
    </w:p>
    <w:p w:rsidR="00B064CF" w:rsidRDefault="00E32F70">
      <w:pPr>
        <w:numPr>
          <w:ilvl w:val="0"/>
          <w:numId w:val="104"/>
        </w:numPr>
        <w:ind w:left="628" w:right="147" w:hanging="283"/>
      </w:pPr>
      <w:r>
        <w:t>El Ayuntamiento valorará discrecionalmente la proc</w:t>
      </w:r>
      <w:r>
        <w:t>edencia de la instalación de estos elementos especiales, pudiendo no permitirla si la considera injustificada por razón de las características de la actividad a desarrollar, si concurren circunstancias de peligrosidad, o si el interés público la desaconsej</w:t>
      </w:r>
      <w:r>
        <w:t xml:space="preserve">a. En caso de autorizarlas, el Ayuntamiento podrá imponer condiciones a su instalación, según los informes que al respecto emitan los diferentes departamentos municipales. </w:t>
      </w:r>
    </w:p>
    <w:p w:rsidR="00B064CF" w:rsidRDefault="00E32F70">
      <w:pPr>
        <w:numPr>
          <w:ilvl w:val="0"/>
          <w:numId w:val="104"/>
        </w:numPr>
        <w:ind w:left="628" w:right="147" w:hanging="283"/>
      </w:pPr>
      <w:r>
        <w:t>Para ello se deberá aportar el correspondiente proyecto suscrito por técnico compet</w:t>
      </w:r>
      <w:r>
        <w:t xml:space="preserve">ente, que describa la instalación de su objeto y justifique el cumplimiento de la normativa que resulte aplicable. En los casos de instalaciones de escasa entidad o complejidad técnica, dicho proyecto podrá ser sustituido por los siguientes documentos, de </w:t>
      </w:r>
      <w:r>
        <w:t xml:space="preserve">presentación conjunta o refundida: </w:t>
      </w:r>
    </w:p>
    <w:p w:rsidR="00B064CF" w:rsidRDefault="00E32F70">
      <w:pPr>
        <w:numPr>
          <w:ilvl w:val="1"/>
          <w:numId w:val="104"/>
        </w:numPr>
        <w:ind w:right="145" w:hanging="360"/>
      </w:pPr>
      <w:r>
        <w:t xml:space="preserve">Certificado emitido por personal técnico competente en el que éste acredite y manifieste, bajo su exclusiva responsabilidad, que las instalaciones son de escasa entidad y complejidad técnica.  </w:t>
      </w:r>
    </w:p>
    <w:p w:rsidR="00B064CF" w:rsidRDefault="00E32F70">
      <w:pPr>
        <w:numPr>
          <w:ilvl w:val="1"/>
          <w:numId w:val="104"/>
        </w:numPr>
        <w:ind w:right="145" w:hanging="360"/>
      </w:pPr>
      <w:r>
        <w:t xml:space="preserve">Memoria técnica descriptiva de la instalación, redactada por personal técnico competente, con las especificaciones técnicas de todos los elementos a instalar, y descripción gráfica y escrita de la instalación pretendida. </w:t>
      </w:r>
    </w:p>
    <w:p w:rsidR="00B064CF" w:rsidRDefault="00E32F70">
      <w:pPr>
        <w:numPr>
          <w:ilvl w:val="0"/>
          <w:numId w:val="104"/>
        </w:numPr>
        <w:ind w:left="628" w:right="147" w:hanging="283"/>
      </w:pPr>
      <w:r>
        <w:t>Una vez autorizada la ocupación co</w:t>
      </w:r>
      <w:r>
        <w:t>n alguno de los elementos señalados en el número 1 de este artículo y concluido el montaje de los mismos, la persona titular de la autorización no podrá poner en funcionamiento la instalación si previamente no ha obtenido un certificado suscrito por técnic</w:t>
      </w:r>
      <w:r>
        <w:t>o competente en el que quede acreditado que ésta se ajusta al proyecto o memoria presentada y reúne las condiciones de seguridad suficientes para su puesta en uso. La falta de obtención de tal certificación conllevará la prohibición de poner en funcionamie</w:t>
      </w:r>
      <w:r>
        <w:t xml:space="preserve">nto la instalación.  </w:t>
      </w:r>
    </w:p>
    <w:p w:rsidR="00B064CF" w:rsidRDefault="00E32F70">
      <w:pPr>
        <w:numPr>
          <w:ilvl w:val="0"/>
          <w:numId w:val="104"/>
        </w:numPr>
        <w:ind w:left="628" w:right="147" w:hanging="283"/>
      </w:pPr>
      <w:r>
        <w:t xml:space="preserve">Cuando sea precisa la realización de instalaciones eléctricas, la persona titular de la instalación pretendida, deberá estar en posesión de un certificado de la instalación eléctrica suscrito por personal instalador autorizado. </w:t>
      </w:r>
    </w:p>
    <w:p w:rsidR="00B064CF" w:rsidRDefault="00E32F70">
      <w:pPr>
        <w:spacing w:after="11"/>
        <w:ind w:left="355" w:right="72"/>
      </w:pPr>
      <w:r>
        <w:t>Artíc</w:t>
      </w:r>
      <w:r>
        <w:t xml:space="preserve">ulo 12. Cierre total o parcial de los espacios públicos al tráfico rodado </w:t>
      </w:r>
    </w:p>
    <w:p w:rsidR="00B064CF" w:rsidRDefault="00E32F70">
      <w:pPr>
        <w:numPr>
          <w:ilvl w:val="0"/>
          <w:numId w:val="105"/>
        </w:numPr>
        <w:ind w:left="628" w:right="146" w:hanging="283"/>
      </w:pPr>
      <w:r>
        <w:t>Durante el desarrollo en el dominio público municipal de las actividades o eventos que se regulan en esta Ordenanza, podrá acordarse el cierre total o parcial al tráfico rodado en e</w:t>
      </w:r>
      <w:r>
        <w:t xml:space="preserve">l emplazamiento objeto de ocupación, procurándose, no obstante, compatibilizar en la medida de lo posible el uso compartido de la vía pública por las personas asistentes al acto y por la circulación ordinaria de vehículos, aunque ésta se vea entorpecida. </w:t>
      </w:r>
    </w:p>
    <w:p w:rsidR="00B064CF" w:rsidRDefault="00E32F70">
      <w:pPr>
        <w:numPr>
          <w:ilvl w:val="0"/>
          <w:numId w:val="105"/>
        </w:numPr>
        <w:ind w:left="628" w:right="146" w:hanging="283"/>
      </w:pPr>
      <w:r>
        <w:rPr>
          <w:rFonts w:ascii="Calibri" w:eastAsia="Calibri" w:hAnsi="Calibri" w:cs="Calibri"/>
          <w:noProof/>
        </w:rPr>
        <mc:AlternateContent>
          <mc:Choice Requires="wpg">
            <w:drawing>
              <wp:anchor distT="0" distB="0" distL="114300" distR="114300" simplePos="0" relativeHeight="25185382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4050" name="Group 404050"/>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3142" name="Rectangle 33142"/>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3143" name="Rectangle 33143"/>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187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4050" style="width:12.7031pt;height:278.91pt;position:absolute;mso-position-horizontal-relative:page;mso-position-horizontal:absolute;margin-left:682.278pt;mso-position-vertical-relative:page;margin-top:533.01pt;" coordsize="1613,35421">
                <v:rect id="Rectangle 33142"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3143"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187 de 298 </w:t>
                        </w:r>
                      </w:p>
                    </w:txbxContent>
                  </v:textbox>
                </v:rect>
                <w10:wrap type="square"/>
              </v:group>
            </w:pict>
          </mc:Fallback>
        </mc:AlternateContent>
      </w:r>
      <w:r>
        <w:t>En los supuestos de cierre parcial a tráfico, en los que s</w:t>
      </w:r>
      <w:r>
        <w:t xml:space="preserve">e compatibilice el uso del espacio público por las personas asistentes a las actividades o eventos con la circulación ordinaria de vehículos, la autorización deberá incluir las condiciones que hayan de cumplirse por la entidad organizadora del evento para </w:t>
      </w:r>
      <w:r>
        <w:t xml:space="preserve">hacer posible dicha compatibilidad, disponiéndose en todo momento del suficiente ancho de calzada para garantizar el paso de vehículos en condiciones normales y seguras de circulación. </w:t>
      </w:r>
    </w:p>
    <w:p w:rsidR="00B064CF" w:rsidRDefault="00E32F70">
      <w:pPr>
        <w:numPr>
          <w:ilvl w:val="0"/>
          <w:numId w:val="105"/>
        </w:numPr>
        <w:ind w:left="628" w:right="146" w:hanging="283"/>
      </w:pPr>
      <w:r>
        <w:t>En todo caso deberán adoptarse las medidas oportunas tendentes a garan</w:t>
      </w:r>
      <w:r>
        <w:t xml:space="preserve">tizar el paso de vehículos de emergencia, así como cuantas medidas de señalización, control y vigilancia sean necesarias para garantizar la seguridad vial en las zonas afectadas. </w:t>
      </w:r>
    </w:p>
    <w:p w:rsidR="00B064CF" w:rsidRDefault="00E32F70">
      <w:pPr>
        <w:numPr>
          <w:ilvl w:val="0"/>
          <w:numId w:val="105"/>
        </w:numPr>
        <w:ind w:left="628" w:right="146" w:hanging="283"/>
      </w:pPr>
      <w:r>
        <w:t>Cualquier cierre total o parcial al tráfico rodado deberá contar con informe</w:t>
      </w:r>
      <w:r>
        <w:t xml:space="preserve"> favorable de la Policía Local, que contendrá, en su caso, todas las medidas a que se refieren los números anteriores tendentes a garantizar las adecuadas condiciones de seguridad y funcionalidad en el uso del espacio público; las medidas que en tal sentid</w:t>
      </w:r>
      <w:r>
        <w:t xml:space="preserve">o proponga la Policía en su informe quedarán incorporadas a la autorización/concesión como condiciones de eficacia de la misma. </w:t>
      </w:r>
    </w:p>
    <w:p w:rsidR="00B064CF" w:rsidRDefault="00E32F70">
      <w:pPr>
        <w:numPr>
          <w:ilvl w:val="0"/>
          <w:numId w:val="105"/>
        </w:numPr>
        <w:ind w:left="628" w:right="146" w:hanging="283"/>
      </w:pPr>
      <w:r>
        <w:t>No obstante, lo dispuesto en los párrafos anteriores, si una vez iniciada la ocupación la Policía Local constatase que existe u</w:t>
      </w:r>
      <w:r>
        <w:t>na situación de riesgo, ya sea para los asistentes al acto, para la circulación rodada o para terceras personas, adoptará de forma inmediata las medidas necesarias para restablecer la seguridad, pudiendo incluso proponer la suspensión del evento a la perso</w:t>
      </w:r>
      <w:r>
        <w:t xml:space="preserve">na o entidad responsable del dispositivo de seguridad. </w:t>
      </w:r>
    </w:p>
    <w:p w:rsidR="00B064CF" w:rsidRDefault="00E32F70">
      <w:pPr>
        <w:spacing w:after="11"/>
        <w:ind w:left="355" w:right="72"/>
      </w:pPr>
      <w:r>
        <w:t xml:space="preserve">CAPÍTULO 2 ASPECTOS PROCEDIMENTALES Y NORMAS COMUNES  </w:t>
      </w:r>
    </w:p>
    <w:p w:rsidR="00B064CF" w:rsidRDefault="00E32F70">
      <w:pPr>
        <w:ind w:left="355" w:right="72"/>
      </w:pPr>
      <w:r>
        <w:t xml:space="preserve">Artículo 13. Títulos habilitantes </w:t>
      </w:r>
    </w:p>
    <w:p w:rsidR="00B064CF" w:rsidRDefault="00E32F70">
      <w:pPr>
        <w:numPr>
          <w:ilvl w:val="0"/>
          <w:numId w:val="106"/>
        </w:numPr>
        <w:ind w:left="628" w:right="145" w:hanging="283"/>
      </w:pPr>
      <w:r>
        <w:t>La ocupación del dominio público, en cualquiera de los supuestos regulados en esta Ordenanza, se sujeta a concesión administrativa cuando suponga un uso privativo o anormal de los bienes integrados en el dominio, y a Licencia de Ocupación en el resto de lo</w:t>
      </w:r>
      <w:r>
        <w:t xml:space="preserve">s casos. </w:t>
      </w:r>
    </w:p>
    <w:p w:rsidR="00B064CF" w:rsidRDefault="00E32F70">
      <w:pPr>
        <w:numPr>
          <w:ilvl w:val="0"/>
          <w:numId w:val="106"/>
        </w:numPr>
        <w:ind w:left="628" w:right="145" w:hanging="283"/>
      </w:pPr>
      <w:r>
        <w:t>El otorgamiento de la Licencia o concesión para la ocupación del dominio público no exime a la persona autorizada o concesionaria de la obligación de obtener, en su caso, las demás autorizaciones o licencias que resultaran preceptivas por razón d</w:t>
      </w:r>
      <w:r>
        <w:t xml:space="preserve">e la actividad, localización u obra que, en su caso, vaya a desarrollarse.  </w:t>
      </w:r>
    </w:p>
    <w:p w:rsidR="00B064CF" w:rsidRDefault="00E32F70">
      <w:pPr>
        <w:numPr>
          <w:ilvl w:val="0"/>
          <w:numId w:val="106"/>
        </w:numPr>
        <w:ind w:left="628" w:right="145" w:hanging="283"/>
      </w:pPr>
      <w:r>
        <w:t xml:space="preserve">Las Licencias o concesiones para la ocupación del dominio público podrán ser transmitidas salvo cuando, de conformidad con lo dispuesto en el artículo 92.2 de la Ley 33/2003 de 3 </w:t>
      </w:r>
      <w:r>
        <w:t>de noviembre de Patrimonio de las Administraciones Públicas se hayan otorgado teniendo en cuenta circunstancias personales de la persona autorizada o su número se haya limitado o en el propio otorgamiento se hayan impuesto condiciones que limitan la transm</w:t>
      </w:r>
      <w:r>
        <w:t xml:space="preserve">isión. </w:t>
      </w:r>
    </w:p>
    <w:p w:rsidR="00B064CF" w:rsidRDefault="00E32F70">
      <w:pPr>
        <w:numPr>
          <w:ilvl w:val="0"/>
          <w:numId w:val="106"/>
        </w:numPr>
        <w:ind w:left="628" w:right="145" w:hanging="283"/>
      </w:pPr>
      <w:r>
        <w:t xml:space="preserve">Las Licencias y/o concesiones se otorgarán salvo el derecho de propiedad y sin perjuicio de derecho de terceros. </w:t>
      </w:r>
    </w:p>
    <w:p w:rsidR="00B064CF" w:rsidRDefault="00E32F70">
      <w:pPr>
        <w:numPr>
          <w:ilvl w:val="0"/>
          <w:numId w:val="106"/>
        </w:numPr>
        <w:ind w:left="628" w:right="145" w:hanging="283"/>
      </w:pPr>
      <w:r>
        <w:t>En virtud de las notas de inalienabilidad e imprescriptibilidad de los bienes de dominio público, la mera concurrencia de los requisit</w:t>
      </w:r>
      <w:r>
        <w:t>os necesarios para que la ocupación pueda ser autorizada no otorga derecho alguno a la obtención del título. El Ayuntamiento, considerando todas las circunstancias reales o previsibles, otorgará o denegará de forma motivada las licencias y concesiones teni</w:t>
      </w:r>
      <w:r>
        <w:t xml:space="preserve">endo en cuenta que el interés general ha de prevalecer sobre el particular. </w:t>
      </w:r>
    </w:p>
    <w:p w:rsidR="00B064CF" w:rsidRDefault="00E32F70">
      <w:pPr>
        <w:numPr>
          <w:ilvl w:val="0"/>
          <w:numId w:val="106"/>
        </w:numPr>
        <w:ind w:left="628" w:right="145" w:hanging="283"/>
      </w:pPr>
      <w:r>
        <w:rPr>
          <w:rFonts w:ascii="Calibri" w:eastAsia="Calibri" w:hAnsi="Calibri" w:cs="Calibri"/>
          <w:noProof/>
        </w:rPr>
        <mc:AlternateContent>
          <mc:Choice Requires="wpg">
            <w:drawing>
              <wp:anchor distT="0" distB="0" distL="114300" distR="114300" simplePos="0" relativeHeight="25185484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4134" name="Group 404134"/>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3257" name="Rectangle 33257"/>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3258" name="Rectangle 33258"/>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w:t>
                              </w:r>
                              <w:r>
                                <w:rPr>
                                  <w:sz w:val="12"/>
                                </w:rPr>
                                <w:t xml:space="preserve">Página 188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4134" style="width:12.7031pt;height:278.91pt;position:absolute;mso-position-horizontal-relative:page;mso-position-horizontal:absolute;margin-left:682.278pt;mso-position-vertical-relative:page;margin-top:533.01pt;" coordsize="1613,35421">
                <v:rect id="Rectangle 33257"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3258"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188 de 298 </w:t>
                        </w:r>
                      </w:p>
                    </w:txbxContent>
                  </v:textbox>
                </v:rect>
                <w10:wrap type="square"/>
              </v:group>
            </w:pict>
          </mc:Fallback>
        </mc:AlternateContent>
      </w:r>
      <w:r>
        <w:t>Los títulos que se otorguen no generarán derechos adicionales a favor de las personas autorizadas o concesionarias que vayan más allá de la ocupación del dominio público en las condiciones que se establezcan, ni presupondrá un reconocimi</w:t>
      </w:r>
      <w:r>
        <w:t xml:space="preserve">ento tácito para la instalación de otros elementos o la realización de otras actividades diferentes a las autorizadas. </w:t>
      </w:r>
    </w:p>
    <w:p w:rsidR="00B064CF" w:rsidRDefault="00E32F70">
      <w:pPr>
        <w:numPr>
          <w:ilvl w:val="0"/>
          <w:numId w:val="106"/>
        </w:numPr>
        <w:ind w:left="628" w:right="145" w:hanging="283"/>
      </w:pPr>
      <w:r>
        <w:t xml:space="preserve">Las Licencias/concesiones que se otorguen contendrán, al menos, los siguientes datos:  </w:t>
      </w:r>
    </w:p>
    <w:p w:rsidR="00B064CF" w:rsidRDefault="00E32F70">
      <w:pPr>
        <w:tabs>
          <w:tab w:val="center" w:pos="736"/>
          <w:tab w:val="center" w:pos="2293"/>
        </w:tabs>
        <w:spacing w:after="146"/>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 xml:space="preserve">Titular de la autorización. </w:t>
      </w:r>
    </w:p>
    <w:p w:rsidR="00B064CF" w:rsidRDefault="00E32F70">
      <w:pPr>
        <w:tabs>
          <w:tab w:val="center" w:pos="736"/>
          <w:tab w:val="center" w:pos="3044"/>
        </w:tabs>
        <w:spacing w:after="144"/>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Lugar y emp</w:t>
      </w:r>
      <w:r>
        <w:t xml:space="preserve">lazamiento de la ocupación. </w:t>
      </w:r>
    </w:p>
    <w:p w:rsidR="00B064CF" w:rsidRDefault="00E32F70">
      <w:pPr>
        <w:tabs>
          <w:tab w:val="center" w:pos="736"/>
          <w:tab w:val="center" w:pos="3123"/>
        </w:tabs>
        <w:spacing w:after="143"/>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 xml:space="preserve">Dimensiones y superficie de la ocupación. </w:t>
      </w:r>
    </w:p>
    <w:p w:rsidR="00B064CF" w:rsidRDefault="00E32F70">
      <w:pPr>
        <w:tabs>
          <w:tab w:val="center" w:pos="736"/>
          <w:tab w:val="center" w:pos="4809"/>
        </w:tabs>
        <w:spacing w:after="146"/>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 xml:space="preserve">Número de elementos a instalar y características de los mismos, en su caso. </w:t>
      </w:r>
    </w:p>
    <w:p w:rsidR="00B064CF" w:rsidRDefault="00E32F70">
      <w:pPr>
        <w:tabs>
          <w:tab w:val="center" w:pos="736"/>
          <w:tab w:val="center" w:pos="2805"/>
        </w:tabs>
        <w:spacing w:after="144"/>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 xml:space="preserve">Fecha de inicio y plazo de vigencia. </w:t>
      </w:r>
    </w:p>
    <w:p w:rsidR="00B064CF" w:rsidRDefault="00E32F70">
      <w:pPr>
        <w:tabs>
          <w:tab w:val="center" w:pos="736"/>
          <w:tab w:val="center" w:pos="2004"/>
        </w:tabs>
        <w:spacing w:after="146"/>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 xml:space="preserve">Horario autorizado. </w:t>
      </w:r>
    </w:p>
    <w:p w:rsidR="00B064CF" w:rsidRDefault="00E32F70">
      <w:pPr>
        <w:tabs>
          <w:tab w:val="center" w:pos="736"/>
          <w:tab w:val="center" w:pos="3791"/>
        </w:tabs>
        <w:spacing w:after="143"/>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r>
      <w:r>
        <w:t xml:space="preserve">Condiciones particulares de la autorización, en su caso. </w:t>
      </w:r>
    </w:p>
    <w:p w:rsidR="00B064CF" w:rsidRDefault="00E32F70">
      <w:pPr>
        <w:tabs>
          <w:tab w:val="center" w:pos="736"/>
          <w:tab w:val="center" w:pos="4768"/>
        </w:tabs>
        <w:spacing w:after="128"/>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 xml:space="preserve">Descripción gráfica de la superficie susceptible de ser ocupada, en su caso. </w:t>
      </w:r>
    </w:p>
    <w:p w:rsidR="00B064CF" w:rsidRDefault="00E32F70">
      <w:pPr>
        <w:numPr>
          <w:ilvl w:val="0"/>
          <w:numId w:val="106"/>
        </w:numPr>
        <w:ind w:left="628" w:right="145" w:hanging="283"/>
      </w:pPr>
      <w:r>
        <w:t>Cuando la instalación de algunos de los elementos con los que se fuera a ocupar el dominio público requiriese la eje</w:t>
      </w:r>
      <w:r>
        <w:t>cución de obras menores, éstas quedarían amparadas por la propia autorización o concesión para ocupar el dominio público, siempre que dichas obras estuvieran debidamente previstas y descritas en la documentación que acompañe la solicitud de autorización o,</w:t>
      </w:r>
      <w:r>
        <w:t xml:space="preserve"> en su caso, en las condiciones de la licencia y/o concesión. </w:t>
      </w:r>
    </w:p>
    <w:p w:rsidR="00B064CF" w:rsidRDefault="00E32F70">
      <w:pPr>
        <w:numPr>
          <w:ilvl w:val="0"/>
          <w:numId w:val="106"/>
        </w:numPr>
        <w:ind w:left="628" w:right="145" w:hanging="283"/>
      </w:pPr>
      <w:r>
        <w:t>El documento acreditativo de la autorización y el plano que describa la instalación autorizada deberá exhibirse, de forma permanente, en un lugar visible de la instalación o del establecimiento</w:t>
      </w:r>
      <w:r>
        <w:t xml:space="preserve"> al que presta servicio. </w:t>
      </w:r>
    </w:p>
    <w:p w:rsidR="00B064CF" w:rsidRDefault="00E32F70">
      <w:pPr>
        <w:spacing w:after="11"/>
        <w:ind w:left="355" w:right="72"/>
      </w:pPr>
      <w:r>
        <w:t xml:space="preserve">Artículo 14. Competencias </w:t>
      </w:r>
    </w:p>
    <w:p w:rsidR="00B064CF" w:rsidRDefault="00E32F70">
      <w:pPr>
        <w:spacing w:after="275"/>
        <w:ind w:left="628" w:right="147" w:hanging="283"/>
      </w:pPr>
      <w:r>
        <w:t>2. El órgano competente para la resolución de los procedimientos regulados en esta Ordenanza será la Alcaldía-Presidencia del Ayuntamiento de Candelaria, salvo delegación de esta atribución en otro órgan</w:t>
      </w:r>
      <w:r>
        <w:t xml:space="preserve">o. </w:t>
      </w:r>
    </w:p>
    <w:p w:rsidR="00B064CF" w:rsidRDefault="00E32F70">
      <w:pPr>
        <w:numPr>
          <w:ilvl w:val="0"/>
          <w:numId w:val="107"/>
        </w:numPr>
        <w:spacing w:after="275"/>
        <w:ind w:left="628" w:right="146" w:hanging="283"/>
      </w:pPr>
      <w:r>
        <w:t xml:space="preserve">La inspección y control de las actividades que se desarrollen en los espacios de dominio público municipal, así como la ocupación del mismo con cualquier clase de elemento o instalación, corresponde a la Policía Local y a la Inspección Urbanística del </w:t>
      </w:r>
      <w:r>
        <w:t>Ayuntamiento de Candelaria. Sus miembros, en calidad de agentes de la autoridad, velarán por el fiel e íntegro cumplimiento de lo dispuesto en esta Ordenanza, impidiendo todos aquellos usos, aprovechamientos u ocupaciones que no cuenten con la correspondie</w:t>
      </w:r>
      <w:r>
        <w:t>nte autorización, y vigilando que las personas o entidades que lo ocupen al amparo de un título cumplan las condiciones y requisitos fijados en el mismo y en esta norma, para lo cual, primordialmente, vigilarán, disuadirán, impedirán y denunciarán las infr</w:t>
      </w:r>
      <w:r>
        <w:t xml:space="preserve">acciones tipificadas en el Titulo IV. </w:t>
      </w:r>
    </w:p>
    <w:p w:rsidR="00B064CF" w:rsidRDefault="00E32F70">
      <w:pPr>
        <w:numPr>
          <w:ilvl w:val="0"/>
          <w:numId w:val="107"/>
        </w:numPr>
        <w:ind w:left="628" w:right="146" w:hanging="283"/>
      </w:pPr>
      <w:r>
        <w:rPr>
          <w:rFonts w:ascii="Calibri" w:eastAsia="Calibri" w:hAnsi="Calibri" w:cs="Calibri"/>
          <w:noProof/>
        </w:rPr>
        <mc:AlternateContent>
          <mc:Choice Requires="wpg">
            <w:drawing>
              <wp:anchor distT="0" distB="0" distL="114300" distR="114300" simplePos="0" relativeHeight="25185587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4240" name="Group 404240"/>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3364" name="Rectangle 33364"/>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3365" name="Rectangle 33365"/>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189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4240" style="width:12.7031pt;height:278.91pt;position:absolute;mso-position-horizontal-relative:page;mso-position-horizontal:absolute;margin-left:682.278pt;mso-position-vertical-relative:page;margin-top:533.01pt;" coordsize="1613,35421">
                <v:rect id="Rectangle 33364"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3365"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189 de 298 </w:t>
                        </w:r>
                      </w:p>
                    </w:txbxContent>
                  </v:textbox>
                </v:rect>
                <w10:wrap type="square"/>
              </v:group>
            </w:pict>
          </mc:Fallback>
        </mc:AlternateContent>
      </w:r>
      <w:r>
        <w:t xml:space="preserve">De acuerdo con lo establecido en la normativa tributaria, corresponderá al Departamento municipal con competencia en materia tributaria, la comprobación e inspección fiscal de las ocupaciones del dominio público, hayan sido o no autorizadas. </w:t>
      </w:r>
    </w:p>
    <w:p w:rsidR="00B064CF" w:rsidRDefault="00E32F70">
      <w:pPr>
        <w:spacing w:after="11"/>
        <w:ind w:left="355" w:right="72"/>
      </w:pPr>
      <w:r>
        <w:t xml:space="preserve">Artículo 15. </w:t>
      </w:r>
      <w:r>
        <w:t xml:space="preserve">Procedimiento de autorización </w:t>
      </w:r>
    </w:p>
    <w:p w:rsidR="00B064CF" w:rsidRDefault="00E32F70">
      <w:pPr>
        <w:numPr>
          <w:ilvl w:val="0"/>
          <w:numId w:val="108"/>
        </w:numPr>
        <w:ind w:left="628" w:right="146" w:hanging="283"/>
      </w:pPr>
      <w:r>
        <w:t>Los procedimientos de autorización para la ocupación del dominio público se ajustarán a lo dispuesto en la Ley 39/2015, de 1 de octubre, del Procedimiento Administrativo Común de las Administraciones Públicas (en adelante LPA</w:t>
      </w:r>
      <w:r>
        <w:t xml:space="preserve">CAP), sin perjuicio de las peculiaridades establecidas en la presente Ordenanza. </w:t>
      </w:r>
    </w:p>
    <w:p w:rsidR="00B064CF" w:rsidRDefault="00E32F70">
      <w:pPr>
        <w:numPr>
          <w:ilvl w:val="0"/>
          <w:numId w:val="108"/>
        </w:numPr>
        <w:ind w:left="628" w:right="146" w:hanging="283"/>
      </w:pPr>
      <w:r>
        <w:t>Cuando el procedimiento se inicie a instancia de persona interesada, la solicitud contendrá los datos señalados en el artículo 66.1 de la LPACAP y se acompañará de la documen</w:t>
      </w:r>
      <w:r>
        <w:t xml:space="preserve">tación que se señala en el modelo de solicitud. </w:t>
      </w:r>
    </w:p>
    <w:p w:rsidR="00B064CF" w:rsidRDefault="00E32F70">
      <w:pPr>
        <w:numPr>
          <w:ilvl w:val="0"/>
          <w:numId w:val="108"/>
        </w:numPr>
        <w:ind w:left="628" w:right="146" w:hanging="283"/>
      </w:pPr>
      <w:r>
        <w:t>Si la solicitud de iniciación no reúne los requisitos señalados por la normativa vigente o si la documentación está incompleta, se requerirá al interesado para que, en el plazo de diez días, subsane la falta</w:t>
      </w:r>
      <w:r>
        <w:t xml:space="preserve"> o acompañe los documentos preceptivos con indicación de que, si así no lo hiciera, se le tendrá por desistido de su petición, archivándose sin más trámites con los efectos previstos en el artículo 21.1 de la LPACAP. </w:t>
      </w:r>
    </w:p>
    <w:p w:rsidR="00B064CF" w:rsidRDefault="00E32F70">
      <w:pPr>
        <w:numPr>
          <w:ilvl w:val="0"/>
          <w:numId w:val="108"/>
        </w:numPr>
        <w:ind w:left="628" w:right="146" w:hanging="283"/>
      </w:pPr>
      <w:r>
        <w:t>Previa emisión de los informes técnico</w:t>
      </w:r>
      <w:r>
        <w:t xml:space="preserve">s y jurídicos que correspondan, y en su caso informe de la Policía Local, el órgano competente resolverá concediendo o denegando motivadamente la autorización solicitada. </w:t>
      </w:r>
    </w:p>
    <w:p w:rsidR="00B064CF" w:rsidRDefault="00E32F70">
      <w:pPr>
        <w:numPr>
          <w:ilvl w:val="0"/>
          <w:numId w:val="108"/>
        </w:numPr>
        <w:ind w:left="628" w:right="146" w:hanging="283"/>
      </w:pPr>
      <w:r>
        <w:t xml:space="preserve">La resolución del procedimiento deberá producirse en el plazo máximo de tres meses, </w:t>
      </w:r>
      <w:r>
        <w:t xml:space="preserve">contado desde el día siguiente a la fecha en que se haya presentado en forma y completa la correspondiente solicitud. </w:t>
      </w:r>
    </w:p>
    <w:p w:rsidR="00B064CF" w:rsidRDefault="00E32F70">
      <w:pPr>
        <w:numPr>
          <w:ilvl w:val="0"/>
          <w:numId w:val="108"/>
        </w:numPr>
        <w:ind w:left="628" w:right="146" w:hanging="283"/>
      </w:pPr>
      <w:r>
        <w:t xml:space="preserve">El transcurso del plazo máximo fijado en el número anterior podrá interrumpirse por una sola vez mediante requerimiento para subsanación </w:t>
      </w:r>
      <w:r>
        <w:t xml:space="preserve">de deficiencias de fondo. El requerimiento deberá precisar las deficiencias y el plazo para su subsanación, que en ningún caso será inferior a un mes. </w:t>
      </w:r>
    </w:p>
    <w:p w:rsidR="00B064CF" w:rsidRDefault="00E32F70">
      <w:pPr>
        <w:numPr>
          <w:ilvl w:val="0"/>
          <w:numId w:val="108"/>
        </w:numPr>
        <w:ind w:left="628" w:right="146" w:hanging="283"/>
      </w:pPr>
      <w:r>
        <w:t xml:space="preserve">Las solicitudes no resueltas expresamente en el plazo establecido en el número 5 del presente artículo, </w:t>
      </w:r>
      <w:r>
        <w:t xml:space="preserve">se entenderán denegadas. </w:t>
      </w:r>
    </w:p>
    <w:p w:rsidR="00B064CF" w:rsidRDefault="00E32F70">
      <w:pPr>
        <w:spacing w:after="11"/>
        <w:ind w:left="355" w:right="72"/>
      </w:pPr>
      <w:r>
        <w:t xml:space="preserve">Artículo 16. Procedimiento de concesión </w:t>
      </w:r>
    </w:p>
    <w:p w:rsidR="00B064CF" w:rsidRDefault="00E32F70">
      <w:pPr>
        <w:spacing w:after="0"/>
        <w:ind w:left="355" w:right="147"/>
      </w:pPr>
      <w:r>
        <w:t>Las concesiones se sujetarán, en cuanto al procedimiento de otorgamiento, formalidades y condiciones, a lo dispuesto en la presente ordenanza, y a la normativa que resulte aplicable en mate</w:t>
      </w:r>
      <w:r>
        <w:t xml:space="preserve">ria de entidades locales y bienes de las mismas. </w:t>
      </w:r>
    </w:p>
    <w:p w:rsidR="00B064CF" w:rsidRDefault="00E32F70">
      <w:pPr>
        <w:spacing w:after="11"/>
        <w:ind w:left="355" w:right="72"/>
      </w:pPr>
      <w:r>
        <w:t xml:space="preserve">Artículo 17. Plazos de vigencia </w:t>
      </w:r>
    </w:p>
    <w:p w:rsidR="00B064CF" w:rsidRDefault="00E32F70">
      <w:pPr>
        <w:numPr>
          <w:ilvl w:val="0"/>
          <w:numId w:val="109"/>
        </w:numPr>
        <w:ind w:left="628" w:right="72" w:hanging="283"/>
      </w:pPr>
      <w:r>
        <w:t xml:space="preserve">Toda autorización o concesión para la ocupación del dominio público será otorgada con plazo de vigencia. </w:t>
      </w:r>
    </w:p>
    <w:p w:rsidR="00B064CF" w:rsidRDefault="00E32F70">
      <w:pPr>
        <w:numPr>
          <w:ilvl w:val="0"/>
          <w:numId w:val="109"/>
        </w:numPr>
        <w:ind w:left="628" w:right="72" w:hanging="283"/>
      </w:pPr>
      <w:r>
        <w:t xml:space="preserve">La ocupación del dominio público no podrá tener carácter permanente. </w:t>
      </w:r>
    </w:p>
    <w:p w:rsidR="00B064CF" w:rsidRDefault="00E32F70">
      <w:pPr>
        <w:numPr>
          <w:ilvl w:val="0"/>
          <w:numId w:val="109"/>
        </w:numPr>
        <w:ind w:left="628" w:right="72" w:hanging="283"/>
      </w:pPr>
      <w:r>
        <w:t>En el caso de ocupaciones anuales o temporales, las renovaciones de las licencias serán tácitas, salvo en el caso de impago de las tasas. La renovación tampoco será tácita en los supuest</w:t>
      </w:r>
      <w:r>
        <w:t xml:space="preserve">os de renuncia o de modificación de las condiciones de la ocupación, en cuyos casos las personas titulares vendrán obligadas a presentar, respectivamente, escrito indicativo de la renuncia o nueva solicitud de licencia. </w:t>
      </w:r>
    </w:p>
    <w:p w:rsidR="00B064CF" w:rsidRDefault="00E32F70">
      <w:pPr>
        <w:numPr>
          <w:ilvl w:val="0"/>
          <w:numId w:val="109"/>
        </w:numPr>
        <w:ind w:left="628" w:right="72" w:hanging="283"/>
      </w:pPr>
      <w:r>
        <w:rPr>
          <w:rFonts w:ascii="Calibri" w:eastAsia="Calibri" w:hAnsi="Calibri" w:cs="Calibri"/>
          <w:noProof/>
        </w:rPr>
        <mc:AlternateContent>
          <mc:Choice Requires="wpg">
            <w:drawing>
              <wp:anchor distT="0" distB="0" distL="114300" distR="114300" simplePos="0" relativeHeight="25185689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4333" name="Group 404333"/>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3485" name="Rectangle 33485"/>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w:t>
                              </w:r>
                              <w:r>
                                <w:rPr>
                                  <w:sz w:val="12"/>
                                </w:rPr>
                                <w:t xml:space="preserve">DLPPAAC3GS | Verificación: https://candelaria.sedelectronica.es/ </w:t>
                              </w:r>
                            </w:p>
                          </w:txbxContent>
                        </wps:txbx>
                        <wps:bodyPr horzOverflow="overflow" vert="horz" lIns="0" tIns="0" rIns="0" bIns="0" rtlCol="0">
                          <a:noAutofit/>
                        </wps:bodyPr>
                      </wps:wsp>
                      <wps:wsp>
                        <wps:cNvPr id="33486" name="Rectangle 33486"/>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190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4333" style="width:12.7031pt;height:278.91pt;position:absolute;mso-position-horizontal-relative:page;mso-position-horizontal:absolute;margin-left:682.278pt;mso-position-vertical-relative:page;margin-top:533.01pt;" coordsize="1613,35421">
                <v:rect id="Rectangle 33485"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3486"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190 de 298 </w:t>
                        </w:r>
                      </w:p>
                    </w:txbxContent>
                  </v:textbox>
                </v:rect>
                <w10:wrap type="square"/>
              </v:group>
            </w:pict>
          </mc:Fallback>
        </mc:AlternateContent>
      </w:r>
      <w:r>
        <w:t>El Ayuntamiento de Candelaria podrá modificar, suspender o revocar el título otorgado, previo</w:t>
      </w:r>
      <w:r>
        <w:t xml:space="preserve"> trámite de audiencia a su titular: </w:t>
      </w:r>
    </w:p>
    <w:p w:rsidR="00B064CF" w:rsidRDefault="00E32F70">
      <w:pPr>
        <w:tabs>
          <w:tab w:val="center" w:pos="748"/>
          <w:tab w:val="center" w:pos="3752"/>
        </w:tabs>
        <w:spacing w:after="145"/>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 xml:space="preserve">por razones de interés público debidamente motivadas </w:t>
      </w:r>
    </w:p>
    <w:p w:rsidR="00B064CF" w:rsidRDefault="00E32F70">
      <w:pPr>
        <w:tabs>
          <w:tab w:val="center" w:pos="748"/>
          <w:tab w:val="right" w:pos="10072"/>
        </w:tabs>
        <w:spacing w:after="143"/>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 xml:space="preserve">por incumplimiento de los requisitos y obligaciones establecidos en la presente Ordenanza  </w:t>
      </w:r>
    </w:p>
    <w:p w:rsidR="00B064CF" w:rsidRDefault="00E32F70">
      <w:pPr>
        <w:tabs>
          <w:tab w:val="center" w:pos="748"/>
          <w:tab w:val="center" w:pos="4143"/>
        </w:tabs>
        <w:spacing w:after="143"/>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r>
      <w:r>
        <w:t xml:space="preserve">por inobservancia de las condiciones de la propia autorización, </w:t>
      </w:r>
    </w:p>
    <w:p w:rsidR="00B064CF" w:rsidRDefault="00E32F70">
      <w:pPr>
        <w:ind w:left="1080" w:right="72" w:hanging="360"/>
      </w:pPr>
      <w:r>
        <w:rPr>
          <w:rFonts w:ascii="Segoe UI Symbol" w:eastAsia="Segoe UI Symbol" w:hAnsi="Segoe UI Symbol" w:cs="Segoe UI Symbol"/>
        </w:rPr>
        <w:t></w:t>
      </w:r>
      <w:r>
        <w:t xml:space="preserve"> por incompatibilidad de la ocupación con la normativa y/o con las condiciones técnicas generales aprobadas con posterioridad </w:t>
      </w:r>
    </w:p>
    <w:p w:rsidR="00B064CF" w:rsidRDefault="00E32F70">
      <w:pPr>
        <w:ind w:left="1080" w:right="72" w:hanging="360"/>
      </w:pPr>
      <w:r>
        <w:rPr>
          <w:rFonts w:ascii="Segoe UI Symbol" w:eastAsia="Segoe UI Symbol" w:hAnsi="Segoe UI Symbol" w:cs="Segoe UI Symbol"/>
        </w:rPr>
        <w:t></w:t>
      </w:r>
      <w:r>
        <w:t xml:space="preserve"> por desaparición de las circunstancias que motivaron su otorg</w:t>
      </w:r>
      <w:r>
        <w:t xml:space="preserve">amiento o sobrevinieran otras que, de haber existido, habrían justificado su denegación </w:t>
      </w:r>
    </w:p>
    <w:p w:rsidR="00B064CF" w:rsidRDefault="00E32F70">
      <w:pPr>
        <w:tabs>
          <w:tab w:val="center" w:pos="748"/>
          <w:tab w:val="center" w:pos="3061"/>
        </w:tabs>
        <w:spacing w:after="145"/>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 xml:space="preserve">por producir daños en el dominio público </w:t>
      </w:r>
    </w:p>
    <w:p w:rsidR="00B064CF" w:rsidRDefault="00E32F70">
      <w:pPr>
        <w:spacing w:after="0" w:line="367" w:lineRule="auto"/>
        <w:ind w:left="730" w:right="1390"/>
      </w:pPr>
      <w:r>
        <w:rPr>
          <w:rFonts w:ascii="Segoe UI Symbol" w:eastAsia="Segoe UI Symbol" w:hAnsi="Segoe UI Symbol" w:cs="Segoe UI Symbol"/>
        </w:rPr>
        <w:t></w:t>
      </w:r>
      <w:r>
        <w:t xml:space="preserve"> </w:t>
      </w:r>
      <w:r>
        <w:tab/>
        <w:t xml:space="preserve">por impedir la utilización del suelo para actividades de mayor interés público  </w:t>
      </w:r>
      <w:r>
        <w:rPr>
          <w:rFonts w:ascii="Segoe UI Symbol" w:eastAsia="Segoe UI Symbol" w:hAnsi="Segoe UI Symbol" w:cs="Segoe UI Symbol"/>
        </w:rPr>
        <w:t></w:t>
      </w:r>
      <w:r>
        <w:t xml:space="preserve"> </w:t>
      </w:r>
      <w:r>
        <w:tab/>
        <w:t xml:space="preserve">por menoscabar el uso general. </w:t>
      </w:r>
    </w:p>
    <w:p w:rsidR="00B064CF" w:rsidRDefault="00E32F70">
      <w:pPr>
        <w:numPr>
          <w:ilvl w:val="0"/>
          <w:numId w:val="109"/>
        </w:numPr>
        <w:ind w:left="628" w:right="72" w:hanging="283"/>
      </w:pPr>
      <w:r>
        <w:t>La modificación, suspensión o revocación de una autorización no conlleva derecho a indemnización. La modificación, suspensión o revocación de una concesión sólo procederá si concurren circunstancias de interés público que lo motiven y el resarcimiento de l</w:t>
      </w:r>
      <w:r>
        <w:t xml:space="preserve">os daños producidos en tales casos se producirá, si procediere, en los términos previstos en las condiciones de la concesión. </w:t>
      </w:r>
    </w:p>
    <w:p w:rsidR="00B064CF" w:rsidRDefault="00E32F70">
      <w:pPr>
        <w:ind w:left="355" w:right="72"/>
      </w:pPr>
      <w:r>
        <w:t xml:space="preserve">Artículo 18. Obligaciones tributarias </w:t>
      </w:r>
    </w:p>
    <w:p w:rsidR="00B064CF" w:rsidRDefault="00E32F70">
      <w:pPr>
        <w:numPr>
          <w:ilvl w:val="0"/>
          <w:numId w:val="110"/>
        </w:numPr>
        <w:ind w:left="628" w:right="72" w:hanging="283"/>
      </w:pPr>
      <w:r>
        <w:t>La ocupación de los espacios de dominio público aparejará, en todo caso, la exacción de la</w:t>
      </w:r>
      <w:r>
        <w:t xml:space="preserve"> correspondiente tasa municipal, según lo determinado en la Ordenanza fiscal correspondiente. </w:t>
      </w:r>
    </w:p>
    <w:p w:rsidR="00B064CF" w:rsidRDefault="00E32F70">
      <w:pPr>
        <w:numPr>
          <w:ilvl w:val="0"/>
          <w:numId w:val="110"/>
        </w:numPr>
        <w:ind w:left="628" w:right="72" w:hanging="283"/>
      </w:pPr>
      <w:r>
        <w:t>En los supuestos de modificación, suspensión o revocación previstos en el número 4 y 5 del artículo anterior, y a los efectos tributarios que procedan, se estará</w:t>
      </w:r>
      <w:r>
        <w:t xml:space="preserve"> a lo dispuesto en la correspondiente Ordenanza Fiscal. </w:t>
      </w:r>
    </w:p>
    <w:p w:rsidR="00B064CF" w:rsidRDefault="00E32F70">
      <w:pPr>
        <w:numPr>
          <w:ilvl w:val="0"/>
          <w:numId w:val="110"/>
        </w:numPr>
        <w:ind w:left="628" w:right="72" w:hanging="283"/>
      </w:pPr>
      <w:r>
        <w:t xml:space="preserve">En ningún caso podrá autorizarse la ocupación del dominio público a personas físicas o jurídicas que no se hallen al corriente en sus obligaciones tributarias y con la Seguridad Social. </w:t>
      </w:r>
    </w:p>
    <w:p w:rsidR="00B064CF" w:rsidRDefault="00E32F70">
      <w:pPr>
        <w:numPr>
          <w:ilvl w:val="0"/>
          <w:numId w:val="110"/>
        </w:numPr>
        <w:ind w:left="628" w:right="72" w:hanging="283"/>
      </w:pPr>
      <w:r>
        <w:t>El incumplim</w:t>
      </w:r>
      <w:r>
        <w:t xml:space="preserve">iento de las obligaciones tributarias municipales, conforme a los establecido en la normativa tributaria, motivará que no se renueven las licencias otorgadas.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TÍTULO III. CONDICIONES PARTICULARES PARA CADA TIPO DE OCUPACIÓN  </w:t>
      </w:r>
    </w:p>
    <w:p w:rsidR="00B064CF" w:rsidRDefault="00E32F70">
      <w:pPr>
        <w:spacing w:after="11"/>
        <w:ind w:left="355" w:right="72"/>
      </w:pPr>
      <w:r>
        <w:t>CAPÍTULO 1. OCUPACIONES VIN</w:t>
      </w:r>
      <w:r>
        <w:t xml:space="preserve">CULADAS A ACTIVIDADES TERCIARIAS EJERCIDAS EN </w:t>
      </w:r>
    </w:p>
    <w:p w:rsidR="00B064CF" w:rsidRDefault="00E32F70">
      <w:pPr>
        <w:spacing w:after="11"/>
        <w:ind w:left="355" w:right="72"/>
      </w:pPr>
      <w:r>
        <w:t xml:space="preserve">ESTABLECIMIENTOS PRIVADOS O PÚBLICOS </w:t>
      </w:r>
    </w:p>
    <w:p w:rsidR="00B064CF" w:rsidRDefault="00E32F70">
      <w:pPr>
        <w:spacing w:after="11"/>
        <w:ind w:left="355" w:right="72"/>
      </w:pPr>
      <w:r>
        <w:t xml:space="preserve">Sección 1ª. DISPOSICIONES GENERALES </w:t>
      </w:r>
    </w:p>
    <w:p w:rsidR="00B064CF" w:rsidRDefault="00E32F70">
      <w:pPr>
        <w:spacing w:after="102"/>
        <w:ind w:left="355" w:right="72"/>
      </w:pPr>
      <w:r>
        <w:t xml:space="preserve">Artículo 19. Ocupaciones permitidas y título habilitante </w:t>
      </w:r>
    </w:p>
    <w:p w:rsidR="00B064CF" w:rsidRDefault="00E32F70">
      <w:pPr>
        <w:numPr>
          <w:ilvl w:val="0"/>
          <w:numId w:val="111"/>
        </w:numPr>
        <w:spacing w:after="277"/>
        <w:ind w:left="628" w:right="148" w:hanging="283"/>
      </w:pPr>
      <w:r>
        <w:t xml:space="preserve">El dominio público podrá ser ocupado, en las condiciones establecidas en los siguientes artículos de este Capítulo, mediante elementos accesorios de las actividades de hostelería que se desarrollen en los establecimientos privados o públicos. La ocupación </w:t>
      </w:r>
      <w:r>
        <w:t xml:space="preserve">sólo podrá realizarse con sillas, mesas, sombrillas, toldos retráctiles, mamparas, jardineras (no fijas) y rótulos.  </w:t>
      </w:r>
    </w:p>
    <w:p w:rsidR="00B064CF" w:rsidRDefault="00E32F70">
      <w:pPr>
        <w:numPr>
          <w:ilvl w:val="0"/>
          <w:numId w:val="111"/>
        </w:numPr>
        <w:spacing w:after="276"/>
        <w:ind w:left="628" w:right="148" w:hanging="283"/>
      </w:pPr>
      <w:r>
        <w:rPr>
          <w:rFonts w:ascii="Calibri" w:eastAsia="Calibri" w:hAnsi="Calibri" w:cs="Calibri"/>
          <w:noProof/>
        </w:rPr>
        <mc:AlternateContent>
          <mc:Choice Requires="wpg">
            <w:drawing>
              <wp:anchor distT="0" distB="0" distL="114300" distR="114300" simplePos="0" relativeHeight="25185792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4443" name="Group 404443"/>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3594" name="Rectangle 33594"/>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3595" name="Rectangle 33595"/>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w:t>
                              </w:r>
                              <w:r>
                                <w:rPr>
                                  <w:sz w:val="12"/>
                                </w:rPr>
                                <w:t xml:space="preserve">desde la plataforma esPublico Gestiona | Página 191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4443" style="width:12.7031pt;height:278.91pt;position:absolute;mso-position-horizontal-relative:page;mso-position-horizontal:absolute;margin-left:682.278pt;mso-position-vertical-relative:page;margin-top:533.01pt;" coordsize="1613,35421">
                <v:rect id="Rectangle 33594"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3595"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191 de 298 </w:t>
                        </w:r>
                      </w:p>
                    </w:txbxContent>
                  </v:textbox>
                </v:rect>
                <w10:wrap type="square"/>
              </v:group>
            </w:pict>
          </mc:Fallback>
        </mc:AlternateContent>
      </w:r>
      <w:r>
        <w:t>Podrá ser autorizada la ocupación del dominio público, en las condiciones que en este Capítulo se regulan, mediante elementos accesorios de las actividades comerciales o de oficina que se desarrol</w:t>
      </w:r>
      <w:r>
        <w:t xml:space="preserve">len en el interior de establecimientos privados.  </w:t>
      </w:r>
    </w:p>
    <w:p w:rsidR="00B064CF" w:rsidRDefault="00E32F70">
      <w:pPr>
        <w:numPr>
          <w:ilvl w:val="0"/>
          <w:numId w:val="111"/>
        </w:numPr>
        <w:spacing w:after="278"/>
        <w:ind w:left="628" w:right="148" w:hanging="283"/>
      </w:pPr>
      <w:r>
        <w:t xml:space="preserve">El dominio público sólo podrá ser ocupado, en subsuelo, suelo o vuelo, con elementos accesorios vinculados a una actividad hostelera o comercial que cuente con el título habilitante correspondiente, y que </w:t>
      </w:r>
      <w:r>
        <w:t xml:space="preserve">se desarrolle en un establecimiento contiguo o próximo al espacio a ocupar. Queda prohibida cualquier ocupación que no cumpla estos requisitos. </w:t>
      </w:r>
    </w:p>
    <w:p w:rsidR="00B064CF" w:rsidRDefault="00E32F70">
      <w:pPr>
        <w:numPr>
          <w:ilvl w:val="0"/>
          <w:numId w:val="111"/>
        </w:numPr>
        <w:spacing w:after="276"/>
        <w:ind w:left="628" w:right="148" w:hanging="283"/>
      </w:pPr>
      <w:r>
        <w:t>Toda ocupación vinculada a actividades terciarias deberá cumplir las condiciones generales establecidas en el a</w:t>
      </w:r>
      <w:r>
        <w:t xml:space="preserve">rtículo 8. Las condiciones de ocupación y características de los elementos que se establecen en el presente Capítulo también son de obligada observancia. </w:t>
      </w:r>
    </w:p>
    <w:p w:rsidR="00B064CF" w:rsidRDefault="00E32F70">
      <w:pPr>
        <w:numPr>
          <w:ilvl w:val="0"/>
          <w:numId w:val="111"/>
        </w:numPr>
        <w:spacing w:after="277"/>
        <w:ind w:left="628" w:right="148" w:hanging="283"/>
      </w:pPr>
      <w:r>
        <w:t>El Ayuntamiento, mediante el establecimiento de condiciones particulares en las autorizaciones, podrá</w:t>
      </w:r>
      <w:r>
        <w:t xml:space="preserve"> fijar determinados requisitos de uniformidad para el mobiliario y demás elementos accesorios en una zona urbana concreta, ya sea para lograr una mejor armonización con el entorno o para la obtención de una imagen más homogénea. </w:t>
      </w:r>
    </w:p>
    <w:p w:rsidR="00B064CF" w:rsidRDefault="00E32F70">
      <w:pPr>
        <w:numPr>
          <w:ilvl w:val="0"/>
          <w:numId w:val="111"/>
        </w:numPr>
        <w:ind w:left="628" w:right="148" w:hanging="283"/>
      </w:pPr>
      <w:r>
        <w:t>Se podrá denegar la instal</w:t>
      </w:r>
      <w:r>
        <w:t>ación de las terrazas en sitios en los que la pendiente de las aceras, la situación ambiental (exceso de humos, etc.), el tránsito intenso y frecuente de peatones o cualquier otra circunstancia similar no aconsejen la implantación de este tipo de instalaci</w:t>
      </w:r>
      <w:r>
        <w:t xml:space="preserve">ones.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Sección 2ª. CONDICIONES DE LAS OCUPACIONES VINCULADAS A ACTIVIDADES HOSTELERAS </w:t>
      </w:r>
    </w:p>
    <w:p w:rsidR="00B064CF" w:rsidRDefault="00E32F70">
      <w:pPr>
        <w:spacing w:after="0"/>
        <w:ind w:left="355" w:right="72"/>
      </w:pPr>
      <w:r>
        <w:t xml:space="preserve">Artículo 20.   Condiciones superficiales y dimensionales de las ocupaciones vinculadas a las actividades hosteleras </w:t>
      </w:r>
    </w:p>
    <w:p w:rsidR="00B064CF" w:rsidRDefault="00E32F70">
      <w:pPr>
        <w:numPr>
          <w:ilvl w:val="0"/>
          <w:numId w:val="112"/>
        </w:numPr>
        <w:spacing w:after="0"/>
        <w:ind w:right="72"/>
      </w:pPr>
      <w:r>
        <w:t xml:space="preserve">En las vías que soporten tránsito rodado, las ocupaciones con elementos accesorios de una actividad hostelera, cumplirán las siguientes condiciones: </w:t>
      </w:r>
    </w:p>
    <w:p w:rsidR="00B064CF" w:rsidRDefault="00E32F70">
      <w:pPr>
        <w:numPr>
          <w:ilvl w:val="1"/>
          <w:numId w:val="112"/>
        </w:numPr>
        <w:ind w:right="145" w:hanging="360"/>
      </w:pPr>
      <w:r>
        <w:t>Sólo podrán ser ocupadas las aceras o zonas destinadas al uso peatonal, nunca las calzadas destinadas al t</w:t>
      </w:r>
      <w:r>
        <w:t xml:space="preserve">ráfico rodado. Podrán ser ocupadas las zonas de aparcamiento, quedando condicionada su autorización al cumplimiento de las condiciones específicas, descritas en el artículo 22 apartado 10. </w:t>
      </w:r>
    </w:p>
    <w:p w:rsidR="00B064CF" w:rsidRDefault="00E32F70">
      <w:pPr>
        <w:numPr>
          <w:ilvl w:val="1"/>
          <w:numId w:val="112"/>
        </w:numPr>
        <w:ind w:right="145" w:hanging="360"/>
      </w:pPr>
      <w:r>
        <w:t>No se autorizará la ocupación en los tramos de acera o espacios de</w:t>
      </w:r>
      <w:r>
        <w:t xml:space="preserve"> circulación peatonal dónde no se pueda establecer un ancho libre de paso junto a fachada, o elemento horizontal que materialice físicamente el límite edificado a nivel del suelo, de 1,80 m, sin perjuicio de estrangulamientos puntuales provocados por eleme</w:t>
      </w:r>
      <w:r>
        <w:t>ntos del mobiliario urbano, en los que el ancho libre de paso no será inferior a un metro y cincuenta centímetros (1,50 m), garantizando así el uso no discriminatorio y la circulación de forma autónoma y continua de todas las personas. (ANEXO I. GRÁFICO 1.</w:t>
      </w:r>
      <w:r>
        <w:t xml:space="preserve">1.). </w:t>
      </w:r>
    </w:p>
    <w:p w:rsidR="00B064CF" w:rsidRDefault="00E32F70">
      <w:pPr>
        <w:numPr>
          <w:ilvl w:val="1"/>
          <w:numId w:val="112"/>
        </w:numPr>
        <w:ind w:right="145" w:hanging="360"/>
      </w:pPr>
      <w:r>
        <w:rPr>
          <w:rFonts w:ascii="Calibri" w:eastAsia="Calibri" w:hAnsi="Calibri" w:cs="Calibri"/>
          <w:noProof/>
        </w:rPr>
        <mc:AlternateContent>
          <mc:Choice Requires="wpg">
            <w:drawing>
              <wp:anchor distT="0" distB="0" distL="114300" distR="114300" simplePos="0" relativeHeight="25185894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4887" name="Group 404887"/>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3705" name="Rectangle 33705"/>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3706" name="Rectangle 33706"/>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192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4887" style="width:12.7031pt;height:278.91pt;position:absolute;mso-position-horizontal-relative:page;mso-position-horizontal:absolute;margin-left:682.278pt;mso-position-vertical-relative:page;margin-top:533.01pt;" coordsize="1613,35421">
                <v:rect id="Rectangle 33705"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3706"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192 de 298 </w:t>
                        </w:r>
                      </w:p>
                    </w:txbxContent>
                  </v:textbox>
                </v:rect>
                <w10:wrap type="square"/>
              </v:group>
            </w:pict>
          </mc:Fallback>
        </mc:AlternateContent>
      </w:r>
      <w:r>
        <w:t>El tramo libre de ocupación descrito en el apartado anterior, podrá estar separado de la fachada o elemento horizontal que materialice físicamente el límite edificado, cuando las características y el uso del espacio recomienden otra disposición del itinera</w:t>
      </w:r>
      <w:r>
        <w:t xml:space="preserve">rio peatonal accesible o cuando éste carezca de dicha línea de fachada o referencia edificada, siempre que la orientación y el encaminamiento esté señalizado mediante una franja-guía longitudinal (ANEXO I. GRÁFICO 1.2.). </w:t>
      </w:r>
    </w:p>
    <w:p w:rsidR="00B064CF" w:rsidRDefault="00E32F70">
      <w:pPr>
        <w:numPr>
          <w:ilvl w:val="1"/>
          <w:numId w:val="112"/>
        </w:numPr>
        <w:ind w:right="145" w:hanging="360"/>
      </w:pPr>
      <w:r>
        <w:t>La ocupación se desarrollará en un</w:t>
      </w:r>
      <w:r>
        <w:t xml:space="preserve">a franja de ancho uniforme, salvo que la configuración y dimensiones del espacio público permitan ocupaciones de superficies trapezoidales o irregulares.   </w:t>
      </w:r>
    </w:p>
    <w:p w:rsidR="00B064CF" w:rsidRDefault="00E32F70">
      <w:pPr>
        <w:numPr>
          <w:ilvl w:val="1"/>
          <w:numId w:val="112"/>
        </w:numPr>
        <w:ind w:right="145" w:hanging="360"/>
      </w:pPr>
      <w:r>
        <w:t>En los accesos peatonales a los portales o locales se respetará una franja de paso libre de cualqui</w:t>
      </w:r>
      <w:r>
        <w:t xml:space="preserve">er obstáculo, de al menos un metro y ochenta centímetros (1,80 m) de ancho. En los accesos vehiculares, la ocupación se separará como mínimo cincuenta centímetros (0,50 m) del borde de la puerta o hueco de acceso. </w:t>
      </w:r>
    </w:p>
    <w:p w:rsidR="00B064CF" w:rsidRDefault="00E32F70">
      <w:pPr>
        <w:numPr>
          <w:ilvl w:val="1"/>
          <w:numId w:val="112"/>
        </w:numPr>
        <w:ind w:right="145" w:hanging="360"/>
      </w:pPr>
      <w:r>
        <w:t>La superficie ocupada se separará, al men</w:t>
      </w:r>
      <w:r>
        <w:t xml:space="preserve">os, cincuenta centímetros (0,50 m) de las calzadas de circulación vehicular. Cuando exista una zona de aparcamiento en línea junto a la acera, se deberá permitir entrar y salir del vehículo sin dificultad.   </w:t>
      </w:r>
    </w:p>
    <w:p w:rsidR="00B064CF" w:rsidRDefault="00E32F70">
      <w:pPr>
        <w:numPr>
          <w:ilvl w:val="1"/>
          <w:numId w:val="112"/>
        </w:numPr>
        <w:ind w:right="145" w:hanging="360"/>
      </w:pPr>
      <w:r>
        <w:t>No se autorizarán ocupaciones cuando exista una</w:t>
      </w:r>
      <w:r>
        <w:t xml:space="preserve"> calzada de tráfico rodado o una zona de aparcamiento entre el espacio que se pretenda ocupar y el establecimiento que sirva de soporte a la actividad de hostelería.  </w:t>
      </w:r>
    </w:p>
    <w:p w:rsidR="00B064CF" w:rsidRDefault="00E32F70">
      <w:pPr>
        <w:numPr>
          <w:ilvl w:val="1"/>
          <w:numId w:val="112"/>
        </w:numPr>
        <w:spacing w:after="129"/>
        <w:ind w:right="145" w:hanging="360"/>
      </w:pPr>
      <w:r>
        <w:t xml:space="preserve">La ocupación sólo podrá autorizarse en el frente del establecimiento al que se vincula, </w:t>
      </w:r>
      <w:r>
        <w:t xml:space="preserve">aunque de manera excepcional, pudiera extenderse al frente de los locales inmediatamente contiguos siempre que se cumplan las siguientes condiciones: Cond Generales </w:t>
      </w:r>
      <w:r>
        <w:rPr>
          <w:rFonts w:ascii="Segoe UI Symbol" w:eastAsia="Segoe UI Symbol" w:hAnsi="Segoe UI Symbol" w:cs="Segoe UI Symbol"/>
        </w:rPr>
        <w:t></w:t>
      </w:r>
      <w:r>
        <w:t xml:space="preserve"> Que los locales contiguos no se destinen a un uso residencial. </w:t>
      </w:r>
    </w:p>
    <w:p w:rsidR="00B064CF" w:rsidRDefault="00E32F70">
      <w:pPr>
        <w:ind w:left="1493" w:right="72" w:hanging="360"/>
      </w:pPr>
      <w:r>
        <w:rPr>
          <w:rFonts w:ascii="Segoe UI Symbol" w:eastAsia="Segoe UI Symbol" w:hAnsi="Segoe UI Symbol" w:cs="Segoe UI Symbol"/>
        </w:rPr>
        <w:t></w:t>
      </w:r>
      <w:r>
        <w:t xml:space="preserve"> Que presten su conformi</w:t>
      </w:r>
      <w:r>
        <w:t xml:space="preserve">dad los titulares de las actividades que en dichos establecimientos se ejerzan. </w:t>
      </w:r>
    </w:p>
    <w:p w:rsidR="00B064CF" w:rsidRDefault="00E32F70">
      <w:pPr>
        <w:ind w:left="1493" w:right="72" w:hanging="360"/>
      </w:pPr>
      <w:r>
        <w:rPr>
          <w:rFonts w:ascii="Segoe UI Symbol" w:eastAsia="Segoe UI Symbol" w:hAnsi="Segoe UI Symbol" w:cs="Segoe UI Symbol"/>
        </w:rPr>
        <w:t></w:t>
      </w:r>
      <w:r>
        <w:t xml:space="preserve"> Que cuando se implante una nueva actividad en alguno de los locales contiguos, se obtenga la conformidad de su titular. </w:t>
      </w:r>
    </w:p>
    <w:p w:rsidR="00B064CF" w:rsidRDefault="00E32F70">
      <w:pPr>
        <w:ind w:left="1493" w:right="72" w:hanging="360"/>
      </w:pPr>
      <w:r>
        <w:rPr>
          <w:rFonts w:ascii="Segoe UI Symbol" w:eastAsia="Segoe UI Symbol" w:hAnsi="Segoe UI Symbol" w:cs="Segoe UI Symbol"/>
        </w:rPr>
        <w:t></w:t>
      </w:r>
      <w:r>
        <w:t xml:space="preserve"> Que no lo impidan los estatutos de la comunidad de</w:t>
      </w:r>
      <w:r>
        <w:t xml:space="preserve"> propietarios en el que se enclavan los locales. </w:t>
      </w:r>
    </w:p>
    <w:p w:rsidR="00B064CF" w:rsidRDefault="00E32F70">
      <w:pPr>
        <w:numPr>
          <w:ilvl w:val="1"/>
          <w:numId w:val="112"/>
        </w:numPr>
        <w:ind w:right="145" w:hanging="360"/>
      </w:pPr>
      <w:r>
        <w:t xml:space="preserve">En el supuesto de establecimientos con fachada en esquina, la ocupación podrá desarrollarse en los frentes de ambas fachadas, siempre dentro de los límites establecidos en la presente Ordenanza. </w:t>
      </w:r>
    </w:p>
    <w:p w:rsidR="00B064CF" w:rsidRDefault="00E32F70">
      <w:pPr>
        <w:numPr>
          <w:ilvl w:val="0"/>
          <w:numId w:val="112"/>
        </w:numPr>
        <w:spacing w:after="0"/>
        <w:ind w:right="72"/>
      </w:pPr>
      <w:r>
        <w:t xml:space="preserve">En </w:t>
      </w:r>
      <w:r>
        <w:t xml:space="preserve">las vías de tránsito exclusivamente peatonal que no soporten ningún tipo de tránsito rodado, ni siquiera restringido, las ocupaciones con elementos accesorios de una actividad hostelera cumplirán las siguientes condiciones: </w:t>
      </w:r>
    </w:p>
    <w:p w:rsidR="00B064CF" w:rsidRDefault="00E32F70">
      <w:pPr>
        <w:numPr>
          <w:ilvl w:val="1"/>
          <w:numId w:val="113"/>
        </w:numPr>
        <w:ind w:right="146" w:hanging="360"/>
      </w:pPr>
      <w:r>
        <w:t>No se autorizará la ocupación e</w:t>
      </w:r>
      <w:r>
        <w:t>n los tramos de vías peatonales que presenten una anchura libre inferior a seis metros (6,00 m), no obstante, cuando las características y el uso del espacio recomienden otra disposición del itinerario peatonal accesible o cuando éste carezca de dicha líne</w:t>
      </w:r>
      <w:r>
        <w:t xml:space="preserve">a de fachada o referencia edificada, siempre que la orientación y el encaminamiento esté señalizado mediante una franja-guía longitudinal y éste se realice por el centro del tramo, se permitirán en vías de ancho inferior. </w:t>
      </w:r>
    </w:p>
    <w:p w:rsidR="00B064CF" w:rsidRDefault="00E32F70">
      <w:pPr>
        <w:numPr>
          <w:ilvl w:val="1"/>
          <w:numId w:val="113"/>
        </w:numPr>
        <w:spacing w:after="124"/>
        <w:ind w:right="146" w:hanging="360"/>
      </w:pPr>
      <w:r>
        <w:t>La ocupación deberá realizarse, c</w:t>
      </w:r>
      <w:r>
        <w:t xml:space="preserve">omo norma general, en el centro del tramo peatonal, debiendo respetar franjas libres de paso junto a las fachadas delimitadoras, cuya anchura mínima sea igual o superior a 2,00 m, sin perjuicio de lo expresado en el apartado anterior. </w:t>
      </w:r>
    </w:p>
    <w:p w:rsidR="00B064CF" w:rsidRDefault="00E32F70">
      <w:pPr>
        <w:spacing w:after="13" w:line="250" w:lineRule="auto"/>
        <w:ind w:left="906" w:right="687"/>
        <w:jc w:val="center"/>
      </w:pPr>
      <w:r>
        <w:rPr>
          <w:rFonts w:ascii="Calibri" w:eastAsia="Calibri" w:hAnsi="Calibri" w:cs="Calibri"/>
          <w:noProof/>
        </w:rPr>
        <mc:AlternateContent>
          <mc:Choice Requires="wpg">
            <w:drawing>
              <wp:anchor distT="0" distB="0" distL="114300" distR="114300" simplePos="0" relativeHeight="25185996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17351" name="Group 417351"/>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3834" name="Rectangle 33834"/>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w:t>
                              </w:r>
                              <w:r>
                                <w:rPr>
                                  <w:sz w:val="12"/>
                                </w:rPr>
                                <w:t xml:space="preserve">64SKSNYNJRFPNN5DLPPAAC3GS | Verificación: https://candelaria.sedelectronica.es/ </w:t>
                              </w:r>
                            </w:p>
                          </w:txbxContent>
                        </wps:txbx>
                        <wps:bodyPr horzOverflow="overflow" vert="horz" lIns="0" tIns="0" rIns="0" bIns="0" rtlCol="0">
                          <a:noAutofit/>
                        </wps:bodyPr>
                      </wps:wsp>
                      <wps:wsp>
                        <wps:cNvPr id="33835" name="Rectangle 33835"/>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193 de 298 </w:t>
                              </w:r>
                            </w:p>
                          </w:txbxContent>
                        </wps:txbx>
                        <wps:bodyPr horzOverflow="overflow" vert="horz" lIns="0" tIns="0" rIns="0" bIns="0" rtlCol="0">
                          <a:noAutofit/>
                        </wps:bodyPr>
                      </wps:wsp>
                    </wpg:wgp>
                  </a:graphicData>
                </a:graphic>
              </wp:anchor>
            </w:drawing>
          </mc:Choice>
          <mc:Fallback xmlns:a="http://schemas.openxmlformats.org/drawingml/2006/main">
            <w:pict>
              <v:group id="Group 417351" style="width:12.7031pt;height:278.91pt;position:absolute;mso-position-horizontal-relative:page;mso-position-horizontal:absolute;margin-left:682.278pt;mso-position-vertical-relative:page;margin-top:533.01pt;" coordsize="1613,35421">
                <v:rect id="Rectangle 33834"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3835"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193 de 298 </w:t>
                        </w:r>
                      </w:p>
                    </w:txbxContent>
                  </v:textbox>
                </v:rect>
                <w10:wrap type="square"/>
              </v:group>
            </w:pict>
          </mc:Fallback>
        </mc:AlternateContent>
      </w:r>
      <w:r>
        <w:t xml:space="preserve">TABLA 1. (GRÁFICO DE OCUPACIÓN ANEXO I. </w:t>
      </w:r>
    </w:p>
    <w:p w:rsidR="00B064CF" w:rsidRDefault="00E32F70">
      <w:pPr>
        <w:spacing w:after="13" w:line="250" w:lineRule="auto"/>
        <w:ind w:left="906" w:right="686"/>
        <w:jc w:val="center"/>
      </w:pPr>
      <w:r>
        <w:t xml:space="preserve">GRÁFICO 1.3.) </w:t>
      </w:r>
    </w:p>
    <w:tbl>
      <w:tblPr>
        <w:tblStyle w:val="TableGrid"/>
        <w:tblW w:w="5946" w:type="dxa"/>
        <w:tblInd w:w="2170" w:type="dxa"/>
        <w:tblCellMar>
          <w:top w:w="4" w:type="dxa"/>
          <w:left w:w="144" w:type="dxa"/>
          <w:bottom w:w="0" w:type="dxa"/>
          <w:right w:w="541" w:type="dxa"/>
        </w:tblCellMar>
        <w:tblLook w:val="04A0" w:firstRow="1" w:lastRow="0" w:firstColumn="1" w:lastColumn="0" w:noHBand="0" w:noVBand="1"/>
      </w:tblPr>
      <w:tblGrid>
        <w:gridCol w:w="3279"/>
        <w:gridCol w:w="2667"/>
      </w:tblGrid>
      <w:tr w:rsidR="00B064CF">
        <w:trPr>
          <w:trHeight w:val="758"/>
        </w:trPr>
        <w:tc>
          <w:tcPr>
            <w:tcW w:w="3279" w:type="dxa"/>
            <w:tcBorders>
              <w:top w:val="nil"/>
              <w:left w:val="nil"/>
              <w:bottom w:val="nil"/>
              <w:right w:val="nil"/>
            </w:tcBorders>
            <w:shd w:val="clear" w:color="auto" w:fill="F2F2F2"/>
          </w:tcPr>
          <w:p w:rsidR="00B064CF" w:rsidRDefault="00E32F70">
            <w:pPr>
              <w:spacing w:after="0" w:line="259" w:lineRule="auto"/>
              <w:ind w:left="247" w:firstLine="0"/>
              <w:jc w:val="left"/>
            </w:pPr>
            <w:r>
              <w:t xml:space="preserve">ANCHO MÍNIMO DE </w:t>
            </w:r>
          </w:p>
          <w:p w:rsidR="00B064CF" w:rsidRDefault="00E32F70">
            <w:pPr>
              <w:spacing w:after="0" w:line="259" w:lineRule="auto"/>
              <w:ind w:left="432" w:hanging="118"/>
            </w:pPr>
            <w:r>
              <w:t xml:space="preserve">FRANJA LIBRE DE OCUPACIÓN (A) </w:t>
            </w:r>
          </w:p>
        </w:tc>
        <w:tc>
          <w:tcPr>
            <w:tcW w:w="2667" w:type="dxa"/>
            <w:tcBorders>
              <w:top w:val="nil"/>
              <w:left w:val="nil"/>
              <w:bottom w:val="nil"/>
              <w:right w:val="nil"/>
            </w:tcBorders>
            <w:shd w:val="clear" w:color="auto" w:fill="F2F2F2"/>
            <w:vAlign w:val="center"/>
          </w:tcPr>
          <w:p w:rsidR="00B064CF" w:rsidRDefault="00E32F70">
            <w:pPr>
              <w:spacing w:after="0" w:line="259" w:lineRule="auto"/>
              <w:ind w:left="0" w:firstLine="0"/>
              <w:jc w:val="left"/>
            </w:pPr>
            <w:r>
              <w:t xml:space="preserve">ANCHO DE VÍA (B) </w:t>
            </w:r>
          </w:p>
        </w:tc>
      </w:tr>
    </w:tbl>
    <w:p w:rsidR="00B064CF" w:rsidRDefault="00E32F70">
      <w:pPr>
        <w:tabs>
          <w:tab w:val="center" w:pos="3583"/>
          <w:tab w:val="center" w:pos="6552"/>
        </w:tabs>
        <w:spacing w:after="70" w:line="250" w:lineRule="auto"/>
        <w:ind w:left="0" w:firstLine="0"/>
        <w:jc w:val="left"/>
      </w:pPr>
      <w:r>
        <w:rPr>
          <w:rFonts w:ascii="Calibri" w:eastAsia="Calibri" w:hAnsi="Calibri" w:cs="Calibri"/>
        </w:rPr>
        <w:tab/>
      </w:r>
      <w:r>
        <w:t xml:space="preserve">2,00 m </w:t>
      </w:r>
      <w:r>
        <w:tab/>
        <w:t xml:space="preserve">6,00 m ≤ a &lt; 8,00 m  </w:t>
      </w:r>
    </w:p>
    <w:p w:rsidR="00B064CF" w:rsidRDefault="00E32F70">
      <w:pPr>
        <w:tabs>
          <w:tab w:val="center" w:pos="3583"/>
          <w:tab w:val="center" w:pos="6553"/>
        </w:tabs>
        <w:spacing w:after="70" w:line="250" w:lineRule="auto"/>
        <w:ind w:left="0" w:firstLine="0"/>
        <w:jc w:val="left"/>
      </w:pPr>
      <w:r>
        <w:rPr>
          <w:rFonts w:ascii="Calibri" w:eastAsia="Calibri" w:hAnsi="Calibri" w:cs="Calibri"/>
        </w:rPr>
        <w:tab/>
      </w:r>
      <w:r>
        <w:t xml:space="preserve">2,50 m </w:t>
      </w:r>
      <w:r>
        <w:tab/>
        <w:t xml:space="preserve">8,00 m ≤ a &lt; 10,00 m  </w:t>
      </w:r>
    </w:p>
    <w:p w:rsidR="00B064CF" w:rsidRDefault="00E32F70">
      <w:pPr>
        <w:tabs>
          <w:tab w:val="center" w:pos="3583"/>
          <w:tab w:val="center" w:pos="6552"/>
        </w:tabs>
        <w:spacing w:after="65" w:line="250" w:lineRule="auto"/>
        <w:ind w:left="0" w:firstLine="0"/>
        <w:jc w:val="left"/>
      </w:pPr>
      <w:r>
        <w:rPr>
          <w:rFonts w:ascii="Calibri" w:eastAsia="Calibri" w:hAnsi="Calibri" w:cs="Calibri"/>
        </w:rPr>
        <w:tab/>
      </w:r>
      <w:r>
        <w:t xml:space="preserve">3,00 m </w:t>
      </w:r>
      <w:r>
        <w:tab/>
        <w:t xml:space="preserve">10,00 m ≤ a &lt; 12,00 m  </w:t>
      </w:r>
    </w:p>
    <w:p w:rsidR="00B064CF" w:rsidRDefault="00E32F70">
      <w:pPr>
        <w:tabs>
          <w:tab w:val="center" w:pos="3583"/>
          <w:tab w:val="center" w:pos="6553"/>
        </w:tabs>
        <w:spacing w:after="13" w:line="250" w:lineRule="auto"/>
        <w:ind w:left="0" w:firstLine="0"/>
        <w:jc w:val="left"/>
      </w:pPr>
      <w:r>
        <w:rPr>
          <w:rFonts w:ascii="Calibri" w:eastAsia="Calibri" w:hAnsi="Calibri" w:cs="Calibri"/>
        </w:rPr>
        <w:tab/>
      </w:r>
      <w:r>
        <w:t xml:space="preserve">3,50 m </w:t>
      </w:r>
      <w:r>
        <w:tab/>
        <w:t xml:space="preserve">a ≥ 12,00 m  </w:t>
      </w:r>
    </w:p>
    <w:p w:rsidR="00B064CF" w:rsidRDefault="00E32F70">
      <w:pPr>
        <w:spacing w:after="11"/>
        <w:ind w:left="1090" w:right="72"/>
      </w:pPr>
      <w:r>
        <w:t xml:space="preserve">En ningún caso, la ocupación pretendida superará el 50% del ancho del ancho de la vía. </w:t>
      </w:r>
    </w:p>
    <w:p w:rsidR="00B064CF" w:rsidRDefault="00E32F70">
      <w:pPr>
        <w:numPr>
          <w:ilvl w:val="1"/>
          <w:numId w:val="113"/>
        </w:numPr>
        <w:spacing w:after="6"/>
        <w:ind w:right="146" w:hanging="360"/>
      </w:pPr>
      <w:r>
        <w:t>En el caso de que concurran dos actividades hosteleras, que den frente a un mismo espacio de una vía peatonal y soliciten su ocupación, el ancho de la franja ocupada vinculada a cada establecimiento no podrá sobrepasar el 50% del ancho de la ocupación máx</w:t>
      </w:r>
      <w:r>
        <w:t xml:space="preserve">ima permitida para dicho tramo peatonal.  (ANEXO I. GRÁFICO 1.4.). </w:t>
      </w:r>
    </w:p>
    <w:p w:rsidR="00B064CF" w:rsidRDefault="00E32F70">
      <w:pPr>
        <w:numPr>
          <w:ilvl w:val="1"/>
          <w:numId w:val="113"/>
        </w:numPr>
        <w:ind w:right="146" w:hanging="360"/>
      </w:pPr>
      <w:r>
        <w:t xml:space="preserve">Toda ocupación respetará las condiciones, que le sean de aplicación, establecidas en el apartado 1 del presente artículo. </w:t>
      </w:r>
    </w:p>
    <w:p w:rsidR="00B064CF" w:rsidRDefault="00E32F70">
      <w:pPr>
        <w:numPr>
          <w:ilvl w:val="0"/>
          <w:numId w:val="112"/>
        </w:numPr>
        <w:spacing w:after="0"/>
        <w:ind w:right="72"/>
      </w:pPr>
      <w:r>
        <w:t>En las vías de tránsito peatonal que soporten tránsito restringid</w:t>
      </w:r>
      <w:r>
        <w:t xml:space="preserve">o de vehículos, las ocupaciones con elementos accesorios de una actividad hostelera cumplirán las siguientes condiciones: </w:t>
      </w:r>
    </w:p>
    <w:p w:rsidR="00B064CF" w:rsidRDefault="00E32F70">
      <w:pPr>
        <w:numPr>
          <w:ilvl w:val="1"/>
          <w:numId w:val="114"/>
        </w:numPr>
        <w:ind w:right="148" w:hanging="360"/>
      </w:pPr>
      <w:r>
        <w:t>Deberá respetarse una franja libre de ocupación de al menos tres metros y cincuenta centímetros (3,50 m) de ancho en toda la longitud</w:t>
      </w:r>
      <w:r>
        <w:t xml:space="preserve"> de la vía. En las vías o en los tramos de las mismas que presenten una anchura inferior a seis metros (6,00 m), el ancho de la franja podrá reducirse a tres metros (3,00 m). </w:t>
      </w:r>
    </w:p>
    <w:p w:rsidR="00B064CF" w:rsidRDefault="00E32F70">
      <w:pPr>
        <w:numPr>
          <w:ilvl w:val="1"/>
          <w:numId w:val="114"/>
        </w:numPr>
        <w:ind w:right="148" w:hanging="360"/>
      </w:pPr>
      <w:r>
        <w:t>Toda ocupación respetará las condiciones que le sean de aplicación, establecidas</w:t>
      </w:r>
      <w:r>
        <w:t xml:space="preserve"> en el apartado 1., salvo a lo referido a la letra g del apartado 1, pudiendo ser concedido para casos excepcionales. </w:t>
      </w:r>
    </w:p>
    <w:p w:rsidR="00B064CF" w:rsidRDefault="00E32F70">
      <w:pPr>
        <w:spacing w:after="0"/>
        <w:ind w:left="355" w:right="72"/>
      </w:pPr>
      <w:r>
        <w:t xml:space="preserve">Artículo 21. Señalización de los límites de las ocupaciones vinculadas a las actividades terciarias hosteleras. </w:t>
      </w:r>
    </w:p>
    <w:p w:rsidR="00B064CF" w:rsidRDefault="00E32F70">
      <w:pPr>
        <w:numPr>
          <w:ilvl w:val="0"/>
          <w:numId w:val="115"/>
        </w:numPr>
        <w:ind w:right="72" w:hanging="286"/>
      </w:pPr>
      <w:r>
        <w:t xml:space="preserve">Las licencias no se concederán por número de mesas o sillas, sino por unidades de superficie del espacio que se ha de ocupar.  </w:t>
      </w:r>
    </w:p>
    <w:p w:rsidR="00B064CF" w:rsidRDefault="00E32F70">
      <w:pPr>
        <w:numPr>
          <w:ilvl w:val="0"/>
          <w:numId w:val="115"/>
        </w:numPr>
        <w:ind w:right="72" w:hanging="286"/>
      </w:pPr>
      <w:r>
        <w:t>Al objeto de facilitar las actuaciones de control e inspección del dominio público, la persona o entidad titular de la autorizac</w:t>
      </w:r>
      <w:r>
        <w:t xml:space="preserve">ión vendrá obligada a señalizar los límites del espacio autorizado.  </w:t>
      </w:r>
    </w:p>
    <w:p w:rsidR="00B064CF" w:rsidRDefault="00E32F70">
      <w:pPr>
        <w:numPr>
          <w:ilvl w:val="0"/>
          <w:numId w:val="115"/>
        </w:numPr>
        <w:ind w:right="72" w:hanging="286"/>
      </w:pPr>
      <w:r>
        <w:t>El espacio autorizado se debe marcar en el pavimento con una línea de pintura deleble, discontinua, con una longitud máxima de 15 centímetros (0,15m) y un ancho máximo de 5 centímetros (</w:t>
      </w:r>
      <w:r>
        <w:t>0,05m). Quedarán repartidas proporcionalmente y separadas un mínimo de 3 m y un máximo de 4,5 m. La pintura será especial para pavimento de exterior, antideslizante y de color blanco, salvo que no resalte suficientemente del tono del pavimento, en cuyo cas</w:t>
      </w:r>
      <w:r>
        <w:t xml:space="preserve">o será roja. La administración podrá modificar estos parámetros para que dichas marcas tengan una mejor integración en el entorno. </w:t>
      </w:r>
    </w:p>
    <w:p w:rsidR="00B064CF" w:rsidRDefault="00E32F70">
      <w:pPr>
        <w:numPr>
          <w:ilvl w:val="0"/>
          <w:numId w:val="115"/>
        </w:numPr>
        <w:ind w:right="72" w:hanging="286"/>
      </w:pPr>
      <w:r>
        <w:t>La línea se pintará desde el límite de terraza, que corresponda por autorización/licencia, hacia el interior de la ocupación</w:t>
      </w:r>
      <w:r>
        <w:t xml:space="preserve">. </w:t>
      </w:r>
    </w:p>
    <w:p w:rsidR="00B064CF" w:rsidRDefault="00E32F70">
      <w:pPr>
        <w:numPr>
          <w:ilvl w:val="0"/>
          <w:numId w:val="115"/>
        </w:numPr>
        <w:ind w:right="72" w:hanging="286"/>
      </w:pPr>
      <w:r>
        <w:rPr>
          <w:rFonts w:ascii="Calibri" w:eastAsia="Calibri" w:hAnsi="Calibri" w:cs="Calibri"/>
          <w:noProof/>
        </w:rPr>
        <mc:AlternateContent>
          <mc:Choice Requires="wpg">
            <w:drawing>
              <wp:anchor distT="0" distB="0" distL="114300" distR="114300" simplePos="0" relativeHeight="25186099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5168" name="Group 405168"/>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3962" name="Rectangle 33962"/>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3963" name="Rectangle 33963"/>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194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5168" style="width:12.7031pt;height:278.91pt;position:absolute;mso-position-horizontal-relative:page;mso-position-horizontal:absolute;margin-left:682.278pt;mso-position-vertical-relative:page;margin-top:533.01pt;" coordsize="1613,35421">
                <v:rect id="Rectangle 33962"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3963"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194 de 298 </w:t>
                        </w:r>
                      </w:p>
                    </w:txbxContent>
                  </v:textbox>
                </v:rect>
                <w10:wrap type="square"/>
              </v:group>
            </w:pict>
          </mc:Fallback>
        </mc:AlternateContent>
      </w:r>
      <w:r>
        <w:t>La señalización sólo podrá realizarse en presencia de personal municipal con competencias para el ejercicio de las facultades de control e inspección, quienes comunicarán a la persona o entidad titular de la autorización el día y hora para llevarla a cabo,</w:t>
      </w:r>
      <w:r>
        <w:t xml:space="preserve"> levantando acta de la actuación y adoptando todas las medidas necesarias para que la señalización se ajuste estrictamente al contenido de la autorización. </w:t>
      </w:r>
    </w:p>
    <w:p w:rsidR="00B064CF" w:rsidRDefault="00E32F70">
      <w:pPr>
        <w:numPr>
          <w:ilvl w:val="0"/>
          <w:numId w:val="115"/>
        </w:numPr>
        <w:ind w:right="72" w:hanging="286"/>
      </w:pPr>
      <w:r>
        <w:t>Será obligación de la persona o entidad titular de la autorización, durante la vigencia de ésta, re</w:t>
      </w:r>
      <w:r>
        <w:t>alizar el mantenimiento de la señalización regulada en el presente artículo, debiendo proceder a su repintado o reposición, de acuerdo con las características descritas en los apartados anteriores, tantas veces como sea preciso para que los límites del esp</w:t>
      </w:r>
      <w:r>
        <w:t xml:space="preserve">acio autorizado permanezcan claramente visibles. </w:t>
      </w:r>
    </w:p>
    <w:p w:rsidR="00B064CF" w:rsidRDefault="00E32F70">
      <w:pPr>
        <w:numPr>
          <w:ilvl w:val="0"/>
          <w:numId w:val="115"/>
        </w:numPr>
        <w:ind w:right="72" w:hanging="286"/>
      </w:pPr>
      <w:r>
        <w:t xml:space="preserve">Tanto en los supuestos de revocación como de no renovación de la autorización, la persona o entidad titular vendrá obligada a eliminar las marcas de señalización de la ocupación. Subsidiariamente serán los </w:t>
      </w:r>
      <w:r>
        <w:t xml:space="preserve">servicios técnicos municipales los encargados de eliminar tales marcas, con cargo al interesado. </w:t>
      </w:r>
    </w:p>
    <w:p w:rsidR="00B064CF" w:rsidRDefault="00E32F70">
      <w:pPr>
        <w:spacing w:after="11"/>
        <w:ind w:left="355" w:right="72"/>
      </w:pPr>
      <w:r>
        <w:t xml:space="preserve">Artículo 22. Características de los elementos accesorios vinculados a las actividades hosteleras </w:t>
      </w:r>
    </w:p>
    <w:p w:rsidR="00B064CF" w:rsidRDefault="00E32F70">
      <w:pPr>
        <w:numPr>
          <w:ilvl w:val="0"/>
          <w:numId w:val="116"/>
        </w:numPr>
        <w:ind w:right="72" w:hanging="360"/>
      </w:pPr>
      <w:r>
        <w:t>Todos los elementos que se dispongan en el dominio público e</w:t>
      </w:r>
      <w:r>
        <w:t xml:space="preserve">starán diseñados e instalados de tal forma que su utilización no represente real o potencial peligro para viandantes o usuarios, debiendo cumplir las condiciones generales de ocupación descritas en el artículo 8, así como las condiciones que se señalan en </w:t>
      </w:r>
      <w:r>
        <w:t xml:space="preserve">el Anexo II. </w:t>
      </w:r>
    </w:p>
    <w:p w:rsidR="00B064CF" w:rsidRDefault="00E32F70">
      <w:pPr>
        <w:numPr>
          <w:ilvl w:val="0"/>
          <w:numId w:val="116"/>
        </w:numPr>
        <w:ind w:right="72" w:hanging="360"/>
      </w:pPr>
      <w:r>
        <w:t xml:space="preserve">El mobiliario y los elementos que se dispongan para la ocupación no podrán superar, en subsuelo, suelo ni vuelo, los límites del espacio autorizado, que debe señalizarse de conformidad con lo dispuesto en el artículo 21. </w:t>
      </w:r>
    </w:p>
    <w:p w:rsidR="00B064CF" w:rsidRDefault="00E32F70">
      <w:pPr>
        <w:numPr>
          <w:ilvl w:val="0"/>
          <w:numId w:val="116"/>
        </w:numPr>
        <w:ind w:right="72" w:hanging="360"/>
      </w:pPr>
      <w:r>
        <w:t>Las mesas y sillas d</w:t>
      </w:r>
      <w:r>
        <w:t xml:space="preserve">eberán cumplir las siguientes condiciones: </w:t>
      </w:r>
    </w:p>
    <w:p w:rsidR="00B064CF" w:rsidRDefault="00E32F70">
      <w:pPr>
        <w:numPr>
          <w:ilvl w:val="1"/>
          <w:numId w:val="122"/>
        </w:numPr>
        <w:ind w:right="72" w:hanging="360"/>
      </w:pPr>
      <w:r>
        <w:t xml:space="preserve">Todas las mesas y sillas vinculadas a un mismo establecimiento serán de idéntico modelo, color y material. </w:t>
      </w:r>
    </w:p>
    <w:p w:rsidR="00B064CF" w:rsidRDefault="00E32F70">
      <w:pPr>
        <w:numPr>
          <w:ilvl w:val="1"/>
          <w:numId w:val="122"/>
        </w:numPr>
        <w:ind w:right="72" w:hanging="360"/>
      </w:pPr>
      <w:r>
        <w:t xml:space="preserve">Podrán incluir el nombre, logotipo o razón social del establecimiento. </w:t>
      </w:r>
    </w:p>
    <w:p w:rsidR="00B064CF" w:rsidRDefault="00E32F70">
      <w:pPr>
        <w:numPr>
          <w:ilvl w:val="0"/>
          <w:numId w:val="116"/>
        </w:numPr>
        <w:ind w:right="72" w:hanging="360"/>
      </w:pPr>
      <w:r>
        <w:t>Las sombrillas cumplirán las sig</w:t>
      </w:r>
      <w:r>
        <w:t xml:space="preserve">uientes condiciones: </w:t>
      </w:r>
    </w:p>
    <w:p w:rsidR="00B064CF" w:rsidRDefault="00E32F70">
      <w:pPr>
        <w:numPr>
          <w:ilvl w:val="1"/>
          <w:numId w:val="116"/>
        </w:numPr>
        <w:ind w:right="72" w:hanging="360"/>
      </w:pPr>
      <w:r>
        <w:t xml:space="preserve">Se deberán disponer sobre bases y soportes que garanticen su estabilidad y eviten vuelcos o caídas. </w:t>
      </w:r>
    </w:p>
    <w:p w:rsidR="00B064CF" w:rsidRDefault="00E32F70">
      <w:pPr>
        <w:numPr>
          <w:ilvl w:val="1"/>
          <w:numId w:val="116"/>
        </w:numPr>
        <w:ind w:right="72" w:hanging="360"/>
      </w:pPr>
      <w:r>
        <w:t>Cuando no afecten a elementos catalogados o no se dispongan en ámbitos declarados como BIC, podrán contar con sistemas de sujeción ma</w:t>
      </w:r>
      <w:r>
        <w:t xml:space="preserve">chihembrada o similar, siempre que:  </w:t>
      </w:r>
    </w:p>
    <w:p w:rsidR="00B064CF" w:rsidRDefault="00E32F70">
      <w:pPr>
        <w:tabs>
          <w:tab w:val="center" w:pos="1161"/>
          <w:tab w:val="center" w:pos="4801"/>
        </w:tabs>
        <w:spacing w:after="146"/>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 xml:space="preserve">No afecten a los servicios e instalaciones existentes en el subsuelo. </w:t>
      </w:r>
    </w:p>
    <w:p w:rsidR="00B064CF" w:rsidRDefault="00E32F70">
      <w:pPr>
        <w:tabs>
          <w:tab w:val="center" w:pos="1161"/>
          <w:tab w:val="center" w:pos="3585"/>
        </w:tabs>
        <w:spacing w:after="143"/>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 xml:space="preserve">No se ubiquen sobre cubiertas de sótanos. </w:t>
      </w:r>
    </w:p>
    <w:p w:rsidR="00B064CF" w:rsidRDefault="00E32F70">
      <w:pPr>
        <w:ind w:left="1493" w:right="148" w:hanging="360"/>
      </w:pPr>
      <w:r>
        <w:rPr>
          <w:rFonts w:ascii="Segoe UI Symbol" w:eastAsia="Segoe UI Symbol" w:hAnsi="Segoe UI Symbol" w:cs="Segoe UI Symbol"/>
        </w:rPr>
        <w:t></w:t>
      </w:r>
      <w:r>
        <w:t xml:space="preserve"> </w:t>
      </w:r>
      <w:r>
        <w:t xml:space="preserve">No sobresalgan de la rasante del pavimento elementos ni partes de su mecanismo, una vez retiradas los elementos a colocar, debiendo asegurar su continuidad y la inexistencia de resaltes.  </w:t>
      </w:r>
    </w:p>
    <w:p w:rsidR="00B064CF" w:rsidRDefault="00E32F70">
      <w:pPr>
        <w:ind w:left="1493" w:right="72" w:hanging="360"/>
      </w:pPr>
      <w:r>
        <w:rPr>
          <w:rFonts w:ascii="Calibri" w:eastAsia="Calibri" w:hAnsi="Calibri" w:cs="Calibri"/>
          <w:noProof/>
        </w:rPr>
        <mc:AlternateContent>
          <mc:Choice Requires="wpg">
            <w:drawing>
              <wp:anchor distT="0" distB="0" distL="114300" distR="114300" simplePos="0" relativeHeight="25186201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4769" name="Group 404769"/>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4079" name="Rectangle 34079"/>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64SKSNYNJRFPNN5DLPPAAC3GS | Verificación: https</w:t>
                              </w:r>
                              <w:r>
                                <w:rPr>
                                  <w:sz w:val="12"/>
                                </w:rPr>
                                <w:t xml:space="preserve">://candelaria.sedelectronica.es/ </w:t>
                              </w:r>
                            </w:p>
                          </w:txbxContent>
                        </wps:txbx>
                        <wps:bodyPr horzOverflow="overflow" vert="horz" lIns="0" tIns="0" rIns="0" bIns="0" rtlCol="0">
                          <a:noAutofit/>
                        </wps:bodyPr>
                      </wps:wsp>
                      <wps:wsp>
                        <wps:cNvPr id="34080" name="Rectangle 34080"/>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195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4769" style="width:12.7031pt;height:278.91pt;position:absolute;mso-position-horizontal-relative:page;mso-position-horizontal:absolute;margin-left:682.278pt;mso-position-vertical-relative:page;margin-top:533.01pt;" coordsize="1613,35421">
                <v:rect id="Rectangle 34079"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4080"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195 de 298 </w:t>
                        </w:r>
                      </w:p>
                    </w:txbxContent>
                  </v:textbox>
                </v:rect>
                <w10:wrap type="square"/>
              </v:group>
            </w:pict>
          </mc:Fallback>
        </mc:AlternateContent>
      </w:r>
      <w:r>
        <w:rPr>
          <w:rFonts w:ascii="Segoe UI Symbol" w:eastAsia="Segoe UI Symbol" w:hAnsi="Segoe UI Symbol" w:cs="Segoe UI Symbol"/>
        </w:rPr>
        <w:t></w:t>
      </w:r>
      <w:r>
        <w:t xml:space="preserve"> </w:t>
      </w:r>
      <w:r>
        <w:tab/>
        <w:t xml:space="preserve">No se generen orificios abiertos en el pavimento, ya sea con los elementos retirados o colocados.  </w:t>
      </w:r>
    </w:p>
    <w:p w:rsidR="00B064CF" w:rsidRDefault="00E32F70">
      <w:pPr>
        <w:spacing w:after="0"/>
        <w:ind w:left="1078" w:right="72"/>
      </w:pPr>
      <w:r>
        <w:t>Se podrá denegar dicha</w:t>
      </w:r>
      <w:r>
        <w:t xml:space="preserve"> instalación en el caso de concurrir cualquier circunstancia que no aconseje la implantación de la misma. </w:t>
      </w:r>
    </w:p>
    <w:p w:rsidR="00B064CF" w:rsidRDefault="00E32F70">
      <w:pPr>
        <w:numPr>
          <w:ilvl w:val="1"/>
          <w:numId w:val="116"/>
        </w:numPr>
        <w:ind w:right="72" w:hanging="360"/>
      </w:pPr>
      <w:r>
        <w:t>La altura libre mínima será de dos metros y veinte centímetros (2,20 m), y su altura máxima, como norma general, será de 3,00 m, medidos desde el sue</w:t>
      </w:r>
      <w:r>
        <w:t xml:space="preserve">lo a su parte superior, salvo que las condiciones arquitectónicas específicas de las edificaciones requieran otros condicionantes para su instalación.  </w:t>
      </w:r>
    </w:p>
    <w:p w:rsidR="00B064CF" w:rsidRDefault="00E32F70">
      <w:pPr>
        <w:numPr>
          <w:ilvl w:val="1"/>
          <w:numId w:val="116"/>
        </w:numPr>
        <w:ind w:right="72" w:hanging="360"/>
      </w:pPr>
      <w:r>
        <w:t xml:space="preserve">Todas las sombrillas vinculadas a un mismo establecimiento serán de idéntico modelo, color y material. </w:t>
      </w:r>
    </w:p>
    <w:p w:rsidR="00B064CF" w:rsidRDefault="00E32F70">
      <w:pPr>
        <w:numPr>
          <w:ilvl w:val="1"/>
          <w:numId w:val="116"/>
        </w:numPr>
        <w:ind w:right="72" w:hanging="360"/>
      </w:pPr>
      <w:r>
        <w:t xml:space="preserve">Podrán incluir, únicamente en los faldones o en la parte más baja de la sombrilla, el nombre, logotipo o razón social del establecimiento.  </w:t>
      </w:r>
    </w:p>
    <w:p w:rsidR="00B064CF" w:rsidRDefault="00E32F70">
      <w:pPr>
        <w:numPr>
          <w:ilvl w:val="0"/>
          <w:numId w:val="116"/>
        </w:numPr>
        <w:spacing w:after="278"/>
        <w:ind w:right="72" w:hanging="360"/>
      </w:pPr>
      <w:r>
        <w:t xml:space="preserve">Los cenadores cumplirán las siguientes condiciones:  </w:t>
      </w:r>
    </w:p>
    <w:p w:rsidR="00B064CF" w:rsidRDefault="00E32F70">
      <w:pPr>
        <w:numPr>
          <w:ilvl w:val="1"/>
          <w:numId w:val="118"/>
        </w:numPr>
        <w:spacing w:after="275"/>
        <w:ind w:right="144" w:hanging="360"/>
      </w:pPr>
      <w:r>
        <w:t>Se deberán disponer sobre bases y soportes que garanticen su</w:t>
      </w:r>
      <w:r>
        <w:t xml:space="preserve"> estabilidad y eviten vuelcos o caídas. </w:t>
      </w:r>
    </w:p>
    <w:p w:rsidR="00B064CF" w:rsidRDefault="00E32F70">
      <w:pPr>
        <w:numPr>
          <w:ilvl w:val="1"/>
          <w:numId w:val="118"/>
        </w:numPr>
        <w:spacing w:after="277"/>
        <w:ind w:right="144" w:hanging="360"/>
      </w:pPr>
      <w:r>
        <w:t xml:space="preserve">Cuando no afecten a elementos catalogados o no se dispongan en ámbitos declarados como BIC, podrán contar con sistemas de sujeción machihembrada o similar, siempre que se ajusten a las condiciones descritas en el apartado 4.b. </w:t>
      </w:r>
    </w:p>
    <w:p w:rsidR="00B064CF" w:rsidRDefault="00E32F70">
      <w:pPr>
        <w:numPr>
          <w:ilvl w:val="1"/>
          <w:numId w:val="118"/>
        </w:numPr>
        <w:ind w:right="144" w:hanging="360"/>
      </w:pPr>
      <w:r>
        <w:t>Las estructuras serán desmon</w:t>
      </w:r>
      <w:r>
        <w:t xml:space="preserve">tables, instaladas sin elaboración de materiales in situ ni empleo de soldaduras, pudiendo ser desmanteladas sin operaciones de demolición. </w:t>
      </w:r>
    </w:p>
    <w:p w:rsidR="00B064CF" w:rsidRDefault="00E32F70">
      <w:pPr>
        <w:numPr>
          <w:ilvl w:val="1"/>
          <w:numId w:val="118"/>
        </w:numPr>
        <w:spacing w:after="277"/>
        <w:ind w:right="144" w:hanging="360"/>
      </w:pPr>
      <w:r>
        <w:t>La altura libre mínima será de dos metros y veinte centímetros (2,20 m), y su altura máxima, como normal general, s</w:t>
      </w:r>
      <w:r>
        <w:t xml:space="preserve">erá de 3,00 m, medidos desde el suelo a su parte superior, salvo que las condiciones arquitectónicas específicas de las edificaciones requieran otros condicionantes para su instalación. </w:t>
      </w:r>
    </w:p>
    <w:p w:rsidR="00B064CF" w:rsidRDefault="00E32F70">
      <w:pPr>
        <w:numPr>
          <w:ilvl w:val="1"/>
          <w:numId w:val="118"/>
        </w:numPr>
        <w:spacing w:after="279"/>
        <w:ind w:right="144" w:hanging="360"/>
      </w:pPr>
      <w:r>
        <w:t>Como normal general, no podrán ubicarse a menos de dos metros (2,00 m</w:t>
      </w:r>
      <w:r>
        <w:t xml:space="preserve">) de distancia de cualquier fachada o cuerpo volado, sin perjuicio de que se exija otra distancia mayor, o bien, se aconseje adosarla a linderos o fachada, en la normativa que le sea de aplicación. </w:t>
      </w:r>
    </w:p>
    <w:p w:rsidR="00B064CF" w:rsidRDefault="00E32F70">
      <w:pPr>
        <w:numPr>
          <w:ilvl w:val="1"/>
          <w:numId w:val="118"/>
        </w:numPr>
        <w:spacing w:after="210"/>
        <w:ind w:right="144" w:hanging="360"/>
      </w:pPr>
      <w:r>
        <w:t xml:space="preserve">Deberán ser instalados por empresa especializada que garantice su estabilidad y seguridad.  </w:t>
      </w:r>
    </w:p>
    <w:p w:rsidR="00B064CF" w:rsidRDefault="00E32F70">
      <w:pPr>
        <w:numPr>
          <w:ilvl w:val="1"/>
          <w:numId w:val="118"/>
        </w:numPr>
        <w:ind w:right="144" w:hanging="360"/>
      </w:pPr>
      <w:r>
        <w:t>Podrán tener cerramientos verticales como máximo en tres caras, debiendo quedar siempre abierta la cara que enfrenta con el establecimiento. Dichos cerramientos se</w:t>
      </w:r>
      <w:r>
        <w:t xml:space="preserve">rán enrollables y flexibles, no permitiéndose ningún cerramiento de carácter fijo. Al menos el 50% de la superficie de los cerramientos será transparente.   </w:t>
      </w:r>
    </w:p>
    <w:p w:rsidR="00B064CF" w:rsidRDefault="00E32F70">
      <w:pPr>
        <w:numPr>
          <w:ilvl w:val="0"/>
          <w:numId w:val="116"/>
        </w:numPr>
        <w:ind w:right="72" w:hanging="360"/>
      </w:pPr>
      <w:r>
        <w:t xml:space="preserve">Los toldos deberán cumplir las siguientes condiciones: </w:t>
      </w:r>
    </w:p>
    <w:p w:rsidR="00B064CF" w:rsidRDefault="00E32F70">
      <w:pPr>
        <w:numPr>
          <w:ilvl w:val="1"/>
          <w:numId w:val="119"/>
        </w:numPr>
        <w:ind w:right="72" w:hanging="360"/>
      </w:pPr>
      <w:r>
        <w:t>Sólo serán autorizados los toldos retrácti</w:t>
      </w:r>
      <w:r>
        <w:t xml:space="preserve">les e idénticos, adosados a fachada,  </w:t>
      </w:r>
    </w:p>
    <w:p w:rsidR="00B064CF" w:rsidRDefault="00E32F70">
      <w:pPr>
        <w:numPr>
          <w:ilvl w:val="1"/>
          <w:numId w:val="119"/>
        </w:numPr>
        <w:ind w:right="72" w:hanging="360"/>
      </w:pPr>
      <w:r>
        <w:t>Se permitirá únicamente para las actividades hosteleras, la instalación de los mismos, mediante puntos de fijación en la acera, perfectamente enrasados, que serán retirados a la hora de cierre, debiendo cumplir las co</w:t>
      </w:r>
      <w:r>
        <w:t xml:space="preserve">ndiciones establecidas en el apartado 4.b. </w:t>
      </w:r>
    </w:p>
    <w:p w:rsidR="00B064CF" w:rsidRDefault="00E32F70">
      <w:pPr>
        <w:numPr>
          <w:ilvl w:val="1"/>
          <w:numId w:val="119"/>
        </w:numPr>
        <w:ind w:right="72" w:hanging="360"/>
      </w:pPr>
      <w:r>
        <w:rPr>
          <w:rFonts w:ascii="Calibri" w:eastAsia="Calibri" w:hAnsi="Calibri" w:cs="Calibri"/>
          <w:noProof/>
        </w:rPr>
        <mc:AlternateContent>
          <mc:Choice Requires="wpg">
            <w:drawing>
              <wp:anchor distT="0" distB="0" distL="114300" distR="114300" simplePos="0" relativeHeight="25186304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5584" name="Group 405584"/>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4195" name="Rectangle 34195"/>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4196" name="Rectangle 34196"/>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196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5584" style="width:12.7031pt;height:278.91pt;position:absolute;mso-position-horizontal-relative:page;mso-position-horizontal:absolute;margin-left:682.278pt;mso-position-vertical-relative:page;margin-top:533.01pt;" coordsize="1613,35421">
                <v:rect id="Rectangle 34195"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4196"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196 de 298 </w:t>
                        </w:r>
                      </w:p>
                    </w:txbxContent>
                  </v:textbox>
                </v:rect>
                <w10:wrap type="square"/>
              </v:group>
            </w:pict>
          </mc:Fallback>
        </mc:AlternateContent>
      </w:r>
      <w:r>
        <w:t>Sólo serán aut</w:t>
      </w:r>
      <w:r>
        <w:t xml:space="preserve">orizados si la franja de suelo ocupada es contigua a la fachada de anclaje. </w:t>
      </w:r>
    </w:p>
    <w:p w:rsidR="00B064CF" w:rsidRDefault="00E32F70">
      <w:pPr>
        <w:numPr>
          <w:ilvl w:val="1"/>
          <w:numId w:val="119"/>
        </w:numPr>
        <w:ind w:right="72" w:hanging="360"/>
      </w:pPr>
      <w:r>
        <w:t xml:space="preserve">Los toldos desplegados no podrán sobrepasar los límites del espacio de ocupación autorizado y deberán respetar, en todo caso, el arbolado o instalaciones existentes. </w:t>
      </w:r>
    </w:p>
    <w:p w:rsidR="00B064CF" w:rsidRDefault="00E32F70">
      <w:pPr>
        <w:numPr>
          <w:ilvl w:val="1"/>
          <w:numId w:val="119"/>
        </w:numPr>
        <w:ind w:right="72" w:hanging="360"/>
      </w:pPr>
      <w:r>
        <w:t>Los toldos recogidos no podrán volar más de cincuenta centímetros (0,50 m) del plano de fachada y dejarán una altura libre mínima de tres metros (3,00 m) sobre la rasante de la acera o espacio peatonal, salvo que las condiciones arquitectónicas específicas</w:t>
      </w:r>
      <w:r>
        <w:t xml:space="preserve"> de las edificaciones requieran otros condicionantes para su instalación. </w:t>
      </w:r>
    </w:p>
    <w:p w:rsidR="00B064CF" w:rsidRDefault="00E32F70">
      <w:pPr>
        <w:numPr>
          <w:ilvl w:val="1"/>
          <w:numId w:val="119"/>
        </w:numPr>
        <w:ind w:right="72" w:hanging="360"/>
      </w:pPr>
      <w:r>
        <w:t>Se situarán a una altura no inferior a dos metros y veinte centímetros (2,20 m) sobre la rasante de la acera o espacio peatonal, medida en el punto más bajo del toldo e incluyendo t</w:t>
      </w:r>
      <w:r>
        <w:t xml:space="preserve">odos los componentes del mismo.  </w:t>
      </w:r>
    </w:p>
    <w:p w:rsidR="00B064CF" w:rsidRDefault="00E32F70">
      <w:pPr>
        <w:numPr>
          <w:ilvl w:val="1"/>
          <w:numId w:val="119"/>
        </w:numPr>
        <w:ind w:right="72" w:hanging="360"/>
      </w:pPr>
      <w:r>
        <w:t xml:space="preserve">Todos los toldos vinculados a un mismo establecimiento serán de idéntico modelo, color y material.   </w:t>
      </w:r>
    </w:p>
    <w:p w:rsidR="00B064CF" w:rsidRDefault="00E32F70">
      <w:pPr>
        <w:numPr>
          <w:ilvl w:val="1"/>
          <w:numId w:val="119"/>
        </w:numPr>
        <w:ind w:right="72" w:hanging="360"/>
      </w:pPr>
      <w:r>
        <w:t xml:space="preserve">Podrán incluir el nombre, logotipo o razón social del establecimiento.  </w:t>
      </w:r>
    </w:p>
    <w:p w:rsidR="00B064CF" w:rsidRDefault="00E32F70">
      <w:pPr>
        <w:numPr>
          <w:ilvl w:val="1"/>
          <w:numId w:val="119"/>
        </w:numPr>
        <w:ind w:right="72" w:hanging="360"/>
      </w:pPr>
      <w:r>
        <w:t>Deberán ser instalados por empresa especializad</w:t>
      </w:r>
      <w:r>
        <w:t xml:space="preserve">a que garantice su estabilidad y seguridad.  </w:t>
      </w:r>
    </w:p>
    <w:p w:rsidR="00B064CF" w:rsidRDefault="00E32F70">
      <w:pPr>
        <w:numPr>
          <w:ilvl w:val="0"/>
          <w:numId w:val="116"/>
        </w:numPr>
        <w:spacing w:after="274"/>
        <w:ind w:right="72" w:hanging="360"/>
      </w:pPr>
      <w:r>
        <w:t xml:space="preserve">Las mamparas cumplirán las siguientes condiciones: </w:t>
      </w:r>
    </w:p>
    <w:p w:rsidR="00B064CF" w:rsidRDefault="00E32F70">
      <w:pPr>
        <w:numPr>
          <w:ilvl w:val="1"/>
          <w:numId w:val="117"/>
        </w:numPr>
        <w:ind w:right="72" w:hanging="406"/>
      </w:pPr>
      <w:r>
        <w:t xml:space="preserve">Se deberán disponer sobre bases y soportes que garanticen su estabilidad y eviten vuelcos y caídas. No se admitirá ningún tipo de anclaje al suelo. </w:t>
      </w:r>
    </w:p>
    <w:p w:rsidR="00B064CF" w:rsidRDefault="00E32F70">
      <w:pPr>
        <w:numPr>
          <w:ilvl w:val="1"/>
          <w:numId w:val="117"/>
        </w:numPr>
        <w:spacing w:after="278"/>
        <w:ind w:right="72" w:hanging="406"/>
      </w:pPr>
      <w:r>
        <w:t>Podrán co</w:t>
      </w:r>
      <w:r>
        <w:t>ntar con partes ciegas, traslúcidas o transparentes. En este último caso se deberán incorporar elementos que garanticen su detección, debiendo ajustarse a las condiciones en materia de accesibilidad que le sean de aplicación. Estas regulaciones de señaliza</w:t>
      </w:r>
      <w:r>
        <w:t xml:space="preserve">ción se podrán obviar cuando la superficie vidriada contenga otros elementos informativos que garanticen suficientemente su detección o si existe mobiliario detectable a todo lo largo de dichas superficies. </w:t>
      </w:r>
    </w:p>
    <w:p w:rsidR="00B064CF" w:rsidRDefault="00E32F70">
      <w:pPr>
        <w:numPr>
          <w:ilvl w:val="1"/>
          <w:numId w:val="117"/>
        </w:numPr>
        <w:spacing w:after="275"/>
        <w:ind w:right="72" w:hanging="406"/>
      </w:pPr>
      <w:r>
        <w:t>La parte ciega no podrá superar los noventa cent</w:t>
      </w:r>
      <w:r>
        <w:t xml:space="preserve">ímetros (0,90 m) de altura medidos desde la rasante del pavimento, debiendo resolverse el resto con material traslúcido o transparente. </w:t>
      </w:r>
    </w:p>
    <w:p w:rsidR="00B064CF" w:rsidRDefault="00E32F70">
      <w:pPr>
        <w:numPr>
          <w:ilvl w:val="1"/>
          <w:numId w:val="117"/>
        </w:numPr>
        <w:spacing w:after="276"/>
        <w:ind w:right="72" w:hanging="406"/>
      </w:pPr>
      <w:r>
        <w:t xml:space="preserve">La altura total no será inferior a noventa centímetros (0,90 m) ni superior a ciento cincuenta centímetros (1,50 m).  </w:t>
      </w:r>
    </w:p>
    <w:p w:rsidR="00B064CF" w:rsidRDefault="00E32F70">
      <w:pPr>
        <w:numPr>
          <w:ilvl w:val="1"/>
          <w:numId w:val="117"/>
        </w:numPr>
        <w:ind w:right="72" w:hanging="406"/>
      </w:pPr>
      <w:r>
        <w:t xml:space="preserve">Todas las mamparas vinculadas a un mismo establecimiento serán de idéntico modelo, color y material.  </w:t>
      </w:r>
    </w:p>
    <w:p w:rsidR="00B064CF" w:rsidRDefault="00E32F70">
      <w:pPr>
        <w:numPr>
          <w:ilvl w:val="0"/>
          <w:numId w:val="116"/>
        </w:numPr>
        <w:ind w:right="72" w:hanging="360"/>
      </w:pPr>
      <w:r>
        <w:t xml:space="preserve">Los rótulos vinculados a las actividades de hostelería cumplirán las siguientes condiciones:  </w:t>
      </w:r>
    </w:p>
    <w:p w:rsidR="00B064CF" w:rsidRDefault="00E32F70">
      <w:pPr>
        <w:numPr>
          <w:ilvl w:val="1"/>
          <w:numId w:val="116"/>
        </w:numPr>
        <w:ind w:right="72" w:hanging="360"/>
      </w:pPr>
      <w:r>
        <w:t>Contendrán sólo la denominación de la actividad a la que s</w:t>
      </w:r>
      <w:r>
        <w:t xml:space="preserve">e vinculan. </w:t>
      </w:r>
    </w:p>
    <w:p w:rsidR="00B064CF" w:rsidRDefault="00E32F70">
      <w:pPr>
        <w:numPr>
          <w:ilvl w:val="1"/>
          <w:numId w:val="116"/>
        </w:numPr>
        <w:ind w:right="72" w:hanging="360"/>
      </w:pPr>
      <w:r>
        <w:t xml:space="preserve">No podrán extenderse, ni vertical ni horizontalmente, fuera de los límites de la fachada del establecimiento al que se vinculan. </w:t>
      </w:r>
    </w:p>
    <w:p w:rsidR="00B064CF" w:rsidRDefault="00E32F70">
      <w:pPr>
        <w:numPr>
          <w:ilvl w:val="1"/>
          <w:numId w:val="116"/>
        </w:numPr>
        <w:ind w:right="72" w:hanging="360"/>
      </w:pPr>
      <w:r>
        <w:rPr>
          <w:rFonts w:ascii="Calibri" w:eastAsia="Calibri" w:hAnsi="Calibri" w:cs="Calibri"/>
          <w:noProof/>
        </w:rPr>
        <mc:AlternateContent>
          <mc:Choice Requires="wpg">
            <w:drawing>
              <wp:anchor distT="0" distB="0" distL="114300" distR="114300" simplePos="0" relativeHeight="25186406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5662" name="Group 405662"/>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4308" name="Rectangle 34308"/>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4309" name="Rectangle 34309"/>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197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5662" style="width:12.7031pt;height:278.91pt;position:absolute;mso-position-horizontal-relative:page;mso-position-horizontal:absolute;margin-left:682.278pt;mso-position-vertical-relative:page;margin-top:533.01pt;" coordsize="1613,35421">
                <v:rect id="Rectangle 34308"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4309"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197 de 298 </w:t>
                        </w:r>
                      </w:p>
                    </w:txbxContent>
                  </v:textbox>
                </v:rect>
                <w10:wrap type="square"/>
              </v:group>
            </w:pict>
          </mc:Fallback>
        </mc:AlternateContent>
      </w:r>
      <w:r>
        <w:t>Los rótulos adosados a fachada deberán ajustarse a las condiciones técnicas y estéticas referidas en la normativa urbanística vigente, manteniendo una altura lib</w:t>
      </w:r>
      <w:r>
        <w:t xml:space="preserve">re no inferior a dos metros y veinte centímetros (2,20 m) sobre la rasante del espacio público, salvo que las condiciones arquitectónicas específicas de las edificaciones requieran otros condicionantes para su instalación. </w:t>
      </w:r>
    </w:p>
    <w:p w:rsidR="00B064CF" w:rsidRDefault="00E32F70">
      <w:pPr>
        <w:numPr>
          <w:ilvl w:val="1"/>
          <w:numId w:val="116"/>
        </w:numPr>
        <w:ind w:right="72" w:hanging="360"/>
      </w:pPr>
      <w:r>
        <w:t>No se permiten los rótulos en ba</w:t>
      </w:r>
      <w:r>
        <w:t xml:space="preserve">ndera.  </w:t>
      </w:r>
    </w:p>
    <w:p w:rsidR="00B064CF" w:rsidRDefault="00E32F70">
      <w:pPr>
        <w:numPr>
          <w:ilvl w:val="1"/>
          <w:numId w:val="116"/>
        </w:numPr>
        <w:ind w:right="72" w:hanging="360"/>
      </w:pPr>
      <w:r>
        <w:t xml:space="preserve">No se autorizarán en tramos de vías que presenten una anchura igual o inferior a cinco metros (5,00 m), salvo que el rótulo se disponga adosado y con un vuelo no superior a cinco centímetros (0,05 m).  </w:t>
      </w:r>
    </w:p>
    <w:p w:rsidR="00B064CF" w:rsidRDefault="00E32F70">
      <w:pPr>
        <w:numPr>
          <w:ilvl w:val="1"/>
          <w:numId w:val="116"/>
        </w:numPr>
        <w:ind w:right="72" w:hanging="360"/>
      </w:pPr>
      <w:r>
        <w:t>Deberán ser instalados por empresa especiali</w:t>
      </w:r>
      <w:r>
        <w:t xml:space="preserve">zada que garantice su estabilidad y seguridad.   </w:t>
      </w:r>
    </w:p>
    <w:p w:rsidR="00B064CF" w:rsidRDefault="00E32F70">
      <w:pPr>
        <w:numPr>
          <w:ilvl w:val="0"/>
          <w:numId w:val="116"/>
        </w:numPr>
        <w:ind w:right="72" w:hanging="360"/>
      </w:pPr>
      <w:r>
        <w:t xml:space="preserve">Los maceteros o jardineras vinculadas a las actividades de hostelería cumplirán las siguientes condiciones:  </w:t>
      </w:r>
    </w:p>
    <w:p w:rsidR="00B064CF" w:rsidRDefault="00E32F70">
      <w:pPr>
        <w:numPr>
          <w:ilvl w:val="1"/>
          <w:numId w:val="120"/>
        </w:numPr>
        <w:ind w:right="72" w:hanging="360"/>
      </w:pPr>
      <w:r>
        <w:t>Tendrán que disponer de una base y características que aseguren su estabilidad y solidez en caso</w:t>
      </w:r>
      <w:r>
        <w:t xml:space="preserve"> de viento o contacto accidental de los peatones. </w:t>
      </w:r>
    </w:p>
    <w:p w:rsidR="00B064CF" w:rsidRDefault="00E32F70">
      <w:pPr>
        <w:numPr>
          <w:ilvl w:val="1"/>
          <w:numId w:val="120"/>
        </w:numPr>
        <w:ind w:right="72" w:hanging="360"/>
      </w:pPr>
      <w:r>
        <w:t xml:space="preserve">No podrán superar unas dimensiones máximas, incluyendo la especie vegetal plantada, de un metro y cincuenta centímetros (1,50 m) de altura.  </w:t>
      </w:r>
    </w:p>
    <w:p w:rsidR="00B064CF" w:rsidRDefault="00E32F70">
      <w:pPr>
        <w:numPr>
          <w:ilvl w:val="1"/>
          <w:numId w:val="120"/>
        </w:numPr>
        <w:ind w:right="72" w:hanging="360"/>
      </w:pPr>
      <w:r>
        <w:t>El Ayuntamiento podrá exigir que los maceteros, jardineras o pl</w:t>
      </w:r>
      <w:r>
        <w:t xml:space="preserve">antas se ajusten a un modelo determinado en función del lugar donde se tengan que ubicar, para una mejor armonización con el entorno. </w:t>
      </w:r>
    </w:p>
    <w:p w:rsidR="00B064CF" w:rsidRDefault="00E32F70">
      <w:pPr>
        <w:numPr>
          <w:ilvl w:val="0"/>
          <w:numId w:val="116"/>
        </w:numPr>
        <w:ind w:right="72" w:hanging="360"/>
      </w:pPr>
      <w:r>
        <w:t xml:space="preserve">Las plataformas o parklets vinculadas a las actividades de hostelería cumplirán las siguientes condiciones: </w:t>
      </w:r>
    </w:p>
    <w:p w:rsidR="00B064CF" w:rsidRDefault="00E32F70">
      <w:pPr>
        <w:numPr>
          <w:ilvl w:val="1"/>
          <w:numId w:val="121"/>
        </w:numPr>
        <w:ind w:right="72" w:hanging="360"/>
      </w:pPr>
      <w:r>
        <w:t>Deberá prese</w:t>
      </w:r>
      <w:r>
        <w:t xml:space="preserve">ntarse certificado técnico que acredite la estabilidad y seguridad estructural de la instalación, suscrito por personal técnico competente. </w:t>
      </w:r>
    </w:p>
    <w:p w:rsidR="00B064CF" w:rsidRDefault="00E32F70">
      <w:pPr>
        <w:numPr>
          <w:ilvl w:val="1"/>
          <w:numId w:val="121"/>
        </w:numPr>
        <w:ind w:right="72" w:hanging="360"/>
      </w:pPr>
      <w:r>
        <w:t>Se autorizará su colocación en las calzadas, ocupando plazas de estacionamiento, siempre que la instalación se real</w:t>
      </w:r>
      <w:r>
        <w:t xml:space="preserve">ice al mismo nivel de la acera, sin que exista resalte entre ambos pavimentos. El material predominante será la madera y elementos vegetales. </w:t>
      </w:r>
    </w:p>
    <w:p w:rsidR="00B064CF" w:rsidRDefault="00E32F70">
      <w:pPr>
        <w:numPr>
          <w:ilvl w:val="1"/>
          <w:numId w:val="121"/>
        </w:numPr>
        <w:ind w:right="72" w:hanging="360"/>
      </w:pPr>
      <w:r>
        <w:t xml:space="preserve">Las uniones o juntas del pavimento deberán estar totalmente selladas para evitar que los restos de comida puedan </w:t>
      </w:r>
      <w:r>
        <w:t xml:space="preserve">depositarse bajo la plataforma, evitando así la aparición de plagas. </w:t>
      </w:r>
    </w:p>
    <w:p w:rsidR="00B064CF" w:rsidRDefault="00E32F70">
      <w:pPr>
        <w:numPr>
          <w:ilvl w:val="1"/>
          <w:numId w:val="121"/>
        </w:numPr>
        <w:ind w:right="72" w:hanging="360"/>
      </w:pPr>
      <w:r>
        <w:t>Tarima de madera como pavimento y estructura metálica desmontable como soporte estructural, que permita el paso de aguas pluviales y aguas resultantes del baldeo de las calles. Por lo ta</w:t>
      </w:r>
      <w:r>
        <w:t xml:space="preserve">nto, se evitará colocar cualquier cerramiento en el perímetro que dificulte el paso del agua. </w:t>
      </w:r>
    </w:p>
    <w:p w:rsidR="00B064CF" w:rsidRDefault="00E32F70">
      <w:pPr>
        <w:numPr>
          <w:ilvl w:val="1"/>
          <w:numId w:val="121"/>
        </w:numPr>
        <w:ind w:right="72" w:hanging="360"/>
      </w:pPr>
      <w:r>
        <w:t xml:space="preserve">Protección perimetral contra incidencias de tráfico, con vallado de seguridad que garantice la protección y seguridad de los ocupantes de la misma. Se permitirá </w:t>
      </w:r>
      <w:r>
        <w:t xml:space="preserve">la adición de elementos vegetales, siempre que no supongan una reducción de las condiciones de seguridad. Cada tramo del vallado tendrá una longitud máxima no superior a la del armazón, siendo la unión entre dichos tramos fácilmente desmontables. </w:t>
      </w:r>
    </w:p>
    <w:p w:rsidR="00B064CF" w:rsidRDefault="00E32F70">
      <w:pPr>
        <w:numPr>
          <w:ilvl w:val="1"/>
          <w:numId w:val="121"/>
        </w:numPr>
        <w:ind w:right="72" w:hanging="360"/>
      </w:pPr>
      <w:r>
        <w:rPr>
          <w:rFonts w:ascii="Calibri" w:eastAsia="Calibri" w:hAnsi="Calibri" w:cs="Calibri"/>
          <w:noProof/>
        </w:rPr>
        <mc:AlternateContent>
          <mc:Choice Requires="wpg">
            <w:drawing>
              <wp:anchor distT="0" distB="0" distL="114300" distR="114300" simplePos="0" relativeHeight="25186508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5745" name="Group 405745"/>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4421" name="Rectangle 34421"/>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4422" name="Rectangle 34422"/>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198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5745" style="width:12.7031pt;height:278.91pt;position:absolute;mso-position-horizontal-relative:page;mso-position-horizontal:absolute;margin-left:682.278pt;mso-position-vertical-relative:page;margin-top:533.01pt;" coordsize="1613,35421">
                <v:rect id="Rectangle 34421"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4422"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198 de 298 </w:t>
                        </w:r>
                      </w:p>
                    </w:txbxContent>
                  </v:textbox>
                </v:rect>
                <w10:wrap type="square"/>
              </v:group>
            </w:pict>
          </mc:Fallback>
        </mc:AlternateContent>
      </w:r>
      <w:r>
        <w:t>Los elementos de seguridad en las plataformas, impedirán en las maniobras de estacionamiento, debiendo además redondear (0,50m. de radio) o achaflanar (0,50m. de lado) las aristas exteriores de la plataforma de modo que facilite la entrada y salida de vehí</w:t>
      </w:r>
      <w:r>
        <w:t xml:space="preserve">culos a los aparcamientos contiguos. </w:t>
      </w:r>
    </w:p>
    <w:p w:rsidR="00B064CF" w:rsidRDefault="00E32F70">
      <w:pPr>
        <w:numPr>
          <w:ilvl w:val="1"/>
          <w:numId w:val="121"/>
        </w:numPr>
        <w:ind w:right="72" w:hanging="360"/>
      </w:pPr>
      <w:r>
        <w:t>La plataforma deberá ser fácilmente desmontable, y estar diseñada para que pueda retirarse de forma fácil y rápida, en caso de emergencia u otras razones que se estimen desde el Ayuntamiento. Deberá estar confeccionada</w:t>
      </w:r>
      <w:r>
        <w:t xml:space="preserve"> por varios armazones independientes, las dimensiones máximas serán de 4,50 x 2,50 metros para cada uno de esos elementos (armazón metálico y suelo de madera). La plataforma, deberá ejecutarse en, al menos, dos (2) módulos estructurales independientes en c</w:t>
      </w:r>
      <w:r>
        <w:t xml:space="preserve">aso de superar los cuatro metros y medio de largo. </w:t>
      </w:r>
    </w:p>
    <w:p w:rsidR="00B064CF" w:rsidRDefault="00E32F70">
      <w:pPr>
        <w:numPr>
          <w:ilvl w:val="1"/>
          <w:numId w:val="121"/>
        </w:numPr>
        <w:ind w:right="72" w:hanging="360"/>
      </w:pPr>
      <w:r>
        <w:t>Fácilmente desmontable implica que la plataforma será modular y la retirada de los módulos de la vía pública será mediante herramientas de mano sencillas, no siendo necesario elementos de corte tipo radia</w:t>
      </w:r>
      <w:r>
        <w:t xml:space="preserve">l.  </w:t>
      </w:r>
    </w:p>
    <w:p w:rsidR="00B064CF" w:rsidRDefault="00E32F70">
      <w:pPr>
        <w:numPr>
          <w:ilvl w:val="1"/>
          <w:numId w:val="121"/>
        </w:numPr>
        <w:ind w:right="72" w:hanging="360"/>
      </w:pPr>
      <w:r>
        <w:t xml:space="preserve">Las uniones o ensambles de los módulos serán mediante tornillería, no admitiéndose soldaduras. </w:t>
      </w:r>
    </w:p>
    <w:p w:rsidR="00B064CF" w:rsidRDefault="00E32F70">
      <w:pPr>
        <w:numPr>
          <w:ilvl w:val="1"/>
          <w:numId w:val="121"/>
        </w:numPr>
        <w:ind w:right="72" w:hanging="360"/>
      </w:pPr>
      <w:r>
        <w:t xml:space="preserve">Los materiales empleados en la plataforma serán predominantemente la madera y elementos vegetales en la tarima y soporte metálico. </w:t>
      </w:r>
    </w:p>
    <w:p w:rsidR="00B064CF" w:rsidRDefault="00E32F70">
      <w:pPr>
        <w:numPr>
          <w:ilvl w:val="1"/>
          <w:numId w:val="121"/>
        </w:numPr>
        <w:ind w:right="72" w:hanging="360"/>
      </w:pPr>
      <w:r>
        <w:t>La instalación de la pl</w:t>
      </w:r>
      <w:r>
        <w:t xml:space="preserve">ataforma no podrá dañar la calzada ni las aceras. </w:t>
      </w:r>
    </w:p>
    <w:p w:rsidR="00B064CF" w:rsidRDefault="00E32F70">
      <w:pPr>
        <w:ind w:left="1080" w:right="72" w:hanging="360"/>
      </w:pPr>
      <w:r>
        <w:t xml:space="preserve">l) En caso de que se requiera anclaje en el asfalto, previa autorización del mismo, deberá ajustarse a las siguientes condiciones:  </w:t>
      </w:r>
    </w:p>
    <w:p w:rsidR="00B064CF" w:rsidRDefault="00E32F70">
      <w:pPr>
        <w:tabs>
          <w:tab w:val="center" w:pos="1161"/>
          <w:tab w:val="center" w:pos="4801"/>
        </w:tabs>
        <w:spacing w:after="145"/>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No afecten a los servicios e instalaciones existentes en el subsuelo</w:t>
      </w:r>
      <w:r>
        <w:t xml:space="preserve">. </w:t>
      </w:r>
    </w:p>
    <w:p w:rsidR="00B064CF" w:rsidRDefault="00E32F70">
      <w:pPr>
        <w:ind w:left="1493" w:right="72" w:hanging="360"/>
      </w:pPr>
      <w:r>
        <w:rPr>
          <w:rFonts w:ascii="Segoe UI Symbol" w:eastAsia="Segoe UI Symbol" w:hAnsi="Segoe UI Symbol" w:cs="Segoe UI Symbol"/>
        </w:rPr>
        <w:t></w:t>
      </w:r>
      <w:r>
        <w:t xml:space="preserve"> No sobresalgan de la rasante del asfalto elementos ni partes de su mecanismo, una vez retiradas, debiendo asegurar su continuidad y la inexistencia de resaltes.  </w:t>
      </w:r>
    </w:p>
    <w:p w:rsidR="00B064CF" w:rsidRDefault="00E32F70">
      <w:pPr>
        <w:spacing w:after="0"/>
        <w:ind w:left="355" w:right="72"/>
      </w:pPr>
      <w:r>
        <w:t xml:space="preserve">Artículo 23.   Obligaciones   y   limitaciones   específicas   de    las    ocupaciones </w:t>
      </w:r>
      <w:r>
        <w:t xml:space="preserve">vinculadas a actividades hosteleras </w:t>
      </w:r>
    </w:p>
    <w:p w:rsidR="00B064CF" w:rsidRDefault="00E32F70">
      <w:pPr>
        <w:numPr>
          <w:ilvl w:val="0"/>
          <w:numId w:val="123"/>
        </w:numPr>
        <w:ind w:left="628" w:right="145" w:hanging="283"/>
      </w:pPr>
      <w:r>
        <w:t>La persona o entidad titular de la autorización para ocupar el dominio público deberá colocar en el establecimiento, en un lugar visible, el título habilitante de la ocupación y el plano en el que figure su representaci</w:t>
      </w:r>
      <w:r>
        <w:t xml:space="preserve">ón gráfica, sellado por el Ayuntamiento. </w:t>
      </w:r>
    </w:p>
    <w:p w:rsidR="00B064CF" w:rsidRDefault="00E32F70">
      <w:pPr>
        <w:numPr>
          <w:ilvl w:val="0"/>
          <w:numId w:val="123"/>
        </w:numPr>
        <w:ind w:left="628" w:right="145" w:hanging="283"/>
      </w:pPr>
      <w:r>
        <w:t>En ningún caso podrá utilizarse el dominio público como lugar de depósito de productos o mercancías. También será considerado como depósito indebido, entre otros, el apilamiento de mobiliario, se produzca éste dura</w:t>
      </w:r>
      <w:r>
        <w:t xml:space="preserve">nte el horario de autorizado o fuera de él. </w:t>
      </w:r>
    </w:p>
    <w:p w:rsidR="00B064CF" w:rsidRDefault="00E32F70">
      <w:pPr>
        <w:numPr>
          <w:ilvl w:val="0"/>
          <w:numId w:val="123"/>
        </w:numPr>
        <w:ind w:left="628" w:right="145" w:hanging="283"/>
      </w:pPr>
      <w:r>
        <w:t xml:space="preserve">Al finalizar el horario autorizado deberán ser retirados del dominio público todos los elementos de mobiliario no anclados al suelo y deberán plegarse o enrollarse los toldos.  </w:t>
      </w:r>
    </w:p>
    <w:p w:rsidR="00B064CF" w:rsidRDefault="00E32F70">
      <w:pPr>
        <w:numPr>
          <w:ilvl w:val="0"/>
          <w:numId w:val="123"/>
        </w:numPr>
        <w:ind w:left="628" w:right="145" w:hanging="283"/>
      </w:pPr>
      <w:r>
        <w:t xml:space="preserve">En el espacio ocupado sólo se podrán servir los productos que, de acuerdo con el título habilitante para el ejercicio de la actividad, se esté autorizado a expender en el interior del establecimiento. </w:t>
      </w:r>
    </w:p>
    <w:p w:rsidR="00B064CF" w:rsidRDefault="00E32F70">
      <w:pPr>
        <w:numPr>
          <w:ilvl w:val="0"/>
          <w:numId w:val="123"/>
        </w:numPr>
        <w:ind w:left="628" w:right="145" w:hanging="283"/>
      </w:pPr>
      <w:r>
        <w:rPr>
          <w:rFonts w:ascii="Calibri" w:eastAsia="Calibri" w:hAnsi="Calibri" w:cs="Calibri"/>
          <w:noProof/>
        </w:rPr>
        <mc:AlternateContent>
          <mc:Choice Requires="wpg">
            <w:drawing>
              <wp:anchor distT="0" distB="0" distL="114300" distR="114300" simplePos="0" relativeHeight="25186611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5835" name="Group 405835"/>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4532" name="Rectangle 34532"/>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64SKSNYNJRFPNN5DLPPAAC3GS | Verifi</w:t>
                              </w:r>
                              <w:r>
                                <w:rPr>
                                  <w:sz w:val="12"/>
                                </w:rPr>
                                <w:t xml:space="preserve">cación: https://candelaria.sedelectronica.es/ </w:t>
                              </w:r>
                            </w:p>
                          </w:txbxContent>
                        </wps:txbx>
                        <wps:bodyPr horzOverflow="overflow" vert="horz" lIns="0" tIns="0" rIns="0" bIns="0" rtlCol="0">
                          <a:noAutofit/>
                        </wps:bodyPr>
                      </wps:wsp>
                      <wps:wsp>
                        <wps:cNvPr id="34533" name="Rectangle 34533"/>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199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5835" style="width:12.7031pt;height:278.91pt;position:absolute;mso-position-horizontal-relative:page;mso-position-horizontal:absolute;margin-left:682.278pt;mso-position-vertical-relative:page;margin-top:533.01pt;" coordsize="1613,35421">
                <v:rect id="Rectangle 34532"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4533"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199 de 298 </w:t>
                        </w:r>
                      </w:p>
                    </w:txbxContent>
                  </v:textbox>
                </v:rect>
                <w10:wrap type="square"/>
              </v:group>
            </w:pict>
          </mc:Fallback>
        </mc:AlternateContent>
      </w:r>
      <w:r>
        <w:t>No podrán instalarse en el dominio público, ni en las fachadas o huecos de las mismas, aparatos reproductores de</w:t>
      </w:r>
      <w:r>
        <w:t xml:space="preserve"> imagen o sonido. Igualmente queda prohibido que los equipos similares instalados en el interior del local se dispongan de tal forma que proyecten el sonido con la intención de que se escuchen desde el exterior. </w:t>
      </w:r>
    </w:p>
    <w:p w:rsidR="00B064CF" w:rsidRDefault="00E32F70">
      <w:pPr>
        <w:numPr>
          <w:ilvl w:val="0"/>
          <w:numId w:val="123"/>
        </w:numPr>
        <w:ind w:left="628" w:right="145" w:hanging="283"/>
      </w:pPr>
      <w:r>
        <w:t>Cualquier ocupación del dominio público vin</w:t>
      </w:r>
      <w:r>
        <w:t>culada a una actividad de hostelería deberá dotarse de medidas correctoras similares a las que, en su caso, fueran exigidas para el desarrollo de la actividad en terrazas de uso privado. Dichas medidas serán las que determinen los servicios técnicos munici</w:t>
      </w:r>
      <w:r>
        <w:t xml:space="preserve">pales y quedarán incorporadas a la autorización habilitante como condiciones de la misma. </w:t>
      </w:r>
    </w:p>
    <w:p w:rsidR="00B064CF" w:rsidRDefault="00E32F70">
      <w:pPr>
        <w:numPr>
          <w:ilvl w:val="0"/>
          <w:numId w:val="123"/>
        </w:numPr>
        <w:ind w:left="628" w:right="145" w:hanging="283"/>
      </w:pPr>
      <w:r>
        <w:t>Sin perjuicio de otros horarios que a través de la correspondiente Disposición Especial se puedan establecer para determinadas zonas del municipio o para ciertas épo</w:t>
      </w:r>
      <w:r>
        <w:t xml:space="preserve">cas del año, las ocupaciones del dominio público vinculadas a las actividades de hostelería se desarrollarán cumpliendo los horarios establecidos en la normativa de aplicación. Finalizado el horario establecido, no se permitirá la presencia de clientes ni </w:t>
      </w:r>
      <w:r>
        <w:t xml:space="preserve">se expenderá consumición alguna en el dominio público, disponiendo el titular de la autorización de quince minutos añadidos para dar cumplimiento a lo dispuesto en el número 3 del presente artículo, evitando originar ruidos por arrastre o apilamiento.  </w:t>
      </w:r>
    </w:p>
    <w:p w:rsidR="00B064CF" w:rsidRDefault="00E32F70">
      <w:pPr>
        <w:spacing w:after="0"/>
        <w:ind w:left="355" w:right="72"/>
      </w:pPr>
      <w:r>
        <w:t>Se</w:t>
      </w:r>
      <w:r>
        <w:t xml:space="preserve">cción 3ª. CONDICIONES DE LAS OCUPACIONES VINCULADAS A ACTIVIDADES COMERCIALES O DE OFICINA </w:t>
      </w:r>
    </w:p>
    <w:p w:rsidR="00B064CF" w:rsidRDefault="00E32F70">
      <w:pPr>
        <w:spacing w:after="11"/>
        <w:ind w:left="355" w:right="72"/>
      </w:pPr>
      <w:r>
        <w:t xml:space="preserve">Artículo 24. Características de los elementos vinculados a las actividades comerciales o de oficina </w:t>
      </w:r>
    </w:p>
    <w:p w:rsidR="00B064CF" w:rsidRDefault="00E32F70">
      <w:pPr>
        <w:ind w:left="628" w:right="146" w:hanging="283"/>
      </w:pPr>
      <w:r>
        <w:t>4. Todos los elementos que se dispongan en el dominio público e</w:t>
      </w:r>
      <w:r>
        <w:t xml:space="preserve">starán diseñados e instalados de tal forma que su utilización no represente real o potencial peligro para viandantes o usuarios, debiendo de ajustarse a las condiciones, que les sean de aplicación, establecidas en el artículo 22. </w:t>
      </w:r>
    </w:p>
    <w:p w:rsidR="00B064CF" w:rsidRDefault="00B064CF">
      <w:pPr>
        <w:sectPr w:rsidR="00B064CF">
          <w:headerReference w:type="even" r:id="rId52"/>
          <w:headerReference w:type="default" r:id="rId53"/>
          <w:footerReference w:type="even" r:id="rId54"/>
          <w:footerReference w:type="default" r:id="rId55"/>
          <w:headerReference w:type="first" r:id="rId56"/>
          <w:footerReference w:type="first" r:id="rId57"/>
          <w:pgSz w:w="14174" w:h="16838"/>
          <w:pgMar w:top="2834" w:right="1910" w:bottom="572" w:left="2192" w:header="720" w:footer="720" w:gutter="0"/>
          <w:cols w:space="720"/>
          <w:titlePg/>
        </w:sectPr>
      </w:pPr>
    </w:p>
    <w:p w:rsidR="00B064CF" w:rsidRDefault="00E32F70">
      <w:pPr>
        <w:spacing w:after="64"/>
        <w:ind w:left="293" w:right="72"/>
      </w:pPr>
      <w:r>
        <w:t xml:space="preserve">Los toldos deberán cumplir, además de las descritas en el apartado 6 del artículo 22, las siguientes condiciones específicas: </w:t>
      </w:r>
    </w:p>
    <w:p w:rsidR="00B064CF" w:rsidRDefault="00E32F70">
      <w:pPr>
        <w:ind w:left="355" w:right="72"/>
      </w:pPr>
      <w:r>
        <w:t xml:space="preserve">b. Su vuelo máximo será el más restrictivo de los siguientes: </w:t>
      </w:r>
    </w:p>
    <w:p w:rsidR="00B064CF" w:rsidRDefault="00E32F70">
      <w:pPr>
        <w:ind w:left="994" w:right="72" w:hanging="360"/>
      </w:pPr>
      <w:r>
        <w:rPr>
          <w:rFonts w:ascii="Segoe UI Symbol" w:eastAsia="Segoe UI Symbol" w:hAnsi="Segoe UI Symbol" w:cs="Segoe UI Symbol"/>
        </w:rPr>
        <w:t></w:t>
      </w:r>
      <w:r>
        <w:t xml:space="preserve"> El equivalente a una décima parte (1/10) del ancho de la vía, en las calles de tránsito exclusivamente peatonal. </w:t>
      </w:r>
    </w:p>
    <w:p w:rsidR="00B064CF" w:rsidRDefault="00E32F70">
      <w:pPr>
        <w:tabs>
          <w:tab w:val="center" w:pos="661"/>
          <w:tab w:val="center" w:pos="3525"/>
        </w:tabs>
        <w:spacing w:after="144"/>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 xml:space="preserve">El ancho de la acera, en las vías con tráfico rodado. </w:t>
      </w:r>
    </w:p>
    <w:p w:rsidR="00B064CF" w:rsidRDefault="00E32F70">
      <w:pPr>
        <w:tabs>
          <w:tab w:val="center" w:pos="661"/>
          <w:tab w:val="center" w:pos="2027"/>
        </w:tabs>
        <w:spacing w:after="128"/>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 xml:space="preserve">Dos metros (2,00 m). </w:t>
      </w:r>
    </w:p>
    <w:p w:rsidR="00B064CF" w:rsidRDefault="00E32F70">
      <w:pPr>
        <w:ind w:left="283" w:right="72" w:hanging="283"/>
      </w:pPr>
      <w:r>
        <w:t xml:space="preserve">6. </w:t>
      </w:r>
      <w:r>
        <w:t xml:space="preserve">Los rótulos vinculados a actividades comerciales o de oficina se sujetarán a las condiciones establecidas en el apartado 8 del artículo 22.  </w:t>
      </w:r>
    </w:p>
    <w:p w:rsidR="00B064CF" w:rsidRDefault="00E32F70">
      <w:pPr>
        <w:spacing w:after="0"/>
        <w:ind w:right="72"/>
      </w:pPr>
      <w:r>
        <w:t xml:space="preserve">Artículo 25. Obligaciones y limitaciones específicas de las ocupaciones vinculadas a actividades comerciales o de </w:t>
      </w:r>
      <w:r>
        <w:t xml:space="preserve">oficina </w:t>
      </w:r>
    </w:p>
    <w:p w:rsidR="00B064CF" w:rsidRDefault="00E32F70">
      <w:pPr>
        <w:numPr>
          <w:ilvl w:val="0"/>
          <w:numId w:val="124"/>
        </w:numPr>
        <w:ind w:right="72" w:hanging="283"/>
      </w:pPr>
      <w:r>
        <w:t>La persona o entidad titular de la autorización para ocupar el dominio público deberá colocar en el establecimiento, en un lugar visible, el título habilitante de la ocupación y el plano en el que figure su representación gráfica, sellado por el A</w:t>
      </w:r>
      <w:r>
        <w:t xml:space="preserve">yuntamiento. </w:t>
      </w:r>
    </w:p>
    <w:p w:rsidR="00B064CF" w:rsidRDefault="00E32F70">
      <w:pPr>
        <w:numPr>
          <w:ilvl w:val="0"/>
          <w:numId w:val="124"/>
        </w:numPr>
        <w:ind w:right="72" w:hanging="283"/>
      </w:pPr>
      <w:r>
        <w:t>En ningún caso podrá utilizarse el dominio público como lugar de depósito de productos o mercancías. También será considerado como depósito indebido, entre otros, el apilamiento de mobiliario, se produzca éste durante el horario de autorizado</w:t>
      </w:r>
      <w:r>
        <w:t xml:space="preserve"> o fuera de él. </w:t>
      </w:r>
    </w:p>
    <w:p w:rsidR="00B064CF" w:rsidRDefault="00E32F70">
      <w:pPr>
        <w:numPr>
          <w:ilvl w:val="0"/>
          <w:numId w:val="124"/>
        </w:numPr>
        <w:ind w:right="72" w:hanging="283"/>
      </w:pPr>
      <w:r>
        <w:rPr>
          <w:rFonts w:ascii="Calibri" w:eastAsia="Calibri" w:hAnsi="Calibri" w:cs="Calibri"/>
          <w:noProof/>
        </w:rPr>
        <mc:AlternateContent>
          <mc:Choice Requires="wpg">
            <w:drawing>
              <wp:anchor distT="0" distB="0" distL="114300" distR="114300" simplePos="0" relativeHeight="25186713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5961" name="Group 405961"/>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4651" name="Rectangle 34651"/>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4652" name="Rectangle 34652"/>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200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5961" style="width:12.7031pt;height:278.91pt;position:absolute;mso-position-horizontal-relative:page;mso-position-horizontal:absolute;margin-left:682.278pt;mso-position-vertical-relative:page;margin-top:533.01pt;" coordsize="1613,35421">
                <v:rect id="Rectangle 34651"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4652"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200 de 298 </w:t>
                        </w:r>
                      </w:p>
                    </w:txbxContent>
                  </v:textbox>
                </v:rect>
                <w10:wrap type="square"/>
              </v:group>
            </w:pict>
          </mc:Fallback>
        </mc:AlternateContent>
      </w:r>
      <w:r>
        <w:t xml:space="preserve">Al finalizar el horario autorizado deberán plegarse o enrollarse los toldos. </w:t>
      </w:r>
    </w:p>
    <w:p w:rsidR="00B064CF" w:rsidRDefault="00E32F70">
      <w:pPr>
        <w:spacing w:after="11"/>
        <w:ind w:right="72"/>
      </w:pPr>
      <w:r>
        <w:t xml:space="preserve">Artículo 26. Ocupaciones con elementos decorativos en celebraciones tradicionales </w:t>
      </w:r>
    </w:p>
    <w:p w:rsidR="00B064CF" w:rsidRDefault="00E32F70">
      <w:pPr>
        <w:numPr>
          <w:ilvl w:val="0"/>
          <w:numId w:val="125"/>
        </w:numPr>
        <w:ind w:right="72" w:hanging="283"/>
      </w:pPr>
      <w:r>
        <w:t xml:space="preserve">El dominio público municipal podrá ser ocupado excepcionalmente con la colocación de elementos </w:t>
      </w:r>
      <w:r>
        <w:t xml:space="preserve">decorativos en las puertas, únicamente con motivo de las fiestas navideñas u otras celebraciones tradicionales. En ningún caso se permitirá la ocupación con mercancías o productos, ni con vitrinas, expositores, percheros o elementos análogos. </w:t>
      </w:r>
    </w:p>
    <w:p w:rsidR="00B064CF" w:rsidRDefault="00E32F70">
      <w:pPr>
        <w:numPr>
          <w:ilvl w:val="0"/>
          <w:numId w:val="125"/>
        </w:numPr>
        <w:ind w:right="72" w:hanging="283"/>
      </w:pPr>
      <w:r>
        <w:t>El periodo m</w:t>
      </w:r>
      <w:r>
        <w:t>áximo de ocupación autorizable en fechas navideñas será el comprendido entre el 1 de diciembre y el 6 de enero del año siguiente. Para el resto de fiestas tradicionales, los periodos de autorización serán los que fije el Ayuntamiento a través de la corresp</w:t>
      </w:r>
      <w:r>
        <w:t xml:space="preserve">ondiente Disposición Especial. </w:t>
      </w:r>
    </w:p>
    <w:p w:rsidR="00B064CF" w:rsidRDefault="00E32F70">
      <w:pPr>
        <w:numPr>
          <w:ilvl w:val="0"/>
          <w:numId w:val="125"/>
        </w:numPr>
        <w:ind w:right="72" w:hanging="283"/>
      </w:pPr>
      <w:r>
        <w:t>Todos los elementos decorativos que se dispongan en el dominio público estarán diseñados e instalados de tal forma que su utilización no represente real o potencial peligro para viandantes o usuarios, debiendo presentar la s</w:t>
      </w:r>
      <w:r>
        <w:t xml:space="preserve">uficiente estabilidad para cumplir en todo momento dicha exigencia. </w:t>
      </w:r>
    </w:p>
    <w:p w:rsidR="00B064CF" w:rsidRDefault="00E32F70">
      <w:pPr>
        <w:numPr>
          <w:ilvl w:val="0"/>
          <w:numId w:val="125"/>
        </w:numPr>
        <w:ind w:right="72" w:hanging="283"/>
      </w:pPr>
      <w:r>
        <w:t>Los elementos decorativos podrán ser elegidas libremente por la persona o entidad titular de la autorización, siempre que no supongan molestias para los viandantes y no interfieran la vis</w:t>
      </w:r>
      <w:r>
        <w:t xml:space="preserve">ibilidad de los demás elementos de la vía pública, corriendo a cargo de aquélla la obligación de cuidado y mantenimiento de las mismas. </w:t>
      </w:r>
    </w:p>
    <w:p w:rsidR="00B064CF" w:rsidRDefault="00E32F70">
      <w:pPr>
        <w:spacing w:after="0" w:line="259" w:lineRule="auto"/>
        <w:ind w:left="0" w:firstLine="0"/>
        <w:jc w:val="left"/>
      </w:pPr>
      <w:r>
        <w:t xml:space="preserve"> </w:t>
      </w:r>
    </w:p>
    <w:p w:rsidR="00B064CF" w:rsidRDefault="00E32F70">
      <w:pPr>
        <w:tabs>
          <w:tab w:val="center" w:pos="9206"/>
        </w:tabs>
        <w:spacing w:after="11"/>
        <w:ind w:left="0" w:firstLine="0"/>
        <w:jc w:val="left"/>
      </w:pPr>
      <w:r>
        <w:t xml:space="preserve">CAPÍTULO 2 OCUPACIONES VINCULADAS A ACTIVIDADES LÚDICAS, ARTÍSTICAS, </w:t>
      </w:r>
      <w:r>
        <w:tab/>
        <w:t xml:space="preserve"> </w:t>
      </w:r>
    </w:p>
    <w:p w:rsidR="00B064CF" w:rsidRDefault="00E32F70">
      <w:pPr>
        <w:ind w:right="72"/>
      </w:pPr>
      <w:r>
        <w:t xml:space="preserve">RECREATIVAS, INFORMATIVAS, PUBLICITARIAS Y SOLIDARIAS </w:t>
      </w:r>
    </w:p>
    <w:p w:rsidR="00B064CF" w:rsidRDefault="00E32F70">
      <w:pPr>
        <w:spacing w:after="11"/>
        <w:ind w:right="72"/>
      </w:pPr>
      <w:r>
        <w:t xml:space="preserve">Sección 1ª. DISPOSICIONES GENERALES </w:t>
      </w:r>
    </w:p>
    <w:p w:rsidR="00B064CF" w:rsidRDefault="00E32F70">
      <w:pPr>
        <w:tabs>
          <w:tab w:val="center" w:pos="3483"/>
        </w:tabs>
        <w:spacing w:after="11"/>
        <w:ind w:left="0" w:firstLine="0"/>
        <w:jc w:val="left"/>
      </w:pPr>
      <w:r>
        <w:t xml:space="preserve">Artículo 27. </w:t>
      </w:r>
      <w:r>
        <w:tab/>
        <w:t xml:space="preserve">Ocupaciones permitidas y título habilitante </w:t>
      </w:r>
    </w:p>
    <w:p w:rsidR="00B064CF" w:rsidRDefault="00E32F70">
      <w:pPr>
        <w:numPr>
          <w:ilvl w:val="0"/>
          <w:numId w:val="126"/>
        </w:numPr>
        <w:ind w:right="72" w:hanging="283"/>
      </w:pPr>
      <w:r>
        <w:t>El dominio público podrá ser ocupado para el desarrollo de las actividades que se regulan en este Capítul</w:t>
      </w:r>
      <w:r>
        <w:t xml:space="preserve">o. </w:t>
      </w:r>
    </w:p>
    <w:p w:rsidR="00B064CF" w:rsidRDefault="00E32F70">
      <w:pPr>
        <w:numPr>
          <w:ilvl w:val="0"/>
          <w:numId w:val="126"/>
        </w:numPr>
        <w:ind w:right="72" w:hanging="283"/>
      </w:pPr>
      <w:r>
        <w:t xml:space="preserve">La ocupación con las actividades reguladas en el presente Capítulo que sean promovidas u organizadas por el Ayuntamiento, quedan fuera del ámbito de aplicación de esta Ordenanza. </w:t>
      </w:r>
    </w:p>
    <w:p w:rsidR="00B064CF" w:rsidRDefault="00E32F70">
      <w:pPr>
        <w:numPr>
          <w:ilvl w:val="0"/>
          <w:numId w:val="126"/>
        </w:numPr>
        <w:ind w:right="72" w:hanging="283"/>
      </w:pPr>
      <w:r>
        <w:t>Toda ocupación relacionada con las actividades previstas en este Capítul</w:t>
      </w:r>
      <w:r>
        <w:t xml:space="preserve">o deberá cumplir las condiciones generales establecidas en el artículo 8, así como las condiciones particulares y las específicas que, para cada modalidad, se establecen en los artículos siguientes de este Capítulo. </w:t>
      </w:r>
    </w:p>
    <w:p w:rsidR="00B064CF" w:rsidRDefault="00E32F70">
      <w:pPr>
        <w:numPr>
          <w:ilvl w:val="0"/>
          <w:numId w:val="126"/>
        </w:numPr>
        <w:ind w:right="72" w:hanging="283"/>
      </w:pPr>
      <w:r>
        <w:t>La Policía Local, el departamento compe</w:t>
      </w:r>
      <w:r>
        <w:t>tente en materia de urbanismo y Protección Civil, podrán establecer condiciones específicas para el desarrollo de las ocupaciones reguladas en este Capítulo, en orden a garantizar las adecuadas condiciones de seguridad para personas y bienes. De esta forma</w:t>
      </w:r>
      <w:r>
        <w:t xml:space="preserve">, podrán requerir del solicitante la modificación de las ocupaciones pretendidas, la aportación de documentación técnica, constitución de garantías específicas, y, en general, cualesquiera otras medidas que contribuya, proporcionadamente, a tal fin. </w:t>
      </w:r>
    </w:p>
    <w:p w:rsidR="00B064CF" w:rsidRDefault="00E32F70">
      <w:pPr>
        <w:numPr>
          <w:ilvl w:val="0"/>
          <w:numId w:val="126"/>
        </w:numPr>
        <w:ind w:right="72" w:hanging="283"/>
      </w:pPr>
      <w:r>
        <w:rPr>
          <w:rFonts w:ascii="Calibri" w:eastAsia="Calibri" w:hAnsi="Calibri" w:cs="Calibri"/>
          <w:noProof/>
        </w:rPr>
        <mc:AlternateContent>
          <mc:Choice Requires="wpg">
            <w:drawing>
              <wp:anchor distT="0" distB="0" distL="114300" distR="114300" simplePos="0" relativeHeight="25186816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6313" name="Group 406313"/>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4774" name="Rectangle 34774"/>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w:t>
                              </w:r>
                              <w:r>
                                <w:rPr>
                                  <w:sz w:val="12"/>
                                </w:rPr>
                                <w:t xml:space="preserve">d. Validación: 64SKSNYNJRFPNN5DLPPAAC3GS | Verificación: https://candelaria.sedelectronica.es/ </w:t>
                              </w:r>
                            </w:p>
                          </w:txbxContent>
                        </wps:txbx>
                        <wps:bodyPr horzOverflow="overflow" vert="horz" lIns="0" tIns="0" rIns="0" bIns="0" rtlCol="0">
                          <a:noAutofit/>
                        </wps:bodyPr>
                      </wps:wsp>
                      <wps:wsp>
                        <wps:cNvPr id="34775" name="Rectangle 34775"/>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201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6313" style="width:12.7031pt;height:278.91pt;position:absolute;mso-position-horizontal-relative:page;mso-position-horizontal:absolute;margin-left:682.278pt;mso-position-vertical-relative:page;margin-top:533.01pt;" coordsize="1613,35421">
                <v:rect id="Rectangle 34774"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4775"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201 de 298 </w:t>
                        </w:r>
                      </w:p>
                    </w:txbxContent>
                  </v:textbox>
                </v:rect>
                <w10:wrap type="square"/>
              </v:group>
            </w:pict>
          </mc:Fallback>
        </mc:AlternateContent>
      </w:r>
      <w:r>
        <w:t>La ocupación del dominio público con los elementos y las activi</w:t>
      </w:r>
      <w:r>
        <w:t>dades reguladas en el presente Capítulo estará sujeta a autorización del Ayuntamiento, sin perjuicio de la obtención de aquellos títulos o informes que sean necesarios por razón de la actividad o su localización, independientemente de que su otorgamiento o</w:t>
      </w:r>
      <w:r>
        <w:t xml:space="preserve"> emisión pudiera ser competencia del propio Ayuntamiento o de otras Administraciones. </w:t>
      </w:r>
    </w:p>
    <w:p w:rsidR="00B064CF" w:rsidRDefault="00E32F70">
      <w:pPr>
        <w:tabs>
          <w:tab w:val="center" w:pos="2622"/>
        </w:tabs>
        <w:spacing w:after="11"/>
        <w:ind w:left="0" w:firstLine="0"/>
        <w:jc w:val="left"/>
      </w:pPr>
      <w:r>
        <w:t xml:space="preserve">Artículo 28. </w:t>
      </w:r>
      <w:r>
        <w:tab/>
        <w:t xml:space="preserve">Condiciones particulares </w:t>
      </w:r>
    </w:p>
    <w:p w:rsidR="00B064CF" w:rsidRDefault="00E32F70">
      <w:pPr>
        <w:numPr>
          <w:ilvl w:val="0"/>
          <w:numId w:val="127"/>
        </w:numPr>
        <w:ind w:right="72" w:hanging="283"/>
      </w:pPr>
      <w:r>
        <w:t xml:space="preserve">Sólo podrán ser ocupadas las aceras, plazas, parques o zonas destinadas al uso peatonal, nunca las calzadas destinadas al tráfico rodado ni las zonas de aparcamiento.  </w:t>
      </w:r>
    </w:p>
    <w:p w:rsidR="00B064CF" w:rsidRDefault="00E32F70">
      <w:pPr>
        <w:numPr>
          <w:ilvl w:val="0"/>
          <w:numId w:val="127"/>
        </w:numPr>
        <w:ind w:right="72" w:hanging="283"/>
      </w:pPr>
      <w:r>
        <w:t xml:space="preserve">No podrán ser instalados en los tramos de acera o espacios de circulación peatonal que </w:t>
      </w:r>
      <w:r>
        <w:t xml:space="preserve">presenten una anchura libre inferior a cuatro metros (4,00 m).  </w:t>
      </w:r>
    </w:p>
    <w:p w:rsidR="00B064CF" w:rsidRDefault="00E32F70">
      <w:pPr>
        <w:numPr>
          <w:ilvl w:val="0"/>
          <w:numId w:val="127"/>
        </w:numPr>
        <w:spacing w:after="11"/>
        <w:ind w:right="72" w:hanging="283"/>
      </w:pPr>
      <w:r>
        <w:t xml:space="preserve">Toda ocupación respetará las condiciones que le sean de aplicación, establecidas en el artículo </w:t>
      </w:r>
    </w:p>
    <w:p w:rsidR="00B064CF" w:rsidRDefault="00E32F70">
      <w:pPr>
        <w:ind w:left="293" w:right="72"/>
      </w:pPr>
      <w:r>
        <w:t xml:space="preserve">22. </w:t>
      </w:r>
    </w:p>
    <w:p w:rsidR="00B064CF" w:rsidRDefault="00E32F70">
      <w:pPr>
        <w:numPr>
          <w:ilvl w:val="0"/>
          <w:numId w:val="127"/>
        </w:numPr>
        <w:ind w:right="72" w:hanging="283"/>
      </w:pPr>
      <w:r>
        <w:t>Todos los elementos accesorios que se empleen en las ocupaciones reguladas en este Capítu</w:t>
      </w:r>
      <w:r>
        <w:t xml:space="preserve">lo deberán cumplir las siguientes condiciones: </w:t>
      </w:r>
    </w:p>
    <w:p w:rsidR="00B064CF" w:rsidRDefault="00E32F70">
      <w:pPr>
        <w:numPr>
          <w:ilvl w:val="1"/>
          <w:numId w:val="127"/>
        </w:numPr>
        <w:ind w:right="72" w:hanging="360"/>
      </w:pPr>
      <w:r>
        <w:t xml:space="preserve">Estarán diseñados y serán instalados de tal forma que su utilización no represente real o potencial peligro para viandantes o usuarios.  </w:t>
      </w:r>
    </w:p>
    <w:p w:rsidR="00B064CF" w:rsidRDefault="00E32F70">
      <w:pPr>
        <w:numPr>
          <w:ilvl w:val="1"/>
          <w:numId w:val="127"/>
        </w:numPr>
        <w:ind w:right="72" w:hanging="360"/>
      </w:pPr>
      <w:r>
        <w:t xml:space="preserve">Serán portátiles o fácilmente desmontables. </w:t>
      </w:r>
    </w:p>
    <w:p w:rsidR="00B064CF" w:rsidRDefault="00E32F70">
      <w:pPr>
        <w:spacing w:after="0" w:line="259" w:lineRule="auto"/>
        <w:ind w:left="0" w:firstLine="0"/>
        <w:jc w:val="left"/>
      </w:pPr>
      <w:r>
        <w:t xml:space="preserve"> </w:t>
      </w:r>
    </w:p>
    <w:p w:rsidR="00B064CF" w:rsidRDefault="00E32F70">
      <w:pPr>
        <w:spacing w:after="11"/>
        <w:ind w:right="72"/>
      </w:pPr>
      <w:r>
        <w:t>Sección 2ª. ACTUACIONES</w:t>
      </w:r>
      <w:r>
        <w:t xml:space="preserve"> MUSICALES Y OTRAS ACTIVIDADES ARTÍSTICAS </w:t>
      </w:r>
    </w:p>
    <w:p w:rsidR="00B064CF" w:rsidRDefault="00E32F70">
      <w:pPr>
        <w:tabs>
          <w:tab w:val="center" w:pos="3031"/>
        </w:tabs>
        <w:spacing w:after="11"/>
        <w:ind w:left="0" w:firstLine="0"/>
        <w:jc w:val="left"/>
      </w:pPr>
      <w:r>
        <w:t xml:space="preserve">Artículo 29. </w:t>
      </w:r>
      <w:r>
        <w:tab/>
        <w:t xml:space="preserve">Supuestos sujetos a autorización </w:t>
      </w:r>
    </w:p>
    <w:p w:rsidR="00B064CF" w:rsidRDefault="00E32F70">
      <w:pPr>
        <w:ind w:left="283" w:right="72" w:hanging="283"/>
      </w:pPr>
      <w:r>
        <w:t>4. Las actuaciones de carácter artístico, tales como mimo, música, teatro, malabares, y otras análogas, que pretendan llevarse a cabo en el dominio público municipal</w:t>
      </w:r>
      <w:r>
        <w:t xml:space="preserve">, tanto de forma individualizada como en grupo, estarán sujetas a previa autorización. Igualmente, lo estarán las de dibujo o pintura con ánimo de lucro. </w:t>
      </w:r>
    </w:p>
    <w:p w:rsidR="00B064CF" w:rsidRDefault="00E32F70">
      <w:pPr>
        <w:ind w:left="293" w:right="72"/>
      </w:pPr>
      <w:r>
        <w:t xml:space="preserve">Las actividades de carácter artístico o académico y sin ánimo de lucro que se lleven a cabo ocupando </w:t>
      </w:r>
      <w:r>
        <w:t>el dominio público, no precisarán de autorización, si bien, cuando el número de participantes en la actividad supere las diez (10) personas, deberá comunicarse al Ayuntamiento, con diez (10) días de antelación a la fecha prevista de ocupación, el día, la h</w:t>
      </w:r>
      <w:r>
        <w:t xml:space="preserve">ora y la finalidad de la misma. </w:t>
      </w:r>
    </w:p>
    <w:p w:rsidR="00B064CF" w:rsidRDefault="00E32F70">
      <w:pPr>
        <w:ind w:left="283" w:right="72" w:hanging="283"/>
      </w:pPr>
      <w:r>
        <w:t xml:space="preserve">6. Las actividades desarrolladas por los centros docentes de los niveles no universitarios, deberán comunicar el inicio de la actividad con al menos diez (10) días de antelación. </w:t>
      </w:r>
    </w:p>
    <w:p w:rsidR="00B064CF" w:rsidRDefault="00E32F70">
      <w:pPr>
        <w:tabs>
          <w:tab w:val="center" w:pos="3527"/>
        </w:tabs>
        <w:spacing w:after="11"/>
        <w:ind w:left="0" w:firstLine="0"/>
        <w:jc w:val="left"/>
      </w:pPr>
      <w:r>
        <w:t xml:space="preserve">Artículo 30. </w:t>
      </w:r>
      <w:r>
        <w:tab/>
      </w:r>
      <w:r>
        <w:t xml:space="preserve">Solicitudes, zonas y periodos de ocupación </w:t>
      </w:r>
    </w:p>
    <w:p w:rsidR="00B064CF" w:rsidRDefault="00E32F70">
      <w:pPr>
        <w:numPr>
          <w:ilvl w:val="0"/>
          <w:numId w:val="128"/>
        </w:numPr>
        <w:ind w:right="72" w:hanging="283"/>
      </w:pPr>
      <w:r>
        <w:t xml:space="preserve">Las autorizaciones para la ocupación del dominio público en los supuestos regulados en la presente Sección se limitarán a las zonas que fije el Ayuntamiento de manera motivada. </w:t>
      </w:r>
    </w:p>
    <w:p w:rsidR="00B064CF" w:rsidRDefault="00E32F70">
      <w:pPr>
        <w:numPr>
          <w:ilvl w:val="0"/>
          <w:numId w:val="128"/>
        </w:numPr>
        <w:ind w:right="72" w:hanging="283"/>
      </w:pPr>
      <w:r>
        <w:t>Las autorizaciones se otorgarán po</w:t>
      </w:r>
      <w:r>
        <w:t xml:space="preserve">r días naturales. </w:t>
      </w:r>
    </w:p>
    <w:p w:rsidR="00B064CF" w:rsidRDefault="00E32F70">
      <w:pPr>
        <w:numPr>
          <w:ilvl w:val="0"/>
          <w:numId w:val="128"/>
        </w:numPr>
        <w:ind w:right="72" w:hanging="283"/>
      </w:pPr>
      <w:r>
        <w:t>Las personas interesadas presentarán la solicitud entre los días 1 y 10 del mes inmediatamente anterior a aquél en el que comience el mes para el que se solicite la autorización, describiendo la actividad artística a realizar, con expres</w:t>
      </w:r>
      <w:r>
        <w:t xml:space="preserve">a referencia, en su caso, a los elementos sonoros utilizados, y numerando en su solicitud, por orden de preferencia, las zonas que pueden ser objeto de autorización. </w:t>
      </w:r>
    </w:p>
    <w:p w:rsidR="00B064CF" w:rsidRDefault="00E32F70">
      <w:pPr>
        <w:numPr>
          <w:ilvl w:val="0"/>
          <w:numId w:val="128"/>
        </w:numPr>
        <w:ind w:right="72" w:hanging="283"/>
      </w:pPr>
      <w:r>
        <w:t>La autorización municipal que se otorgue tendrá validez exclusivamente para realizar la a</w:t>
      </w:r>
      <w:r>
        <w:t xml:space="preserve">ctividad artística en el periodo trimestral solicitado y en una única zona. </w:t>
      </w:r>
    </w:p>
    <w:p w:rsidR="00B064CF" w:rsidRDefault="00E32F70">
      <w:pPr>
        <w:tabs>
          <w:tab w:val="center" w:pos="3330"/>
        </w:tabs>
        <w:spacing w:after="11"/>
        <w:ind w:left="0" w:firstLine="0"/>
        <w:jc w:val="left"/>
      </w:pPr>
      <w:r>
        <w:rPr>
          <w:rFonts w:ascii="Calibri" w:eastAsia="Calibri" w:hAnsi="Calibri" w:cs="Calibri"/>
          <w:noProof/>
        </w:rPr>
        <mc:AlternateContent>
          <mc:Choice Requires="wpg">
            <w:drawing>
              <wp:anchor distT="0" distB="0" distL="114300" distR="114300" simplePos="0" relativeHeight="25186918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6828" name="Group 406828"/>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4886" name="Rectangle 34886"/>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4887" name="Rectangle 34887"/>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w:t>
                              </w:r>
                              <w:r>
                                <w:rPr>
                                  <w:sz w:val="12"/>
                                </w:rPr>
                                <w:t xml:space="preserve">Página 202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6828" style="width:12.7031pt;height:278.91pt;position:absolute;mso-position-horizontal-relative:page;mso-position-horizontal:absolute;margin-left:682.278pt;mso-position-vertical-relative:page;margin-top:533.01pt;" coordsize="1613,35421">
                <v:rect id="Rectangle 34886"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4887"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202 de 298 </w:t>
                        </w:r>
                      </w:p>
                    </w:txbxContent>
                  </v:textbox>
                </v:rect>
                <w10:wrap type="square"/>
              </v:group>
            </w:pict>
          </mc:Fallback>
        </mc:AlternateContent>
      </w:r>
      <w:r>
        <w:t xml:space="preserve">Artículo 31. </w:t>
      </w:r>
      <w:r>
        <w:tab/>
        <w:t xml:space="preserve">Condiciones específicas y obligaciones </w:t>
      </w:r>
    </w:p>
    <w:p w:rsidR="00B064CF" w:rsidRDefault="00E32F70">
      <w:pPr>
        <w:numPr>
          <w:ilvl w:val="0"/>
          <w:numId w:val="129"/>
        </w:numPr>
        <w:ind w:right="72" w:hanging="283"/>
      </w:pPr>
      <w:r>
        <w:t xml:space="preserve">En la zona autorizada únicamente podrá realizarse la actividad objeto de autorización y en los términos concretos que vengan especificados en la misma, debiendo ser ejercida exclusivamente por la persona o grupo de personas autorizado. </w:t>
      </w:r>
    </w:p>
    <w:p w:rsidR="00B064CF" w:rsidRDefault="00E32F70">
      <w:pPr>
        <w:numPr>
          <w:ilvl w:val="0"/>
          <w:numId w:val="129"/>
        </w:numPr>
        <w:ind w:right="72" w:hanging="283"/>
      </w:pPr>
      <w:r>
        <w:t>No podrá utilizarse</w:t>
      </w:r>
      <w:r>
        <w:t xml:space="preserve"> el mobiliario urbano ni el arbolado para el anclaje o como soporte de cualquier elemento o instalación empleados en el desarrollo de la actividad autorizada. </w:t>
      </w:r>
    </w:p>
    <w:p w:rsidR="00B064CF" w:rsidRDefault="00E32F70">
      <w:pPr>
        <w:numPr>
          <w:ilvl w:val="0"/>
          <w:numId w:val="129"/>
        </w:numPr>
        <w:ind w:right="72" w:hanging="283"/>
      </w:pPr>
      <w:r>
        <w:t>La ocupación se concederá en función de las características de la actuación pretendida, así como</w:t>
      </w:r>
      <w:r>
        <w:t xml:space="preserve"> de las características de la zona a ocupar. </w:t>
      </w:r>
    </w:p>
    <w:p w:rsidR="00B064CF" w:rsidRDefault="00E32F70">
      <w:pPr>
        <w:numPr>
          <w:ilvl w:val="0"/>
          <w:numId w:val="129"/>
        </w:numPr>
        <w:ind w:right="72" w:hanging="283"/>
      </w:pPr>
      <w:r>
        <w:t>Con carácter general, la distancia mínima a la que deberá situarse un artista de otro, así como la distancia a mantener con cualquier otra actividad autorizada, mientras estén llevando a cabo la actividad solic</w:t>
      </w:r>
      <w:r>
        <w:t xml:space="preserve">itada en el dominio público, será de veinticinco metros (25,00 m). En el caso de actuaciones musicales y otras actividades con repercusión sonora, la distancia mínima de separación será de cincuenta metros (50,00 m).  </w:t>
      </w:r>
    </w:p>
    <w:p w:rsidR="00B064CF" w:rsidRDefault="00E32F70">
      <w:pPr>
        <w:numPr>
          <w:ilvl w:val="0"/>
          <w:numId w:val="129"/>
        </w:numPr>
        <w:ind w:right="72" w:hanging="283"/>
      </w:pPr>
      <w:r>
        <w:t>Las ocupaciones del dominio público p</w:t>
      </w:r>
      <w:r>
        <w:t>ara la realización de las manifestaciones artísticas reguladas en la presente Sección podrán autorizarse dentro del horario de 10:00 a 20:00 horas, a excepción de aquellas que se otorguen para actuaciones musicales y otras actividades con repercusión sonor</w:t>
      </w:r>
      <w:r>
        <w:t xml:space="preserve">a, que se sujetarán al horario establecido en el número siguiente. </w:t>
      </w:r>
    </w:p>
    <w:p w:rsidR="00B064CF" w:rsidRDefault="00E32F70">
      <w:pPr>
        <w:numPr>
          <w:ilvl w:val="0"/>
          <w:numId w:val="129"/>
        </w:numPr>
        <w:ind w:right="72" w:hanging="283"/>
      </w:pPr>
      <w:r>
        <w:t xml:space="preserve">Las actuaciones musicales u otras actividades artísticas con repercusión sonora en el dominio público deberán cumplir, además de las condiciones anteriores, las siguientes limitaciones: </w:t>
      </w:r>
    </w:p>
    <w:p w:rsidR="00B064CF" w:rsidRDefault="00E32F70">
      <w:pPr>
        <w:numPr>
          <w:ilvl w:val="1"/>
          <w:numId w:val="129"/>
        </w:numPr>
        <w:ind w:right="72" w:hanging="360"/>
      </w:pPr>
      <w:r>
        <w:t xml:space="preserve">No podrán utilizarse instrumentos de percusión, ni altavoces o cualquier otro sistema de amplificación del sonido, quedando sometida la autorización, en todo caso, a las limitaciones establecidas en la normativa vigente sobre contaminación acústica. </w:t>
      </w:r>
    </w:p>
    <w:p w:rsidR="00B064CF" w:rsidRDefault="00E32F70">
      <w:pPr>
        <w:numPr>
          <w:ilvl w:val="1"/>
          <w:numId w:val="129"/>
        </w:numPr>
        <w:ind w:right="72" w:hanging="360"/>
      </w:pPr>
      <w:r>
        <w:t>Las a</w:t>
      </w:r>
      <w:r>
        <w:t xml:space="preserve">ctuaciones sólo podrán tener lugar en horario de 10:00 a 14:00 horas y de 17:00 a 20:00 horas.  </w:t>
      </w:r>
    </w:p>
    <w:p w:rsidR="00B064CF" w:rsidRDefault="00E32F70">
      <w:pPr>
        <w:numPr>
          <w:ilvl w:val="1"/>
          <w:numId w:val="129"/>
        </w:numPr>
        <w:ind w:right="72" w:hanging="360"/>
      </w:pPr>
      <w:r>
        <w:t>La actuación de la persona autorizada no podrá tener una duración superior a dos horas en el mismo punto dentro de la zona autorizada, debiendo desplazarse par</w:t>
      </w:r>
      <w:r>
        <w:t xml:space="preserve">a las siguientes actuaciones a una distancia mínima de veinticinco metros (25,00 m) de la anterior, no pudiendo repetir actuación en el mismo punto y día. </w:t>
      </w:r>
    </w:p>
    <w:p w:rsidR="00B064CF" w:rsidRDefault="00E32F70">
      <w:pPr>
        <w:numPr>
          <w:ilvl w:val="1"/>
          <w:numId w:val="129"/>
        </w:numPr>
        <w:ind w:right="72" w:hanging="360"/>
      </w:pPr>
      <w:r>
        <w:t>El espacio ocupado para llevar a cabo la actividad no podrá encontrarse a una distancia inferior a c</w:t>
      </w:r>
      <w:r>
        <w:t xml:space="preserve">incuenta metros (50,00 m) de centros docentes, sanitarios, o asistenciales. </w:t>
      </w:r>
    </w:p>
    <w:p w:rsidR="00B064CF" w:rsidRDefault="00E32F70">
      <w:pPr>
        <w:spacing w:after="11"/>
        <w:ind w:right="72"/>
      </w:pPr>
      <w:r>
        <w:t xml:space="preserve">Sección 3ª. ACTIVIDADES INFORMATIVAS, DE SENSIBILIZACIÓN O PROMOCIONALES </w:t>
      </w:r>
    </w:p>
    <w:p w:rsidR="00B064CF" w:rsidRDefault="00E32F70">
      <w:pPr>
        <w:tabs>
          <w:tab w:val="center" w:pos="3030"/>
        </w:tabs>
        <w:spacing w:after="11"/>
        <w:ind w:left="0" w:firstLine="0"/>
        <w:jc w:val="left"/>
      </w:pPr>
      <w:r>
        <w:t xml:space="preserve">Artículo 32. </w:t>
      </w:r>
      <w:r>
        <w:tab/>
        <w:t xml:space="preserve">Supuestos sujetos a autorización </w:t>
      </w:r>
    </w:p>
    <w:p w:rsidR="00B064CF" w:rsidRDefault="00E32F70">
      <w:pPr>
        <w:numPr>
          <w:ilvl w:val="0"/>
          <w:numId w:val="130"/>
        </w:numPr>
        <w:ind w:right="72" w:hanging="283"/>
      </w:pPr>
      <w:r>
        <w:t>La ocupación del dominio público para la realización de a</w:t>
      </w:r>
      <w:r>
        <w:t xml:space="preserve">ctividades de tipo informativo, de sensibilización o promocionales requerirá autorización municipal cuando concurra alguno de los siguientes supuestos: </w:t>
      </w:r>
    </w:p>
    <w:p w:rsidR="00B064CF" w:rsidRDefault="00E32F70">
      <w:pPr>
        <w:numPr>
          <w:ilvl w:val="1"/>
          <w:numId w:val="130"/>
        </w:numPr>
        <w:ind w:right="72" w:hanging="360"/>
      </w:pPr>
      <w:r>
        <w:t xml:space="preserve">Se necesite la acotación de una superficie del dominio público para su utilización.  </w:t>
      </w:r>
    </w:p>
    <w:p w:rsidR="00B064CF" w:rsidRDefault="00E32F70">
      <w:pPr>
        <w:numPr>
          <w:ilvl w:val="1"/>
          <w:numId w:val="130"/>
        </w:numPr>
        <w:ind w:right="72" w:hanging="360"/>
      </w:pPr>
      <w:r>
        <w:rPr>
          <w:rFonts w:ascii="Calibri" w:eastAsia="Calibri" w:hAnsi="Calibri" w:cs="Calibri"/>
          <w:noProof/>
        </w:rPr>
        <mc:AlternateContent>
          <mc:Choice Requires="wpg">
            <w:drawing>
              <wp:anchor distT="0" distB="0" distL="114300" distR="114300" simplePos="0" relativeHeight="25187020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7089" name="Group 407089"/>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5004" name="Rectangle 35004"/>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w:t>
                              </w:r>
                              <w:r>
                                <w:rPr>
                                  <w:sz w:val="12"/>
                                </w:rPr>
                                <w:t xml:space="preserve">n: 64SKSNYNJRFPNN5DLPPAAC3GS | Verificación: https://candelaria.sedelectronica.es/ </w:t>
                              </w:r>
                            </w:p>
                          </w:txbxContent>
                        </wps:txbx>
                        <wps:bodyPr horzOverflow="overflow" vert="horz" lIns="0" tIns="0" rIns="0" bIns="0" rtlCol="0">
                          <a:noAutofit/>
                        </wps:bodyPr>
                      </wps:wsp>
                      <wps:wsp>
                        <wps:cNvPr id="35005" name="Rectangle 35005"/>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203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7089" style="width:12.7031pt;height:278.91pt;position:absolute;mso-position-horizontal-relative:page;mso-position-horizontal:absolute;margin-left:682.278pt;mso-position-vertical-relative:page;margin-top:533.01pt;" coordsize="1613,35421">
                <v:rect id="Rectangle 35004"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5005"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203 de 298 </w:t>
                        </w:r>
                      </w:p>
                    </w:txbxContent>
                  </v:textbox>
                </v:rect>
                <w10:wrap type="square"/>
              </v:group>
            </w:pict>
          </mc:Fallback>
        </mc:AlternateContent>
      </w:r>
      <w:r>
        <w:t>Sea necesario, para el desarrollo de la actividad, la utilización de elemen</w:t>
      </w:r>
      <w:r>
        <w:t xml:space="preserve">tos de mobiliario o el empleo de instalaciones especiales. </w:t>
      </w:r>
    </w:p>
    <w:p w:rsidR="00B064CF" w:rsidRDefault="00E32F70">
      <w:pPr>
        <w:numPr>
          <w:ilvl w:val="0"/>
          <w:numId w:val="130"/>
        </w:numPr>
        <w:ind w:right="72" w:hanging="283"/>
      </w:pPr>
      <w:r>
        <w:t>El Ayuntamiento, discrecional y motivadamente, podrá denegar la autorización si considera que el contenido de la actividad es contrario a las leyes o perjudicial para el interés público o municipa</w:t>
      </w:r>
      <w:r>
        <w:t xml:space="preserve">l. </w:t>
      </w:r>
    </w:p>
    <w:p w:rsidR="00B064CF" w:rsidRDefault="00E32F70">
      <w:pPr>
        <w:numPr>
          <w:ilvl w:val="0"/>
          <w:numId w:val="130"/>
        </w:numPr>
        <w:ind w:right="72" w:hanging="283"/>
      </w:pPr>
      <w:r>
        <w:t>La autorización podrá otorgarse mediante un procedimiento preferente y sumario, salvo que las circunstancias que concurran o la complejidad del supuesto lo desaconseje, en cuyo caso se tramitará por el procedimiento ordinario. Sin perjuicio de lo expue</w:t>
      </w:r>
      <w:r>
        <w:t xml:space="preserve">sto, el procedimiento abreviado sólo se aplicará si la ocupación se limita a una única localización, no requiere la utilización de instalaciones o elementos especiales y no excede, en plazo de duración, los tres (3) días. </w:t>
      </w:r>
    </w:p>
    <w:p w:rsidR="00B064CF" w:rsidRDefault="00E32F70">
      <w:pPr>
        <w:tabs>
          <w:tab w:val="center" w:pos="3330"/>
        </w:tabs>
        <w:spacing w:after="11"/>
        <w:ind w:left="0" w:firstLine="0"/>
        <w:jc w:val="left"/>
      </w:pPr>
      <w:r>
        <w:t xml:space="preserve">Artículo 33. </w:t>
      </w:r>
      <w:r>
        <w:tab/>
      </w:r>
      <w:r>
        <w:t xml:space="preserve">Condiciones específicas y obligaciones </w:t>
      </w:r>
    </w:p>
    <w:p w:rsidR="00B064CF" w:rsidRDefault="00E32F70">
      <w:pPr>
        <w:numPr>
          <w:ilvl w:val="0"/>
          <w:numId w:val="131"/>
        </w:numPr>
        <w:ind w:right="72" w:hanging="283"/>
      </w:pPr>
      <w:r>
        <w:t>La persona o entidad autorizada será la única responsable del contenido de la actividad informativa, de sensibilización o promocional que pretenda llevar a cabo; y también lo será de organizar, ordenar y vigilar la c</w:t>
      </w:r>
      <w:r>
        <w:t xml:space="preserve">oncentración de personas que pueda generarse, de modo que no se impida la libre circulación de peatones y vehículos. </w:t>
      </w:r>
    </w:p>
    <w:p w:rsidR="00B064CF" w:rsidRDefault="00E32F70">
      <w:pPr>
        <w:numPr>
          <w:ilvl w:val="0"/>
          <w:numId w:val="131"/>
        </w:numPr>
        <w:ind w:right="72" w:hanging="283"/>
      </w:pPr>
      <w:r>
        <w:t>En la zona autorizada únicamente podrá realizarse la actividad objeto de autorización y en los términos concretos que vengan especificados</w:t>
      </w:r>
      <w:r>
        <w:t xml:space="preserve"> en la misma, debiendo ser ejercida exclusivamente por la persona o grupo de personas autorizado. </w:t>
      </w:r>
    </w:p>
    <w:p w:rsidR="00B064CF" w:rsidRDefault="00E32F70">
      <w:pPr>
        <w:numPr>
          <w:ilvl w:val="0"/>
          <w:numId w:val="131"/>
        </w:numPr>
        <w:ind w:right="72" w:hanging="283"/>
      </w:pPr>
      <w:r>
        <w:t>No podrá utilizarse el mobiliario urbano ni el arbolado para el anclaje o como soporte de cualquier elemento o instalación empleados en el desarrollo de la a</w:t>
      </w:r>
      <w:r>
        <w:t xml:space="preserve">ctividad autorizada. </w:t>
      </w:r>
    </w:p>
    <w:p w:rsidR="00B064CF" w:rsidRDefault="00E32F70">
      <w:pPr>
        <w:ind w:right="72"/>
      </w:pPr>
      <w:r>
        <w:t xml:space="preserve">Artículo 34. Características de los elementos </w:t>
      </w:r>
    </w:p>
    <w:p w:rsidR="00B064CF" w:rsidRDefault="00E32F70">
      <w:pPr>
        <w:ind w:left="293" w:right="72"/>
      </w:pPr>
      <w:r>
        <w:t>Todos los elementos que se dispongan en el dominio público estarán diseñados e instalados de tal forma que su utilización no represente real o potencial peligro para viandantes o usuarios</w:t>
      </w:r>
      <w:r>
        <w:t xml:space="preserve">. </w:t>
      </w:r>
    </w:p>
    <w:p w:rsidR="00B064CF" w:rsidRDefault="00E32F70">
      <w:pPr>
        <w:numPr>
          <w:ilvl w:val="0"/>
          <w:numId w:val="132"/>
        </w:numPr>
        <w:ind w:right="72" w:hanging="283"/>
      </w:pPr>
      <w:r>
        <w:t>Con carácter general, sin perjuicio de lo dispuesto en el número siguiente, los únicos elementos que se podrán utilizar para el desarrollo de las actividades serán exclusivamente mesas, sillas, sombrillas, carpas, y mamparas, quedando prohibido el emple</w:t>
      </w:r>
      <w:r>
        <w:t xml:space="preserve">o de cualquier elemento que requiera sistemas de sujeción o anclaje.  </w:t>
      </w:r>
    </w:p>
    <w:p w:rsidR="00B064CF" w:rsidRDefault="00E32F70">
      <w:pPr>
        <w:numPr>
          <w:ilvl w:val="0"/>
          <w:numId w:val="132"/>
        </w:numPr>
        <w:ind w:right="72" w:hanging="283"/>
      </w:pPr>
      <w:r>
        <w:t>En el caso de actividades divulgativas, y siempre que sus especiales características o dimensiones lo justifiquen, se podrá autorizar el empleo de las instalaciones y elementos especial</w:t>
      </w:r>
      <w:r>
        <w:t xml:space="preserve">es, en cuyo caso se estará a lo dispuesto en el artículo 11.  </w:t>
      </w:r>
    </w:p>
    <w:p w:rsidR="00B064CF" w:rsidRDefault="00E32F70">
      <w:pPr>
        <w:numPr>
          <w:ilvl w:val="0"/>
          <w:numId w:val="132"/>
        </w:numPr>
        <w:ind w:right="72" w:hanging="283"/>
      </w:pPr>
      <w:r>
        <w:t xml:space="preserve">Las carpas destinadas a actividades informativas, de sensibilización o promocionales cumplirán las siguientes condiciones:  </w:t>
      </w:r>
    </w:p>
    <w:p w:rsidR="00B064CF" w:rsidRDefault="00E32F70">
      <w:pPr>
        <w:ind w:left="705" w:right="72" w:hanging="360"/>
      </w:pPr>
      <w:r>
        <w:t>a) Se deberán disponer sobre bases y soportes que garanticen su esta</w:t>
      </w:r>
      <w:r>
        <w:t xml:space="preserve">bilidad y eviten vuelcos o caídas. </w:t>
      </w:r>
    </w:p>
    <w:p w:rsidR="00B064CF" w:rsidRDefault="00E32F70">
      <w:pPr>
        <w:numPr>
          <w:ilvl w:val="1"/>
          <w:numId w:val="133"/>
        </w:numPr>
        <w:ind w:right="72" w:hanging="360"/>
      </w:pPr>
      <w:r>
        <w:t xml:space="preserve">Las estructuras serán desmontables, instaladas sin elaboración de materiales in situ ni empleo de soldaduras, pudiendo ser desmanteladas sin operaciones de demolición. </w:t>
      </w:r>
    </w:p>
    <w:p w:rsidR="00B064CF" w:rsidRDefault="00E32F70">
      <w:pPr>
        <w:numPr>
          <w:ilvl w:val="1"/>
          <w:numId w:val="133"/>
        </w:numPr>
        <w:ind w:right="72" w:hanging="360"/>
      </w:pPr>
      <w:r>
        <w:rPr>
          <w:rFonts w:ascii="Calibri" w:eastAsia="Calibri" w:hAnsi="Calibri" w:cs="Calibri"/>
          <w:noProof/>
        </w:rPr>
        <mc:AlternateContent>
          <mc:Choice Requires="wpg">
            <w:drawing>
              <wp:anchor distT="0" distB="0" distL="114300" distR="114300" simplePos="0" relativeHeight="25187123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7233" name="Group 407233"/>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5118" name="Rectangle 35118"/>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64SKSNYNJRFPNN5DLPPAAC3GS | Ver</w:t>
                              </w:r>
                              <w:r>
                                <w:rPr>
                                  <w:sz w:val="12"/>
                                </w:rPr>
                                <w:t xml:space="preserve">ificación: https://candelaria.sedelectronica.es/ </w:t>
                              </w:r>
                            </w:p>
                          </w:txbxContent>
                        </wps:txbx>
                        <wps:bodyPr horzOverflow="overflow" vert="horz" lIns="0" tIns="0" rIns="0" bIns="0" rtlCol="0">
                          <a:noAutofit/>
                        </wps:bodyPr>
                      </wps:wsp>
                      <wps:wsp>
                        <wps:cNvPr id="35119" name="Rectangle 35119"/>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204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7233" style="width:12.7031pt;height:278.91pt;position:absolute;mso-position-horizontal-relative:page;mso-position-horizontal:absolute;margin-left:682.278pt;mso-position-vertical-relative:page;margin-top:533.01pt;" coordsize="1613,35421">
                <v:rect id="Rectangle 35118"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5119"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204 de 298 </w:t>
                        </w:r>
                      </w:p>
                    </w:txbxContent>
                  </v:textbox>
                </v:rect>
                <w10:wrap type="square"/>
              </v:group>
            </w:pict>
          </mc:Fallback>
        </mc:AlternateContent>
      </w:r>
      <w:r>
        <w:t>La altura libre mínima será de dos metros y veinte centímetros (2,20 m), y su altura máxima, como normal general, será de 3,00 m, medidos desde el suelo a su parte superior, salvo que las condiciones arquitectónicas específicas de las edificaciones requier</w:t>
      </w:r>
      <w:r>
        <w:t xml:space="preserve">an otros condicionantes para su instalación. </w:t>
      </w:r>
    </w:p>
    <w:p w:rsidR="00B064CF" w:rsidRDefault="00E32F70">
      <w:pPr>
        <w:numPr>
          <w:ilvl w:val="1"/>
          <w:numId w:val="133"/>
        </w:numPr>
        <w:ind w:right="72" w:hanging="360"/>
      </w:pPr>
      <w:r>
        <w:t>Como norma general, no podrán ubicarse a menos de dos metros (2,00 m) de distancia de cualquier fachada o cuerpo volado, sin perjuicio de que se exija otra distancia mayor, o bien, se aconseje adosarla a linder</w:t>
      </w:r>
      <w:r>
        <w:t xml:space="preserve">os o fachada, en la normativa que le sea de aplicación. </w:t>
      </w:r>
    </w:p>
    <w:p w:rsidR="00B064CF" w:rsidRDefault="00E32F70">
      <w:pPr>
        <w:numPr>
          <w:ilvl w:val="1"/>
          <w:numId w:val="133"/>
        </w:numPr>
        <w:ind w:right="72" w:hanging="360"/>
      </w:pPr>
      <w:r>
        <w:t xml:space="preserve">Deberán ser instalados por empresa especializada que garantice su estabilidad y seguridad.  </w:t>
      </w:r>
    </w:p>
    <w:p w:rsidR="00B064CF" w:rsidRDefault="00E32F70">
      <w:pPr>
        <w:spacing w:after="0" w:line="259" w:lineRule="auto"/>
        <w:ind w:left="0" w:firstLine="0"/>
        <w:jc w:val="left"/>
      </w:pPr>
      <w:r>
        <w:t xml:space="preserve"> </w:t>
      </w:r>
    </w:p>
    <w:p w:rsidR="00B064CF" w:rsidRDefault="00E32F70">
      <w:pPr>
        <w:spacing w:after="0"/>
        <w:ind w:right="72"/>
      </w:pPr>
      <w:r>
        <w:t xml:space="preserve">Sección 4ª. ACTIVIDADES DE CUESTACIÓN, PETITORIAS Y OTRAS SIMILARES CON FINES SOLIDARIOS  </w:t>
      </w:r>
    </w:p>
    <w:p w:rsidR="00B064CF" w:rsidRDefault="00E32F70">
      <w:pPr>
        <w:spacing w:after="0" w:line="259" w:lineRule="auto"/>
        <w:ind w:left="0" w:firstLine="0"/>
        <w:jc w:val="left"/>
      </w:pPr>
      <w:r>
        <w:t xml:space="preserve"> </w:t>
      </w:r>
    </w:p>
    <w:p w:rsidR="00B064CF" w:rsidRDefault="00E32F70">
      <w:pPr>
        <w:spacing w:after="11"/>
        <w:ind w:right="72"/>
      </w:pPr>
      <w:r>
        <w:t>Artículo 35</w:t>
      </w:r>
      <w:r>
        <w:t xml:space="preserve">. Supuestos sujetos a autorización </w:t>
      </w:r>
    </w:p>
    <w:p w:rsidR="00B064CF" w:rsidRDefault="00E32F70">
      <w:pPr>
        <w:numPr>
          <w:ilvl w:val="0"/>
          <w:numId w:val="134"/>
        </w:numPr>
        <w:ind w:right="72" w:hanging="283"/>
      </w:pPr>
      <w:r>
        <w:t xml:space="preserve">La ocupación del dominio público para la realización de actividades de cuestación, petitorias u otras similares con fines solidarios requerirá autorización municipal cuando concurra alguno de los siguientes supuestos: </w:t>
      </w:r>
    </w:p>
    <w:p w:rsidR="00B064CF" w:rsidRDefault="00E32F70">
      <w:pPr>
        <w:numPr>
          <w:ilvl w:val="1"/>
          <w:numId w:val="134"/>
        </w:numPr>
        <w:ind w:right="72" w:hanging="360"/>
      </w:pPr>
      <w:r>
        <w:t>S</w:t>
      </w:r>
      <w:r>
        <w:t xml:space="preserve">e necesite la acotación de una superficie del dominio público para su utilización.  </w:t>
      </w:r>
    </w:p>
    <w:p w:rsidR="00B064CF" w:rsidRDefault="00E32F70">
      <w:pPr>
        <w:numPr>
          <w:ilvl w:val="1"/>
          <w:numId w:val="134"/>
        </w:numPr>
        <w:ind w:right="72" w:hanging="360"/>
      </w:pPr>
      <w:r>
        <w:t xml:space="preserve">Sea necesario, para el desarrollo de la actividad, la utilización de elementos de mobiliario. </w:t>
      </w:r>
    </w:p>
    <w:p w:rsidR="00B064CF" w:rsidRDefault="00E32F70">
      <w:pPr>
        <w:numPr>
          <w:ilvl w:val="0"/>
          <w:numId w:val="134"/>
        </w:numPr>
        <w:ind w:right="72" w:hanging="283"/>
      </w:pPr>
      <w:r>
        <w:t>Las autorizaciones sólo se le otorgarán a organizaciones no gubernamentales, partidos políticos o entidades de carácter social sin ánimo de lucro, sin que puedan utilizarse para la promoción de ideas que puedan ser contrarias a los principios constituciona</w:t>
      </w:r>
      <w:r>
        <w:t xml:space="preserve">les o los derechos fundamentales. </w:t>
      </w:r>
    </w:p>
    <w:p w:rsidR="00B064CF" w:rsidRDefault="00E32F70">
      <w:pPr>
        <w:numPr>
          <w:ilvl w:val="0"/>
          <w:numId w:val="134"/>
        </w:numPr>
        <w:ind w:right="72" w:hanging="283"/>
      </w:pPr>
      <w:r>
        <w:t xml:space="preserve">El Ayuntamiento, discrecional y motivadamente, podrá denegar la autorización si considera que el contenido de la actividad es contrario a las leyes o perjudicial para el interés público o municipal. </w:t>
      </w:r>
    </w:p>
    <w:p w:rsidR="00B064CF" w:rsidRDefault="00E32F70">
      <w:pPr>
        <w:numPr>
          <w:ilvl w:val="0"/>
          <w:numId w:val="134"/>
        </w:numPr>
        <w:ind w:right="72" w:hanging="283"/>
      </w:pPr>
      <w:r>
        <w:t>La autorización podrá</w:t>
      </w:r>
      <w:r>
        <w:t xml:space="preserve"> otorgarse mediante un procedimiento abreviado, salvo que las circunstancias que concurran o la complejidad del supuesto lo desaconseje, en cuyo caso se tramitará por el procedimiento ordinario. Sin perjuicio de lo expuesto, el procedimiento abreviado sólo</w:t>
      </w:r>
      <w:r>
        <w:t xml:space="preserve"> se aplicará si la ocupación se limita a una única localización, no requiere la utilización de instalaciones o elementos especiales y no excede, en plazo de duración, los tres (3) días. </w:t>
      </w:r>
    </w:p>
    <w:p w:rsidR="00B064CF" w:rsidRDefault="00E32F70">
      <w:pPr>
        <w:spacing w:after="11"/>
        <w:ind w:right="72"/>
      </w:pPr>
      <w:r>
        <w:t xml:space="preserve">Artículo 36. Condiciones específicas y obligaciones </w:t>
      </w:r>
    </w:p>
    <w:p w:rsidR="00B064CF" w:rsidRDefault="00E32F70">
      <w:pPr>
        <w:numPr>
          <w:ilvl w:val="0"/>
          <w:numId w:val="135"/>
        </w:numPr>
        <w:ind w:right="72" w:hanging="283"/>
      </w:pPr>
      <w:r>
        <w:t>La persona o ent</w:t>
      </w:r>
      <w:r>
        <w:t>idad autorizada será la única responsable del contenido de la actividad de cuestación, petitoria o solidaria que pretenda llevar a cabo; y también lo será de organizar, ordenar y vigilar la concentración de personas que pueda generarse, de modo que no se i</w:t>
      </w:r>
      <w:r>
        <w:t xml:space="preserve">mpida la libre circulación de peatones y vehículos. </w:t>
      </w:r>
    </w:p>
    <w:p w:rsidR="00B064CF" w:rsidRDefault="00E32F70">
      <w:pPr>
        <w:numPr>
          <w:ilvl w:val="0"/>
          <w:numId w:val="135"/>
        </w:numPr>
        <w:ind w:right="72" w:hanging="283"/>
      </w:pPr>
      <w:r>
        <w:t>En la zona autorizada únicamente podrá realizarse la actividad objeto de autorización y en los términos concretos que vengan especificados en la misma, debiendo ser ejercida exclusivamente por la persona</w:t>
      </w:r>
      <w:r>
        <w:t xml:space="preserve"> o grupo de personas autorizado. </w:t>
      </w:r>
    </w:p>
    <w:p w:rsidR="00B064CF" w:rsidRDefault="00E32F70">
      <w:pPr>
        <w:numPr>
          <w:ilvl w:val="0"/>
          <w:numId w:val="135"/>
        </w:numPr>
        <w:ind w:right="72" w:hanging="283"/>
      </w:pPr>
      <w:r>
        <w:t xml:space="preserve">No podrá utilizarse el mobiliario urbano ni el arbolado para el anclaje o como soporte de cualquier elemento o instalación empleados en el desarrollo de la actividad autorizada. </w:t>
      </w:r>
    </w:p>
    <w:p w:rsidR="00B064CF" w:rsidRDefault="00E32F70">
      <w:pPr>
        <w:spacing w:after="11"/>
        <w:ind w:right="72"/>
      </w:pPr>
      <w:r>
        <w:t xml:space="preserve">Artículo 37. Características de los elementos </w:t>
      </w:r>
    </w:p>
    <w:p w:rsidR="00B064CF" w:rsidRDefault="00E32F70">
      <w:pPr>
        <w:ind w:left="283" w:right="1" w:hanging="283"/>
      </w:pPr>
      <w:r>
        <w:rPr>
          <w:rFonts w:ascii="Calibri" w:eastAsia="Calibri" w:hAnsi="Calibri" w:cs="Calibri"/>
          <w:noProof/>
        </w:rPr>
        <mc:AlternateContent>
          <mc:Choice Requires="wpg">
            <w:drawing>
              <wp:anchor distT="0" distB="0" distL="114300" distR="114300" simplePos="0" relativeHeight="25187225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7511" name="Group 407511"/>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5231" name="Rectangle 35231"/>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5232" name="Rectangle 35232"/>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205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7511" style="width:12.7031pt;height:278.91pt;position:absolute;mso-position-horizontal-relative:page;mso-position-horizontal:absolute;margin-left:682.278pt;mso-position-vertical-relative:page;margin-top:533.01pt;" coordsize="1613,35421">
                <v:rect id="Rectangle 35231"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5232"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205 de 298 </w:t>
                        </w:r>
                      </w:p>
                    </w:txbxContent>
                  </v:textbox>
                </v:rect>
                <w10:wrap type="square"/>
              </v:group>
            </w:pict>
          </mc:Fallback>
        </mc:AlternateContent>
      </w:r>
      <w:r>
        <w:t>2. Todos lo</w:t>
      </w:r>
      <w:r>
        <w:t>s elementos que se dispongan en el dominio público estarán diseñados e instalados de tal forma que su utilización no represente real o potencial peligro para viandantes o usuarios, debiendo cumplir las condiciones técnicas descritas en el artículo 34, apli</w:t>
      </w:r>
      <w:r>
        <w:t xml:space="preserve">cables a cada elemento. </w:t>
      </w:r>
    </w:p>
    <w:p w:rsidR="00B064CF" w:rsidRDefault="00E32F70">
      <w:pPr>
        <w:spacing w:after="0" w:line="259" w:lineRule="auto"/>
        <w:ind w:left="0" w:firstLine="0"/>
        <w:jc w:val="left"/>
      </w:pPr>
      <w:r>
        <w:t xml:space="preserve"> </w:t>
      </w:r>
    </w:p>
    <w:p w:rsidR="00B064CF" w:rsidRDefault="00E32F70">
      <w:pPr>
        <w:spacing w:after="11"/>
        <w:ind w:right="72"/>
      </w:pPr>
      <w:r>
        <w:t xml:space="preserve">CAPÍTULO 3 OCUPACIONES CON QUIOSCOS </w:t>
      </w:r>
    </w:p>
    <w:p w:rsidR="00B064CF" w:rsidRDefault="00E32F70">
      <w:pPr>
        <w:spacing w:after="11"/>
        <w:ind w:right="72"/>
      </w:pPr>
      <w:r>
        <w:t xml:space="preserve"> Artículo 38. Ocupaciones permitidas y título habilitante </w:t>
      </w:r>
    </w:p>
    <w:p w:rsidR="00B064CF" w:rsidRDefault="00E32F70">
      <w:pPr>
        <w:numPr>
          <w:ilvl w:val="0"/>
          <w:numId w:val="136"/>
        </w:numPr>
        <w:ind w:right="72" w:hanging="283"/>
      </w:pPr>
      <w:r>
        <w:t>El dominio público podrá ser ocupado con quioscos para: la venta de alimentos envasados, bebidas, prensa, flores, golosina y frutos s</w:t>
      </w:r>
      <w:r>
        <w:t>ecos, helados, flores, artesanías y otros productos análogos susceptibles de comercialización. El dominio también podrá ser ocupado con quioscos-bar destinados a la prestación de servicios de comidas y/o bebidas; en estos supuestos se podrá permitir la ocu</w:t>
      </w:r>
      <w:r>
        <w:t xml:space="preserve">pación del dominio público con los elementos accesorios exteriores (mesas, sillas, sombrillas, etc.) que sean necesarios para la efectiva prestación del servicio. </w:t>
      </w:r>
    </w:p>
    <w:p w:rsidR="00B064CF" w:rsidRDefault="00E32F70">
      <w:pPr>
        <w:numPr>
          <w:ilvl w:val="0"/>
          <w:numId w:val="136"/>
        </w:numPr>
        <w:ind w:right="72" w:hanging="283"/>
      </w:pPr>
      <w:r>
        <w:t>La ocupación con quioscos sólo se permitirá en los suelos de dominio público calificados com</w:t>
      </w:r>
      <w:r>
        <w:t xml:space="preserve">o espacios libres o peatonales, o destinados a tales usos. </w:t>
      </w:r>
    </w:p>
    <w:p w:rsidR="00B064CF" w:rsidRDefault="00E32F70">
      <w:pPr>
        <w:numPr>
          <w:ilvl w:val="0"/>
          <w:numId w:val="136"/>
        </w:numPr>
        <w:ind w:right="72" w:hanging="283"/>
      </w:pPr>
      <w:r>
        <w:t xml:space="preserve">Toda ocupación relacionada con los elementos o actividades previstas en este Capítulo deberá cumplir las condiciones generales, particulares y específicas, que le sean de aplicación, establecidas </w:t>
      </w:r>
      <w:r>
        <w:t xml:space="preserve">en la presente Ordenanza. </w:t>
      </w:r>
    </w:p>
    <w:p w:rsidR="00B064CF" w:rsidRDefault="00E32F70">
      <w:pPr>
        <w:numPr>
          <w:ilvl w:val="0"/>
          <w:numId w:val="136"/>
        </w:numPr>
        <w:ind w:right="72" w:hanging="283"/>
      </w:pPr>
      <w:r>
        <w:t>Por razones de coherencia con el entorno e imagen urbana de los quioscos cuya instalación se autorice en el término municipal, los quioscos deberán estar homologados por el Ayuntamiento que decidirá sobre la idoneidad de los mode</w:t>
      </w:r>
      <w:r>
        <w:t xml:space="preserve">los propuestos en función de su emplazamiento, a fin de procurar la mayor armonización posible con el entorno, por lo que podrá imponer, </w:t>
      </w:r>
    </w:p>
    <w:p w:rsidR="00B064CF" w:rsidRDefault="00B064CF">
      <w:pPr>
        <w:sectPr w:rsidR="00B064CF">
          <w:headerReference w:type="even" r:id="rId58"/>
          <w:headerReference w:type="default" r:id="rId59"/>
          <w:footerReference w:type="even" r:id="rId60"/>
          <w:footerReference w:type="default" r:id="rId61"/>
          <w:headerReference w:type="first" r:id="rId62"/>
          <w:footerReference w:type="first" r:id="rId63"/>
          <w:pgSz w:w="14174" w:h="16838"/>
          <w:pgMar w:top="2839" w:right="1997" w:bottom="1893" w:left="2553" w:header="693" w:footer="543" w:gutter="0"/>
          <w:cols w:space="720"/>
        </w:sectPr>
      </w:pPr>
    </w:p>
    <w:p w:rsidR="00B064CF" w:rsidRDefault="00E32F70">
      <w:pPr>
        <w:ind w:left="654" w:right="72"/>
      </w:pPr>
      <w:r>
        <w:t>de forma motivada, la estética, materiales, dimensiones, características y</w:t>
      </w:r>
      <w:r>
        <w:t xml:space="preserve"> prototipos de los quioscos. </w:t>
      </w:r>
    </w:p>
    <w:p w:rsidR="00B064CF" w:rsidRDefault="00E32F70">
      <w:pPr>
        <w:numPr>
          <w:ilvl w:val="0"/>
          <w:numId w:val="136"/>
        </w:numPr>
        <w:ind w:right="72" w:hanging="283"/>
      </w:pPr>
      <w:r>
        <w:t xml:space="preserve">La ocupación del dominio público con quiosco se sujeta a concesión administrativa cuyo régimen jurídico será el establecido en cada momento por la normativa patrimonial aplicable al municipio. </w:t>
      </w:r>
    </w:p>
    <w:p w:rsidR="00B064CF" w:rsidRDefault="00E32F70">
      <w:pPr>
        <w:numPr>
          <w:ilvl w:val="0"/>
          <w:numId w:val="136"/>
        </w:numPr>
        <w:ind w:right="72" w:hanging="283"/>
      </w:pPr>
      <w:r>
        <w:t>El procedimiento para el otorgam</w:t>
      </w:r>
      <w:r>
        <w:t>iento de autorización de instalación de un Quiosco podrá iniciarse de oficio o a solicitud de persona interesada. Las autorizaciones de ocupación del dominio público mediante un quiosco se otorgarán, directamente a los peticionarios que reúnan las condicio</w:t>
      </w:r>
      <w:r>
        <w:t>nes requeridas, salvo si, por cualquier circunstancia, se encontrase limitado su número, en cuyo caso lo serán en régimen de concurrencia. Si esta no fuera procedente, por no tener que valorarse condiciones especiales en los solicitantes, las autorizacione</w:t>
      </w:r>
      <w:r>
        <w:t xml:space="preserve">s se otorgarán mediante sorteo, si otra cosa no se hubiese establecido en las condiciones por las que se rigen. No serán transmisibles las autorizaciones para cuyo otorgamiento deban tenerse en cuenta circunstancias personales del autorizado o cuyo número </w:t>
      </w:r>
      <w:r>
        <w:t xml:space="preserve">se encuentre limitado, salvo que las condiciones por las que se rigen admitan su transmisión. </w:t>
      </w:r>
    </w:p>
    <w:p w:rsidR="00B064CF" w:rsidRDefault="00E32F70">
      <w:pPr>
        <w:spacing w:after="0"/>
        <w:ind w:left="654" w:right="72"/>
      </w:pPr>
      <w:r>
        <w:rPr>
          <w:rFonts w:ascii="Calibri" w:eastAsia="Calibri" w:hAnsi="Calibri" w:cs="Calibri"/>
          <w:noProof/>
        </w:rPr>
        <mc:AlternateContent>
          <mc:Choice Requires="wpg">
            <w:drawing>
              <wp:anchor distT="0" distB="0" distL="114300" distR="114300" simplePos="0" relativeHeight="25187328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7649" name="Group 407649"/>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5335" name="Rectangle 35335"/>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5336" name="Rectangle 35336"/>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206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7649" style="width:12.7031pt;height:278.91pt;position:absolute;mso-position-horizontal-relative:page;mso-position-horizontal:absolute;margin-left:682.278pt;mso-position-vertical-relative:page;margin-top:533.01pt;" coordsize="1613,35421">
                <v:rect id="Rectangle 35335"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5336"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206 de 298 </w:t>
                        </w:r>
                      </w:p>
                    </w:txbxContent>
                  </v:textbox>
                </v:rect>
                <w10:wrap type="square"/>
              </v:group>
            </w:pict>
          </mc:Fallback>
        </mc:AlternateContent>
      </w:r>
      <w:r>
        <w:t>En los procedimientos iniciados de oficio a petición de particulares, el Ayuntamiento podrá, por medio de anuncio público, invitar a otros posibles interesados a</w:t>
      </w:r>
      <w:r>
        <w:t xml:space="preserve"> presentar solicitudes. Si no media este acto de invitación, se dará publicidad a las solicitudes que se presenten, a través de su publicación en el BOP de Tenerife, así como en otros medios adicionales de difusión habituales y se abrirá un plazo de 30 día</w:t>
      </w:r>
      <w:r>
        <w:t xml:space="preserve">s durante el cual podrán presentarse solicitudes alternativas por otros interesados. Para decidir sobre el otorgamiento de la concesión para la instalación de un quiosco, se atenderá al mayor interés y utilidad pública. </w:t>
      </w:r>
    </w:p>
    <w:p w:rsidR="00B064CF" w:rsidRDefault="00E32F70">
      <w:pPr>
        <w:numPr>
          <w:ilvl w:val="0"/>
          <w:numId w:val="136"/>
        </w:numPr>
        <w:ind w:right="72" w:hanging="283"/>
      </w:pPr>
      <w:r>
        <w:t>Las autorizaciones habrán de otorga</w:t>
      </w:r>
      <w:r>
        <w:t xml:space="preserve">rse por tiempo determinado. Su plazo máximo de duración, será de 75 años, salvo que por la normativa especial se señale otro menor. </w:t>
      </w:r>
    </w:p>
    <w:p w:rsidR="00B064CF" w:rsidRDefault="00E32F70">
      <w:pPr>
        <w:numPr>
          <w:ilvl w:val="0"/>
          <w:numId w:val="136"/>
        </w:numPr>
        <w:ind w:right="72" w:hanging="283"/>
      </w:pPr>
      <w:r>
        <w:t xml:space="preserve">Las autorizaciones podrán ser revocadas en cualquier momento unilateralmente por la Administración concedente, por razones </w:t>
      </w:r>
      <w:r>
        <w:t>de interés público, sin generar derecho a indemnización, cuando resulten incompatibles con las condiciones generales probadas con posterioridad, produzcan daños en el dominio público, impidan su utilización para actividades de mayor interés público o menos</w:t>
      </w:r>
      <w:r>
        <w:t xml:space="preserve">caben el uso general. </w:t>
      </w:r>
    </w:p>
    <w:p w:rsidR="00B064CF" w:rsidRDefault="00E32F70">
      <w:pPr>
        <w:spacing w:after="11"/>
        <w:ind w:left="355" w:right="72"/>
      </w:pPr>
      <w:r>
        <w:t xml:space="preserve">Artículo 39. Condiciones específicas y obligaciones </w:t>
      </w:r>
    </w:p>
    <w:p w:rsidR="00B064CF" w:rsidRDefault="00E32F70">
      <w:pPr>
        <w:numPr>
          <w:ilvl w:val="0"/>
          <w:numId w:val="137"/>
        </w:numPr>
        <w:ind w:right="72" w:hanging="708"/>
      </w:pPr>
      <w:r>
        <w:t xml:space="preserve">La persona o entidad titular de la concesión para ocupar el dominio público deberá colocar en el quiosco, en un lugar visible, el título habilitante de la ocupación. </w:t>
      </w:r>
    </w:p>
    <w:p w:rsidR="00B064CF" w:rsidRDefault="00E32F70">
      <w:pPr>
        <w:numPr>
          <w:ilvl w:val="0"/>
          <w:numId w:val="137"/>
        </w:numPr>
        <w:ind w:right="72" w:hanging="708"/>
      </w:pPr>
      <w:r>
        <w:t>En ningún cas</w:t>
      </w:r>
      <w:r>
        <w:t xml:space="preserve">o podrá utilizarse el dominio público como lugar de depósito de productos o mercancías. También será considerado como depósito indebido, entre otros, el apilamiento de mobiliario, se produzca éste durante el horario de autorizado o fuera de él. </w:t>
      </w:r>
    </w:p>
    <w:p w:rsidR="00B064CF" w:rsidRDefault="00E32F70">
      <w:pPr>
        <w:numPr>
          <w:ilvl w:val="0"/>
          <w:numId w:val="137"/>
        </w:numPr>
        <w:ind w:right="72" w:hanging="708"/>
      </w:pPr>
      <w:r>
        <w:t xml:space="preserve">No podrán instalarse en el dominio público, ni en el interior de los quioscos ni fuera de ellos, aparatos reproductores de imagen o sonido. </w:t>
      </w:r>
    </w:p>
    <w:p w:rsidR="00B064CF" w:rsidRDefault="00E32F70">
      <w:pPr>
        <w:numPr>
          <w:ilvl w:val="0"/>
          <w:numId w:val="137"/>
        </w:numPr>
        <w:ind w:right="72" w:hanging="708"/>
      </w:pPr>
      <w:r>
        <w:t>Los quioscos sólo podrán ser explotados directamente por las personas físicas o jurídicas que hayan resultado adjud</w:t>
      </w:r>
      <w:r>
        <w:t xml:space="preserve">icatarias de las concesiones, sin perjuicio de que puedan contratar trabajadores para colaborar en la explotación. En tal caso, el personal contratado dependerá exclusivamente de la persona o entidad concesionaria, quien ostentará, a todos los efectos, la </w:t>
      </w:r>
      <w:r>
        <w:t xml:space="preserve">condición de empresario. </w:t>
      </w:r>
    </w:p>
    <w:p w:rsidR="00B064CF" w:rsidRDefault="00E32F70">
      <w:pPr>
        <w:numPr>
          <w:ilvl w:val="0"/>
          <w:numId w:val="137"/>
        </w:numPr>
        <w:ind w:right="72" w:hanging="708"/>
      </w:pPr>
      <w:r>
        <w:t xml:space="preserve">La persona o entidad titular de la concesión estará obligada, respecto a los trabajadores colaboradores en la explotación, al cumplimiento de las disposiciones vigentes en materia fiscal, laboral y de seguridad social. </w:t>
      </w:r>
    </w:p>
    <w:p w:rsidR="00B064CF" w:rsidRDefault="00E32F70">
      <w:pPr>
        <w:numPr>
          <w:ilvl w:val="0"/>
          <w:numId w:val="137"/>
        </w:numPr>
        <w:ind w:right="72" w:hanging="708"/>
      </w:pPr>
      <w:r>
        <w:t>La persona</w:t>
      </w:r>
      <w:r>
        <w:t xml:space="preserve"> o entidad titular de la concesión deberá, en su caso, mantener informado al Ayuntamiento de los trabajadores que colaboren con él en la explotación del quiosco, y si se produjera la baja o modificación de la relación laboral existente entre la persona con</w:t>
      </w:r>
      <w:r>
        <w:t xml:space="preserve">cesionaria y sus trabajadores, deberá ser comunicada al Ayuntamiento en el plazo máximo de quince días desde que se originó dicha variación. </w:t>
      </w:r>
    </w:p>
    <w:p w:rsidR="00B064CF" w:rsidRDefault="00E32F70">
      <w:pPr>
        <w:numPr>
          <w:ilvl w:val="0"/>
          <w:numId w:val="137"/>
        </w:numPr>
        <w:ind w:right="72" w:hanging="708"/>
      </w:pPr>
      <w:r>
        <w:t xml:space="preserve">El otorgamiento de la concesión no exime a su titular de la obligación de obtener los títulos habilitantes o para </w:t>
      </w:r>
      <w:r>
        <w:t xml:space="preserve">el ejercicio de la actividad comercial o de hostelería de que se trate y, en su caso, para la ejecución de las obras necesarias, todo ello de acuerdo con lo dispuesto en la legislación sectorial que resulte aplicable. </w:t>
      </w:r>
    </w:p>
    <w:p w:rsidR="00B064CF" w:rsidRDefault="00E32F70">
      <w:pPr>
        <w:numPr>
          <w:ilvl w:val="0"/>
          <w:numId w:val="137"/>
        </w:numPr>
        <w:ind w:right="72" w:hanging="708"/>
      </w:pPr>
      <w:r>
        <w:t>No podrá ejercerse actividad distinta</w:t>
      </w:r>
      <w:r>
        <w:t xml:space="preserve"> a la específicamente autorizada.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Artículo 40. Condiciones de los quioscos-bar </w:t>
      </w:r>
    </w:p>
    <w:p w:rsidR="00B064CF" w:rsidRDefault="00E32F70">
      <w:pPr>
        <w:numPr>
          <w:ilvl w:val="0"/>
          <w:numId w:val="138"/>
        </w:numPr>
        <w:ind w:left="628" w:right="72" w:hanging="283"/>
      </w:pPr>
      <w:r>
        <w:rPr>
          <w:rFonts w:ascii="Calibri" w:eastAsia="Calibri" w:hAnsi="Calibri" w:cs="Calibri"/>
          <w:noProof/>
        </w:rPr>
        <mc:AlternateContent>
          <mc:Choice Requires="wpg">
            <w:drawing>
              <wp:anchor distT="0" distB="0" distL="114300" distR="114300" simplePos="0" relativeHeight="25187430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7761" name="Group 407761"/>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5457" name="Rectangle 35457"/>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5458" name="Rectangle 35458"/>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207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7761" style="width:12.7031pt;height:278.91pt;position:absolute;mso-position-horizontal-relative:page;mso-position-horizontal:absolute;margin-left:682.278pt;mso-position-vertical-relative:page;margin-top:533.01pt;" coordsize="1613,35421">
                <v:rect id="Rectangle 35457"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5458"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207 de 298 </w:t>
                        </w:r>
                      </w:p>
                    </w:txbxContent>
                  </v:textbox>
                </v:rect>
                <w10:wrap type="square"/>
              </v:group>
            </w:pict>
          </mc:Fallback>
        </mc:AlternateContent>
      </w:r>
      <w:r>
        <w:t xml:space="preserve">Además de las señaladas en el artículo anterior, la instalación y explotación de un quiosco- bar se ajustará a las siguientes condiciones y obligaciones: </w:t>
      </w:r>
    </w:p>
    <w:p w:rsidR="00B064CF" w:rsidRDefault="00E32F70">
      <w:pPr>
        <w:numPr>
          <w:ilvl w:val="1"/>
          <w:numId w:val="138"/>
        </w:numPr>
        <w:ind w:right="72" w:hanging="360"/>
      </w:pPr>
      <w:r>
        <w:t>Manten</w:t>
      </w:r>
      <w:r>
        <w:t xml:space="preserve">er la instalación en perfecto estado de decoro, de manera que la misma no desentone del entorno y contribuya a embellecer, si fuera posible, el lugar. </w:t>
      </w:r>
    </w:p>
    <w:p w:rsidR="00B064CF" w:rsidRDefault="00E32F70">
      <w:pPr>
        <w:numPr>
          <w:ilvl w:val="1"/>
          <w:numId w:val="138"/>
        </w:numPr>
        <w:ind w:right="72" w:hanging="360"/>
      </w:pPr>
      <w:r>
        <w:t xml:space="preserve">Garantizar en todo momento la circulación peatonal sin impedir tampoco la visibilidad necesaria para el </w:t>
      </w:r>
      <w:r>
        <w:t xml:space="preserve">tráfico, con la obligación de cambiar de ubicación a su costa cuando les sea ordenado por el Ayuntamiento y a consecuencia de apertura de establecimientos frente a los que se localicen, u otra causa. </w:t>
      </w:r>
    </w:p>
    <w:p w:rsidR="00B064CF" w:rsidRDefault="00E32F70">
      <w:pPr>
        <w:numPr>
          <w:ilvl w:val="1"/>
          <w:numId w:val="138"/>
        </w:numPr>
        <w:ind w:right="72" w:hanging="360"/>
      </w:pPr>
      <w:r>
        <w:t>El Ayuntamiento se reserva la facultad de establecer no</w:t>
      </w:r>
      <w:r>
        <w:t xml:space="preserve">rmas necesarias para tratar de homogeneizar los quioscos, en cuanto a los materiales empleados, estructura, forma y dimensiones de los mismos.  </w:t>
      </w:r>
    </w:p>
    <w:p w:rsidR="00B064CF" w:rsidRDefault="00E32F70">
      <w:pPr>
        <w:numPr>
          <w:ilvl w:val="1"/>
          <w:numId w:val="138"/>
        </w:numPr>
        <w:ind w:right="72" w:hanging="360"/>
      </w:pPr>
      <w:r>
        <w:t>El quiosco-bar deberá contar con conexión a las redes de agua potable, electricidad y saneamiento, salvo que ta</w:t>
      </w:r>
      <w:r>
        <w:t xml:space="preserve">les servicios queden garantizados mediante soluciones alternativas. Todas las conducciones y acometidas al quiosco-bar serán necesariamente subterráneas. </w:t>
      </w:r>
    </w:p>
    <w:p w:rsidR="00B064CF" w:rsidRDefault="00E32F70">
      <w:pPr>
        <w:numPr>
          <w:ilvl w:val="1"/>
          <w:numId w:val="138"/>
        </w:numPr>
        <w:ind w:right="72" w:hanging="360"/>
      </w:pPr>
      <w:r>
        <w:t>La actividad que se desarrolle y los productos que se comercialicen deberán ajustarse a lo establecid</w:t>
      </w:r>
      <w:r>
        <w:t>o en su normativa específica, con estricto cumplimiento, en todo caso, de la normativa aplicable en materia de protección de consumidores y usuarios, de condiciones higiénico-sanitarias de los productos alimenticios, de elaboración, distribución y comercio</w:t>
      </w:r>
      <w:r>
        <w:t xml:space="preserve"> de comidas preparadas, y de los criterios sanitarios de la calidad del agua de consumo humano. </w:t>
      </w:r>
    </w:p>
    <w:p w:rsidR="00B064CF" w:rsidRDefault="00E32F70">
      <w:pPr>
        <w:numPr>
          <w:ilvl w:val="1"/>
          <w:numId w:val="138"/>
        </w:numPr>
        <w:ind w:right="72" w:hanging="360"/>
      </w:pPr>
      <w:r>
        <w:t>Todo el personal que colabore en la explotación deberá haber realizado cursos de formación higiénico-alimentaria, debiendo quedar tal circunstancia documentalm</w:t>
      </w:r>
      <w:r>
        <w:t xml:space="preserve">ente acreditada. </w:t>
      </w:r>
    </w:p>
    <w:p w:rsidR="00B064CF" w:rsidRDefault="00E32F70">
      <w:pPr>
        <w:numPr>
          <w:ilvl w:val="1"/>
          <w:numId w:val="138"/>
        </w:numPr>
        <w:ind w:right="72" w:hanging="360"/>
      </w:pPr>
      <w:r>
        <w:t xml:space="preserve">La persona o entidad concesionaria deberá poder acreditar documentalmente, en todo momento y mediante facturas o albaranes de empresa autorizada, la procedencia de los alimentos y bebidas. </w:t>
      </w:r>
    </w:p>
    <w:p w:rsidR="00B064CF" w:rsidRDefault="00E32F70">
      <w:pPr>
        <w:numPr>
          <w:ilvl w:val="1"/>
          <w:numId w:val="138"/>
        </w:numPr>
        <w:ind w:right="72" w:hanging="360"/>
      </w:pPr>
      <w:r>
        <w:t>El horario de funcionamiento de los quioscos-bar</w:t>
      </w:r>
      <w:r>
        <w:t xml:space="preserve"> será igual al establecido para las ocupaciones del dominio público vinculadas a actividades de hostelería. </w:t>
      </w:r>
    </w:p>
    <w:p w:rsidR="00B064CF" w:rsidRDefault="00E32F70">
      <w:pPr>
        <w:numPr>
          <w:ilvl w:val="0"/>
          <w:numId w:val="138"/>
        </w:numPr>
        <w:ind w:left="628" w:right="72" w:hanging="283"/>
      </w:pPr>
      <w:r>
        <w:t>Fuera del quiosco-bar podrán instalarse los elementos accesorios necesarios para la prestación del servicio, que en todo caso cumplirán las siguien</w:t>
      </w:r>
      <w:r>
        <w:t xml:space="preserve">tes condiciones: </w:t>
      </w:r>
    </w:p>
    <w:p w:rsidR="00B064CF" w:rsidRDefault="00E32F70">
      <w:pPr>
        <w:numPr>
          <w:ilvl w:val="1"/>
          <w:numId w:val="139"/>
        </w:numPr>
        <w:ind w:right="72" w:hanging="360"/>
      </w:pPr>
      <w:r>
        <w:t xml:space="preserve">Sólo podrán instalarse los expresamente autorizados en el acuerdo de la concesión. </w:t>
      </w:r>
    </w:p>
    <w:p w:rsidR="00B064CF" w:rsidRDefault="00E32F70">
      <w:pPr>
        <w:numPr>
          <w:ilvl w:val="1"/>
          <w:numId w:val="139"/>
        </w:numPr>
        <w:ind w:right="72" w:hanging="360"/>
      </w:pPr>
      <w:r>
        <w:t xml:space="preserve">No podrán ser diferentes a los señalados en el número 1 del artículo 18 y cumplirán las condiciones establecidas en el artículo 22.  </w:t>
      </w:r>
    </w:p>
    <w:p w:rsidR="00B064CF" w:rsidRDefault="00E32F70">
      <w:pPr>
        <w:numPr>
          <w:ilvl w:val="1"/>
          <w:numId w:val="139"/>
        </w:numPr>
        <w:ind w:right="72" w:hanging="360"/>
      </w:pPr>
      <w:r>
        <w:t>No podrán superar, e</w:t>
      </w:r>
      <w:r>
        <w:t xml:space="preserve">n subsuelo, suelo ni vuelo, los límites del espacio autorizado en la concesión, que deberá señalizarse de conformidad con lo dispuesto en el artículo 21. </w:t>
      </w:r>
    </w:p>
    <w:p w:rsidR="00B064CF" w:rsidRDefault="00E32F70">
      <w:pPr>
        <w:numPr>
          <w:ilvl w:val="1"/>
          <w:numId w:val="139"/>
        </w:numPr>
        <w:ind w:right="72" w:hanging="360"/>
      </w:pPr>
      <w:r>
        <w:t>Al finalizar el horario autorizado deberán ser retirados del dominio público todos los elementos de m</w:t>
      </w:r>
      <w:r>
        <w:t xml:space="preserve">obiliario no anclados al suelo (sillas, mesas, sombrillas y mamparas,) y deberán plegarse o enrollarse los toldos, si los hubiere. </w:t>
      </w:r>
    </w:p>
    <w:p w:rsidR="00B064CF" w:rsidRDefault="00E32F70">
      <w:pPr>
        <w:numPr>
          <w:ilvl w:val="1"/>
          <w:numId w:val="139"/>
        </w:numPr>
        <w:ind w:right="72" w:hanging="360"/>
      </w:pPr>
      <w:r>
        <w:rPr>
          <w:rFonts w:ascii="Calibri" w:eastAsia="Calibri" w:hAnsi="Calibri" w:cs="Calibri"/>
          <w:noProof/>
        </w:rPr>
        <mc:AlternateContent>
          <mc:Choice Requires="wpg">
            <w:drawing>
              <wp:anchor distT="0" distB="0" distL="114300" distR="114300" simplePos="0" relativeHeight="25187532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8322" name="Group 408322"/>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5574" name="Rectangle 35574"/>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5575" name="Rectangle 35575"/>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208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8322" style="width:12.7031pt;height:278.91pt;position:absolute;mso-position-horizontal-relative:page;mso-position-horizontal:absolute;margin-left:682.278pt;mso-position-vertical-relative:page;margin-top:533.01pt;" coordsize="1613,35421">
                <v:rect id="Rectangle 35574"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5575"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208 de 298 </w:t>
                        </w:r>
                      </w:p>
                    </w:txbxContent>
                  </v:textbox>
                </v:rect>
                <w10:wrap type="square"/>
              </v:group>
            </w:pict>
          </mc:Fallback>
        </mc:AlternateContent>
      </w:r>
      <w:r>
        <w:t>El espacio exterior ocupado deberá dotarse de medidas correctoras similares a las que, en su caso, fueran exigidas para el desarrollo de la actividad en terrazas</w:t>
      </w:r>
      <w:r>
        <w:t xml:space="preserve"> de uso privado. Dichas medidas serán las que determinen los servicios técnicos municipales y quedarán incorporadas a la autorización habilitante como condiciones de la misma. </w:t>
      </w:r>
    </w:p>
    <w:p w:rsidR="00B064CF" w:rsidRDefault="00E32F70">
      <w:pPr>
        <w:spacing w:after="11"/>
        <w:ind w:left="355" w:right="72"/>
      </w:pPr>
      <w:r>
        <w:t xml:space="preserve">Artículo 41. Traslado del quiosco </w:t>
      </w:r>
    </w:p>
    <w:p w:rsidR="00B064CF" w:rsidRDefault="00E32F70">
      <w:pPr>
        <w:numPr>
          <w:ilvl w:val="0"/>
          <w:numId w:val="140"/>
        </w:numPr>
        <w:ind w:left="628" w:right="72" w:hanging="283"/>
      </w:pPr>
      <w:r>
        <w:t>Cuando lo aconsejen circunstancias de urbani</w:t>
      </w:r>
      <w:r>
        <w:t xml:space="preserve">zación o tráfico, o cuando el interés general lo sugiera, el Ayuntamiento podrá ordenar motivadamente el traslado del quiosco a un nuevo emplazamiento, sin que ello genere derecho a indemnización al concesionario. </w:t>
      </w:r>
    </w:p>
    <w:p w:rsidR="00B064CF" w:rsidRDefault="00E32F70">
      <w:pPr>
        <w:numPr>
          <w:ilvl w:val="0"/>
          <w:numId w:val="140"/>
        </w:numPr>
        <w:ind w:left="628" w:right="72" w:hanging="283"/>
      </w:pPr>
      <w:r>
        <w:t>En tales supuestos, el Ayuntamiento reque</w:t>
      </w:r>
      <w:r>
        <w:t>rirá a la persona o entidad concesionaria para que proceda, en el plazo que se señale, a la retirada del quiosco, así como a ejecutar los trabajos necesarios para reponer la urbanización pública a su estado original y a dar de baja los servicios que pudier</w:t>
      </w:r>
      <w:r>
        <w:t xml:space="preserve">an existir. </w:t>
      </w:r>
    </w:p>
    <w:p w:rsidR="00B064CF" w:rsidRDefault="00E32F70">
      <w:pPr>
        <w:numPr>
          <w:ilvl w:val="0"/>
          <w:numId w:val="140"/>
        </w:numPr>
        <w:ind w:left="628" w:right="72" w:hanging="283"/>
      </w:pPr>
      <w:r>
        <w:t>Si el traslado no se efectuase voluntariamente por la persona concesionaria en el plazo concedido al efecto, el Ayuntamiento podrá hacerlo de forma subsidiaria, corriendo en tal caso los gastos ocasionados por cuenta de la persona titular de l</w:t>
      </w:r>
      <w:r>
        <w:t xml:space="preserve">a concesión. </w:t>
      </w:r>
    </w:p>
    <w:p w:rsidR="00B064CF" w:rsidRDefault="00E32F70">
      <w:pPr>
        <w:tabs>
          <w:tab w:val="center" w:pos="917"/>
          <w:tab w:val="center" w:pos="3801"/>
        </w:tabs>
        <w:spacing w:after="11"/>
        <w:ind w:left="0" w:firstLine="0"/>
        <w:jc w:val="left"/>
      </w:pPr>
      <w:r>
        <w:rPr>
          <w:rFonts w:ascii="Calibri" w:eastAsia="Calibri" w:hAnsi="Calibri" w:cs="Calibri"/>
        </w:rPr>
        <w:tab/>
      </w:r>
      <w:r>
        <w:t xml:space="preserve">Artículo 42. </w:t>
      </w:r>
      <w:r>
        <w:tab/>
        <w:t xml:space="preserve">Suspensión o revocación de la concesión </w:t>
      </w:r>
    </w:p>
    <w:p w:rsidR="00B064CF" w:rsidRDefault="00E32F70">
      <w:pPr>
        <w:numPr>
          <w:ilvl w:val="0"/>
          <w:numId w:val="141"/>
        </w:numPr>
        <w:ind w:left="628" w:right="72" w:hanging="283"/>
      </w:pPr>
      <w:r>
        <w:t>Cuando concurran circunstancias de interés general que impidan temporalmente la efectiva utilización del suelo para el destino autorizado, tales como obras, acontecimientos públicos, sit</w:t>
      </w:r>
      <w:r>
        <w:t>uaciones de emergencia o cualesquiera otras, y siempre que las mismas no tengan su origen en causas imputables a la persona o entidad concesionaria, el Ayuntamiento podrá decretar la suspensión del plazo concesional hasta que éstas desaparezcan. Dicha susp</w:t>
      </w:r>
      <w:r>
        <w:t xml:space="preserve">ensión no genera derecho a indemnización alguna a favor de la persona o entidad concesionaria, sin perjuicio de que se amplíe el plazo concesional por el tiempo que dure la suspensión. </w:t>
      </w:r>
    </w:p>
    <w:p w:rsidR="00B064CF" w:rsidRDefault="00E32F70">
      <w:pPr>
        <w:numPr>
          <w:ilvl w:val="0"/>
          <w:numId w:val="141"/>
        </w:numPr>
        <w:ind w:left="628" w:right="72" w:hanging="283"/>
      </w:pPr>
      <w:r>
        <w:t>En los supuestos previstos en el apartado anterior, el Ayuntamiento le</w:t>
      </w:r>
      <w:r>
        <w:t xml:space="preserve">vantará acta, que firmará junto a la persona o entidad concesionaria, en el plazo máximo de dos días desde el siguiente a aquel en el que se hubiera acordado la suspensión, y en la que se consignarán las circunstancias que la han motivado. </w:t>
      </w:r>
    </w:p>
    <w:p w:rsidR="00B064CF" w:rsidRDefault="00E32F70">
      <w:pPr>
        <w:numPr>
          <w:ilvl w:val="0"/>
          <w:numId w:val="141"/>
        </w:numPr>
        <w:ind w:left="628" w:right="72" w:hanging="283"/>
      </w:pPr>
      <w:r>
        <w:t>Además de las c</w:t>
      </w:r>
      <w:r>
        <w:t>ausas de extinción previstas con carácter general en la legislación patrimonial y de las particulares que consten en las condiciones que rijan la concesión, será causa de revocación de la misma por el Ayuntamiento, sin derecho a indemnización, que el quios</w:t>
      </w:r>
      <w:r>
        <w:t>co no se hubiese puesto en funcionamiento pasados tres meses desde la notificación de la adjudicación definitiva de la concesión o que permanezca cerrado, una vez instalado, durante un periodo continuado de 3 meses, o de 4 con interrupción en el transcurso</w:t>
      </w:r>
      <w:r>
        <w:t xml:space="preserve"> de 12 meses consecutivos, salvo que concurra causa justificada que deberá ser debidamente acreditada y validada por el Ayuntamiento.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CAPÍTULO 4 OCUPACIONES PARA EL DESARROLLO DE ESPECTÁCULOS Y FESTIVIDADES </w:t>
      </w:r>
    </w:p>
    <w:p w:rsidR="00B064CF" w:rsidRDefault="00E32F70">
      <w:pPr>
        <w:spacing w:after="11"/>
        <w:ind w:left="355" w:right="72"/>
      </w:pPr>
      <w:r>
        <w:t xml:space="preserve">TRADICIONALES </w:t>
      </w:r>
    </w:p>
    <w:p w:rsidR="00B064CF" w:rsidRDefault="00E32F70">
      <w:pPr>
        <w:spacing w:after="11"/>
        <w:ind w:left="355" w:right="72"/>
      </w:pPr>
      <w:r>
        <w:t xml:space="preserve">Artículo 43. Ocupaciones permitidas y título habilitante </w:t>
      </w:r>
    </w:p>
    <w:p w:rsidR="00B064CF" w:rsidRDefault="00E32F70">
      <w:pPr>
        <w:numPr>
          <w:ilvl w:val="0"/>
          <w:numId w:val="142"/>
        </w:numPr>
        <w:ind w:left="628" w:right="72" w:hanging="283"/>
      </w:pPr>
      <w:r>
        <w:rPr>
          <w:rFonts w:ascii="Calibri" w:eastAsia="Calibri" w:hAnsi="Calibri" w:cs="Calibri"/>
          <w:noProof/>
        </w:rPr>
        <mc:AlternateContent>
          <mc:Choice Requires="wpg">
            <w:drawing>
              <wp:anchor distT="0" distB="0" distL="114300" distR="114300" simplePos="0" relativeHeight="25187635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8427" name="Group 408427"/>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5676" name="Rectangle 35676"/>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5677" name="Rectangle 35677"/>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209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8427" style="width:12.7031pt;height:278.91pt;position:absolute;mso-position-horizontal-relative:page;mso-position-horizontal:absolute;margin-left:682.278pt;mso-position-vertical-relative:page;margin-top:533.01pt;" coordsize="1613,35421">
                <v:rect id="Rectangle 35676"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5677"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209 de 298 </w:t>
                        </w:r>
                      </w:p>
                    </w:txbxContent>
                  </v:textbox>
                </v:rect>
                <w10:wrap type="square"/>
              </v:group>
            </w:pict>
          </mc:Fallback>
        </mc:AlternateContent>
      </w:r>
      <w:r>
        <w:t xml:space="preserve">El dominio público podrá ser ocupado para el desarrollo de espectáculos y festividades tradicionales tales como conciertos, verbenas, cabalgatas, procesiones, pasacalles, desfiles, comidas populares, juegos infantiles u otras actividades similares que, de </w:t>
      </w:r>
      <w:r>
        <w:t>forma temporal, se celebren, una o varias de ellas, en el dominio público municipal con motivo de festividades tradicionales del municipio de Candelaria y de sus barrios, o de otras fechas o acontecimientos de interés general, turístico, social o benéfico,</w:t>
      </w:r>
      <w:r>
        <w:t xml:space="preserve"> independientemente del carácter civil o religioso de los mismos. </w:t>
      </w:r>
    </w:p>
    <w:p w:rsidR="00B064CF" w:rsidRDefault="00E32F70">
      <w:pPr>
        <w:numPr>
          <w:ilvl w:val="0"/>
          <w:numId w:val="142"/>
        </w:numPr>
        <w:ind w:left="628" w:right="72" w:hanging="283"/>
      </w:pPr>
      <w:r>
        <w:t>Toda ocupación relacionada con los elementos o actividades previstas en este Capítulo deberá cumplir las condiciones generales establecidas en el artículo 8, así como las condiciones partic</w:t>
      </w:r>
      <w:r>
        <w:t xml:space="preserve">ulares y las específicas que se establecen en los artículos siguientes de este Capítulo. La celebración de espectáculos públicos celebrados en el dominio público deberá cumplir, además, lo dispuesto en la normativa específica sobre los mismos. </w:t>
      </w:r>
    </w:p>
    <w:p w:rsidR="00B064CF" w:rsidRDefault="00E32F70">
      <w:pPr>
        <w:numPr>
          <w:ilvl w:val="0"/>
          <w:numId w:val="142"/>
        </w:numPr>
        <w:ind w:left="628" w:right="72" w:hanging="283"/>
      </w:pPr>
      <w:r>
        <w:t>La celebrac</w:t>
      </w:r>
      <w:r>
        <w:t>ión en el dominio público de las actividades reguladas en el presente Capítulo estará sujeta a autorización del Ayuntamiento, sin perjuicio de la obtención de aquellos títulos o informes que sean necesarios por razón de la actividad o su localización, inde</w:t>
      </w:r>
      <w:r>
        <w:t xml:space="preserve">pendientemente de que su otorgamiento o emisión pudiera ser competencia del propio Ayuntamiento o de otras Administraciones. </w:t>
      </w:r>
    </w:p>
    <w:p w:rsidR="00B064CF" w:rsidRDefault="00E32F70">
      <w:pPr>
        <w:numPr>
          <w:ilvl w:val="0"/>
          <w:numId w:val="142"/>
        </w:numPr>
        <w:ind w:left="628" w:right="72" w:hanging="283"/>
      </w:pPr>
      <w:r>
        <w:t xml:space="preserve">El Ayuntamiento podrá denegar la autorización de ocupación para la celebración en el dominio público de los actos previstos en el </w:t>
      </w:r>
      <w:r>
        <w:t>presente Capítulo cuando, por las previsiones de público asistente, por las características del dominio público o por razones de interés general, dichos actos puedan poner en peligro la seguridad o bienestar de terceros o puedan afectar de forma grave a la</w:t>
      </w:r>
      <w:r>
        <w:t xml:space="preserve"> accesibilidad y a los servicios públicos en la zona. Igualmente, podrá denegarse la autorización cuando la actividad solicitada se estime incompatible con otros actos programados en los mismos espacios o fechas, y en especial con aquellos organizados o pa</w:t>
      </w:r>
      <w:r>
        <w:t>trocinados por el Ayuntamiento de Candelaria o los organismos de él dependientes. Sin perjuicio de lo anterior, el Ayuntamiento podrá proponer a la entidad organizadora, si lo estima oportuno, espacios o fechas alternativos en los que pueda celebrarse el a</w:t>
      </w:r>
      <w:r>
        <w:t xml:space="preserve">cto. </w:t>
      </w:r>
    </w:p>
    <w:p w:rsidR="00B064CF" w:rsidRDefault="00E32F70">
      <w:pPr>
        <w:spacing w:after="11"/>
        <w:ind w:left="355" w:right="72"/>
      </w:pPr>
      <w:r>
        <w:t xml:space="preserve">Artículo 44. Condiciones específicas y obligaciones </w:t>
      </w:r>
    </w:p>
    <w:p w:rsidR="00B064CF" w:rsidRDefault="00E32F70">
      <w:pPr>
        <w:numPr>
          <w:ilvl w:val="0"/>
          <w:numId w:val="143"/>
        </w:numPr>
        <w:ind w:left="628" w:right="72" w:hanging="283"/>
      </w:pPr>
      <w:r>
        <w:t>El periodo autorizado de ocupación deberá incluir, además del plazo para el desarrollo del evento, el que adicionalmente se prevea, en su caso, para el total montaje y desmontaje de las instalacion</w:t>
      </w:r>
      <w:r>
        <w:t xml:space="preserve">es. </w:t>
      </w:r>
    </w:p>
    <w:p w:rsidR="00B064CF" w:rsidRDefault="00E32F70">
      <w:pPr>
        <w:numPr>
          <w:ilvl w:val="0"/>
          <w:numId w:val="143"/>
        </w:numPr>
        <w:ind w:left="628" w:right="72" w:hanging="283"/>
      </w:pPr>
      <w:r>
        <w:t xml:space="preserve">La persona o entidad autorizada será la responsable de que el equipo integrante de la organización y preparación del evento se encuentre debidamente acreditado. </w:t>
      </w:r>
    </w:p>
    <w:p w:rsidR="00B064CF" w:rsidRDefault="00E32F70">
      <w:pPr>
        <w:numPr>
          <w:ilvl w:val="0"/>
          <w:numId w:val="143"/>
        </w:numPr>
        <w:ind w:left="628" w:right="72" w:hanging="283"/>
      </w:pPr>
      <w:r>
        <w:t>El titular de la autorización designará a una persona como representante a efectos de man</w:t>
      </w:r>
      <w:r>
        <w:t>tener con el Ayuntamiento la debida comunicación y coordinación. Dicha persona, que habrá de estar permanentemente localizable y disponible durante el tiempo de ocupación autorizado, será la responsable de llevar a término las instrucciones que la Administ</w:t>
      </w:r>
      <w:r>
        <w:t xml:space="preserve">ración municipal pueda impartir a través de sus empleados o agentes. </w:t>
      </w:r>
    </w:p>
    <w:p w:rsidR="00B064CF" w:rsidRDefault="00E32F70">
      <w:pPr>
        <w:numPr>
          <w:ilvl w:val="0"/>
          <w:numId w:val="143"/>
        </w:numPr>
        <w:ind w:left="628" w:right="72" w:hanging="283"/>
      </w:pPr>
      <w:r>
        <w:t>La entidad o persona organizadora garantizará la presencia durante la celebración del evento, de los dispositivos de asistencia médica y de protección civil necesarios para la atención d</w:t>
      </w:r>
      <w:r>
        <w:t xml:space="preserve">e participantes y público, conforme establezca la legislación sectorial vigente en la materia. </w:t>
      </w:r>
    </w:p>
    <w:p w:rsidR="00B064CF" w:rsidRDefault="00E32F70">
      <w:pPr>
        <w:numPr>
          <w:ilvl w:val="0"/>
          <w:numId w:val="143"/>
        </w:numPr>
        <w:ind w:left="628" w:right="72" w:hanging="283"/>
      </w:pPr>
      <w:r>
        <w:t>La entidad o persona organizadora se responsabilizará de que, al finalizar el evento autorizado, el dominio público ocupado y su zona de influencia queden libre</w:t>
      </w:r>
      <w:r>
        <w:t xml:space="preserve">s de cualquier tipo de instalaciones, anclajes, elementos o residuos derivados de su celebración y en condiciones óptimas para que se reanude su uso normal. </w:t>
      </w:r>
    </w:p>
    <w:p w:rsidR="00B064CF" w:rsidRDefault="00E32F70">
      <w:pPr>
        <w:spacing w:after="11"/>
        <w:ind w:left="355" w:right="72"/>
      </w:pPr>
      <w:r>
        <w:t xml:space="preserve">Artículo 45. Características de los elementos y vehículos </w:t>
      </w:r>
    </w:p>
    <w:p w:rsidR="00B064CF" w:rsidRDefault="00E32F70">
      <w:pPr>
        <w:numPr>
          <w:ilvl w:val="0"/>
          <w:numId w:val="144"/>
        </w:numPr>
        <w:spacing w:after="165" w:line="250" w:lineRule="auto"/>
        <w:ind w:left="628" w:right="72" w:hanging="283"/>
      </w:pPr>
      <w:r>
        <w:rPr>
          <w:rFonts w:ascii="Calibri" w:eastAsia="Calibri" w:hAnsi="Calibri" w:cs="Calibri"/>
          <w:noProof/>
        </w:rPr>
        <mc:AlternateContent>
          <mc:Choice Requires="wpg">
            <w:drawing>
              <wp:anchor distT="0" distB="0" distL="114300" distR="114300" simplePos="0" relativeHeight="25187737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8508" name="Group 408508"/>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5785" name="Rectangle 35785"/>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5786" name="Rectangle 35786"/>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210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8508" style="width:12.7031pt;height:278.91pt;position:absolute;mso-position-horizontal-relative:page;mso-position-horizontal:absolute;margin-left:682.278pt;mso-position-vertical-relative:page;margin-top:533.01pt;" coordsize="1613,35421">
                <v:rect id="Rectangle 35785"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5786"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210 de 298 </w:t>
                        </w:r>
                      </w:p>
                    </w:txbxContent>
                  </v:textbox>
                </v:rect>
                <w10:wrap type="square"/>
              </v:group>
            </w:pict>
          </mc:Fallback>
        </mc:AlternateContent>
      </w:r>
      <w:r>
        <w:t>Todos los elementos que se dispongan en el dominio público es</w:t>
      </w:r>
      <w:r>
        <w:t xml:space="preserve">tarán diseñados e instalados de tal forma que su utilización no represente real o potencial peligro para viandantes o usuarios. </w:t>
      </w:r>
    </w:p>
    <w:p w:rsidR="00B064CF" w:rsidRDefault="00E32F70">
      <w:pPr>
        <w:numPr>
          <w:ilvl w:val="0"/>
          <w:numId w:val="144"/>
        </w:numPr>
        <w:ind w:left="628" w:right="72" w:hanging="283"/>
      </w:pPr>
      <w:r>
        <w:t xml:space="preserve">En caso de ser necesaria la utilización de instalaciones o elementos especiales, se estará a lo dispuesto en el artículo 11 de </w:t>
      </w:r>
      <w:r>
        <w:t xml:space="preserve">la presente Ordenanza. </w:t>
      </w:r>
    </w:p>
    <w:p w:rsidR="00B064CF" w:rsidRDefault="00E32F70">
      <w:pPr>
        <w:numPr>
          <w:ilvl w:val="0"/>
          <w:numId w:val="144"/>
        </w:numPr>
        <w:ind w:left="628" w:right="72" w:hanging="283"/>
      </w:pPr>
      <w:r>
        <w:t>Si en los actos participasen vehículos a motor, éstos deberán desplazarse a velocidad de paso humano y disponer del correspondiente permiso para poder circular por las vías públicas, estando debidamente homologados, así como encontr</w:t>
      </w:r>
      <w:r>
        <w:t xml:space="preserve">arse al corriente en el cumplimiento de las obligaciones que marque la legislación vigente en materia de Inspecciones Técnicas. </w:t>
      </w:r>
    </w:p>
    <w:p w:rsidR="00B064CF" w:rsidRDefault="00E32F70">
      <w:pPr>
        <w:numPr>
          <w:ilvl w:val="0"/>
          <w:numId w:val="144"/>
        </w:numPr>
        <w:ind w:left="628" w:right="72" w:hanging="283"/>
      </w:pPr>
      <w:r>
        <w:t>Cuando en el acto participen vehículos a motor a modo de carrozas o elementos similares, la entidad organizadora deberá asignar</w:t>
      </w:r>
      <w:r>
        <w:t xml:space="preserve"> un número de personas suficiente, y como mínimo una a cada lado, que acompañe a la carroza durante todo el recorrido del evento para garantizar la seguridad de terceros. </w:t>
      </w:r>
    </w:p>
    <w:p w:rsidR="00B064CF" w:rsidRDefault="00E32F70">
      <w:pPr>
        <w:numPr>
          <w:ilvl w:val="0"/>
          <w:numId w:val="144"/>
        </w:numPr>
        <w:ind w:left="628" w:right="72" w:hanging="283"/>
      </w:pPr>
      <w:r>
        <w:t xml:space="preserve">Las ocupaciones del dominio público reguladas en el presente Capítulo en las que se </w:t>
      </w:r>
      <w:r>
        <w:t>prevea una permanencia prolongada de asistentes en el espacio o recinto habilitado para la celebración del evento autorizado, precisará la instalación de sanitarios portátiles homologados, que no precisarán montaje alguno y que deberán cumplir los requisit</w:t>
      </w:r>
      <w:r>
        <w:t>os contenidos en la Norma UNE EN 16194:2012, sobre cabinas sanitarias móviles no conectadas al alcantarillado y requisitos de los servicios y productos relacionados con el suministro de cabinas y productos sanitarios, o normativa que la desarrolle o sustit</w:t>
      </w:r>
      <w:r>
        <w:t xml:space="preserve">uya. </w:t>
      </w:r>
    </w:p>
    <w:p w:rsidR="00B064CF" w:rsidRDefault="00E32F70">
      <w:pPr>
        <w:spacing w:after="0" w:line="259" w:lineRule="auto"/>
        <w:ind w:left="360" w:firstLine="0"/>
        <w:jc w:val="left"/>
      </w:pPr>
      <w:r>
        <w:t xml:space="preserve"> </w:t>
      </w:r>
    </w:p>
    <w:p w:rsidR="00B064CF" w:rsidRDefault="00E32F70">
      <w:pPr>
        <w:ind w:left="355" w:right="72"/>
      </w:pPr>
      <w:r>
        <w:t xml:space="preserve">CAPÍTULO 5 OCUPACIONES PARA EL DESARROLLO DE EVENTOS DEPORTIVOS </w:t>
      </w:r>
    </w:p>
    <w:p w:rsidR="00B064CF" w:rsidRDefault="00E32F70">
      <w:pPr>
        <w:spacing w:after="11"/>
        <w:ind w:left="355" w:right="72"/>
      </w:pPr>
      <w:r>
        <w:t xml:space="preserve">Artículo 46. Ocupaciones permitidas y título habilitante </w:t>
      </w:r>
    </w:p>
    <w:p w:rsidR="00B064CF" w:rsidRDefault="00E32F70">
      <w:pPr>
        <w:numPr>
          <w:ilvl w:val="0"/>
          <w:numId w:val="145"/>
        </w:numPr>
        <w:ind w:left="628" w:right="72" w:hanging="283"/>
      </w:pPr>
      <w:r>
        <w:t>El dominio público podrá ser ocupado para el desarrollo de carreras, marchas ciclistas y ciclo turistas, y otros eventos depo</w:t>
      </w:r>
      <w:r>
        <w:t xml:space="preserve">rtivos de análoga naturaleza que se desarrollen, total parcialmente, en el término municipal de Candelaria. </w:t>
      </w:r>
    </w:p>
    <w:p w:rsidR="00B064CF" w:rsidRDefault="00E32F70">
      <w:pPr>
        <w:numPr>
          <w:ilvl w:val="0"/>
          <w:numId w:val="145"/>
        </w:numPr>
        <w:ind w:left="628" w:right="72" w:hanging="283"/>
      </w:pPr>
      <w:r>
        <w:t>Toda ocupación relacionada con los elementos o actividades previstas en este Capítulo deberá cumplir las condiciones generales establecidas en el a</w:t>
      </w:r>
      <w:r>
        <w:t xml:space="preserve">rtículo 8, así como las condiciones particulares y las específicas que se establecen en los artículos siguientes de este Capítulo. </w:t>
      </w:r>
    </w:p>
    <w:p w:rsidR="00B064CF" w:rsidRDefault="00E32F70">
      <w:pPr>
        <w:numPr>
          <w:ilvl w:val="0"/>
          <w:numId w:val="145"/>
        </w:numPr>
        <w:ind w:left="628" w:right="72" w:hanging="283"/>
      </w:pPr>
      <w:r>
        <w:t>La celebración en el dominio público de las actividades reguladas en el presente Capítulo estará sujeta a autorización del A</w:t>
      </w:r>
      <w:r>
        <w:t>yuntamiento, sin perjuicio de la obtención de aquellos títulos o informes que sean necesarios por razón de la actividad o su localización, independientemente de que su otorgamiento o emisión pudiera ser competencia del propio Ayuntamiento o de otras Admini</w:t>
      </w:r>
      <w:r>
        <w:t xml:space="preserve">straciones. </w:t>
      </w:r>
    </w:p>
    <w:p w:rsidR="00B064CF" w:rsidRDefault="00E32F70">
      <w:pPr>
        <w:numPr>
          <w:ilvl w:val="0"/>
          <w:numId w:val="145"/>
        </w:numPr>
        <w:ind w:left="628" w:right="72" w:hanging="283"/>
      </w:pPr>
      <w:r>
        <w:rPr>
          <w:rFonts w:ascii="Calibri" w:eastAsia="Calibri" w:hAnsi="Calibri" w:cs="Calibri"/>
          <w:noProof/>
        </w:rPr>
        <mc:AlternateContent>
          <mc:Choice Requires="wpg">
            <w:drawing>
              <wp:anchor distT="0" distB="0" distL="114300" distR="114300" simplePos="0" relativeHeight="25187840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8951" name="Group 408951"/>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5893" name="Rectangle 35893"/>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5894" name="Rectangle 35894"/>
                        <wps:cNvSpPr/>
                        <wps:spPr>
                          <a:xfrm rot="-5399999">
                            <a:off x="-2094822" y="1257909"/>
                            <a:ext cx="44552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211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8951" style="width:12.7031pt;height:278.91pt;position:absolute;mso-position-horizontal-relative:page;mso-position-horizontal:absolute;margin-left:682.278pt;mso-position-vertical-relative:page;margin-top:533.01pt;" coordsize="1613,35421">
                <v:rect id="Rectangle 35893"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5894" style="position:absolute;width:44552;height:1132;left:-20948;top:1257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211 de 298 </w:t>
                        </w:r>
                      </w:p>
                    </w:txbxContent>
                  </v:textbox>
                </v:rect>
                <w10:wrap type="square"/>
              </v:group>
            </w:pict>
          </mc:Fallback>
        </mc:AlternateContent>
      </w:r>
      <w:r>
        <w:t>El Ayuntamiento podrá denegar la autorización de ocupación para la celebración en el dominio público de los eventos deportivos regulados en el presente Capítulo cuando, por las previsiones de público asistente, por las características del dominio público o</w:t>
      </w:r>
      <w:r>
        <w:t xml:space="preserve"> por razones de interés general, dichos eventos puedan poner en peligro la seguridad o bienestar de terceros o puedan afectar de forma grave a la accesibilidad y a los servicios públicos en la zona. Igualmente, podrá denegarse la autorización cuando la act</w:t>
      </w:r>
      <w:r>
        <w:t>ividad solicitada se estime incompatible con otros actos programados en los mismos espacios o fechas, y en especial con aquellos organizados o patrocinados por el Ayuntamiento de Candelaria o los organismos de él dependientes. Sin perjuicio de lo anterior,</w:t>
      </w:r>
      <w:r>
        <w:t xml:space="preserve"> el Ayuntamiento podrá proponer a la entidad organizadora, si lo estima oportuno, espacios o fechas alternativos en los que pueda celebrarse el evento. </w:t>
      </w:r>
    </w:p>
    <w:p w:rsidR="00B064CF" w:rsidRDefault="00E32F70">
      <w:pPr>
        <w:spacing w:after="11"/>
        <w:ind w:left="355" w:right="72"/>
      </w:pPr>
      <w:r>
        <w:t xml:space="preserve">Artículo 47. Condiciones específicas y obligaciones </w:t>
      </w:r>
    </w:p>
    <w:p w:rsidR="00B064CF" w:rsidRDefault="00E32F70">
      <w:pPr>
        <w:numPr>
          <w:ilvl w:val="0"/>
          <w:numId w:val="145"/>
        </w:numPr>
        <w:ind w:left="628" w:right="72" w:hanging="283"/>
      </w:pPr>
      <w:r>
        <w:t>El periodo autorizado de ocupación deberá incluir,</w:t>
      </w:r>
      <w:r>
        <w:t xml:space="preserve"> además del plazo para el desarrollo del evento deportivo, el que adicionalmente se prevea, en su caso, para el total montaje y desmontaje de las instalaciones. </w:t>
      </w:r>
    </w:p>
    <w:p w:rsidR="00B064CF" w:rsidRDefault="00E32F70">
      <w:pPr>
        <w:numPr>
          <w:ilvl w:val="0"/>
          <w:numId w:val="145"/>
        </w:numPr>
        <w:ind w:left="628" w:right="72" w:hanging="283"/>
      </w:pPr>
      <w:r>
        <w:t>La persona o entidad autorizada será la responsable de que el equipo integrante de la organiza</w:t>
      </w:r>
      <w:r>
        <w:t xml:space="preserve">ción y preparación del evento deportivo se encuentre debidamente acreditado. </w:t>
      </w:r>
    </w:p>
    <w:p w:rsidR="00B064CF" w:rsidRDefault="00E32F70">
      <w:pPr>
        <w:numPr>
          <w:ilvl w:val="0"/>
          <w:numId w:val="145"/>
        </w:numPr>
        <w:ind w:left="628" w:right="72" w:hanging="283"/>
      </w:pPr>
      <w:r>
        <w:t>El titular de la autorización designará a una persona como representante a efectos de mantener con el Ayuntamiento la debida comunicación y coordinación. Dicha persona, que habrá</w:t>
      </w:r>
      <w:r>
        <w:t xml:space="preserve"> de estar permanentemente localizable y disponible durante el tiempo de ocupación autorizado, será la responsable de llevar a término las instrucciones que la Administración municipal pueda impartir a través de sus empleados o agentes. </w:t>
      </w:r>
    </w:p>
    <w:p w:rsidR="00B064CF" w:rsidRDefault="00E32F70">
      <w:pPr>
        <w:numPr>
          <w:ilvl w:val="0"/>
          <w:numId w:val="145"/>
        </w:numPr>
        <w:ind w:left="628" w:right="72" w:hanging="283"/>
      </w:pPr>
      <w:r>
        <w:t>La entidad o person</w:t>
      </w:r>
      <w:r>
        <w:t>a organizadora garantizará la presencia durante la celebración del evento, de los dispositivos de asistencia médica y de protección civil necesarios para la atención de participantes y público, conforme establezca la legislación sectorial vigente en la mat</w:t>
      </w:r>
      <w:r>
        <w:t xml:space="preserve">eria. </w:t>
      </w:r>
    </w:p>
    <w:p w:rsidR="00B064CF" w:rsidRDefault="00E32F70">
      <w:pPr>
        <w:numPr>
          <w:ilvl w:val="0"/>
          <w:numId w:val="145"/>
        </w:numPr>
        <w:ind w:left="628" w:right="72" w:hanging="283"/>
      </w:pPr>
      <w:r>
        <w:t>La entidad o persona organizadora se responsabilizará de que, al finalizar el evento autorizado, el dominio público ocupado y su zona de influencia queden libres de cualquier tipo de instalaciones, anclajes, elementos o residuos derivados de su cele</w:t>
      </w:r>
      <w:r>
        <w:t xml:space="preserve">bración y en condiciones óptimas para que se reanude su uso normal. </w:t>
      </w:r>
    </w:p>
    <w:p w:rsidR="00B064CF" w:rsidRDefault="00E32F70">
      <w:pPr>
        <w:numPr>
          <w:ilvl w:val="0"/>
          <w:numId w:val="145"/>
        </w:numPr>
        <w:ind w:left="628" w:right="72" w:hanging="283"/>
      </w:pPr>
      <w:r>
        <w:t>Si fuese necesario acotar el espacio utilizado por los participantes a lo largo del itinerario del evento deportivo, se dispondrá durante todo el recorrido de un vehículo de apertura y ot</w:t>
      </w:r>
      <w:r>
        <w:t xml:space="preserve">ro de cierre. </w:t>
      </w:r>
    </w:p>
    <w:p w:rsidR="00B064CF" w:rsidRDefault="00E32F70">
      <w:pPr>
        <w:numPr>
          <w:ilvl w:val="0"/>
          <w:numId w:val="145"/>
        </w:numPr>
        <w:ind w:left="628" w:right="72" w:hanging="283"/>
      </w:pPr>
      <w:r>
        <w:t>La entidad o persona organizadora deberá señalizar aquellas zonas del itinerario autorizado que, el Ayuntamiento o la organización del evento, consideren como puntos de riesgo, responsabilizándose de que las personas participantes reciban, a</w:t>
      </w:r>
      <w:r>
        <w:t xml:space="preserve">ntes del inicio del evento, instrucciones precisas al respecto, pudiéndose ubicarse permanentemente personal de la organización en dichos puntos si se estimara conveniente. </w:t>
      </w:r>
    </w:p>
    <w:p w:rsidR="00B064CF" w:rsidRDefault="00E32F70">
      <w:pPr>
        <w:numPr>
          <w:ilvl w:val="0"/>
          <w:numId w:val="145"/>
        </w:numPr>
        <w:ind w:left="628" w:right="72" w:hanging="283"/>
      </w:pPr>
      <w:r>
        <w:t xml:space="preserve">Las señalizaciones que requiera la adecuada celebración del evento no podrán colocarse de manera que puedan provocar confusión para la circulación rodada ajena a la actividad deportiva, debiendo ser retiradas o borradas una vez que finalice el evento. </w:t>
      </w:r>
    </w:p>
    <w:p w:rsidR="00B064CF" w:rsidRDefault="00E32F70">
      <w:pPr>
        <w:spacing w:after="11"/>
        <w:ind w:left="355" w:right="72"/>
      </w:pPr>
      <w:r>
        <w:t>Art</w:t>
      </w:r>
      <w:r>
        <w:t xml:space="preserve">ículo 48. Características de los elementos </w:t>
      </w:r>
    </w:p>
    <w:p w:rsidR="00B064CF" w:rsidRDefault="00E32F70">
      <w:pPr>
        <w:numPr>
          <w:ilvl w:val="0"/>
          <w:numId w:val="146"/>
        </w:numPr>
        <w:spacing w:after="165" w:line="250" w:lineRule="auto"/>
        <w:ind w:left="628" w:right="72" w:hanging="283"/>
      </w:pPr>
      <w:r>
        <w:t xml:space="preserve">Todos los elementos que se dispongan en el dominio público estarán diseñados e instalados de tal forma que su utilización no represente real o potencial peligro para viandantes o usuarios. </w:t>
      </w:r>
    </w:p>
    <w:p w:rsidR="00B064CF" w:rsidRDefault="00E32F70">
      <w:pPr>
        <w:numPr>
          <w:ilvl w:val="0"/>
          <w:numId w:val="146"/>
        </w:numPr>
        <w:ind w:left="628" w:right="72" w:hanging="283"/>
      </w:pPr>
      <w:r>
        <w:t>En caso de ser necesar</w:t>
      </w:r>
      <w:r>
        <w:t xml:space="preserve">ia la utilización de instalaciones o elementos especiales, se estará a lo dispuesto en el artículo 11 de la presente Ordenanza. </w:t>
      </w:r>
    </w:p>
    <w:p w:rsidR="00B064CF" w:rsidRDefault="00E32F70">
      <w:pPr>
        <w:numPr>
          <w:ilvl w:val="0"/>
          <w:numId w:val="146"/>
        </w:numPr>
        <w:ind w:left="628" w:right="72" w:hanging="283"/>
      </w:pPr>
      <w:r>
        <w:rPr>
          <w:rFonts w:ascii="Calibri" w:eastAsia="Calibri" w:hAnsi="Calibri" w:cs="Calibri"/>
          <w:noProof/>
        </w:rPr>
        <mc:AlternateContent>
          <mc:Choice Requires="wpg">
            <w:drawing>
              <wp:anchor distT="0" distB="0" distL="114300" distR="114300" simplePos="0" relativeHeight="25187942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9177" name="Group 409177"/>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5999" name="Rectangle 35999"/>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6000" name="Rectangle 36000"/>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212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9177" style="width:12.7031pt;height:278.91pt;position:absolute;mso-position-horizontal-relative:page;mso-position-horizontal:absolute;margin-left:682.278pt;mso-position-vertical-relative:page;margin-top:533.01pt;" coordsize="1613,35421">
                <v:rect id="Rectangle 35999"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6000"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212 de 298 </w:t>
                        </w:r>
                      </w:p>
                    </w:txbxContent>
                  </v:textbox>
                </v:rect>
                <w10:wrap type="square"/>
              </v:group>
            </w:pict>
          </mc:Fallback>
        </mc:AlternateContent>
      </w:r>
      <w:r>
        <w:t>Las ocupaciones del dominio público reguladas en el presente Capítulo en las que se prevea una permanencia prolongada de asistentes en el espacio o recinto habil</w:t>
      </w:r>
      <w:r>
        <w:t>itado para la celebración del evento autorizado, precisará la instalación de sanitarios portátiles homologados, que no precisarán montaje alguno y que deberán cumplir los requisitos contenidos en la Norma UNE EN 16194:2012, sobre cabinas sanitarias móviles</w:t>
      </w:r>
      <w:r>
        <w:t xml:space="preserve"> no conectadas al alcantarillado y requisitos de los servicios y productos relacionados con el suministro de cabinas y productos sanitarios, o normativa que la desarrolle o sustituya.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CAPÍTULO 6. OTRAS OCUPACIONES </w:t>
      </w:r>
    </w:p>
    <w:p w:rsidR="00B064CF" w:rsidRDefault="00E32F70">
      <w:pPr>
        <w:spacing w:after="11"/>
        <w:ind w:left="355" w:right="72"/>
      </w:pPr>
      <w:r>
        <w:t>Artículo 49. Elementos para la protecc</w:t>
      </w:r>
      <w:r>
        <w:t xml:space="preserve">ión de las aceras.  </w:t>
      </w:r>
    </w:p>
    <w:p w:rsidR="00B064CF" w:rsidRDefault="00E32F70">
      <w:pPr>
        <w:numPr>
          <w:ilvl w:val="0"/>
          <w:numId w:val="146"/>
        </w:numPr>
        <w:ind w:left="628" w:right="72" w:hanging="283"/>
      </w:pPr>
      <w:r>
        <w:t xml:space="preserve">En el dominio público se podrán instalar elementos de protección de las aceras, que cumplirán la doble función de impedir el acceso indebido de vehículos a las mismas y proteger la libre circulación de peatones por ellas. </w:t>
      </w:r>
    </w:p>
    <w:p w:rsidR="00B064CF" w:rsidRDefault="00E32F70">
      <w:pPr>
        <w:numPr>
          <w:ilvl w:val="0"/>
          <w:numId w:val="146"/>
        </w:numPr>
        <w:spacing w:line="246" w:lineRule="auto"/>
        <w:ind w:left="628" w:right="72" w:hanging="283"/>
      </w:pPr>
      <w:r>
        <w:t>La instalaci</w:t>
      </w:r>
      <w:r>
        <w:t xml:space="preserve">ón de los elementos de protección de las aceras públicas se sujetará a autorización del Ayuntamiento, sin perjuicio de la obtención de aquellos títulos o informes que sean necesarios por razón de su localización. </w:t>
      </w:r>
    </w:p>
    <w:p w:rsidR="00B064CF" w:rsidRDefault="00E32F70">
      <w:pPr>
        <w:numPr>
          <w:ilvl w:val="0"/>
          <w:numId w:val="146"/>
        </w:numPr>
        <w:ind w:left="628" w:right="72" w:hanging="283"/>
      </w:pPr>
      <w:r>
        <w:t>Los elementos protectores pueden ser valla</w:t>
      </w:r>
      <w:r>
        <w:t>s, bolardos, pivotes o macetones, pudiendo ser el Ayuntamiento quien determine, para cada caso, la conveniencia o no de su instalación, así como el tipo de elemento a instalar, todo ello en atención al entorno urbanístico, a la ubicación y las característi</w:t>
      </w:r>
      <w:r>
        <w:t xml:space="preserve">cas del espacio público. El Ayuntamiento podrá exigir que cualquier elemento que se instale se ajuste a un modelo determinado en función del lugar donde se tengan que ubicar, para una mejor armonización con el entorno. </w:t>
      </w:r>
    </w:p>
    <w:p w:rsidR="00B064CF" w:rsidRDefault="00E32F70">
      <w:pPr>
        <w:numPr>
          <w:ilvl w:val="0"/>
          <w:numId w:val="146"/>
        </w:numPr>
        <w:ind w:left="628" w:right="72" w:hanging="283"/>
      </w:pPr>
      <w:r>
        <w:t>Todos los elementos que se dispongan</w:t>
      </w:r>
      <w:r>
        <w:t xml:space="preserve"> para la protección de las aceras estarán diseñados e instalados de tal forma que su utilización no represente real o potencial peligro para viandantes </w:t>
      </w:r>
    </w:p>
    <w:p w:rsidR="00B064CF" w:rsidRDefault="00E32F70">
      <w:pPr>
        <w:ind w:left="654" w:right="72"/>
      </w:pPr>
      <w:r>
        <w:t xml:space="preserve">o usuarios, debiendo cumplir las condiciones en materia de accesibilidad que le sean de aplicación. </w:t>
      </w:r>
    </w:p>
    <w:p w:rsidR="00B064CF" w:rsidRDefault="00E32F70">
      <w:pPr>
        <w:numPr>
          <w:ilvl w:val="0"/>
          <w:numId w:val="146"/>
        </w:numPr>
        <w:ind w:left="628" w:right="72" w:hanging="283"/>
      </w:pPr>
      <w:r>
        <w:t>La</w:t>
      </w:r>
      <w:r>
        <w:t>s vallas tendrán una altura comprendida entre noventa centímetros (0,90 m) y un metro y veinte centímetros (1,20 m) y serán de PVC o similar. La longitud máxima de cada valla no será superior a tres metros (3,00 m) y la distancia mínima entre dos vallas co</w:t>
      </w:r>
      <w:r>
        <w:t xml:space="preserve">nsecutivas no será inferior a un metro y cincuenta centímetros (1,50 m). </w:t>
      </w:r>
    </w:p>
    <w:p w:rsidR="00B064CF" w:rsidRDefault="00E32F70">
      <w:pPr>
        <w:numPr>
          <w:ilvl w:val="0"/>
          <w:numId w:val="146"/>
        </w:numPr>
        <w:ind w:left="628" w:right="72" w:hanging="283"/>
      </w:pPr>
      <w:r>
        <w:t>Los macetones no podrán superar la altura máxima 1,50 metros, incluyendo la especie vegetal plantada. Se separarán entre sí una distancia mínima de un metro y cincuenta centímetros (</w:t>
      </w:r>
      <w:r>
        <w:t>1,50 m) y se retirarán del borde de la acera al menos cuarenta centímetros (0,40 m). Las plantas podrán ser elegidas libremente por la persona o entidad titular de la autorización, siempre que no supongan molestias para los viandantes y no interfieran la v</w:t>
      </w:r>
      <w:r>
        <w:t xml:space="preserve">isibilidad de los demás elementos de la vía pública, corriendo a cargo de aquélla la obligación de cuidado y mantenimiento de las mismas. </w:t>
      </w:r>
    </w:p>
    <w:p w:rsidR="00B064CF" w:rsidRDefault="00E32F70">
      <w:pPr>
        <w:spacing w:after="11"/>
        <w:ind w:left="355" w:right="72"/>
      </w:pPr>
      <w:r>
        <w:t xml:space="preserve">Artículo 50. Espejos de tráfico </w:t>
      </w:r>
    </w:p>
    <w:p w:rsidR="00B064CF" w:rsidRDefault="00E32F70">
      <w:pPr>
        <w:numPr>
          <w:ilvl w:val="0"/>
          <w:numId w:val="147"/>
        </w:numPr>
        <w:ind w:left="628" w:right="72" w:hanging="283"/>
      </w:pPr>
      <w:r>
        <w:t xml:space="preserve">En el dominio público se podrán instalar espejos convexos en cruces peligrosos o en </w:t>
      </w:r>
      <w:r>
        <w:t xml:space="preserve">la salida de aparcamientos, con la finalidad de facilitar la visión de los conductores y mejorar así las condiciones de seguridad vial. </w:t>
      </w:r>
    </w:p>
    <w:p w:rsidR="00B064CF" w:rsidRDefault="00E32F70">
      <w:pPr>
        <w:numPr>
          <w:ilvl w:val="0"/>
          <w:numId w:val="147"/>
        </w:numPr>
        <w:ind w:left="628" w:right="72" w:hanging="283"/>
      </w:pPr>
      <w:r>
        <w:rPr>
          <w:rFonts w:ascii="Calibri" w:eastAsia="Calibri" w:hAnsi="Calibri" w:cs="Calibri"/>
          <w:noProof/>
        </w:rPr>
        <mc:AlternateContent>
          <mc:Choice Requires="wpg">
            <w:drawing>
              <wp:anchor distT="0" distB="0" distL="114300" distR="114300" simplePos="0" relativeHeight="25188044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9178" name="Group 409178"/>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6111" name="Rectangle 36111"/>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6112" name="Rectangle 36112"/>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213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9178" style="width:12.7031pt;height:278.91pt;position:absolute;mso-position-horizontal-relative:page;mso-position-horizontal:absolute;margin-left:682.278pt;mso-position-vertical-relative:page;margin-top:533.01pt;" coordsize="1613,35421">
                <v:rect id="Rectangle 36111"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6112"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213 de 298 </w:t>
                        </w:r>
                      </w:p>
                    </w:txbxContent>
                  </v:textbox>
                </v:rect>
                <w10:wrap type="square"/>
              </v:group>
            </w:pict>
          </mc:Fallback>
        </mc:AlternateContent>
      </w:r>
      <w:r>
        <w:t>La instalación de espejos de tráfico en el dominio público se sujetará a autorización del Ayuntamiento, sin perjuicio de la obtención de aquellos títulos o infor</w:t>
      </w:r>
      <w:r>
        <w:t xml:space="preserve">mes que sean necesarios por razón de su localización. </w:t>
      </w:r>
    </w:p>
    <w:p w:rsidR="00B064CF" w:rsidRDefault="00E32F70">
      <w:pPr>
        <w:numPr>
          <w:ilvl w:val="0"/>
          <w:numId w:val="147"/>
        </w:numPr>
        <w:ind w:left="628" w:right="72" w:hanging="283"/>
      </w:pPr>
      <w:r>
        <w:t>La autorización podrá otorgarse mediante un procedimiento abreviado, salvo que las circunstancias que concurran lo desaconseje o cuando la instalación se sujete a otros informes o autorizaciones sector</w:t>
      </w:r>
      <w:r>
        <w:t xml:space="preserve">iales. </w:t>
      </w:r>
    </w:p>
    <w:p w:rsidR="00B064CF" w:rsidRDefault="00E32F70">
      <w:pPr>
        <w:numPr>
          <w:ilvl w:val="0"/>
          <w:numId w:val="147"/>
        </w:numPr>
        <w:spacing w:after="165" w:line="250" w:lineRule="auto"/>
        <w:ind w:left="628" w:right="72" w:hanging="283"/>
      </w:pPr>
      <w:r>
        <w:t xml:space="preserve">Todo espejo de tráfico que se disponga sobre el dominio público estará diseñado e instalado de tal forma que su utilización no represente real o potencial peligro para viandantes o usuarios. </w:t>
      </w:r>
    </w:p>
    <w:p w:rsidR="00B064CF" w:rsidRDefault="00E32F70">
      <w:pPr>
        <w:numPr>
          <w:ilvl w:val="0"/>
          <w:numId w:val="147"/>
        </w:numPr>
        <w:ind w:left="628" w:right="72" w:hanging="283"/>
      </w:pPr>
      <w:r>
        <w:t xml:space="preserve">Los espejos se instalarán respetando, en todo caso, una </w:t>
      </w:r>
      <w:r>
        <w:t xml:space="preserve">altura libre de al menos dos metros y veinte centímetros (2,20 m), pudiendo anclarse a soportes verticales empotrados al suelo o directamente a la pared o fachada, siendo necesario, en este último supuesto, contar con la autorización del propietario de la </w:t>
      </w:r>
      <w:r>
        <w:t xml:space="preserve">misma. </w:t>
      </w:r>
    </w:p>
    <w:p w:rsidR="00B064CF" w:rsidRDefault="00E32F70">
      <w:pPr>
        <w:spacing w:after="11"/>
        <w:ind w:left="355" w:right="72"/>
      </w:pPr>
      <w:r>
        <w:t xml:space="preserve">Artículo 51. Cajeros automáticos y máquinas expendedoras </w:t>
      </w:r>
    </w:p>
    <w:p w:rsidR="00B064CF" w:rsidRDefault="00E32F70">
      <w:pPr>
        <w:numPr>
          <w:ilvl w:val="0"/>
          <w:numId w:val="148"/>
        </w:numPr>
        <w:ind w:left="628" w:right="72" w:hanging="283"/>
      </w:pPr>
      <w:r>
        <w:t xml:space="preserve">Sobre el dominio público municipal no se podrán instalar cajeros automáticos, máquinas expendedoras ni dispositivos similares. </w:t>
      </w:r>
    </w:p>
    <w:p w:rsidR="00B064CF" w:rsidRDefault="00E32F70">
      <w:pPr>
        <w:numPr>
          <w:ilvl w:val="0"/>
          <w:numId w:val="148"/>
        </w:numPr>
        <w:ind w:left="628" w:right="72" w:hanging="283"/>
      </w:pPr>
      <w:r>
        <w:t>La instalación de este tipo de dispositivos en las fachadas de</w:t>
      </w:r>
      <w:r>
        <w:t xml:space="preserve"> los inmuebles de modo que sus servicios sean prestados de forma directa e ininterrumpida a las personas usuarias del dominio público, constituye un aprovechamiento especial del mismo y se sujetará, en consecuencia, a la correspondiente autorización del Ay</w:t>
      </w:r>
      <w:r>
        <w:t>untamiento, sin perjuicio de la obtención de aquellos títulos o informes que sean necesarios por razón de la actividad o su localización, independientemente de que su otorgamiento o emisión pudiera ser competencia del propio Ayuntamiento o de otras Adminis</w:t>
      </w:r>
      <w:r>
        <w:t xml:space="preserve">traciones. No se otorgarán autorizaciones para la ocupación del dominio público si la actividad de expedición no cuenta con el título habilitante correspondiente. </w:t>
      </w:r>
    </w:p>
    <w:p w:rsidR="00B064CF" w:rsidRDefault="00E32F70">
      <w:pPr>
        <w:numPr>
          <w:ilvl w:val="0"/>
          <w:numId w:val="148"/>
        </w:numPr>
        <w:ind w:left="628" w:right="72" w:hanging="283"/>
      </w:pPr>
      <w:r>
        <w:t>Las personas o entidades titulares de las máquinas o dispositivos descritos en el número ant</w:t>
      </w:r>
      <w:r>
        <w:t>erior, así como quienes sean beneficiarios del aprovechamiento que generen, serán directamente responsables de las mismas y deberán adoptar las medidas necesarias para que la ocupación del dominio público que se genere no impida el uso normal del mismo, ob</w:t>
      </w:r>
      <w:r>
        <w:t xml:space="preserve">staculice el tránsito de peatones ni produzca molestias de ningún tipo a los vecinos.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TÍTULO IV INFRACCIONES Y SANCIONES  </w:t>
      </w:r>
    </w:p>
    <w:p w:rsidR="00B064CF" w:rsidRDefault="00E32F70">
      <w:pPr>
        <w:spacing w:after="11"/>
        <w:ind w:left="355" w:right="72"/>
      </w:pPr>
      <w:r>
        <w:t xml:space="preserve">Artículo 52. Sujetos responsables </w:t>
      </w:r>
    </w:p>
    <w:p w:rsidR="00B064CF" w:rsidRDefault="00E32F70">
      <w:pPr>
        <w:spacing w:after="0"/>
        <w:ind w:left="355" w:right="72"/>
      </w:pPr>
      <w:r>
        <w:t xml:space="preserve">Son sujetos responsables de las infracciones cometidas en la materia objeto de la presente Ordenanza: </w:t>
      </w:r>
    </w:p>
    <w:p w:rsidR="00B064CF" w:rsidRDefault="00E32F70">
      <w:pPr>
        <w:numPr>
          <w:ilvl w:val="0"/>
          <w:numId w:val="149"/>
        </w:numPr>
        <w:ind w:left="628" w:right="72" w:hanging="283"/>
      </w:pPr>
      <w:r>
        <w:t>Las personas físicas o jurídicas titulares de la autorización demanial, en caso de incumplimiento de las condiciones previstas en dicho título habilitant</w:t>
      </w:r>
      <w:r>
        <w:t xml:space="preserve">e o en esta Ordenanza. </w:t>
      </w:r>
    </w:p>
    <w:p w:rsidR="00B064CF" w:rsidRDefault="00E32F70">
      <w:pPr>
        <w:numPr>
          <w:ilvl w:val="0"/>
          <w:numId w:val="149"/>
        </w:numPr>
        <w:ind w:left="628" w:right="72" w:hanging="283"/>
      </w:pPr>
      <w:r>
        <w:t xml:space="preserve">Las personas físicas o jurídicas que ocupen el dominio público municipal o espacio privado de uso público y carezcan de título habilitante para ello. </w:t>
      </w:r>
    </w:p>
    <w:p w:rsidR="00B064CF" w:rsidRDefault="00E32F70">
      <w:pPr>
        <w:numPr>
          <w:ilvl w:val="0"/>
          <w:numId w:val="149"/>
        </w:numPr>
        <w:ind w:left="628" w:right="72" w:hanging="283"/>
      </w:pPr>
      <w:r>
        <w:t>En los supuestos en los que se produzca el cambio de titularidad de una actividad</w:t>
      </w:r>
      <w:r>
        <w:t>, el arrendamiento de su explotación o la cesión temporal del título habilitante para la apertura del establecimiento, será responsable el nuevo titular de la actividad, la persona arrendataria o la cesionaria, respectivamente, cuando siga ocupando el domi</w:t>
      </w:r>
      <w:r>
        <w:t xml:space="preserve">nio público al amparo de la autorización concedida al anterior titular y no haya obtenido una nueva autorización a su nombre. </w:t>
      </w:r>
    </w:p>
    <w:p w:rsidR="00B064CF" w:rsidRDefault="00E32F70">
      <w:pPr>
        <w:spacing w:after="11"/>
        <w:ind w:left="355" w:right="72"/>
      </w:pPr>
      <w:r>
        <w:t xml:space="preserve">Artículo 53. Tipificación de las infracciones </w:t>
      </w:r>
    </w:p>
    <w:p w:rsidR="00B064CF" w:rsidRDefault="00E32F70">
      <w:pPr>
        <w:spacing w:after="0"/>
        <w:ind w:left="355" w:right="72"/>
      </w:pPr>
      <w:r>
        <w:rPr>
          <w:rFonts w:ascii="Calibri" w:eastAsia="Calibri" w:hAnsi="Calibri" w:cs="Calibri"/>
          <w:noProof/>
        </w:rPr>
        <mc:AlternateContent>
          <mc:Choice Requires="wpg">
            <w:drawing>
              <wp:anchor distT="0" distB="0" distL="114300" distR="114300" simplePos="0" relativeHeight="25188147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9480" name="Group 409480"/>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6235" name="Rectangle 36235"/>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64SKSNYNJRFPNN5DLPPAAC3GS | Verificación: https://candelaria.s</w:t>
                              </w:r>
                              <w:r>
                                <w:rPr>
                                  <w:sz w:val="12"/>
                                </w:rPr>
                                <w:t xml:space="preserve">edelectronica.es/ </w:t>
                              </w:r>
                            </w:p>
                          </w:txbxContent>
                        </wps:txbx>
                        <wps:bodyPr horzOverflow="overflow" vert="horz" lIns="0" tIns="0" rIns="0" bIns="0" rtlCol="0">
                          <a:noAutofit/>
                        </wps:bodyPr>
                      </wps:wsp>
                      <wps:wsp>
                        <wps:cNvPr id="36236" name="Rectangle 36236"/>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214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9480" style="width:12.7031pt;height:278.91pt;position:absolute;mso-position-horizontal-relative:page;mso-position-horizontal:absolute;margin-left:682.278pt;mso-position-vertical-relative:page;margin-top:533.01pt;" coordsize="1613,35421">
                <v:rect id="Rectangle 36235"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6236"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214 de 298 </w:t>
                        </w:r>
                      </w:p>
                    </w:txbxContent>
                  </v:textbox>
                </v:rect>
                <w10:wrap type="square"/>
              </v:group>
            </w:pict>
          </mc:Fallback>
        </mc:AlternateContent>
      </w:r>
      <w:r>
        <w:t>Son infracciones, las acciones u omisiones que contravienen el condicionado de la resolución municipal de otorgamiento de la autorización, o</w:t>
      </w:r>
      <w:r>
        <w:t xml:space="preserve"> que contravienen lo dispuesto en esta Ordenanza. </w:t>
      </w:r>
    </w:p>
    <w:p w:rsidR="00B064CF" w:rsidRDefault="00E32F70">
      <w:pPr>
        <w:ind w:left="355" w:right="72"/>
      </w:pPr>
      <w:r>
        <w:t xml:space="preserve">1. Las infracciones a la presente Ordenanza se clasifican en leves, graves o muy graves. </w:t>
      </w:r>
    </w:p>
    <w:p w:rsidR="00B064CF" w:rsidRDefault="00E32F70">
      <w:pPr>
        <w:ind w:left="355" w:right="72"/>
      </w:pPr>
      <w:r>
        <w:t xml:space="preserve">6. Son infracciones leves las siguientes: </w:t>
      </w:r>
    </w:p>
    <w:p w:rsidR="00B064CF" w:rsidRDefault="00E32F70">
      <w:pPr>
        <w:numPr>
          <w:ilvl w:val="0"/>
          <w:numId w:val="150"/>
        </w:numPr>
        <w:ind w:right="72" w:hanging="360"/>
      </w:pPr>
      <w:r>
        <w:t xml:space="preserve">El deterioro leve del mobiliario urbano anejo o colindante con la instalación. </w:t>
      </w:r>
    </w:p>
    <w:p w:rsidR="00B064CF" w:rsidRDefault="00E32F70">
      <w:pPr>
        <w:numPr>
          <w:ilvl w:val="0"/>
          <w:numId w:val="150"/>
        </w:numPr>
        <w:ind w:right="72" w:hanging="360"/>
      </w:pPr>
      <w:r>
        <w:t xml:space="preserve">Depositar acopios, envases o enseres de cualquier clase junto a las instalaciones. </w:t>
      </w:r>
    </w:p>
    <w:p w:rsidR="00B064CF" w:rsidRDefault="00E32F70">
      <w:pPr>
        <w:numPr>
          <w:ilvl w:val="0"/>
          <w:numId w:val="150"/>
        </w:numPr>
        <w:ind w:right="72" w:hanging="360"/>
      </w:pPr>
      <w:r>
        <w:t xml:space="preserve">El apilamiento de mesas y sillas o cualquier otro elemento en la vía pública. </w:t>
      </w:r>
    </w:p>
    <w:p w:rsidR="00B064CF" w:rsidRDefault="00E32F70">
      <w:pPr>
        <w:numPr>
          <w:ilvl w:val="0"/>
          <w:numId w:val="150"/>
        </w:numPr>
        <w:ind w:right="72" w:hanging="360"/>
      </w:pPr>
      <w:r>
        <w:t>La falta de o</w:t>
      </w:r>
      <w:r>
        <w:t xml:space="preserve">rnato y limpieza del aprovechamiento o de la instalación de que se trate. </w:t>
      </w:r>
    </w:p>
    <w:p w:rsidR="00B064CF" w:rsidRDefault="00E32F70">
      <w:pPr>
        <w:numPr>
          <w:ilvl w:val="0"/>
          <w:numId w:val="150"/>
        </w:numPr>
        <w:ind w:right="72" w:hanging="360"/>
      </w:pPr>
      <w:r>
        <w:t xml:space="preserve">Desarrollar en la vía pública cualquier clase de actividad de compraventa de vehículos o de publicidad de la misma. </w:t>
      </w:r>
    </w:p>
    <w:p w:rsidR="00B064CF" w:rsidRDefault="00E32F70">
      <w:pPr>
        <w:numPr>
          <w:ilvl w:val="0"/>
          <w:numId w:val="150"/>
        </w:numPr>
        <w:spacing w:after="162" w:line="250" w:lineRule="auto"/>
        <w:ind w:right="72" w:hanging="360"/>
      </w:pPr>
      <w:r>
        <w:t xml:space="preserve">No señalar correcta y adecuadamente sobre el pavimento los límites de la ocupación autorizada, cuando ello resulte exigible en virtud de lo dispuesto en la presente Ordenanza. </w:t>
      </w:r>
    </w:p>
    <w:p w:rsidR="00B064CF" w:rsidRDefault="00E32F70">
      <w:pPr>
        <w:numPr>
          <w:ilvl w:val="0"/>
          <w:numId w:val="150"/>
        </w:numPr>
        <w:ind w:right="72" w:hanging="360"/>
      </w:pPr>
      <w:r>
        <w:t>La no exposición de la autorización y el plano de la misma en el establecimient</w:t>
      </w:r>
      <w:r>
        <w:t xml:space="preserve">o.  </w:t>
      </w:r>
    </w:p>
    <w:p w:rsidR="00B064CF" w:rsidRDefault="00E32F70">
      <w:pPr>
        <w:numPr>
          <w:ilvl w:val="0"/>
          <w:numId w:val="150"/>
        </w:numPr>
        <w:ind w:right="72" w:hanging="360"/>
      </w:pPr>
      <w:r>
        <w:t xml:space="preserve">Cualquier otro incumplimiento a lo dispuesto en esta Ordenanza que no esté calificado como grave o muy grave. </w:t>
      </w:r>
    </w:p>
    <w:p w:rsidR="00B064CF" w:rsidRDefault="00E32F70">
      <w:pPr>
        <w:numPr>
          <w:ilvl w:val="0"/>
          <w:numId w:val="151"/>
        </w:numPr>
        <w:spacing w:after="11"/>
        <w:ind w:left="592" w:right="72" w:hanging="247"/>
      </w:pPr>
      <w:r>
        <w:t xml:space="preserve">Son infracciones graves las siguientes: </w:t>
      </w:r>
    </w:p>
    <w:p w:rsidR="00B064CF" w:rsidRDefault="00E32F70">
      <w:pPr>
        <w:numPr>
          <w:ilvl w:val="1"/>
          <w:numId w:val="151"/>
        </w:numPr>
        <w:ind w:right="72" w:hanging="360"/>
      </w:pPr>
      <w:r>
        <w:t xml:space="preserve">La reiteración en la comisión de cualquier falta leve en un mismo año.  </w:t>
      </w:r>
    </w:p>
    <w:p w:rsidR="00B064CF" w:rsidRDefault="00E32F70">
      <w:pPr>
        <w:numPr>
          <w:ilvl w:val="1"/>
          <w:numId w:val="151"/>
        </w:numPr>
        <w:ind w:right="72" w:hanging="360"/>
      </w:pPr>
      <w:r>
        <w:t>La ocupación de mayor supe</w:t>
      </w:r>
      <w:r>
        <w:t xml:space="preserve">rficie que la autorizada. </w:t>
      </w:r>
    </w:p>
    <w:p w:rsidR="00B064CF" w:rsidRDefault="00E32F70">
      <w:pPr>
        <w:numPr>
          <w:ilvl w:val="1"/>
          <w:numId w:val="151"/>
        </w:numPr>
        <w:ind w:right="72" w:hanging="360"/>
      </w:pPr>
      <w:r>
        <w:t xml:space="preserve">La producción de molestias a los vecinos o transeúntes, reiteradas y acreditadas, derivadas del funcionamiento de la instalación. </w:t>
      </w:r>
    </w:p>
    <w:p w:rsidR="00B064CF" w:rsidRDefault="00E32F70">
      <w:pPr>
        <w:numPr>
          <w:ilvl w:val="1"/>
          <w:numId w:val="151"/>
        </w:numPr>
        <w:ind w:right="72" w:hanging="360"/>
      </w:pPr>
      <w:r>
        <w:t>Impedir la circulación peatonal, dificultar la visibilidad necesaria para el tráfico. e) Incumplir</w:t>
      </w:r>
      <w:r>
        <w:t xml:space="preserve"> las obligaciones, las instrucciones o los apercibimientos recibidos. </w:t>
      </w:r>
    </w:p>
    <w:p w:rsidR="00B064CF" w:rsidRDefault="00E32F70">
      <w:pPr>
        <w:numPr>
          <w:ilvl w:val="1"/>
          <w:numId w:val="151"/>
        </w:numPr>
        <w:ind w:right="72" w:hanging="360"/>
      </w:pPr>
      <w:r>
        <w:t xml:space="preserve">Realizar conexiones eléctricas no autorizadas. </w:t>
      </w:r>
    </w:p>
    <w:p w:rsidR="00B064CF" w:rsidRDefault="00E32F70">
      <w:pPr>
        <w:numPr>
          <w:ilvl w:val="1"/>
          <w:numId w:val="151"/>
        </w:numPr>
        <w:ind w:right="72" w:hanging="360"/>
      </w:pPr>
      <w:r>
        <w:t>Efectuar instalaciones cuyos elementos constructivos no estén en armonía con las determinaciones específicas en la autorización, o modifi</w:t>
      </w:r>
      <w:r>
        <w:t xml:space="preserve">carlas sin realizar la comunicación preceptiva. </w:t>
      </w:r>
    </w:p>
    <w:p w:rsidR="00B064CF" w:rsidRDefault="00E32F70">
      <w:pPr>
        <w:numPr>
          <w:ilvl w:val="1"/>
          <w:numId w:val="151"/>
        </w:numPr>
        <w:ind w:right="72" w:hanging="360"/>
      </w:pPr>
      <w:r>
        <w:t xml:space="preserve">La ocultación, manipulación o falsedad de los datos o de la documentación aportada con la intención de obtener la autorización. </w:t>
      </w:r>
    </w:p>
    <w:p w:rsidR="00B064CF" w:rsidRDefault="00E32F70">
      <w:pPr>
        <w:numPr>
          <w:ilvl w:val="1"/>
          <w:numId w:val="151"/>
        </w:numPr>
        <w:ind w:right="72" w:hanging="360"/>
      </w:pPr>
      <w:r>
        <w:t>El deterioro grave de espacios públicos y de cualquiera de sus instalaciones y</w:t>
      </w:r>
      <w:r>
        <w:t xml:space="preserve">/o los elementos del mobiliario urbano anejos o colindantes con la instalación. </w:t>
      </w:r>
    </w:p>
    <w:p w:rsidR="00B064CF" w:rsidRDefault="00E32F70">
      <w:pPr>
        <w:numPr>
          <w:ilvl w:val="1"/>
          <w:numId w:val="151"/>
        </w:numPr>
        <w:ind w:right="72" w:hanging="360"/>
      </w:pPr>
      <w:r>
        <w:t xml:space="preserve">La no exhibición del documento de la autorización a los agentes de la autoridad que lo requieran, así como cualquier otra obstaculización de la labor inspectora. </w:t>
      </w:r>
    </w:p>
    <w:p w:rsidR="00B064CF" w:rsidRDefault="00E32F70">
      <w:pPr>
        <w:numPr>
          <w:ilvl w:val="1"/>
          <w:numId w:val="151"/>
        </w:numPr>
        <w:ind w:right="72" w:hanging="360"/>
      </w:pPr>
      <w:r>
        <w:t>La instalaci</w:t>
      </w:r>
      <w:r>
        <w:t xml:space="preserve">ón de aparatos que puedan suponer un riesgo, sin el preceptivo seguro. </w:t>
      </w:r>
    </w:p>
    <w:p w:rsidR="00B064CF" w:rsidRDefault="00E32F70">
      <w:pPr>
        <w:numPr>
          <w:ilvl w:val="1"/>
          <w:numId w:val="151"/>
        </w:numPr>
        <w:ind w:right="72" w:hanging="360"/>
      </w:pPr>
      <w:r>
        <w:rPr>
          <w:rFonts w:ascii="Calibri" w:eastAsia="Calibri" w:hAnsi="Calibri" w:cs="Calibri"/>
          <w:noProof/>
        </w:rPr>
        <mc:AlternateContent>
          <mc:Choice Requires="wpg">
            <w:drawing>
              <wp:anchor distT="0" distB="0" distL="114300" distR="114300" simplePos="0" relativeHeight="25188249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9917" name="Group 409917"/>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6357" name="Rectangle 36357"/>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6358" name="Rectangle 36358"/>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215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9917" style="width:12.7031pt;height:278.91pt;position:absolute;mso-position-horizontal-relative:page;mso-position-horizontal:absolute;margin-left:682.278pt;mso-position-vertical-relative:page;margin-top:533.01pt;" coordsize="1613,35421">
                <v:rect id="Rectangle 36357"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6358"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215 de 298 </w:t>
                        </w:r>
                      </w:p>
                    </w:txbxContent>
                  </v:textbox>
                </v:rect>
                <w10:wrap type="square"/>
              </v:group>
            </w:pict>
          </mc:Fallback>
        </mc:AlternateContent>
      </w:r>
      <w:r>
        <w:t>No retirar inmediatamente los elementos instalados sobre el espacio público, una vez finalizado el horario o período autorizado, cuando ello fuera exigible en cu</w:t>
      </w:r>
      <w:r>
        <w:t xml:space="preserve">mplimiento de esta Ordenanza o de las condiciones de la autorización. </w:t>
      </w:r>
    </w:p>
    <w:p w:rsidR="00B064CF" w:rsidRDefault="00E32F70">
      <w:pPr>
        <w:numPr>
          <w:ilvl w:val="1"/>
          <w:numId w:val="151"/>
        </w:numPr>
        <w:ind w:right="72" w:hanging="360"/>
      </w:pPr>
      <w:r>
        <w:t xml:space="preserve">No retirar los restos de embalajes o envoltorios procedentes de la instalación de los elementos autorizados. </w:t>
      </w:r>
    </w:p>
    <w:p w:rsidR="00B064CF" w:rsidRDefault="00E32F70">
      <w:pPr>
        <w:numPr>
          <w:ilvl w:val="1"/>
          <w:numId w:val="151"/>
        </w:numPr>
        <w:spacing w:after="3" w:line="404" w:lineRule="auto"/>
        <w:ind w:right="72" w:hanging="360"/>
      </w:pPr>
      <w:r>
        <w:t xml:space="preserve">El mantenimiento de la instalación en mal estado. gg) La realización en la </w:t>
      </w:r>
      <w:r>
        <w:t xml:space="preserve">vía pública de extensiones de actividades no autorizadas. </w:t>
      </w:r>
    </w:p>
    <w:p w:rsidR="00B064CF" w:rsidRDefault="00E32F70">
      <w:pPr>
        <w:numPr>
          <w:ilvl w:val="1"/>
          <w:numId w:val="152"/>
        </w:numPr>
        <w:ind w:right="72" w:hanging="360"/>
      </w:pPr>
      <w:r>
        <w:t xml:space="preserve">La ocupación del dominio público con elementos no autorizados afectos a una actividad hostelera, comercial o de oficina. </w:t>
      </w:r>
    </w:p>
    <w:p w:rsidR="00B064CF" w:rsidRDefault="00E32F70">
      <w:pPr>
        <w:numPr>
          <w:ilvl w:val="1"/>
          <w:numId w:val="152"/>
        </w:numPr>
        <w:ind w:right="72" w:hanging="360"/>
      </w:pPr>
      <w:r>
        <w:t>La venta y/o exposición de vehículos de motor y ciclomotores efectuadas a t</w:t>
      </w:r>
      <w:r>
        <w:t xml:space="preserve">ítulo particular por el titular de los mismos, entendiendo por tal a la persona cuya identificación figure en el permiso de circulación. </w:t>
      </w:r>
    </w:p>
    <w:p w:rsidR="00B064CF" w:rsidRDefault="00E32F70">
      <w:pPr>
        <w:numPr>
          <w:ilvl w:val="1"/>
          <w:numId w:val="152"/>
        </w:numPr>
        <w:ind w:right="72" w:hanging="360"/>
      </w:pPr>
      <w:r>
        <w:t>La ocupación con elementos, accesorios o instalaciones que no se ajusten a los requisitos que para los mismos se estab</w:t>
      </w:r>
      <w:r>
        <w:t xml:space="preserve">lecen en esta Ordenanza. </w:t>
      </w:r>
    </w:p>
    <w:p w:rsidR="00B064CF" w:rsidRDefault="00E32F70">
      <w:pPr>
        <w:numPr>
          <w:ilvl w:val="1"/>
          <w:numId w:val="152"/>
        </w:numPr>
        <w:ind w:right="72" w:hanging="360"/>
      </w:pPr>
      <w:r>
        <w:t xml:space="preserve">No señalar sobre el pavimento los límites de la ocupación autorizada, cuando ello resulte exigible en virtud de lo dispuesto en la presente Ordenanza. </w:t>
      </w:r>
    </w:p>
    <w:p w:rsidR="00B064CF" w:rsidRDefault="00E32F70">
      <w:pPr>
        <w:numPr>
          <w:ilvl w:val="1"/>
          <w:numId w:val="152"/>
        </w:numPr>
        <w:ind w:right="72" w:hanging="360"/>
      </w:pPr>
      <w:r>
        <w:t xml:space="preserve">Incumplir, en menos de una hora, el horario de ocupación autorizado. </w:t>
      </w:r>
    </w:p>
    <w:p w:rsidR="00B064CF" w:rsidRDefault="00E32F70">
      <w:pPr>
        <w:numPr>
          <w:ilvl w:val="0"/>
          <w:numId w:val="151"/>
        </w:numPr>
        <w:ind w:left="592" w:right="72" w:hanging="247"/>
      </w:pPr>
      <w:r>
        <w:t>Serán in</w:t>
      </w:r>
      <w:r>
        <w:t xml:space="preserve">fracciones muy graves las siguientes: </w:t>
      </w:r>
    </w:p>
    <w:p w:rsidR="00B064CF" w:rsidRDefault="00E32F70">
      <w:pPr>
        <w:numPr>
          <w:ilvl w:val="1"/>
          <w:numId w:val="153"/>
        </w:numPr>
        <w:ind w:right="72" w:hanging="360"/>
      </w:pPr>
      <w:r>
        <w:t xml:space="preserve">La ocupación de los espacios públicos sin la obtención del correspondiente título habilitante, ya sea por no haberlo solicitado o por haber sido denegado. </w:t>
      </w:r>
    </w:p>
    <w:p w:rsidR="00B064CF" w:rsidRDefault="00E32F70">
      <w:pPr>
        <w:numPr>
          <w:ilvl w:val="1"/>
          <w:numId w:val="153"/>
        </w:numPr>
        <w:ind w:right="72" w:hanging="360"/>
      </w:pPr>
      <w:r>
        <w:t>Desobedecer las órdenes emanadas de la Autoridad Municipal co</w:t>
      </w:r>
      <w:r>
        <w:t xml:space="preserve">mpetente.  </w:t>
      </w:r>
    </w:p>
    <w:p w:rsidR="00B064CF" w:rsidRDefault="00E32F70">
      <w:pPr>
        <w:numPr>
          <w:ilvl w:val="1"/>
          <w:numId w:val="153"/>
        </w:numPr>
        <w:ind w:right="72" w:hanging="360"/>
      </w:pPr>
      <w:r>
        <w:t xml:space="preserve">Mantener la instalación una vez suspendida o revocada la autorización. </w:t>
      </w:r>
    </w:p>
    <w:p w:rsidR="00B064CF" w:rsidRDefault="00E32F70">
      <w:pPr>
        <w:numPr>
          <w:ilvl w:val="1"/>
          <w:numId w:val="153"/>
        </w:numPr>
        <w:ind w:right="72" w:hanging="360"/>
      </w:pPr>
      <w:r>
        <w:t xml:space="preserve">Mantener la instalación una vez finalizado el plano de vigencia de la autorización sin que ésta se hubiese renovado tácita o expresamente. </w:t>
      </w:r>
    </w:p>
    <w:p w:rsidR="00B064CF" w:rsidRDefault="00E32F70">
      <w:pPr>
        <w:numPr>
          <w:ilvl w:val="1"/>
          <w:numId w:val="153"/>
        </w:numPr>
        <w:ind w:right="72" w:hanging="360"/>
      </w:pPr>
      <w:r>
        <w:t>El incumplimiento de alguna de l</w:t>
      </w:r>
      <w:r>
        <w:t xml:space="preserve">as condiciones de la autorización referida a la seguridad de los elementos a instalar. </w:t>
      </w:r>
    </w:p>
    <w:p w:rsidR="00B064CF" w:rsidRDefault="00E32F70">
      <w:pPr>
        <w:numPr>
          <w:ilvl w:val="1"/>
          <w:numId w:val="153"/>
        </w:numPr>
        <w:ind w:right="72" w:hanging="360"/>
      </w:pPr>
      <w:r>
        <w:t>La ocupación material del dominio público sin la cobertura, cuando resulte exigible, del seguro de responsabilidad civil a que se refiere el número 3 del artículo 9, ya</w:t>
      </w:r>
      <w:r>
        <w:t xml:space="preserve"> fuera por no haberlo contratado o por no renovar el que se hubiera suscrito. </w:t>
      </w:r>
    </w:p>
    <w:p w:rsidR="00B064CF" w:rsidRDefault="00E32F70">
      <w:pPr>
        <w:numPr>
          <w:ilvl w:val="1"/>
          <w:numId w:val="153"/>
        </w:numPr>
        <w:ind w:right="72" w:hanging="360"/>
      </w:pPr>
      <w:r>
        <w:t>La ocupación material del dominio público sin haber constituido previamente la garantía a que se refiere el número 1 del artículo 9, cuando se hubiera impuesto como condición de</w:t>
      </w:r>
      <w:r>
        <w:t xml:space="preserve"> eficacia de la autorización. </w:t>
      </w:r>
    </w:p>
    <w:p w:rsidR="00B064CF" w:rsidRDefault="00E32F70">
      <w:pPr>
        <w:numPr>
          <w:ilvl w:val="1"/>
          <w:numId w:val="153"/>
        </w:numPr>
        <w:ind w:right="72" w:hanging="360"/>
      </w:pPr>
      <w:r>
        <w:t xml:space="preserve">La puesta en funcionamiento de una instalación sin haber presentado ante el Ayuntamiento de Candelaria la documentación acreditativa de la seguridad de la misma. </w:t>
      </w:r>
    </w:p>
    <w:p w:rsidR="00B064CF" w:rsidRDefault="00E32F70">
      <w:pPr>
        <w:numPr>
          <w:ilvl w:val="1"/>
          <w:numId w:val="153"/>
        </w:numPr>
        <w:ind w:right="72" w:hanging="360"/>
      </w:pPr>
      <w:r>
        <w:rPr>
          <w:rFonts w:ascii="Calibri" w:eastAsia="Calibri" w:hAnsi="Calibri" w:cs="Calibri"/>
          <w:noProof/>
        </w:rPr>
        <mc:AlternateContent>
          <mc:Choice Requires="wpg">
            <w:drawing>
              <wp:anchor distT="0" distB="0" distL="114300" distR="114300" simplePos="0" relativeHeight="25188352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09988" name="Group 409988"/>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6478" name="Rectangle 36478"/>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6479" name="Rectangle 36479"/>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216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9988" style="width:12.7031pt;height:278.91pt;position:absolute;mso-position-horizontal-relative:page;mso-position-horizontal:absolute;margin-left:682.278pt;mso-position-vertical-relative:page;margin-top:533.01pt;" coordsize="1613,35421">
                <v:rect id="Rectangle 36478"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6479"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216 de 298 </w:t>
                        </w:r>
                      </w:p>
                    </w:txbxContent>
                  </v:textbox>
                </v:rect>
                <w10:wrap type="square"/>
              </v:group>
            </w:pict>
          </mc:Fallback>
        </mc:AlternateContent>
      </w:r>
      <w:r>
        <w:t xml:space="preserve">La puesta en funcionamiento de una instalación sin estar en posesión del certificado técnico a que se refiere el número 4 del artículo 11, cuando fuera exigible. </w:t>
      </w:r>
    </w:p>
    <w:p w:rsidR="00B064CF" w:rsidRDefault="00E32F70">
      <w:pPr>
        <w:numPr>
          <w:ilvl w:val="1"/>
          <w:numId w:val="153"/>
        </w:numPr>
        <w:ind w:right="72" w:hanging="360"/>
      </w:pPr>
      <w:r>
        <w:t xml:space="preserve">Incumplir, en más de una hora, el horario de ocupación autorizado. </w:t>
      </w:r>
    </w:p>
    <w:p w:rsidR="00B064CF" w:rsidRDefault="00E32F70">
      <w:pPr>
        <w:numPr>
          <w:ilvl w:val="1"/>
          <w:numId w:val="153"/>
        </w:numPr>
        <w:ind w:right="72" w:hanging="360"/>
      </w:pPr>
      <w:r>
        <w:t>La producción de molestia</w:t>
      </w:r>
      <w:r>
        <w:t xml:space="preserve">s graves a los vecinos o transeúntes derivadas del funcionamiento de la actividad llevada a cabo en el dominio público, incumpliendo las condiciones establecidas en esta Ordenanza o en la autorización otorgada. </w:t>
      </w:r>
    </w:p>
    <w:p w:rsidR="00B064CF" w:rsidRDefault="00E32F70">
      <w:pPr>
        <w:numPr>
          <w:ilvl w:val="1"/>
          <w:numId w:val="153"/>
        </w:numPr>
        <w:ind w:right="72" w:hanging="360"/>
      </w:pPr>
      <w:r>
        <w:t>El impedimento o la grave y relevante obstru</w:t>
      </w:r>
      <w:r>
        <w:t xml:space="preserve">cción al normal funcionamiento de un servicio público.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Artículo 54. Sanciones </w:t>
      </w:r>
    </w:p>
    <w:p w:rsidR="00B064CF" w:rsidRDefault="00E32F70">
      <w:pPr>
        <w:spacing w:line="246" w:lineRule="auto"/>
        <w:ind w:left="628" w:right="58" w:hanging="283"/>
        <w:jc w:val="left"/>
      </w:pPr>
      <w:r>
        <w:t>1. Cualquier infracción a las disposiciones de la presente Ordenanza será sancionada, según proceda, con: un mero apercibimiento y/o la incautación de la fianza y/o la suspen</w:t>
      </w:r>
      <w:r>
        <w:t xml:space="preserve">sión y la revocación de la autorización junto con la retirada de la instalación y/o el precinto de las instalaciones y la imposición de multa conforme al punto 2 del presente. </w:t>
      </w:r>
    </w:p>
    <w:p w:rsidR="00B064CF" w:rsidRDefault="00E32F70">
      <w:pPr>
        <w:numPr>
          <w:ilvl w:val="0"/>
          <w:numId w:val="154"/>
        </w:numPr>
        <w:ind w:left="628" w:right="72" w:hanging="283"/>
      </w:pPr>
      <w:r>
        <w:t xml:space="preserve">Las infracciones a la presente Ordenanza se sancionarán de la siguiente forma: </w:t>
      </w:r>
    </w:p>
    <w:p w:rsidR="00B064CF" w:rsidRDefault="00E32F70">
      <w:pPr>
        <w:numPr>
          <w:ilvl w:val="1"/>
          <w:numId w:val="154"/>
        </w:numPr>
        <w:spacing w:after="198"/>
        <w:ind w:right="72" w:hanging="360"/>
      </w:pPr>
      <w:r>
        <w:t xml:space="preserve">Las infracciones leves, con mero apercibimiento o con multa de doscientos euros (200,00 €) a setecientos cincuenta euros (750,00 €). </w:t>
      </w:r>
    </w:p>
    <w:p w:rsidR="00B064CF" w:rsidRDefault="00E32F70">
      <w:pPr>
        <w:numPr>
          <w:ilvl w:val="1"/>
          <w:numId w:val="154"/>
        </w:numPr>
        <w:ind w:right="72" w:hanging="360"/>
      </w:pPr>
      <w:r>
        <w:t xml:space="preserve">Las infracciones graves con multa de setecientos cincuenta y un euros (751,00 €) a mil quinientos euros (1.500 €) y/o, con la suspensión y revocación de la autorización junto con la retirada de la instalación o precinto de las instalaciones por un periodo </w:t>
      </w:r>
      <w:r>
        <w:t xml:space="preserve">de hasta tres (3) meses </w:t>
      </w:r>
    </w:p>
    <w:p w:rsidR="00B064CF" w:rsidRDefault="00E32F70">
      <w:pPr>
        <w:numPr>
          <w:ilvl w:val="1"/>
          <w:numId w:val="154"/>
        </w:numPr>
        <w:ind w:right="72" w:hanging="360"/>
      </w:pPr>
      <w:r>
        <w:t>Las infracciones muy graves, con multa de mil quinientos un euro (1.501,00 €) hasta tres mil euros (3.000,00 €), suspensión temporal de la autorización por un periodo de hasta seis (6) meses y/o revocación del título. En este últim</w:t>
      </w:r>
      <w:r>
        <w:t xml:space="preserve">o supuesto, el infractor no podrá obtener una nueva autorización para ocupar el dominio público durante el año siguiente al de la firmeza de la resolución por la que se imponga la sanción. </w:t>
      </w:r>
    </w:p>
    <w:p w:rsidR="00B064CF" w:rsidRDefault="00E32F70">
      <w:pPr>
        <w:numPr>
          <w:ilvl w:val="0"/>
          <w:numId w:val="154"/>
        </w:numPr>
        <w:ind w:left="628" w:right="72" w:hanging="283"/>
      </w:pPr>
      <w:r>
        <w:t>La reincidencia en la comisión de actos tipificados como infracció</w:t>
      </w:r>
      <w:r>
        <w:t>n en la presente Ordenanza, conllevará la graduación de la multa en límite máximo, y además, en caso de ser grave o muy grave se decretará la suspensión de la autorización junto con la retirada de la instalación de la vía pública o precinto de la instalaci</w:t>
      </w:r>
      <w:r>
        <w:t xml:space="preserve">ón. </w:t>
      </w:r>
    </w:p>
    <w:p w:rsidR="00B064CF" w:rsidRDefault="00E32F70">
      <w:pPr>
        <w:numPr>
          <w:ilvl w:val="0"/>
          <w:numId w:val="154"/>
        </w:numPr>
        <w:ind w:left="628" w:right="72" w:hanging="283"/>
      </w:pPr>
      <w:r>
        <w:t xml:space="preserve">No tendrá carácter de sanción la retirada de elementos regulada en el artículo 10, así como las medidas cautelares impuestas para asegurar el cumplimiento de las sanciones. </w:t>
      </w:r>
    </w:p>
    <w:p w:rsidR="00B064CF" w:rsidRDefault="00E32F70">
      <w:pPr>
        <w:spacing w:after="11"/>
        <w:ind w:left="355" w:right="72"/>
      </w:pPr>
      <w:r>
        <w:t xml:space="preserve">Artículo 55. Graduación de las sanciones: </w:t>
      </w:r>
    </w:p>
    <w:p w:rsidR="00B064CF" w:rsidRDefault="00E32F70">
      <w:pPr>
        <w:spacing w:after="0"/>
        <w:ind w:left="355" w:right="72"/>
      </w:pPr>
      <w:r>
        <w:t>En la imposición de las sanciones,</w:t>
      </w:r>
      <w:r>
        <w:t xml:space="preserve"> el órgano competente para imponerlas se ajustará a criterios de proporcionalidad, teniendo en cuenta, para graduar la cuantía de las multas y la imposición de las sanciones accesorias, los siguientes criterios: </w:t>
      </w:r>
    </w:p>
    <w:p w:rsidR="00B064CF" w:rsidRDefault="00E32F70">
      <w:pPr>
        <w:numPr>
          <w:ilvl w:val="1"/>
          <w:numId w:val="154"/>
        </w:numPr>
        <w:ind w:right="72" w:hanging="360"/>
      </w:pPr>
      <w:r>
        <w:t>La transcendencia social y el perjuicio cau</w:t>
      </w:r>
      <w:r>
        <w:t xml:space="preserve">sado por la infracción cometida. </w:t>
      </w:r>
    </w:p>
    <w:p w:rsidR="00B064CF" w:rsidRDefault="00E32F70">
      <w:pPr>
        <w:numPr>
          <w:ilvl w:val="1"/>
          <w:numId w:val="154"/>
        </w:numPr>
        <w:ind w:right="72" w:hanging="360"/>
      </w:pPr>
      <w:r>
        <w:t xml:space="preserve">El ánimo de lucro ilícito y la cuantía del beneficio obtenido en la comisión de la infracción. </w:t>
      </w:r>
    </w:p>
    <w:p w:rsidR="00B064CF" w:rsidRDefault="00E32F70">
      <w:pPr>
        <w:numPr>
          <w:ilvl w:val="1"/>
          <w:numId w:val="154"/>
        </w:numPr>
        <w:ind w:right="72" w:hanging="360"/>
      </w:pPr>
      <w:r>
        <w:t xml:space="preserve">La reiteración o reincidencia en la comisión de infracciones. </w:t>
      </w:r>
    </w:p>
    <w:p w:rsidR="00B064CF" w:rsidRDefault="00E32F70">
      <w:pPr>
        <w:numPr>
          <w:ilvl w:val="1"/>
          <w:numId w:val="154"/>
        </w:numPr>
        <w:ind w:right="72" w:hanging="360"/>
      </w:pPr>
      <w:r>
        <w:rPr>
          <w:rFonts w:ascii="Calibri" w:eastAsia="Calibri" w:hAnsi="Calibri" w:cs="Calibri"/>
          <w:noProof/>
        </w:rPr>
        <mc:AlternateContent>
          <mc:Choice Requires="wpg">
            <w:drawing>
              <wp:anchor distT="0" distB="0" distL="114300" distR="114300" simplePos="0" relativeHeight="25188454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10002" name="Group 410002"/>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6594" name="Rectangle 36594"/>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64SKSNYNJRFPNN5DLPPAAC3GS | Verificación: h</w:t>
                              </w:r>
                              <w:r>
                                <w:rPr>
                                  <w:sz w:val="12"/>
                                </w:rPr>
                                <w:t xml:space="preserve">ttps://candelaria.sedelectronica.es/ </w:t>
                              </w:r>
                            </w:p>
                          </w:txbxContent>
                        </wps:txbx>
                        <wps:bodyPr horzOverflow="overflow" vert="horz" lIns="0" tIns="0" rIns="0" bIns="0" rtlCol="0">
                          <a:noAutofit/>
                        </wps:bodyPr>
                      </wps:wsp>
                      <wps:wsp>
                        <wps:cNvPr id="36595" name="Rectangle 36595"/>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217 de 298 </w:t>
                              </w:r>
                            </w:p>
                          </w:txbxContent>
                        </wps:txbx>
                        <wps:bodyPr horzOverflow="overflow" vert="horz" lIns="0" tIns="0" rIns="0" bIns="0" rtlCol="0">
                          <a:noAutofit/>
                        </wps:bodyPr>
                      </wps:wsp>
                    </wpg:wgp>
                  </a:graphicData>
                </a:graphic>
              </wp:anchor>
            </w:drawing>
          </mc:Choice>
          <mc:Fallback xmlns:a="http://schemas.openxmlformats.org/drawingml/2006/main">
            <w:pict>
              <v:group id="Group 410002" style="width:12.7031pt;height:278.91pt;position:absolute;mso-position-horizontal-relative:page;mso-position-horizontal:absolute;margin-left:682.278pt;mso-position-vertical-relative:page;margin-top:533.01pt;" coordsize="1613,35421">
                <v:rect id="Rectangle 36594"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6595"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217 de 298 </w:t>
                        </w:r>
                      </w:p>
                    </w:txbxContent>
                  </v:textbox>
                </v:rect>
                <w10:wrap type="square"/>
              </v:group>
            </w:pict>
          </mc:Fallback>
        </mc:AlternateContent>
      </w:r>
      <w:r>
        <w:t xml:space="preserve">Grado de culpabilidad e intencionalidad </w:t>
      </w:r>
    </w:p>
    <w:p w:rsidR="00B064CF" w:rsidRDefault="00E32F70">
      <w:pPr>
        <w:numPr>
          <w:ilvl w:val="1"/>
          <w:numId w:val="154"/>
        </w:numPr>
        <w:ind w:right="72" w:hanging="360"/>
      </w:pPr>
      <w:r>
        <w:t xml:space="preserve">Beneficio económico obtenido y capacidad económica del infractor. </w:t>
      </w:r>
    </w:p>
    <w:p w:rsidR="00B064CF" w:rsidRDefault="00E32F70">
      <w:pPr>
        <w:spacing w:after="11"/>
        <w:ind w:left="355" w:right="72"/>
      </w:pPr>
      <w:r>
        <w:t xml:space="preserve">Artículo 56. </w:t>
      </w:r>
      <w:r>
        <w:t xml:space="preserve">Responsabilidad e indemnizaciones. </w:t>
      </w:r>
    </w:p>
    <w:p w:rsidR="00B064CF" w:rsidRDefault="00E32F70">
      <w:pPr>
        <w:spacing w:after="0"/>
        <w:ind w:left="355" w:right="72"/>
      </w:pPr>
      <w:r>
        <w:t xml:space="preserve">La imposición de cualquiera de las sanciones establecidas en la presente ordenanza no excluye la responsabilidad civil de la persona sancionada ni la indemnización que se le pueda exigir por daños y perjuicios. </w:t>
      </w:r>
    </w:p>
    <w:p w:rsidR="00B064CF" w:rsidRDefault="00E32F70">
      <w:pPr>
        <w:spacing w:after="0"/>
        <w:ind w:left="355" w:right="72"/>
      </w:pPr>
      <w:r>
        <w:t>El abono</w:t>
      </w:r>
      <w:r>
        <w:t xml:space="preserve"> de las sanciones impuestas no eximirá de la obligación de restaurar la legalidad infringida, pudiendo el Ayuntamiento de Candelaria a realizar la ejecución subsidiaria a costa del incumplidor, así como las medidas cautelares precisas para asegurar el cump</w:t>
      </w:r>
      <w:r>
        <w:t xml:space="preserve">limiento. </w:t>
      </w:r>
    </w:p>
    <w:p w:rsidR="00B064CF" w:rsidRDefault="00E32F70">
      <w:pPr>
        <w:spacing w:after="11"/>
        <w:ind w:left="355" w:right="72"/>
      </w:pPr>
      <w:r>
        <w:t xml:space="preserve">Artículo 57. Personas responsables </w:t>
      </w:r>
    </w:p>
    <w:p w:rsidR="00B064CF" w:rsidRDefault="00E32F70">
      <w:pPr>
        <w:numPr>
          <w:ilvl w:val="1"/>
          <w:numId w:val="155"/>
        </w:numPr>
        <w:ind w:right="72" w:hanging="360"/>
      </w:pPr>
      <w:r>
        <w:t xml:space="preserve">Serán responsables directos de las infracciones a esta Ordenanza sus autores materiales y en todo caso la persona física o jurídica que explote la actividad que dé lugar a la ocupación. </w:t>
      </w:r>
    </w:p>
    <w:p w:rsidR="00B064CF" w:rsidRDefault="00E32F70">
      <w:pPr>
        <w:numPr>
          <w:ilvl w:val="1"/>
          <w:numId w:val="155"/>
        </w:numPr>
        <w:ind w:right="72" w:hanging="360"/>
      </w:pPr>
      <w:r>
        <w:t xml:space="preserve">Cuando las actuaciones constitutivas de infracción sean cometidas por varias personas, conjuntamente, responderán todas ellas de forma solidaria. </w:t>
      </w:r>
    </w:p>
    <w:p w:rsidR="00B064CF" w:rsidRDefault="00E32F70">
      <w:pPr>
        <w:numPr>
          <w:ilvl w:val="1"/>
          <w:numId w:val="155"/>
        </w:numPr>
        <w:ind w:right="72" w:hanging="360"/>
      </w:pPr>
      <w:r>
        <w:t xml:space="preserve">Los técnicos que suscriban la documentación técnica. </w:t>
      </w:r>
    </w:p>
    <w:p w:rsidR="00B064CF" w:rsidRDefault="00E32F70">
      <w:pPr>
        <w:spacing w:after="11"/>
        <w:ind w:left="355" w:right="72"/>
      </w:pPr>
      <w:r>
        <w:t xml:space="preserve">Artículo 58. Inspección y Control. </w:t>
      </w:r>
    </w:p>
    <w:p w:rsidR="00B064CF" w:rsidRDefault="00E32F70">
      <w:pPr>
        <w:spacing w:after="0"/>
        <w:ind w:left="355" w:right="72"/>
      </w:pPr>
      <w:r>
        <w:t>La inspección y con</w:t>
      </w:r>
      <w:r>
        <w:t>trol del cumplimiento derivado de la aplicación de esta Ordenanza corresponde a la Policía Local de Candelaria y al servicio de Inspección de Vía Pública, quienes velarán por el fiel e íntegro cumplimiento de lo dispuesto en esta Ordenanza, vigilando y den</w:t>
      </w:r>
      <w:r>
        <w:t xml:space="preserve">unciando las infracciones en las que puedan incurrir los interesados. </w:t>
      </w:r>
    </w:p>
    <w:p w:rsidR="00B064CF" w:rsidRDefault="00E32F70">
      <w:pPr>
        <w:spacing w:after="11"/>
        <w:ind w:left="355" w:right="72"/>
      </w:pPr>
      <w:r>
        <w:t xml:space="preserve">Las denuncias formuladas por personas particulares, una vez comprobadas, podrán dar lugar a la adopción de medidas cautelares y a la incoación de un expediente sancionador.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11"/>
        <w:ind w:left="355" w:right="72"/>
      </w:pPr>
      <w:r>
        <w:t>Artícul</w:t>
      </w:r>
      <w:r>
        <w:t xml:space="preserve">o 59. Procedimiento </w:t>
      </w:r>
    </w:p>
    <w:p w:rsidR="00B064CF" w:rsidRDefault="00E32F70">
      <w:pPr>
        <w:spacing w:after="0"/>
        <w:ind w:left="355" w:right="72"/>
      </w:pPr>
      <w:r>
        <w:t xml:space="preserve">La potestad sancionadora se ejercerá observando el procedimiento establecido al efecto por la legislación general del procedimiento administrativo común.  </w:t>
      </w:r>
    </w:p>
    <w:p w:rsidR="00B064CF" w:rsidRDefault="00E32F70">
      <w:pPr>
        <w:spacing w:after="0"/>
        <w:ind w:left="355" w:right="72"/>
      </w:pPr>
      <w:r>
        <w:t>En la resolución se adoptarán, en su caso, la disposición cautelar precisa para</w:t>
      </w:r>
      <w:r>
        <w:t xml:space="preserve"> garantizar su eficacia en tanto no sea ejecutiva. </w:t>
      </w:r>
    </w:p>
    <w:p w:rsidR="00B064CF" w:rsidRDefault="00E32F70">
      <w:pPr>
        <w:spacing w:after="11"/>
        <w:ind w:left="355" w:right="72"/>
      </w:pPr>
      <w:r>
        <w:t xml:space="preserve">Artículo 60. Medidas cautelares. </w:t>
      </w:r>
    </w:p>
    <w:p w:rsidR="00B064CF" w:rsidRDefault="00E32F70">
      <w:pPr>
        <w:numPr>
          <w:ilvl w:val="0"/>
          <w:numId w:val="156"/>
        </w:numPr>
        <w:ind w:right="72" w:hanging="360"/>
      </w:pPr>
      <w:r>
        <w:t>El órgano competente para iniciar el procedimiento sancionador, por propia iniciativa o a propuesta de instructor, podrá adoptar motivadamente las medidas cautelares de c</w:t>
      </w:r>
      <w:r>
        <w:t xml:space="preserve">arácter provisional que sean necesarias para asegurar la eficacia de la resolución final que pudiera recaer. </w:t>
      </w:r>
    </w:p>
    <w:p w:rsidR="00B064CF" w:rsidRDefault="00E32F70">
      <w:pPr>
        <w:numPr>
          <w:ilvl w:val="0"/>
          <w:numId w:val="156"/>
        </w:numPr>
        <w:ind w:right="72" w:hanging="360"/>
      </w:pPr>
      <w:r>
        <w:t>Excepcionalmente y motivadamente, los Servicios de Inspección y la Policía Local, por propia autoridad, están habilitados, para adoptar medidas ca</w:t>
      </w:r>
      <w:r>
        <w:t xml:space="preserve">utelares que fueran necesarias para garantizar el cumplimiento de la presente ordenanza. </w:t>
      </w:r>
    </w:p>
    <w:p w:rsidR="00B064CF" w:rsidRDefault="00E32F70">
      <w:pPr>
        <w:spacing w:after="11"/>
        <w:ind w:left="355" w:right="72"/>
      </w:pPr>
      <w:r>
        <w:t xml:space="preserve">Artículo 61. Prescripción </w:t>
      </w:r>
    </w:p>
    <w:p w:rsidR="00B064CF" w:rsidRDefault="00E32F70">
      <w:pPr>
        <w:spacing w:after="0"/>
        <w:ind w:left="355" w:right="72"/>
      </w:pPr>
      <w:r>
        <w:t xml:space="preserve">Las infracciones y sanciones muy graves según lo dispuesto en las leyes que las establezcan. Si estas no fijan plazos de prescripción, las infracciones muy graves prescribirán a los tres años, las graves a los dos años y las leves a los seis meses.  </w:t>
      </w:r>
    </w:p>
    <w:p w:rsidR="00B064CF" w:rsidRDefault="00E32F70">
      <w:pPr>
        <w:spacing w:after="0"/>
        <w:ind w:left="355" w:right="72"/>
      </w:pPr>
      <w:r>
        <w:t>Las s</w:t>
      </w:r>
      <w:r>
        <w:t xml:space="preserve">anciones impuestas por infracciones muy graves prescribirán a los tres años, las graves a los dos años y las impuestas por infracciones leves al año. </w:t>
      </w:r>
    </w:p>
    <w:p w:rsidR="00B064CF" w:rsidRDefault="00E32F70">
      <w:pPr>
        <w:spacing w:after="0"/>
        <w:ind w:left="355" w:right="72"/>
      </w:pPr>
      <w:r>
        <w:rPr>
          <w:rFonts w:ascii="Calibri" w:eastAsia="Calibri" w:hAnsi="Calibri" w:cs="Calibri"/>
          <w:noProof/>
        </w:rPr>
        <mc:AlternateContent>
          <mc:Choice Requires="wpg">
            <w:drawing>
              <wp:anchor distT="0" distB="0" distL="114300" distR="114300" simplePos="0" relativeHeight="25188556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10190" name="Group 410190"/>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6701" name="Rectangle 36701"/>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6702" name="Rectangle 36702"/>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218 de 298 </w:t>
                              </w:r>
                            </w:p>
                          </w:txbxContent>
                        </wps:txbx>
                        <wps:bodyPr horzOverflow="overflow" vert="horz" lIns="0" tIns="0" rIns="0" bIns="0" rtlCol="0">
                          <a:noAutofit/>
                        </wps:bodyPr>
                      </wps:wsp>
                    </wpg:wgp>
                  </a:graphicData>
                </a:graphic>
              </wp:anchor>
            </w:drawing>
          </mc:Choice>
          <mc:Fallback xmlns:a="http://schemas.openxmlformats.org/drawingml/2006/main">
            <w:pict>
              <v:group id="Group 410190" style="width:12.7031pt;height:278.91pt;position:absolute;mso-position-horizontal-relative:page;mso-position-horizontal:absolute;margin-left:682.278pt;mso-position-vertical-relative:page;margin-top:533.01pt;" coordsize="1613,35421">
                <v:rect id="Rectangle 36701"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6702"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218 de 298 </w:t>
                        </w:r>
                      </w:p>
                    </w:txbxContent>
                  </v:textbox>
                </v:rect>
                <w10:wrap type="square"/>
              </v:group>
            </w:pict>
          </mc:Fallback>
        </mc:AlternateContent>
      </w:r>
      <w:r>
        <w:t xml:space="preserve"> El plazo de prescripción de la sanción comenzará a contarse desde el día siguiente a aquél en que adquiera firmeza la resolución por la que se imponga la sanció</w:t>
      </w:r>
      <w:r>
        <w:t xml:space="preserve">n. </w:t>
      </w:r>
    </w:p>
    <w:p w:rsidR="00B064CF" w:rsidRDefault="00E32F70">
      <w:pPr>
        <w:spacing w:after="0"/>
        <w:ind w:left="355" w:right="72"/>
      </w:pPr>
      <w:r>
        <w:t xml:space="preserve">El plazo máximo para la resolución y notificación de los procedimientos sancionadores será de seis meses desde su inicio.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DISPOSICIÓN TRANSITORIA ÚNICA </w:t>
      </w:r>
    </w:p>
    <w:p w:rsidR="00B064CF" w:rsidRDefault="00E32F70">
      <w:pPr>
        <w:spacing w:after="0"/>
        <w:ind w:left="355" w:right="72"/>
      </w:pPr>
      <w:r>
        <w:t>Las ocupaciones de dominio público que a la entrada en vigor de la presente Ordenanza incumpli</w:t>
      </w:r>
      <w:r>
        <w:t>esen la misma, deberán solicitar en el plazo improrrogable de un mes, licencia municipal, y el Ayuntamiento deberá resolver en el plazo improrrogable de tres meses la concesión o denegación de la misma, según cumplan o no con dicha Ordenanza, y a tal efect</w:t>
      </w:r>
      <w:r>
        <w:t xml:space="preserve">o estos expedientes gozarán de preferencia y sumariedad en la Oficina Técnica municipal. </w:t>
      </w:r>
    </w:p>
    <w:p w:rsidR="00B064CF" w:rsidRDefault="00E32F70">
      <w:pPr>
        <w:spacing w:after="0"/>
        <w:ind w:left="355" w:right="72"/>
      </w:pPr>
      <w:r>
        <w:t>Una vez finalizado dicho plazo de un mes sin solicitar la licencia para la adaptación a la Ordenanza municipal, o en el caso de que, solicitada la licencia, esta fuer</w:t>
      </w:r>
      <w:r>
        <w:t xml:space="preserve">a denegada, las instalaciones serán retiradas de la vía pública por la Policía Local.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DISPOSICIÓN DEROGATORIA </w:t>
      </w:r>
    </w:p>
    <w:p w:rsidR="00B064CF" w:rsidRDefault="00E32F70">
      <w:pPr>
        <w:spacing w:after="11"/>
        <w:ind w:left="355" w:right="72"/>
      </w:pPr>
      <w:r>
        <w:t xml:space="preserve">Única. Derogación normativa </w:t>
      </w:r>
    </w:p>
    <w:p w:rsidR="00B064CF" w:rsidRDefault="00E32F70">
      <w:pPr>
        <w:spacing w:after="0"/>
        <w:ind w:left="355" w:right="72"/>
      </w:pPr>
      <w:r>
        <w:t xml:space="preserve">Queda derogadas las disposiciones de igual o inferior rango se opongan a lo dispuesto en la presente Ordenanza.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DISPOSICIÓN FINAL ÚNICA </w:t>
      </w:r>
    </w:p>
    <w:p w:rsidR="00B064CF" w:rsidRDefault="00E32F70">
      <w:pPr>
        <w:spacing w:after="11"/>
        <w:ind w:left="355" w:right="72"/>
      </w:pPr>
      <w:r>
        <w:t xml:space="preserve">Publicación y entrada en vigor </w:t>
      </w:r>
    </w:p>
    <w:p w:rsidR="00B064CF" w:rsidRDefault="00E32F70">
      <w:pPr>
        <w:ind w:left="355" w:right="72"/>
      </w:pPr>
      <w:r>
        <w:t xml:space="preserve">De conformidad con lo dispuesto en los artículos 56.1, 65.2 y 70.2 de la Ley 7/1985, de 2 de abril, reguladora de las Bases del Régimen Local: </w:t>
      </w:r>
    </w:p>
    <w:p w:rsidR="00B064CF" w:rsidRDefault="00E32F70">
      <w:pPr>
        <w:numPr>
          <w:ilvl w:val="0"/>
          <w:numId w:val="157"/>
        </w:numPr>
        <w:spacing w:after="0"/>
        <w:ind w:right="72"/>
      </w:pPr>
      <w:r>
        <w:t>El acuerdo de aprobación definitiva de la presente Or</w:t>
      </w:r>
      <w:r>
        <w:t xml:space="preserve">denanza se comunicará a la Administración del Estado y a la Administración de la Comunidad Autónoma de Canarias. </w:t>
      </w:r>
    </w:p>
    <w:p w:rsidR="00B064CF" w:rsidRDefault="00E32F70">
      <w:pPr>
        <w:numPr>
          <w:ilvl w:val="0"/>
          <w:numId w:val="157"/>
        </w:numPr>
        <w:spacing w:after="0"/>
        <w:ind w:right="72"/>
      </w:pPr>
      <w:r>
        <w:t>Transcurrido el plazo de quince días desde la recepción de la comunicación, el acuerdo de aprobación definitiva y el contenido de la Ordenanza</w:t>
      </w:r>
      <w:r>
        <w:t xml:space="preserve"> se publicarán en el Boletín Oficial de la Provincia. </w:t>
      </w:r>
    </w:p>
    <w:p w:rsidR="00B064CF" w:rsidRDefault="00E32F70">
      <w:pPr>
        <w:numPr>
          <w:ilvl w:val="0"/>
          <w:numId w:val="157"/>
        </w:numPr>
        <w:spacing w:after="0"/>
        <w:ind w:right="72"/>
      </w:pPr>
      <w:r>
        <w:t>La Ordenanza entrará en vigor al día siguiente de su publicación íntegra en el Boletín Oficial de la Provincia, teniendo en cuenta, en todo caso, el plazo establecido en el artículo 65.2 de la Ley 7/1985, de 2 de abril, Reguladora de las Bases de Régimen L</w:t>
      </w:r>
      <w:r>
        <w:t xml:space="preserve">ocal. </w:t>
      </w:r>
    </w:p>
    <w:p w:rsidR="00B064CF" w:rsidRDefault="00E32F70">
      <w:pPr>
        <w:spacing w:after="11"/>
        <w:ind w:left="355" w:right="72"/>
      </w:pPr>
      <w:r>
        <w:t xml:space="preserve">ANEXO I   </w:t>
      </w:r>
    </w:p>
    <w:p w:rsidR="00B064CF" w:rsidRDefault="00E32F70">
      <w:pPr>
        <w:spacing w:after="0"/>
        <w:ind w:left="4411" w:right="771" w:hanging="4066"/>
      </w:pPr>
      <w:r>
        <w:t xml:space="preserve">GRÁFICOS OCUPACIONES VINCULADAS A ACTIVIDADES DE HOSTELERIA GRÁFICO 1.1. </w:t>
      </w:r>
    </w:p>
    <w:p w:rsidR="00B064CF" w:rsidRDefault="00E32F70">
      <w:pPr>
        <w:spacing w:after="0" w:line="259" w:lineRule="auto"/>
        <w:ind w:left="340" w:firstLine="0"/>
        <w:jc w:val="center"/>
      </w:pPr>
      <w:r>
        <w:rPr>
          <w:rFonts w:ascii="Calibri" w:eastAsia="Calibri" w:hAnsi="Calibri" w:cs="Calibri"/>
          <w:noProof/>
        </w:rPr>
        <mc:AlternateContent>
          <mc:Choice Requires="wpg">
            <w:drawing>
              <wp:anchor distT="0" distB="0" distL="114300" distR="114300" simplePos="0" relativeHeight="251886592" behindDoc="0" locked="0" layoutInCell="1" allowOverlap="1">
                <wp:simplePos x="0" y="0"/>
                <wp:positionH relativeFrom="page">
                  <wp:posOffset>8664935</wp:posOffset>
                </wp:positionH>
                <wp:positionV relativeFrom="page">
                  <wp:posOffset>6769227</wp:posOffset>
                </wp:positionV>
                <wp:extent cx="161330" cy="3542157"/>
                <wp:effectExtent l="0" t="0" r="0" b="0"/>
                <wp:wrapTopAndBottom/>
                <wp:docPr id="409994" name="Group 409994"/>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6769" name="Rectangle 36769"/>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6770" name="Rectangle 36770"/>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Documento firmado electrónicamente desde la plataforma esPubl</w:t>
                              </w:r>
                              <w:r>
                                <w:rPr>
                                  <w:sz w:val="12"/>
                                </w:rPr>
                                <w:t xml:space="preserve">ico Gestiona | Página 219 de 298 </w:t>
                              </w:r>
                            </w:p>
                          </w:txbxContent>
                        </wps:txbx>
                        <wps:bodyPr horzOverflow="overflow" vert="horz" lIns="0" tIns="0" rIns="0" bIns="0" rtlCol="0">
                          <a:noAutofit/>
                        </wps:bodyPr>
                      </wps:wsp>
                    </wpg:wgp>
                  </a:graphicData>
                </a:graphic>
              </wp:anchor>
            </w:drawing>
          </mc:Choice>
          <mc:Fallback xmlns:a="http://schemas.openxmlformats.org/drawingml/2006/main">
            <w:pict>
              <v:group id="Group 409994" style="width:12.7031pt;height:278.91pt;position:absolute;mso-position-horizontal-relative:page;mso-position-horizontal:absolute;margin-left:682.278pt;mso-position-vertical-relative:page;margin-top:533.01pt;" coordsize="1613,35421">
                <v:rect id="Rectangle 36769"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6770"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219 de 298 </w:t>
                        </w:r>
                      </w:p>
                    </w:txbxContent>
                  </v:textbox>
                </v:rect>
                <w10:wrap type="topAndBottom"/>
              </v:group>
            </w:pict>
          </mc:Fallback>
        </mc:AlternateContent>
      </w:r>
      <w:r>
        <w:t xml:space="preserve"> </w:t>
      </w:r>
    </w:p>
    <w:p w:rsidR="00B064CF" w:rsidRDefault="00E32F70">
      <w:pPr>
        <w:spacing w:after="0" w:line="259" w:lineRule="auto"/>
        <w:ind w:left="0" w:right="543" w:firstLine="0"/>
        <w:jc w:val="right"/>
      </w:pPr>
      <w:r>
        <w:rPr>
          <w:noProof/>
        </w:rPr>
        <w:drawing>
          <wp:inline distT="0" distB="0" distL="0" distR="0">
            <wp:extent cx="5401056" cy="2369820"/>
            <wp:effectExtent l="0" t="0" r="0" b="0"/>
            <wp:docPr id="36763" name="Picture 36763"/>
            <wp:cNvGraphicFramePr/>
            <a:graphic xmlns:a="http://schemas.openxmlformats.org/drawingml/2006/main">
              <a:graphicData uri="http://schemas.openxmlformats.org/drawingml/2006/picture">
                <pic:pic xmlns:pic="http://schemas.openxmlformats.org/drawingml/2006/picture">
                  <pic:nvPicPr>
                    <pic:cNvPr id="36763" name="Picture 36763"/>
                    <pic:cNvPicPr/>
                  </pic:nvPicPr>
                  <pic:blipFill>
                    <a:blip r:embed="rId45"/>
                    <a:stretch>
                      <a:fillRect/>
                    </a:stretch>
                  </pic:blipFill>
                  <pic:spPr>
                    <a:xfrm>
                      <a:off x="0" y="0"/>
                      <a:ext cx="5401056" cy="2369820"/>
                    </a:xfrm>
                    <a:prstGeom prst="rect">
                      <a:avLst/>
                    </a:prstGeom>
                  </pic:spPr>
                </pic:pic>
              </a:graphicData>
            </a:graphic>
          </wp:inline>
        </w:drawing>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line="259" w:lineRule="auto"/>
        <w:ind w:left="0" w:right="588" w:firstLine="0"/>
        <w:jc w:val="right"/>
      </w:pPr>
      <w:r>
        <w:rPr>
          <w:rFonts w:ascii="Calibri" w:eastAsia="Calibri" w:hAnsi="Calibri" w:cs="Calibri"/>
          <w:noProof/>
        </w:rPr>
        <mc:AlternateContent>
          <mc:Choice Requires="wpg">
            <w:drawing>
              <wp:inline distT="0" distB="0" distL="0" distR="0">
                <wp:extent cx="5751323" cy="4370338"/>
                <wp:effectExtent l="0" t="0" r="0" b="0"/>
                <wp:docPr id="409992" name="Group 409992"/>
                <wp:cNvGraphicFramePr/>
                <a:graphic xmlns:a="http://schemas.openxmlformats.org/drawingml/2006/main">
                  <a:graphicData uri="http://schemas.microsoft.com/office/word/2010/wordprocessingGroup">
                    <wpg:wgp>
                      <wpg:cNvGrpSpPr/>
                      <wpg:grpSpPr>
                        <a:xfrm>
                          <a:off x="0" y="0"/>
                          <a:ext cx="5751323" cy="4370338"/>
                          <a:chOff x="0" y="0"/>
                          <a:chExt cx="5751323" cy="4370338"/>
                        </a:xfrm>
                      </wpg:grpSpPr>
                      <pic:pic xmlns:pic="http://schemas.openxmlformats.org/drawingml/2006/picture">
                        <pic:nvPicPr>
                          <pic:cNvPr id="36722" name="Picture 36722"/>
                          <pic:cNvPicPr/>
                        </pic:nvPicPr>
                        <pic:blipFill>
                          <a:blip r:embed="rId46"/>
                          <a:stretch>
                            <a:fillRect/>
                          </a:stretch>
                        </pic:blipFill>
                        <pic:spPr>
                          <a:xfrm>
                            <a:off x="3392424" y="2570494"/>
                            <a:ext cx="2011680" cy="1799844"/>
                          </a:xfrm>
                          <a:prstGeom prst="rect">
                            <a:avLst/>
                          </a:prstGeom>
                        </pic:spPr>
                      </pic:pic>
                      <wps:wsp>
                        <wps:cNvPr id="36746" name="Rectangle 36746"/>
                        <wps:cNvSpPr/>
                        <wps:spPr>
                          <a:xfrm>
                            <a:off x="2582291" y="0"/>
                            <a:ext cx="1208710" cy="207921"/>
                          </a:xfrm>
                          <a:prstGeom prst="rect">
                            <a:avLst/>
                          </a:prstGeom>
                          <a:ln>
                            <a:noFill/>
                          </a:ln>
                        </wps:spPr>
                        <wps:txbx>
                          <w:txbxContent>
                            <w:p w:rsidR="00B064CF" w:rsidRDefault="00E32F70">
                              <w:pPr>
                                <w:spacing w:after="160" w:line="259" w:lineRule="auto"/>
                                <w:ind w:left="0" w:firstLine="0"/>
                                <w:jc w:val="left"/>
                              </w:pPr>
                              <w:r>
                                <w:t>GRÁFICO 1.2.</w:t>
                              </w:r>
                            </w:p>
                          </w:txbxContent>
                        </wps:txbx>
                        <wps:bodyPr horzOverflow="overflow" vert="horz" lIns="0" tIns="0" rIns="0" bIns="0" rtlCol="0">
                          <a:noAutofit/>
                        </wps:bodyPr>
                      </wps:wsp>
                      <wps:wsp>
                        <wps:cNvPr id="36747" name="Rectangle 36747"/>
                        <wps:cNvSpPr/>
                        <wps:spPr>
                          <a:xfrm>
                            <a:off x="3490849" y="0"/>
                            <a:ext cx="51809" cy="207921"/>
                          </a:xfrm>
                          <a:prstGeom prst="rect">
                            <a:avLst/>
                          </a:prstGeom>
                          <a:ln>
                            <a:noFill/>
                          </a:ln>
                        </wps:spPr>
                        <wps:txbx>
                          <w:txbxContent>
                            <w:p w:rsidR="00B064CF" w:rsidRDefault="00E32F70">
                              <w:pPr>
                                <w:spacing w:after="160" w:line="259" w:lineRule="auto"/>
                                <w:ind w:left="0" w:firstLine="0"/>
                                <w:jc w:val="left"/>
                              </w:pPr>
                              <w:r>
                                <w:t xml:space="preserve"> </w:t>
                              </w:r>
                            </w:p>
                          </w:txbxContent>
                        </wps:txbx>
                        <wps:bodyPr horzOverflow="overflow" vert="horz" lIns="0" tIns="0" rIns="0" bIns="0" rtlCol="0">
                          <a:noAutofit/>
                        </wps:bodyPr>
                      </wps:wsp>
                      <wps:wsp>
                        <wps:cNvPr id="36749" name="Rectangle 36749"/>
                        <wps:cNvSpPr/>
                        <wps:spPr>
                          <a:xfrm>
                            <a:off x="359969" y="2492121"/>
                            <a:ext cx="51809" cy="207922"/>
                          </a:xfrm>
                          <a:prstGeom prst="rect">
                            <a:avLst/>
                          </a:prstGeom>
                          <a:ln>
                            <a:noFill/>
                          </a:ln>
                        </wps:spPr>
                        <wps:txbx>
                          <w:txbxContent>
                            <w:p w:rsidR="00B064CF" w:rsidRDefault="00E32F70">
                              <w:pPr>
                                <w:spacing w:after="160" w:line="259" w:lineRule="auto"/>
                                <w:ind w:left="0" w:firstLine="0"/>
                                <w:jc w:val="left"/>
                              </w:pPr>
                              <w:r>
                                <w:t xml:space="preserve"> </w:t>
                              </w:r>
                            </w:p>
                          </w:txbxContent>
                        </wps:txbx>
                        <wps:bodyPr horzOverflow="overflow" vert="horz" lIns="0" tIns="0" rIns="0" bIns="0" rtlCol="0">
                          <a:noAutofit/>
                        </wps:bodyPr>
                      </wps:wsp>
                      <wps:wsp>
                        <wps:cNvPr id="36750" name="Rectangle 36750"/>
                        <wps:cNvSpPr/>
                        <wps:spPr>
                          <a:xfrm>
                            <a:off x="809498" y="2492121"/>
                            <a:ext cx="51809" cy="207922"/>
                          </a:xfrm>
                          <a:prstGeom prst="rect">
                            <a:avLst/>
                          </a:prstGeom>
                          <a:ln>
                            <a:noFill/>
                          </a:ln>
                        </wps:spPr>
                        <wps:txbx>
                          <w:txbxContent>
                            <w:p w:rsidR="00B064CF" w:rsidRDefault="00E32F70">
                              <w:pPr>
                                <w:spacing w:after="160" w:line="259" w:lineRule="auto"/>
                                <w:ind w:left="0" w:firstLine="0"/>
                                <w:jc w:val="left"/>
                              </w:pPr>
                              <w:r>
                                <w:t xml:space="preserve"> </w:t>
                              </w:r>
                            </w:p>
                          </w:txbxContent>
                        </wps:txbx>
                        <wps:bodyPr horzOverflow="overflow" vert="horz" lIns="0" tIns="0" rIns="0" bIns="0" rtlCol="0">
                          <a:noAutofit/>
                        </wps:bodyPr>
                      </wps:wsp>
                      <wps:wsp>
                        <wps:cNvPr id="36751" name="Rectangle 36751"/>
                        <wps:cNvSpPr/>
                        <wps:spPr>
                          <a:xfrm>
                            <a:off x="1259078" y="2492121"/>
                            <a:ext cx="51809" cy="207922"/>
                          </a:xfrm>
                          <a:prstGeom prst="rect">
                            <a:avLst/>
                          </a:prstGeom>
                          <a:ln>
                            <a:noFill/>
                          </a:ln>
                        </wps:spPr>
                        <wps:txbx>
                          <w:txbxContent>
                            <w:p w:rsidR="00B064CF" w:rsidRDefault="00E32F70">
                              <w:pPr>
                                <w:spacing w:after="160" w:line="259" w:lineRule="auto"/>
                                <w:ind w:left="0" w:firstLine="0"/>
                                <w:jc w:val="left"/>
                              </w:pPr>
                              <w:r>
                                <w:t xml:space="preserve"> </w:t>
                              </w:r>
                            </w:p>
                          </w:txbxContent>
                        </wps:txbx>
                        <wps:bodyPr horzOverflow="overflow" vert="horz" lIns="0" tIns="0" rIns="0" bIns="0" rtlCol="0">
                          <a:noAutofit/>
                        </wps:bodyPr>
                      </wps:wsp>
                      <wps:wsp>
                        <wps:cNvPr id="36752" name="Rectangle 36752"/>
                        <wps:cNvSpPr/>
                        <wps:spPr>
                          <a:xfrm>
                            <a:off x="1709039" y="2492121"/>
                            <a:ext cx="51809" cy="207922"/>
                          </a:xfrm>
                          <a:prstGeom prst="rect">
                            <a:avLst/>
                          </a:prstGeom>
                          <a:ln>
                            <a:noFill/>
                          </a:ln>
                        </wps:spPr>
                        <wps:txbx>
                          <w:txbxContent>
                            <w:p w:rsidR="00B064CF" w:rsidRDefault="00E32F70">
                              <w:pPr>
                                <w:spacing w:after="160" w:line="259" w:lineRule="auto"/>
                                <w:ind w:left="0" w:firstLine="0"/>
                                <w:jc w:val="left"/>
                              </w:pPr>
                              <w:r>
                                <w:t xml:space="preserve"> </w:t>
                              </w:r>
                            </w:p>
                          </w:txbxContent>
                        </wps:txbx>
                        <wps:bodyPr horzOverflow="overflow" vert="horz" lIns="0" tIns="0" rIns="0" bIns="0" rtlCol="0">
                          <a:noAutofit/>
                        </wps:bodyPr>
                      </wps:wsp>
                      <wps:wsp>
                        <wps:cNvPr id="36753" name="Rectangle 36753"/>
                        <wps:cNvSpPr/>
                        <wps:spPr>
                          <a:xfrm>
                            <a:off x="2158619" y="2492121"/>
                            <a:ext cx="51809" cy="207922"/>
                          </a:xfrm>
                          <a:prstGeom prst="rect">
                            <a:avLst/>
                          </a:prstGeom>
                          <a:ln>
                            <a:noFill/>
                          </a:ln>
                        </wps:spPr>
                        <wps:txbx>
                          <w:txbxContent>
                            <w:p w:rsidR="00B064CF" w:rsidRDefault="00E32F70">
                              <w:pPr>
                                <w:spacing w:after="160" w:line="259" w:lineRule="auto"/>
                                <w:ind w:left="0" w:firstLine="0"/>
                                <w:jc w:val="left"/>
                              </w:pPr>
                              <w:r>
                                <w:t xml:space="preserve"> </w:t>
                              </w:r>
                            </w:p>
                          </w:txbxContent>
                        </wps:txbx>
                        <wps:bodyPr horzOverflow="overflow" vert="horz" lIns="0" tIns="0" rIns="0" bIns="0" rtlCol="0">
                          <a:noAutofit/>
                        </wps:bodyPr>
                      </wps:wsp>
                      <wps:wsp>
                        <wps:cNvPr id="36754" name="Rectangle 36754"/>
                        <wps:cNvSpPr/>
                        <wps:spPr>
                          <a:xfrm>
                            <a:off x="2608199" y="2492121"/>
                            <a:ext cx="51809" cy="207922"/>
                          </a:xfrm>
                          <a:prstGeom prst="rect">
                            <a:avLst/>
                          </a:prstGeom>
                          <a:ln>
                            <a:noFill/>
                          </a:ln>
                        </wps:spPr>
                        <wps:txbx>
                          <w:txbxContent>
                            <w:p w:rsidR="00B064CF" w:rsidRDefault="00E32F70">
                              <w:pPr>
                                <w:spacing w:after="160" w:line="259" w:lineRule="auto"/>
                                <w:ind w:left="0" w:firstLine="0"/>
                                <w:jc w:val="left"/>
                              </w:pPr>
                              <w:r>
                                <w:t xml:space="preserve"> </w:t>
                              </w:r>
                            </w:p>
                          </w:txbxContent>
                        </wps:txbx>
                        <wps:bodyPr horzOverflow="overflow" vert="horz" lIns="0" tIns="0" rIns="0" bIns="0" rtlCol="0">
                          <a:noAutofit/>
                        </wps:bodyPr>
                      </wps:wsp>
                      <wps:wsp>
                        <wps:cNvPr id="36755" name="Rectangle 36755"/>
                        <wps:cNvSpPr/>
                        <wps:spPr>
                          <a:xfrm>
                            <a:off x="3057779" y="2492121"/>
                            <a:ext cx="51809" cy="207922"/>
                          </a:xfrm>
                          <a:prstGeom prst="rect">
                            <a:avLst/>
                          </a:prstGeom>
                          <a:ln>
                            <a:noFill/>
                          </a:ln>
                        </wps:spPr>
                        <wps:txbx>
                          <w:txbxContent>
                            <w:p w:rsidR="00B064CF" w:rsidRDefault="00E32F70">
                              <w:pPr>
                                <w:spacing w:after="160" w:line="259" w:lineRule="auto"/>
                                <w:ind w:left="0" w:firstLine="0"/>
                                <w:jc w:val="left"/>
                              </w:pPr>
                              <w:r>
                                <w:t xml:space="preserve"> </w:t>
                              </w:r>
                            </w:p>
                          </w:txbxContent>
                        </wps:txbx>
                        <wps:bodyPr horzOverflow="overflow" vert="horz" lIns="0" tIns="0" rIns="0" bIns="0" rtlCol="0">
                          <a:noAutofit/>
                        </wps:bodyPr>
                      </wps:wsp>
                      <wps:wsp>
                        <wps:cNvPr id="36756" name="Rectangle 36756"/>
                        <wps:cNvSpPr/>
                        <wps:spPr>
                          <a:xfrm>
                            <a:off x="3507613" y="2492121"/>
                            <a:ext cx="2931008" cy="207922"/>
                          </a:xfrm>
                          <a:prstGeom prst="rect">
                            <a:avLst/>
                          </a:prstGeom>
                          <a:ln>
                            <a:noFill/>
                          </a:ln>
                        </wps:spPr>
                        <wps:txbx>
                          <w:txbxContent>
                            <w:p w:rsidR="00B064CF" w:rsidRDefault="00E32F70">
                              <w:pPr>
                                <w:spacing w:after="160" w:line="259" w:lineRule="auto"/>
                                <w:ind w:left="0" w:firstLine="0"/>
                                <w:jc w:val="left"/>
                              </w:pPr>
                              <w:r>
                                <w:t>PAVIMENTO TÁCTIL ACANALADO</w:t>
                              </w:r>
                            </w:p>
                          </w:txbxContent>
                        </wps:txbx>
                        <wps:bodyPr horzOverflow="overflow" vert="horz" lIns="0" tIns="0" rIns="0" bIns="0" rtlCol="0">
                          <a:noAutofit/>
                        </wps:bodyPr>
                      </wps:wsp>
                      <wps:wsp>
                        <wps:cNvPr id="36757" name="Rectangle 36757"/>
                        <wps:cNvSpPr/>
                        <wps:spPr>
                          <a:xfrm>
                            <a:off x="5713223" y="2483221"/>
                            <a:ext cx="50673" cy="224381"/>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6758" name="Rectangle 36758"/>
                        <wps:cNvSpPr/>
                        <wps:spPr>
                          <a:xfrm>
                            <a:off x="305" y="2652141"/>
                            <a:ext cx="51809" cy="207921"/>
                          </a:xfrm>
                          <a:prstGeom prst="rect">
                            <a:avLst/>
                          </a:prstGeom>
                          <a:ln>
                            <a:noFill/>
                          </a:ln>
                        </wps:spPr>
                        <wps:txbx>
                          <w:txbxContent>
                            <w:p w:rsidR="00B064CF" w:rsidRDefault="00E32F70">
                              <w:pPr>
                                <w:spacing w:after="160" w:line="259" w:lineRule="auto"/>
                                <w:ind w:left="0" w:firstLine="0"/>
                                <w:jc w:val="left"/>
                              </w:pPr>
                              <w:r>
                                <w:t xml:space="preserve"> </w:t>
                              </w:r>
                            </w:p>
                          </w:txbxContent>
                        </wps:txbx>
                        <wps:bodyPr horzOverflow="overflow" vert="horz" lIns="0" tIns="0" rIns="0" bIns="0" rtlCol="0">
                          <a:noAutofit/>
                        </wps:bodyPr>
                      </wps:wsp>
                      <wps:wsp>
                        <wps:cNvPr id="36759" name="Rectangle 36759"/>
                        <wps:cNvSpPr/>
                        <wps:spPr>
                          <a:xfrm>
                            <a:off x="305" y="2813939"/>
                            <a:ext cx="51809" cy="207922"/>
                          </a:xfrm>
                          <a:prstGeom prst="rect">
                            <a:avLst/>
                          </a:prstGeom>
                          <a:ln>
                            <a:noFill/>
                          </a:ln>
                        </wps:spPr>
                        <wps:txbx>
                          <w:txbxContent>
                            <w:p w:rsidR="00B064CF" w:rsidRDefault="00E32F70">
                              <w:pPr>
                                <w:spacing w:after="160" w:line="259" w:lineRule="auto"/>
                                <w:ind w:left="0" w:firstLine="0"/>
                                <w:jc w:val="left"/>
                              </w:pPr>
                              <w:r>
                                <w:t xml:space="preserve"> </w:t>
                              </w:r>
                            </w:p>
                          </w:txbxContent>
                        </wps:txbx>
                        <wps:bodyPr horzOverflow="overflow" vert="horz" lIns="0" tIns="0" rIns="0" bIns="0" rtlCol="0">
                          <a:noAutofit/>
                        </wps:bodyPr>
                      </wps:wsp>
                      <wps:wsp>
                        <wps:cNvPr id="36760" name="Rectangle 36760"/>
                        <wps:cNvSpPr/>
                        <wps:spPr>
                          <a:xfrm>
                            <a:off x="305" y="2973960"/>
                            <a:ext cx="51809" cy="207921"/>
                          </a:xfrm>
                          <a:prstGeom prst="rect">
                            <a:avLst/>
                          </a:prstGeom>
                          <a:ln>
                            <a:noFill/>
                          </a:ln>
                        </wps:spPr>
                        <wps:txbx>
                          <w:txbxContent>
                            <w:p w:rsidR="00B064CF" w:rsidRDefault="00E32F70">
                              <w:pPr>
                                <w:spacing w:after="160" w:line="259" w:lineRule="auto"/>
                                <w:ind w:left="0" w:firstLine="0"/>
                                <w:jc w:val="left"/>
                              </w:pPr>
                              <w:r>
                                <w:t xml:space="preserve"> </w:t>
                              </w:r>
                            </w:p>
                          </w:txbxContent>
                        </wps:txbx>
                        <wps:bodyPr horzOverflow="overflow" vert="horz" lIns="0" tIns="0" rIns="0" bIns="0" rtlCol="0">
                          <a:noAutofit/>
                        </wps:bodyPr>
                      </wps:wsp>
                      <wps:wsp>
                        <wps:cNvPr id="36761" name="Rectangle 36761"/>
                        <wps:cNvSpPr/>
                        <wps:spPr>
                          <a:xfrm>
                            <a:off x="305" y="3135503"/>
                            <a:ext cx="51809" cy="207921"/>
                          </a:xfrm>
                          <a:prstGeom prst="rect">
                            <a:avLst/>
                          </a:prstGeom>
                          <a:ln>
                            <a:noFill/>
                          </a:ln>
                        </wps:spPr>
                        <wps:txbx>
                          <w:txbxContent>
                            <w:p w:rsidR="00B064CF" w:rsidRDefault="00E32F7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6765" name="Picture 36765"/>
                          <pic:cNvPicPr/>
                        </pic:nvPicPr>
                        <pic:blipFill>
                          <a:blip r:embed="rId47"/>
                          <a:stretch>
                            <a:fillRect/>
                          </a:stretch>
                        </pic:blipFill>
                        <pic:spPr>
                          <a:xfrm>
                            <a:off x="0" y="156479"/>
                            <a:ext cx="5401057" cy="2331720"/>
                          </a:xfrm>
                          <a:prstGeom prst="rect">
                            <a:avLst/>
                          </a:prstGeom>
                        </pic:spPr>
                      </pic:pic>
                      <wps:wsp>
                        <wps:cNvPr id="36766" name="Shape 36766"/>
                        <wps:cNvSpPr/>
                        <wps:spPr>
                          <a:xfrm>
                            <a:off x="4829557" y="1823608"/>
                            <a:ext cx="191008" cy="1090676"/>
                          </a:xfrm>
                          <a:custGeom>
                            <a:avLst/>
                            <a:gdLst/>
                            <a:ahLst/>
                            <a:cxnLst/>
                            <a:rect l="0" t="0" r="0" b="0"/>
                            <a:pathLst>
                              <a:path w="191008" h="1090676">
                                <a:moveTo>
                                  <a:pt x="188849" y="0"/>
                                </a:moveTo>
                                <a:lnTo>
                                  <a:pt x="191008" y="12447"/>
                                </a:lnTo>
                                <a:lnTo>
                                  <a:pt x="187416" y="13062"/>
                                </a:lnTo>
                                <a:lnTo>
                                  <a:pt x="184685" y="14509"/>
                                </a:lnTo>
                                <a:lnTo>
                                  <a:pt x="181137" y="17551"/>
                                </a:lnTo>
                                <a:lnTo>
                                  <a:pt x="177038" y="22352"/>
                                </a:lnTo>
                                <a:lnTo>
                                  <a:pt x="177546" y="21844"/>
                                </a:lnTo>
                                <a:lnTo>
                                  <a:pt x="173100" y="28448"/>
                                </a:lnTo>
                                <a:lnTo>
                                  <a:pt x="173355" y="27940"/>
                                </a:lnTo>
                                <a:lnTo>
                                  <a:pt x="169163" y="35814"/>
                                </a:lnTo>
                                <a:lnTo>
                                  <a:pt x="169290" y="35433"/>
                                </a:lnTo>
                                <a:lnTo>
                                  <a:pt x="164973" y="44577"/>
                                </a:lnTo>
                                <a:lnTo>
                                  <a:pt x="165100" y="44323"/>
                                </a:lnTo>
                                <a:lnTo>
                                  <a:pt x="160909" y="54738"/>
                                </a:lnTo>
                                <a:lnTo>
                                  <a:pt x="161036" y="54611"/>
                                </a:lnTo>
                                <a:lnTo>
                                  <a:pt x="156897" y="66025"/>
                                </a:lnTo>
                                <a:lnTo>
                                  <a:pt x="152908" y="78613"/>
                                </a:lnTo>
                                <a:lnTo>
                                  <a:pt x="153035" y="78487"/>
                                </a:lnTo>
                                <a:lnTo>
                                  <a:pt x="148971" y="92329"/>
                                </a:lnTo>
                                <a:lnTo>
                                  <a:pt x="148971" y="92075"/>
                                </a:lnTo>
                                <a:lnTo>
                                  <a:pt x="145161" y="106935"/>
                                </a:lnTo>
                                <a:lnTo>
                                  <a:pt x="145161" y="106807"/>
                                </a:lnTo>
                                <a:lnTo>
                                  <a:pt x="141477" y="122682"/>
                                </a:lnTo>
                                <a:lnTo>
                                  <a:pt x="141477" y="122555"/>
                                </a:lnTo>
                                <a:lnTo>
                                  <a:pt x="137795" y="139319"/>
                                </a:lnTo>
                                <a:lnTo>
                                  <a:pt x="137795" y="139192"/>
                                </a:lnTo>
                                <a:lnTo>
                                  <a:pt x="134238" y="156845"/>
                                </a:lnTo>
                                <a:lnTo>
                                  <a:pt x="134238" y="156718"/>
                                </a:lnTo>
                                <a:lnTo>
                                  <a:pt x="130810" y="175261"/>
                                </a:lnTo>
                                <a:lnTo>
                                  <a:pt x="127635" y="194438"/>
                                </a:lnTo>
                                <a:lnTo>
                                  <a:pt x="124460" y="214376"/>
                                </a:lnTo>
                                <a:lnTo>
                                  <a:pt x="124460" y="214249"/>
                                </a:lnTo>
                                <a:lnTo>
                                  <a:pt x="121538" y="234950"/>
                                </a:lnTo>
                                <a:lnTo>
                                  <a:pt x="121538" y="234823"/>
                                </a:lnTo>
                                <a:lnTo>
                                  <a:pt x="118745" y="256160"/>
                                </a:lnTo>
                                <a:lnTo>
                                  <a:pt x="116077" y="278130"/>
                                </a:lnTo>
                                <a:lnTo>
                                  <a:pt x="116077" y="278003"/>
                                </a:lnTo>
                                <a:lnTo>
                                  <a:pt x="113792" y="300482"/>
                                </a:lnTo>
                                <a:lnTo>
                                  <a:pt x="113792" y="300355"/>
                                </a:lnTo>
                                <a:lnTo>
                                  <a:pt x="109347" y="346711"/>
                                </a:lnTo>
                                <a:lnTo>
                                  <a:pt x="109347" y="346584"/>
                                </a:lnTo>
                                <a:lnTo>
                                  <a:pt x="105918" y="394589"/>
                                </a:lnTo>
                                <a:lnTo>
                                  <a:pt x="105918" y="394463"/>
                                </a:lnTo>
                                <a:lnTo>
                                  <a:pt x="103377" y="443612"/>
                                </a:lnTo>
                                <a:lnTo>
                                  <a:pt x="103377" y="443485"/>
                                </a:lnTo>
                                <a:lnTo>
                                  <a:pt x="101726" y="493395"/>
                                </a:lnTo>
                                <a:lnTo>
                                  <a:pt x="101853" y="493141"/>
                                </a:lnTo>
                                <a:lnTo>
                                  <a:pt x="101346" y="543434"/>
                                </a:lnTo>
                                <a:lnTo>
                                  <a:pt x="100711" y="593852"/>
                                </a:lnTo>
                                <a:lnTo>
                                  <a:pt x="99187" y="643890"/>
                                </a:lnTo>
                                <a:lnTo>
                                  <a:pt x="96647" y="693166"/>
                                </a:lnTo>
                                <a:lnTo>
                                  <a:pt x="93090" y="741172"/>
                                </a:lnTo>
                                <a:lnTo>
                                  <a:pt x="88773" y="787654"/>
                                </a:lnTo>
                                <a:lnTo>
                                  <a:pt x="86360" y="810261"/>
                                </a:lnTo>
                                <a:lnTo>
                                  <a:pt x="83693" y="832231"/>
                                </a:lnTo>
                                <a:lnTo>
                                  <a:pt x="81025" y="853694"/>
                                </a:lnTo>
                                <a:lnTo>
                                  <a:pt x="77977" y="874395"/>
                                </a:lnTo>
                                <a:lnTo>
                                  <a:pt x="74802" y="894462"/>
                                </a:lnTo>
                                <a:lnTo>
                                  <a:pt x="71627" y="913892"/>
                                </a:lnTo>
                                <a:lnTo>
                                  <a:pt x="68199" y="932435"/>
                                </a:lnTo>
                                <a:lnTo>
                                  <a:pt x="64643" y="950214"/>
                                </a:lnTo>
                                <a:lnTo>
                                  <a:pt x="60833" y="967105"/>
                                </a:lnTo>
                                <a:lnTo>
                                  <a:pt x="57150" y="982980"/>
                                </a:lnTo>
                                <a:lnTo>
                                  <a:pt x="53213" y="998093"/>
                                </a:lnTo>
                                <a:lnTo>
                                  <a:pt x="49719" y="1009997"/>
                                </a:lnTo>
                                <a:lnTo>
                                  <a:pt x="57023" y="999617"/>
                                </a:lnTo>
                                <a:cubicBezTo>
                                  <a:pt x="59055" y="996697"/>
                                  <a:pt x="62992" y="996062"/>
                                  <a:pt x="65786" y="998093"/>
                                </a:cubicBezTo>
                                <a:cubicBezTo>
                                  <a:pt x="68707" y="1000125"/>
                                  <a:pt x="69342" y="1004062"/>
                                  <a:pt x="67437" y="1006856"/>
                                </a:cubicBezTo>
                                <a:lnTo>
                                  <a:pt x="31214" y="1058383"/>
                                </a:lnTo>
                                <a:lnTo>
                                  <a:pt x="27559" y="1065276"/>
                                </a:lnTo>
                                <a:lnTo>
                                  <a:pt x="24249" y="1070286"/>
                                </a:lnTo>
                                <a:lnTo>
                                  <a:pt x="99822" y="1077723"/>
                                </a:lnTo>
                                <a:cubicBezTo>
                                  <a:pt x="103377" y="1078103"/>
                                  <a:pt x="105918" y="1081151"/>
                                  <a:pt x="105537" y="1084707"/>
                                </a:cubicBezTo>
                                <a:cubicBezTo>
                                  <a:pt x="105156" y="1088137"/>
                                  <a:pt x="102108" y="1090676"/>
                                  <a:pt x="98551" y="1090423"/>
                                </a:cubicBezTo>
                                <a:lnTo>
                                  <a:pt x="0" y="1080643"/>
                                </a:lnTo>
                                <a:lnTo>
                                  <a:pt x="20609" y="1051359"/>
                                </a:lnTo>
                                <a:lnTo>
                                  <a:pt x="24892" y="1042289"/>
                                </a:lnTo>
                                <a:lnTo>
                                  <a:pt x="24765" y="1042543"/>
                                </a:lnTo>
                                <a:lnTo>
                                  <a:pt x="28956" y="1032129"/>
                                </a:lnTo>
                                <a:lnTo>
                                  <a:pt x="28956" y="1032256"/>
                                </a:lnTo>
                                <a:lnTo>
                                  <a:pt x="33081" y="1020880"/>
                                </a:lnTo>
                                <a:lnTo>
                                  <a:pt x="36957" y="1008253"/>
                                </a:lnTo>
                                <a:lnTo>
                                  <a:pt x="36957" y="1008380"/>
                                </a:lnTo>
                                <a:lnTo>
                                  <a:pt x="40894" y="994537"/>
                                </a:lnTo>
                                <a:lnTo>
                                  <a:pt x="40894" y="994791"/>
                                </a:lnTo>
                                <a:lnTo>
                                  <a:pt x="44831" y="979932"/>
                                </a:lnTo>
                                <a:lnTo>
                                  <a:pt x="44831" y="980060"/>
                                </a:lnTo>
                                <a:lnTo>
                                  <a:pt x="48514" y="964185"/>
                                </a:lnTo>
                                <a:lnTo>
                                  <a:pt x="48514" y="964312"/>
                                </a:lnTo>
                                <a:lnTo>
                                  <a:pt x="52197" y="947547"/>
                                </a:lnTo>
                                <a:lnTo>
                                  <a:pt x="52197" y="947674"/>
                                </a:lnTo>
                                <a:lnTo>
                                  <a:pt x="55625" y="930022"/>
                                </a:lnTo>
                                <a:lnTo>
                                  <a:pt x="55625" y="930148"/>
                                </a:lnTo>
                                <a:lnTo>
                                  <a:pt x="59055" y="911606"/>
                                </a:lnTo>
                                <a:lnTo>
                                  <a:pt x="59055" y="911734"/>
                                </a:lnTo>
                                <a:lnTo>
                                  <a:pt x="62357" y="892429"/>
                                </a:lnTo>
                                <a:lnTo>
                                  <a:pt x="65405" y="872490"/>
                                </a:lnTo>
                                <a:lnTo>
                                  <a:pt x="65405" y="872617"/>
                                </a:lnTo>
                                <a:lnTo>
                                  <a:pt x="68452" y="851916"/>
                                </a:lnTo>
                                <a:lnTo>
                                  <a:pt x="68325" y="852043"/>
                                </a:lnTo>
                                <a:lnTo>
                                  <a:pt x="71120" y="830707"/>
                                </a:lnTo>
                                <a:lnTo>
                                  <a:pt x="73787" y="808737"/>
                                </a:lnTo>
                                <a:lnTo>
                                  <a:pt x="73787" y="808863"/>
                                </a:lnTo>
                                <a:lnTo>
                                  <a:pt x="76200" y="786385"/>
                                </a:lnTo>
                                <a:lnTo>
                                  <a:pt x="76200" y="786512"/>
                                </a:lnTo>
                                <a:lnTo>
                                  <a:pt x="80390" y="740156"/>
                                </a:lnTo>
                                <a:lnTo>
                                  <a:pt x="80390" y="740284"/>
                                </a:lnTo>
                                <a:lnTo>
                                  <a:pt x="83947" y="692277"/>
                                </a:lnTo>
                                <a:lnTo>
                                  <a:pt x="83947" y="692404"/>
                                </a:lnTo>
                                <a:lnTo>
                                  <a:pt x="86487" y="643255"/>
                                </a:lnTo>
                                <a:lnTo>
                                  <a:pt x="86487" y="643382"/>
                                </a:lnTo>
                                <a:lnTo>
                                  <a:pt x="88011" y="593472"/>
                                </a:lnTo>
                                <a:lnTo>
                                  <a:pt x="88011" y="593598"/>
                                </a:lnTo>
                                <a:lnTo>
                                  <a:pt x="88646" y="543434"/>
                                </a:lnTo>
                                <a:lnTo>
                                  <a:pt x="89153" y="493014"/>
                                </a:lnTo>
                                <a:lnTo>
                                  <a:pt x="90677" y="442976"/>
                                </a:lnTo>
                                <a:lnTo>
                                  <a:pt x="93345" y="393700"/>
                                </a:lnTo>
                                <a:lnTo>
                                  <a:pt x="96774" y="345694"/>
                                </a:lnTo>
                                <a:lnTo>
                                  <a:pt x="101092" y="299213"/>
                                </a:lnTo>
                                <a:lnTo>
                                  <a:pt x="103505" y="276606"/>
                                </a:lnTo>
                                <a:lnTo>
                                  <a:pt x="106172" y="254636"/>
                                </a:lnTo>
                                <a:lnTo>
                                  <a:pt x="108965" y="233172"/>
                                </a:lnTo>
                                <a:lnTo>
                                  <a:pt x="111887" y="212472"/>
                                </a:lnTo>
                                <a:lnTo>
                                  <a:pt x="115062" y="192405"/>
                                </a:lnTo>
                                <a:lnTo>
                                  <a:pt x="118363" y="173101"/>
                                </a:lnTo>
                                <a:lnTo>
                                  <a:pt x="121793" y="154432"/>
                                </a:lnTo>
                                <a:lnTo>
                                  <a:pt x="125349" y="136652"/>
                                </a:lnTo>
                                <a:lnTo>
                                  <a:pt x="129032" y="119762"/>
                                </a:lnTo>
                                <a:lnTo>
                                  <a:pt x="132842" y="103887"/>
                                </a:lnTo>
                                <a:lnTo>
                                  <a:pt x="136778" y="88773"/>
                                </a:lnTo>
                                <a:lnTo>
                                  <a:pt x="140843" y="74930"/>
                                </a:lnTo>
                                <a:lnTo>
                                  <a:pt x="144907" y="61849"/>
                                </a:lnTo>
                                <a:lnTo>
                                  <a:pt x="149098" y="50165"/>
                                </a:lnTo>
                                <a:lnTo>
                                  <a:pt x="153415" y="39370"/>
                                </a:lnTo>
                                <a:lnTo>
                                  <a:pt x="157861" y="29972"/>
                                </a:lnTo>
                                <a:lnTo>
                                  <a:pt x="162433" y="21590"/>
                                </a:lnTo>
                                <a:lnTo>
                                  <a:pt x="167132" y="14478"/>
                                </a:lnTo>
                                <a:lnTo>
                                  <a:pt x="172085" y="8637"/>
                                </a:lnTo>
                                <a:lnTo>
                                  <a:pt x="177546" y="3938"/>
                                </a:lnTo>
                                <a:lnTo>
                                  <a:pt x="183388" y="889"/>
                                </a:lnTo>
                                <a:lnTo>
                                  <a:pt x="188849" y="0"/>
                                </a:lnTo>
                                <a:close/>
                              </a:path>
                            </a:pathLst>
                          </a:custGeom>
                          <a:ln w="0" cap="sq">
                            <a:miter lim="127000"/>
                          </a:ln>
                        </wps:spPr>
                        <wps:style>
                          <a:lnRef idx="0">
                            <a:srgbClr val="000000">
                              <a:alpha val="0"/>
                            </a:srgbClr>
                          </a:lnRef>
                          <a:fillRef idx="1">
                            <a:srgbClr val="A5A5A5"/>
                          </a:fillRef>
                          <a:effectRef idx="0">
                            <a:scrgbClr r="0" g="0" b="0"/>
                          </a:effectRef>
                          <a:fontRef idx="none"/>
                        </wps:style>
                        <wps:bodyPr/>
                      </wps:wsp>
                    </wpg:wgp>
                  </a:graphicData>
                </a:graphic>
              </wp:inline>
            </w:drawing>
          </mc:Choice>
          <mc:Fallback xmlns:a="http://schemas.openxmlformats.org/drawingml/2006/main">
            <w:pict>
              <v:group id="Group 409992" style="width:452.86pt;height:344.121pt;mso-position-horizontal-relative:char;mso-position-vertical-relative:line" coordsize="57513,43703">
                <v:shape id="Picture 36722" style="position:absolute;width:20116;height:17998;left:33924;top:25704;" filled="f">
                  <v:imagedata r:id="rId48"/>
                </v:shape>
                <v:rect id="Rectangle 36746" style="position:absolute;width:12087;height:2079;left:25822;top:0;" filled="f" stroked="f">
                  <v:textbox inset="0,0,0,0">
                    <w:txbxContent>
                      <w:p>
                        <w:pPr>
                          <w:spacing w:before="0" w:after="160" w:line="259" w:lineRule="auto"/>
                          <w:ind w:left="0" w:firstLine="0"/>
                          <w:jc w:val="left"/>
                        </w:pPr>
                        <w:r>
                          <w:rPr/>
                          <w:t xml:space="preserve">GRÁFICO 1.2.</w:t>
                        </w:r>
                      </w:p>
                    </w:txbxContent>
                  </v:textbox>
                </v:rect>
                <v:rect id="Rectangle 36747" style="position:absolute;width:518;height:2079;left:34908;top:0;" filled="f" stroked="f">
                  <v:textbox inset="0,0,0,0">
                    <w:txbxContent>
                      <w:p>
                        <w:pPr>
                          <w:spacing w:before="0" w:after="160" w:line="259" w:lineRule="auto"/>
                          <w:ind w:left="0" w:firstLine="0"/>
                          <w:jc w:val="left"/>
                        </w:pPr>
                        <w:r>
                          <w:rPr/>
                          <w:t xml:space="preserve"> </w:t>
                        </w:r>
                      </w:p>
                    </w:txbxContent>
                  </v:textbox>
                </v:rect>
                <v:rect id="Rectangle 36749" style="position:absolute;width:518;height:2079;left:3599;top:24921;" filled="f" stroked="f">
                  <v:textbox inset="0,0,0,0">
                    <w:txbxContent>
                      <w:p>
                        <w:pPr>
                          <w:spacing w:before="0" w:after="160" w:line="259" w:lineRule="auto"/>
                          <w:ind w:left="0" w:firstLine="0"/>
                          <w:jc w:val="left"/>
                        </w:pPr>
                        <w:r>
                          <w:rPr/>
                          <w:t xml:space="preserve"> </w:t>
                        </w:r>
                      </w:p>
                    </w:txbxContent>
                  </v:textbox>
                </v:rect>
                <v:rect id="Rectangle 36750" style="position:absolute;width:518;height:2079;left:8094;top:24921;" filled="f" stroked="f">
                  <v:textbox inset="0,0,0,0">
                    <w:txbxContent>
                      <w:p>
                        <w:pPr>
                          <w:spacing w:before="0" w:after="160" w:line="259" w:lineRule="auto"/>
                          <w:ind w:left="0" w:firstLine="0"/>
                          <w:jc w:val="left"/>
                        </w:pPr>
                        <w:r>
                          <w:rPr/>
                          <w:t xml:space="preserve"> </w:t>
                        </w:r>
                      </w:p>
                    </w:txbxContent>
                  </v:textbox>
                </v:rect>
                <v:rect id="Rectangle 36751" style="position:absolute;width:518;height:2079;left:12590;top:24921;" filled="f" stroked="f">
                  <v:textbox inset="0,0,0,0">
                    <w:txbxContent>
                      <w:p>
                        <w:pPr>
                          <w:spacing w:before="0" w:after="160" w:line="259" w:lineRule="auto"/>
                          <w:ind w:left="0" w:firstLine="0"/>
                          <w:jc w:val="left"/>
                        </w:pPr>
                        <w:r>
                          <w:rPr/>
                          <w:t xml:space="preserve"> </w:t>
                        </w:r>
                      </w:p>
                    </w:txbxContent>
                  </v:textbox>
                </v:rect>
                <v:rect id="Rectangle 36752" style="position:absolute;width:518;height:2079;left:17090;top:24921;" filled="f" stroked="f">
                  <v:textbox inset="0,0,0,0">
                    <w:txbxContent>
                      <w:p>
                        <w:pPr>
                          <w:spacing w:before="0" w:after="160" w:line="259" w:lineRule="auto"/>
                          <w:ind w:left="0" w:firstLine="0"/>
                          <w:jc w:val="left"/>
                        </w:pPr>
                        <w:r>
                          <w:rPr/>
                          <w:t xml:space="preserve"> </w:t>
                        </w:r>
                      </w:p>
                    </w:txbxContent>
                  </v:textbox>
                </v:rect>
                <v:rect id="Rectangle 36753" style="position:absolute;width:518;height:2079;left:21586;top:24921;" filled="f" stroked="f">
                  <v:textbox inset="0,0,0,0">
                    <w:txbxContent>
                      <w:p>
                        <w:pPr>
                          <w:spacing w:before="0" w:after="160" w:line="259" w:lineRule="auto"/>
                          <w:ind w:left="0" w:firstLine="0"/>
                          <w:jc w:val="left"/>
                        </w:pPr>
                        <w:r>
                          <w:rPr/>
                          <w:t xml:space="preserve"> </w:t>
                        </w:r>
                      </w:p>
                    </w:txbxContent>
                  </v:textbox>
                </v:rect>
                <v:rect id="Rectangle 36754" style="position:absolute;width:518;height:2079;left:26081;top:24921;" filled="f" stroked="f">
                  <v:textbox inset="0,0,0,0">
                    <w:txbxContent>
                      <w:p>
                        <w:pPr>
                          <w:spacing w:before="0" w:after="160" w:line="259" w:lineRule="auto"/>
                          <w:ind w:left="0" w:firstLine="0"/>
                          <w:jc w:val="left"/>
                        </w:pPr>
                        <w:r>
                          <w:rPr/>
                          <w:t xml:space="preserve"> </w:t>
                        </w:r>
                      </w:p>
                    </w:txbxContent>
                  </v:textbox>
                </v:rect>
                <v:rect id="Rectangle 36755" style="position:absolute;width:518;height:2079;left:30577;top:24921;" filled="f" stroked="f">
                  <v:textbox inset="0,0,0,0">
                    <w:txbxContent>
                      <w:p>
                        <w:pPr>
                          <w:spacing w:before="0" w:after="160" w:line="259" w:lineRule="auto"/>
                          <w:ind w:left="0" w:firstLine="0"/>
                          <w:jc w:val="left"/>
                        </w:pPr>
                        <w:r>
                          <w:rPr/>
                          <w:t xml:space="preserve"> </w:t>
                        </w:r>
                      </w:p>
                    </w:txbxContent>
                  </v:textbox>
                </v:rect>
                <v:rect id="Rectangle 36756" style="position:absolute;width:29310;height:2079;left:35076;top:24921;" filled="f" stroked="f">
                  <v:textbox inset="0,0,0,0">
                    <w:txbxContent>
                      <w:p>
                        <w:pPr>
                          <w:spacing w:before="0" w:after="160" w:line="259" w:lineRule="auto"/>
                          <w:ind w:left="0" w:firstLine="0"/>
                          <w:jc w:val="left"/>
                        </w:pPr>
                        <w:r>
                          <w:rPr/>
                          <w:t xml:space="preserve">PAVIMENTO TÁCTIL ACANALADO</w:t>
                        </w:r>
                      </w:p>
                    </w:txbxContent>
                  </v:textbox>
                </v:rect>
                <v:rect id="Rectangle 36757" style="position:absolute;width:506;height:2243;left:57132;top:2483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6758" style="position:absolute;width:518;height:2079;left:3;top:26521;" filled="f" stroked="f">
                  <v:textbox inset="0,0,0,0">
                    <w:txbxContent>
                      <w:p>
                        <w:pPr>
                          <w:spacing w:before="0" w:after="160" w:line="259" w:lineRule="auto"/>
                          <w:ind w:left="0" w:firstLine="0"/>
                          <w:jc w:val="left"/>
                        </w:pPr>
                        <w:r>
                          <w:rPr/>
                          <w:t xml:space="preserve"> </w:t>
                        </w:r>
                      </w:p>
                    </w:txbxContent>
                  </v:textbox>
                </v:rect>
                <v:rect id="Rectangle 36759" style="position:absolute;width:518;height:2079;left:3;top:28139;" filled="f" stroked="f">
                  <v:textbox inset="0,0,0,0">
                    <w:txbxContent>
                      <w:p>
                        <w:pPr>
                          <w:spacing w:before="0" w:after="160" w:line="259" w:lineRule="auto"/>
                          <w:ind w:left="0" w:firstLine="0"/>
                          <w:jc w:val="left"/>
                        </w:pPr>
                        <w:r>
                          <w:rPr/>
                          <w:t xml:space="preserve"> </w:t>
                        </w:r>
                      </w:p>
                    </w:txbxContent>
                  </v:textbox>
                </v:rect>
                <v:rect id="Rectangle 36760" style="position:absolute;width:518;height:2079;left:3;top:29739;" filled="f" stroked="f">
                  <v:textbox inset="0,0,0,0">
                    <w:txbxContent>
                      <w:p>
                        <w:pPr>
                          <w:spacing w:before="0" w:after="160" w:line="259" w:lineRule="auto"/>
                          <w:ind w:left="0" w:firstLine="0"/>
                          <w:jc w:val="left"/>
                        </w:pPr>
                        <w:r>
                          <w:rPr/>
                          <w:t xml:space="preserve"> </w:t>
                        </w:r>
                      </w:p>
                    </w:txbxContent>
                  </v:textbox>
                </v:rect>
                <v:rect id="Rectangle 36761" style="position:absolute;width:518;height:2079;left:3;top:31355;" filled="f" stroked="f">
                  <v:textbox inset="0,0,0,0">
                    <w:txbxContent>
                      <w:p>
                        <w:pPr>
                          <w:spacing w:before="0" w:after="160" w:line="259" w:lineRule="auto"/>
                          <w:ind w:left="0" w:firstLine="0"/>
                          <w:jc w:val="left"/>
                        </w:pPr>
                        <w:r>
                          <w:rPr/>
                          <w:t xml:space="preserve"> </w:t>
                        </w:r>
                      </w:p>
                    </w:txbxContent>
                  </v:textbox>
                </v:rect>
                <v:shape id="Picture 36765" style="position:absolute;width:54010;height:23317;left:0;top:1564;" filled="f">
                  <v:imagedata r:id="rId49"/>
                </v:shape>
                <v:shape id="Shape 36766" style="position:absolute;width:1910;height:10906;left:48295;top:18236;" coordsize="191008,1090676" path="m188849,0l191008,12447l187416,13062l184685,14509l181137,17551l177038,22352l177546,21844l173100,28448l173355,27940l169163,35814l169290,35433l164973,44577l165100,44323l160909,54738l161036,54611l156897,66025l152908,78613l153035,78487l148971,92329l148971,92075l145161,106935l145161,106807l141477,122682l141477,122555l137795,139319l137795,139192l134238,156845l134238,156718l130810,175261l127635,194438l124460,214376l124460,214249l121538,234950l121538,234823l118745,256160l116077,278130l116077,278003l113792,300482l113792,300355l109347,346711l109347,346584l105918,394589l105918,394463l103377,443612l103377,443485l101726,493395l101853,493141l101346,543434l100711,593852l99187,643890l96647,693166l93090,741172l88773,787654l86360,810261l83693,832231l81025,853694l77977,874395l74802,894462l71627,913892l68199,932435l64643,950214l60833,967105l57150,982980l53213,998093l49719,1009997l57023,999617c59055,996697,62992,996062,65786,998093c68707,1000125,69342,1004062,67437,1006856l31214,1058383l27559,1065276l24249,1070286l99822,1077723c103377,1078103,105918,1081151,105537,1084707c105156,1088137,102108,1090676,98551,1090423l0,1080643l20609,1051359l24892,1042289l24765,1042543l28956,1032129l28956,1032256l33081,1020880l36957,1008253l36957,1008380l40894,994537l40894,994791l44831,979932l44831,980060l48514,964185l48514,964312l52197,947547l52197,947674l55625,930022l55625,930148l59055,911606l59055,911734l62357,892429l65405,872490l65405,872617l68452,851916l68325,852043l71120,830707l73787,808737l73787,808863l76200,786385l76200,786512l80390,740156l80390,740284l83947,692277l83947,692404l86487,643255l86487,643382l88011,593472l88011,593598l88646,543434l89153,493014l90677,442976l93345,393700l96774,345694l101092,299213l103505,276606l106172,254636l108965,233172l111887,212472l115062,192405l118363,173101l121793,154432l125349,136652l129032,119762l132842,103887l136778,88773l140843,74930l144907,61849l149098,50165l153415,39370l157861,29972l162433,21590l167132,14478l172085,8637l177546,3938l183388,889l188849,0x">
                  <v:stroke weight="0pt" endcap="square" joinstyle="miter" miterlimit="10" on="false" color="#000000" opacity="0"/>
                  <v:fill on="true" color="#a5a5a5"/>
                </v:shape>
              </v:group>
            </w:pict>
          </mc:Fallback>
        </mc:AlternateConten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13" w:line="250" w:lineRule="auto"/>
        <w:ind w:left="906" w:right="617"/>
        <w:jc w:val="center"/>
      </w:pPr>
      <w:r>
        <w:t xml:space="preserve">GRÁFICO 1.3. </w:t>
      </w:r>
    </w:p>
    <w:p w:rsidR="00B064CF" w:rsidRDefault="00E32F70">
      <w:pPr>
        <w:spacing w:after="0" w:line="259" w:lineRule="auto"/>
        <w:ind w:left="340" w:firstLine="0"/>
        <w:jc w:val="center"/>
      </w:pPr>
      <w:r>
        <w:t xml:space="preserve"> </w:t>
      </w:r>
    </w:p>
    <w:p w:rsidR="00B064CF" w:rsidRDefault="00E32F70">
      <w:pPr>
        <w:spacing w:after="0" w:line="259" w:lineRule="auto"/>
        <w:ind w:left="340" w:firstLine="0"/>
        <w:jc w:val="center"/>
      </w:pPr>
      <w:r>
        <w:t xml:space="preserve"> </w:t>
      </w:r>
    </w:p>
    <w:p w:rsidR="00B064CF" w:rsidRDefault="00E32F70">
      <w:pPr>
        <w:spacing w:after="26" w:line="216" w:lineRule="auto"/>
        <w:ind w:left="883" w:right="543" w:firstLine="0"/>
        <w:jc w:val="right"/>
      </w:pPr>
      <w:r>
        <w:rPr>
          <w:noProof/>
        </w:rPr>
        <w:drawing>
          <wp:inline distT="0" distB="0" distL="0" distR="0">
            <wp:extent cx="5401056" cy="2642616"/>
            <wp:effectExtent l="0" t="0" r="0" b="0"/>
            <wp:docPr id="36816" name="Picture 36816"/>
            <wp:cNvGraphicFramePr/>
            <a:graphic xmlns:a="http://schemas.openxmlformats.org/drawingml/2006/main">
              <a:graphicData uri="http://schemas.openxmlformats.org/drawingml/2006/picture">
                <pic:pic xmlns:pic="http://schemas.openxmlformats.org/drawingml/2006/picture">
                  <pic:nvPicPr>
                    <pic:cNvPr id="36816" name="Picture 36816"/>
                    <pic:cNvPicPr/>
                  </pic:nvPicPr>
                  <pic:blipFill>
                    <a:blip r:embed="rId50"/>
                    <a:stretch>
                      <a:fillRect/>
                    </a:stretch>
                  </pic:blipFill>
                  <pic:spPr>
                    <a:xfrm>
                      <a:off x="0" y="0"/>
                      <a:ext cx="5401056" cy="2642616"/>
                    </a:xfrm>
                    <a:prstGeom prst="rect">
                      <a:avLst/>
                    </a:prstGeom>
                  </pic:spPr>
                </pic:pic>
              </a:graphicData>
            </a:graphic>
          </wp:inline>
        </w:drawing>
      </w:r>
      <w:r>
        <w:rPr>
          <w:rFonts w:ascii="Times New Roman" w:eastAsia="Times New Roman" w:hAnsi="Times New Roman" w:cs="Times New Roman"/>
          <w:sz w:val="24"/>
        </w:rPr>
        <w:t xml:space="preserve"> </w:t>
      </w:r>
      <w:r>
        <w:t xml:space="preserve"> </w:t>
      </w:r>
    </w:p>
    <w:p w:rsidR="00B064CF" w:rsidRDefault="00E32F70">
      <w:pPr>
        <w:spacing w:after="0" w:line="259" w:lineRule="auto"/>
        <w:ind w:left="340" w:firstLine="0"/>
        <w:jc w:val="center"/>
      </w:pPr>
      <w:r>
        <w:rPr>
          <w:rFonts w:ascii="Calibri" w:eastAsia="Calibri" w:hAnsi="Calibri" w:cs="Calibri"/>
          <w:noProof/>
        </w:rPr>
        <mc:AlternateContent>
          <mc:Choice Requires="wpg">
            <w:drawing>
              <wp:anchor distT="0" distB="0" distL="114300" distR="114300" simplePos="0" relativeHeight="25188761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10565" name="Group 410565"/>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6821" name="Rectangle 36821"/>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6822" name="Rectangle 36822"/>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220 de 298 </w:t>
                              </w:r>
                            </w:p>
                          </w:txbxContent>
                        </wps:txbx>
                        <wps:bodyPr horzOverflow="overflow" vert="horz" lIns="0" tIns="0" rIns="0" bIns="0" rtlCol="0">
                          <a:noAutofit/>
                        </wps:bodyPr>
                      </wps:wsp>
                    </wpg:wgp>
                  </a:graphicData>
                </a:graphic>
              </wp:anchor>
            </w:drawing>
          </mc:Choice>
          <mc:Fallback xmlns:a="http://schemas.openxmlformats.org/drawingml/2006/main">
            <w:pict>
              <v:group id="Group 410565" style="width:12.7031pt;height:278.91pt;position:absolute;mso-position-horizontal-relative:page;mso-position-horizontal:absolute;margin-left:682.278pt;mso-position-vertical-relative:page;margin-top:533.01pt;" coordsize="1613,35421">
                <v:rect id="Rectangle 36821"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6822"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220 de 298 </w:t>
                        </w:r>
                      </w:p>
                    </w:txbxContent>
                  </v:textbox>
                </v:rect>
                <w10:wrap type="square"/>
              </v:group>
            </w:pict>
          </mc:Fallback>
        </mc:AlternateContent>
      </w:r>
      <w:r>
        <w:t xml:space="preserve"> </w:t>
      </w:r>
    </w:p>
    <w:p w:rsidR="00B064CF" w:rsidRDefault="00E32F70">
      <w:pPr>
        <w:spacing w:after="13" w:line="250" w:lineRule="auto"/>
        <w:ind w:left="906" w:right="617"/>
        <w:jc w:val="center"/>
      </w:pPr>
      <w:r>
        <w:t xml:space="preserve">GRÁFICO 1.4. </w:t>
      </w:r>
    </w:p>
    <w:p w:rsidR="00B064CF" w:rsidRDefault="00E32F70">
      <w:pPr>
        <w:spacing w:after="0" w:line="259" w:lineRule="auto"/>
        <w:ind w:left="0" w:right="1066" w:firstLine="0"/>
        <w:jc w:val="right"/>
      </w:pPr>
      <w:r>
        <w:rPr>
          <w:noProof/>
        </w:rPr>
        <w:drawing>
          <wp:inline distT="0" distB="0" distL="0" distR="0">
            <wp:extent cx="5401057" cy="2659380"/>
            <wp:effectExtent l="0" t="0" r="0" b="0"/>
            <wp:docPr id="36818" name="Picture 36818"/>
            <wp:cNvGraphicFramePr/>
            <a:graphic xmlns:a="http://schemas.openxmlformats.org/drawingml/2006/main">
              <a:graphicData uri="http://schemas.openxmlformats.org/drawingml/2006/picture">
                <pic:pic xmlns:pic="http://schemas.openxmlformats.org/drawingml/2006/picture">
                  <pic:nvPicPr>
                    <pic:cNvPr id="36818" name="Picture 36818"/>
                    <pic:cNvPicPr/>
                  </pic:nvPicPr>
                  <pic:blipFill>
                    <a:blip r:embed="rId51"/>
                    <a:stretch>
                      <a:fillRect/>
                    </a:stretch>
                  </pic:blipFill>
                  <pic:spPr>
                    <a:xfrm>
                      <a:off x="0" y="0"/>
                      <a:ext cx="5401057" cy="2659380"/>
                    </a:xfrm>
                    <a:prstGeom prst="rect">
                      <a:avLst/>
                    </a:prstGeom>
                  </pic:spPr>
                </pic:pic>
              </a:graphicData>
            </a:graphic>
          </wp:inline>
        </w:drawing>
      </w:r>
      <w:r>
        <w:rPr>
          <w:rFonts w:ascii="Times New Roman" w:eastAsia="Times New Roman" w:hAnsi="Times New Roman" w:cs="Times New Roman"/>
          <w:sz w:val="24"/>
        </w:rPr>
        <w:t xml:space="preserve"> </w:t>
      </w:r>
    </w:p>
    <w:p w:rsidR="00B064CF" w:rsidRDefault="00E32F70">
      <w:pPr>
        <w:spacing w:after="0" w:line="259" w:lineRule="auto"/>
        <w:ind w:left="1060" w:firstLine="0"/>
        <w:jc w:val="center"/>
      </w:pPr>
      <w:r>
        <w:t xml:space="preserve"> </w:t>
      </w:r>
    </w:p>
    <w:p w:rsidR="00B064CF" w:rsidRDefault="00E32F70">
      <w:pPr>
        <w:spacing w:after="0" w:line="259" w:lineRule="auto"/>
        <w:ind w:left="1080" w:firstLine="0"/>
        <w:jc w:val="left"/>
      </w:pPr>
      <w:r>
        <w:t xml:space="preserve"> </w:t>
      </w:r>
    </w:p>
    <w:p w:rsidR="00B064CF" w:rsidRDefault="00E32F70">
      <w:pPr>
        <w:spacing w:after="0" w:line="259" w:lineRule="auto"/>
        <w:ind w:left="1080" w:firstLine="0"/>
        <w:jc w:val="left"/>
      </w:pPr>
      <w:r>
        <w:t xml:space="preserve"> </w:t>
      </w:r>
    </w:p>
    <w:p w:rsidR="00B064CF" w:rsidRDefault="00E32F70">
      <w:pPr>
        <w:spacing w:after="11"/>
        <w:ind w:left="355" w:right="72"/>
      </w:pPr>
      <w:r>
        <w:t xml:space="preserve">ANEXO II  </w:t>
      </w:r>
    </w:p>
    <w:p w:rsidR="00B064CF" w:rsidRDefault="00E32F70">
      <w:pPr>
        <w:spacing w:after="11"/>
        <w:ind w:left="355" w:right="72"/>
      </w:pPr>
      <w:r>
        <w:t xml:space="preserve">MOBILIARIO </w:t>
      </w:r>
    </w:p>
    <w:p w:rsidR="00B064CF" w:rsidRDefault="00E32F70">
      <w:pPr>
        <w:tabs>
          <w:tab w:val="center" w:pos="545"/>
          <w:tab w:val="center" w:pos="4718"/>
        </w:tabs>
        <w:spacing w:after="11"/>
        <w:ind w:left="0" w:firstLine="0"/>
        <w:jc w:val="left"/>
      </w:pPr>
      <w:r>
        <w:rPr>
          <w:rFonts w:ascii="Calibri" w:eastAsia="Calibri" w:hAnsi="Calibri" w:cs="Calibri"/>
        </w:rPr>
        <w:tab/>
      </w:r>
      <w:r>
        <w:t xml:space="preserve">II.1. </w:t>
      </w:r>
      <w:r>
        <w:tab/>
      </w:r>
      <w:r>
        <w:t xml:space="preserve">Características de las mesas, sillas, sombrillas, cenadores, carpas y toldos </w:t>
      </w:r>
    </w:p>
    <w:p w:rsidR="00B064CF" w:rsidRDefault="00E32F70">
      <w:pPr>
        <w:tabs>
          <w:tab w:val="center" w:pos="1075"/>
        </w:tabs>
        <w:spacing w:after="11"/>
        <w:ind w:left="0" w:firstLine="0"/>
        <w:jc w:val="left"/>
      </w:pPr>
      <w:r>
        <w:rPr>
          <w:rFonts w:ascii="Segoe UI Symbol" w:eastAsia="Segoe UI Symbol" w:hAnsi="Segoe UI Symbol" w:cs="Segoe UI Symbol"/>
        </w:rPr>
        <w:t></w:t>
      </w:r>
      <w:r>
        <w:t xml:space="preserve"> </w:t>
      </w:r>
      <w:r>
        <w:tab/>
        <w:t xml:space="preserve">Mesas y sillas: </w:t>
      </w:r>
    </w:p>
    <w:p w:rsidR="00B064CF" w:rsidRDefault="00E32F70">
      <w:pPr>
        <w:spacing w:after="0"/>
        <w:ind w:left="355" w:right="72"/>
      </w:pPr>
      <w:r>
        <w:t>Las mesas deben ser funcionales y estar mantenidas. El espacio exterior debe contribuir al esquema general de la imagen en conjunto, con los demás del entorno</w:t>
      </w:r>
      <w:r>
        <w:t xml:space="preserve">, en apariencia y calidad. Las mesas no deben estar coloreadas, serán de materiales naturales sin pintar como madera o metal.  </w:t>
      </w:r>
    </w:p>
    <w:p w:rsidR="00B064CF" w:rsidRDefault="00E32F70">
      <w:pPr>
        <w:spacing w:after="0"/>
        <w:ind w:left="355" w:right="72"/>
      </w:pPr>
      <w:r>
        <w:t xml:space="preserve">Las sillas deben contribuir como todo el mobiliario de las terrazas a la imagen homogénea y de calidad de las mismas. </w:t>
      </w:r>
    </w:p>
    <w:p w:rsidR="00B064CF" w:rsidRDefault="00E32F70">
      <w:pPr>
        <w:spacing w:after="0"/>
        <w:ind w:left="355" w:right="72"/>
      </w:pPr>
      <w:r>
        <w:t xml:space="preserve">Las sillas deben poder resistir los factores ambientales como el sol, la humedad y el salitre y mantenerse en buenas condiciones. Deben de ser de construcción robusta y no mostrar signos de deterioro o daño en la estructura y acabados. </w:t>
      </w:r>
    </w:p>
    <w:p w:rsidR="00B064CF" w:rsidRDefault="00E32F70">
      <w:pPr>
        <w:spacing w:after="11"/>
        <w:ind w:left="355" w:right="72"/>
      </w:pPr>
      <w:r>
        <w:t xml:space="preserve">Los colores de las </w:t>
      </w:r>
      <w:r>
        <w:t xml:space="preserve">mesas y las sillas están sujetas a la aprobación de la Oficina Técnica. </w:t>
      </w:r>
    </w:p>
    <w:p w:rsidR="00B064CF" w:rsidRDefault="00E32F70">
      <w:pPr>
        <w:spacing w:after="0" w:line="259" w:lineRule="auto"/>
        <w:ind w:left="360" w:firstLine="0"/>
        <w:jc w:val="left"/>
      </w:pPr>
      <w:r>
        <w:t xml:space="preserve"> </w:t>
      </w:r>
    </w:p>
    <w:p w:rsidR="00B064CF" w:rsidRDefault="00E32F70">
      <w:pPr>
        <w:tabs>
          <w:tab w:val="center" w:pos="2280"/>
        </w:tabs>
        <w:spacing w:after="11"/>
        <w:ind w:left="0" w:firstLine="0"/>
        <w:jc w:val="left"/>
      </w:pPr>
      <w:r>
        <w:rPr>
          <w:rFonts w:ascii="Segoe UI Symbol" w:eastAsia="Segoe UI Symbol" w:hAnsi="Segoe UI Symbol" w:cs="Segoe UI Symbol"/>
        </w:rPr>
        <w:t></w:t>
      </w:r>
      <w:r>
        <w:t xml:space="preserve"> </w:t>
      </w:r>
      <w:r>
        <w:tab/>
        <w:t xml:space="preserve">Sombrillas, cenadores, carpas y toldos: </w:t>
      </w:r>
    </w:p>
    <w:p w:rsidR="00B064CF" w:rsidRDefault="00E32F70">
      <w:pPr>
        <w:spacing w:after="0"/>
        <w:ind w:left="355" w:right="72"/>
      </w:pPr>
      <w:r>
        <w:t>Deberán ajustarse a los condicionantes de altura libre, altura máxima y dimensiones, estipuladas en los artículos que les sean de aplicac</w:t>
      </w:r>
      <w:r>
        <w:t xml:space="preserve">ión en la presente Ordenanza. </w:t>
      </w:r>
    </w:p>
    <w:p w:rsidR="00B064CF" w:rsidRDefault="00E32F70">
      <w:pPr>
        <w:spacing w:after="0"/>
        <w:ind w:left="355" w:right="72"/>
      </w:pPr>
      <w:r>
        <w:t>Señalización o texto prohibido: los toldos y sombrillas no deberán contener rotulación de cualquier otra entidad, diferente de la propia actividad, en forma de texto, logotipos, dibujos, representaciones fotográficas o fotogr</w:t>
      </w:r>
      <w:r>
        <w:t xml:space="preserve">áficas, o cualquier otra característica de identificación similar. </w:t>
      </w:r>
    </w:p>
    <w:p w:rsidR="00B064CF" w:rsidRDefault="00E32F70">
      <w:pPr>
        <w:spacing w:after="26"/>
        <w:ind w:left="355" w:right="72"/>
      </w:pPr>
      <w:r>
        <w:t xml:space="preserve">Los colores de las sombrillas, cenadores, carpas y toldos están sujetas a la aprobación de la Oficina Técnica.”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4"/>
        <w:ind w:left="355" w:right="68"/>
      </w:pPr>
      <w:r>
        <w:rPr>
          <w:rFonts w:ascii="Calibri" w:eastAsia="Calibri" w:hAnsi="Calibri" w:cs="Calibri"/>
          <w:noProof/>
        </w:rPr>
        <mc:AlternateContent>
          <mc:Choice Requires="wpg">
            <w:drawing>
              <wp:anchor distT="0" distB="0" distL="114300" distR="114300" simplePos="0" relativeHeight="25188864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10926" name="Group 410926"/>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6936" name="Rectangle 36936"/>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6937" name="Rectangle 36937"/>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221 de 298 </w:t>
                              </w:r>
                            </w:p>
                          </w:txbxContent>
                        </wps:txbx>
                        <wps:bodyPr horzOverflow="overflow" vert="horz" lIns="0" tIns="0" rIns="0" bIns="0" rtlCol="0">
                          <a:noAutofit/>
                        </wps:bodyPr>
                      </wps:wsp>
                    </wpg:wgp>
                  </a:graphicData>
                </a:graphic>
              </wp:anchor>
            </w:drawing>
          </mc:Choice>
          <mc:Fallback xmlns:a="http://schemas.openxmlformats.org/drawingml/2006/main">
            <w:pict>
              <v:group id="Group 410926" style="width:12.7031pt;height:278.91pt;position:absolute;mso-position-horizontal-relative:page;mso-position-horizontal:absolute;margin-left:682.278pt;mso-position-vertical-relative:page;margin-top:533.01pt;" coordsize="1613,35421">
                <v:rect id="Rectangle 36936"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6937"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221 de 298 </w:t>
                        </w:r>
                      </w:p>
                    </w:txbxContent>
                  </v:textbox>
                </v:rect>
                <w10:wrap type="square"/>
              </v:group>
            </w:pict>
          </mc:Fallback>
        </mc:AlternateContent>
      </w:r>
      <w:r>
        <w:rPr>
          <w:b/>
        </w:rPr>
        <w:t>SEGUNDA.- Someter dicha Ordenanza municipal a información púb</w:t>
      </w:r>
      <w:r>
        <w:rPr>
          <w:b/>
        </w:rPr>
        <w:t>lica y audiencia de los interesados, con publicación en el boletín Oficial de la Provincia y tablón de anuncio del Ayuntamiento, por el plazo de treinta días hábiles, para que puedan presentar reclamaciones o sugerencias, que serán resueltas por la Corpora</w:t>
      </w:r>
      <w:r>
        <w:rPr>
          <w:b/>
        </w:rPr>
        <w:t xml:space="preserve">ción. </w:t>
      </w:r>
    </w:p>
    <w:p w:rsidR="00B064CF" w:rsidRDefault="00E32F70">
      <w:pPr>
        <w:spacing w:after="0" w:line="259" w:lineRule="auto"/>
        <w:ind w:left="360" w:firstLine="0"/>
        <w:jc w:val="left"/>
      </w:pPr>
      <w:r>
        <w:rPr>
          <w:b/>
        </w:rPr>
        <w:t xml:space="preserve"> </w:t>
      </w:r>
    </w:p>
    <w:p w:rsidR="00B064CF" w:rsidRDefault="00E32F70">
      <w:pPr>
        <w:spacing w:after="4"/>
        <w:ind w:left="355" w:right="68"/>
      </w:pPr>
      <w:r>
        <w:rPr>
          <w:b/>
        </w:rPr>
        <w:t>Simultáneamente, publicar el texto de la Ordenanza municipal en el portal web del Ayuntamiento (</w:t>
      </w:r>
      <w:r>
        <w:rPr>
          <w:b/>
          <w:color w:val="0000FF"/>
          <w:u w:val="single" w:color="0000FF"/>
        </w:rPr>
        <w:t>https://sedeelectronica.candelaria.es/transparencia/participacion/..../</w:t>
      </w:r>
      <w:r>
        <w:rPr>
          <w:b/>
        </w:rPr>
        <w:t>), con el objeto de dar audiencia a los ciudadanos afectados y recabar cuantas a</w:t>
      </w:r>
      <w:r>
        <w:rPr>
          <w:b/>
        </w:rPr>
        <w:t>portaciones adicionales puedan hacerse por otras personal o entidades.</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rPr>
          <w:b/>
        </w:rPr>
        <w:t xml:space="preserve"> </w:t>
      </w:r>
    </w:p>
    <w:p w:rsidR="00B064CF" w:rsidRDefault="00E32F70">
      <w:pPr>
        <w:spacing w:after="4"/>
        <w:ind w:left="355" w:right="68"/>
      </w:pPr>
      <w:r>
        <w:rPr>
          <w:b/>
        </w:rPr>
        <w:t>TERCERA. - De no presentarse reclamaciones o sugerencias en el plazo señalado en la propuesta anterior, se considerará aprobada definitivamente sin necesidad de Acuerdo expreso por e</w:t>
      </w:r>
      <w:r>
        <w:rPr>
          <w:b/>
        </w:rPr>
        <w:t>l Pleno y el Acuerdo de aprobación definitiva tácita de la ordenanza, con el texto íntegro de la misma, se publicará para su general conocimiento en el Boletín Oficial de la Provincia y asimismo, estará a disposición de los interesados en la sede electróni</w:t>
      </w:r>
      <w:r>
        <w:rPr>
          <w:b/>
        </w:rPr>
        <w:t xml:space="preserve">ca de este Ayuntamiento. </w:t>
      </w:r>
    </w:p>
    <w:p w:rsidR="00B064CF" w:rsidRDefault="00E32F70">
      <w:pPr>
        <w:spacing w:after="4"/>
        <w:ind w:left="355" w:right="68"/>
      </w:pPr>
      <w:r>
        <w:rPr>
          <w:b/>
        </w:rPr>
        <w:t>Además, se remitirá a la Administración del Estado y al Departamento correspondiente de la Comunidad Autónoma Canaria, en el plazo de quince días, la certificación que acredite la elevación a definitiva de la aprobación inicial, a</w:t>
      </w:r>
      <w:r>
        <w:rPr>
          <w:b/>
        </w:rPr>
        <w:t xml:space="preserve">sí como copia íntegra autenticada. </w:t>
      </w:r>
    </w:p>
    <w:p w:rsidR="00B064CF" w:rsidRDefault="00E32F70">
      <w:pPr>
        <w:spacing w:after="0" w:line="259" w:lineRule="auto"/>
        <w:ind w:left="360" w:firstLine="0"/>
        <w:jc w:val="left"/>
      </w:pPr>
      <w:r>
        <w:rPr>
          <w:b/>
        </w:rPr>
        <w:t xml:space="preserve"> </w:t>
      </w:r>
    </w:p>
    <w:p w:rsidR="00B064CF" w:rsidRDefault="00E32F70">
      <w:pPr>
        <w:spacing w:after="4"/>
        <w:ind w:left="355" w:right="68"/>
      </w:pPr>
      <w:r>
        <w:rPr>
          <w:b/>
        </w:rPr>
        <w:t xml:space="preserve">CUARTA. - Facultar a la Sra. Alcaldesa-Presidenta para suscribir y firmar toda clase de documentos relacionados con este asunto.” </w:t>
      </w:r>
    </w:p>
    <w:p w:rsidR="00B064CF" w:rsidRDefault="00E32F70">
      <w:pPr>
        <w:spacing w:after="98" w:line="259" w:lineRule="auto"/>
        <w:ind w:left="360" w:firstLine="0"/>
        <w:jc w:val="left"/>
      </w:pPr>
      <w:r>
        <w:rPr>
          <w:b/>
        </w:rPr>
        <w:t xml:space="preserve"> </w:t>
      </w:r>
    </w:p>
    <w:p w:rsidR="00B064CF" w:rsidRDefault="00E32F70">
      <w:pPr>
        <w:spacing w:after="100" w:line="259" w:lineRule="auto"/>
        <w:ind w:left="360" w:firstLine="0"/>
        <w:jc w:val="left"/>
      </w:pPr>
      <w:r>
        <w:rPr>
          <w:b/>
        </w:rPr>
        <w:t xml:space="preserve"> </w:t>
      </w:r>
    </w:p>
    <w:p w:rsidR="00B064CF" w:rsidRDefault="00E32F70">
      <w:pPr>
        <w:spacing w:after="0" w:line="259" w:lineRule="auto"/>
        <w:ind w:left="360" w:firstLine="0"/>
        <w:jc w:val="left"/>
      </w:pPr>
      <w:r>
        <w:rPr>
          <w:b/>
        </w:rPr>
        <w:t xml:space="preserve"> </w:t>
      </w:r>
    </w:p>
    <w:p w:rsidR="00B064CF" w:rsidRDefault="00E32F70">
      <w:pPr>
        <w:spacing w:after="100" w:line="259" w:lineRule="auto"/>
        <w:ind w:left="360" w:firstLine="0"/>
        <w:jc w:val="left"/>
      </w:pPr>
      <w:r>
        <w:rPr>
          <w:b/>
        </w:rPr>
        <w:t xml:space="preserve"> </w:t>
      </w:r>
    </w:p>
    <w:p w:rsidR="00B064CF" w:rsidRDefault="00E32F70">
      <w:pPr>
        <w:spacing w:after="98" w:line="259" w:lineRule="auto"/>
        <w:ind w:left="360" w:firstLine="0"/>
        <w:jc w:val="left"/>
      </w:pPr>
      <w:r>
        <w:rPr>
          <w:b/>
        </w:rPr>
        <w:t xml:space="preserve"> </w:t>
      </w:r>
    </w:p>
    <w:p w:rsidR="00B064CF" w:rsidRDefault="00E32F70">
      <w:pPr>
        <w:spacing w:after="98" w:line="259" w:lineRule="auto"/>
        <w:ind w:left="360" w:firstLine="0"/>
        <w:jc w:val="left"/>
      </w:pPr>
      <w:r>
        <w:rPr>
          <w:b/>
        </w:rPr>
        <w:t xml:space="preserve"> </w:t>
      </w:r>
    </w:p>
    <w:p w:rsidR="00B064CF" w:rsidRDefault="00E32F70">
      <w:pPr>
        <w:spacing w:after="100" w:line="259" w:lineRule="auto"/>
        <w:ind w:left="360" w:firstLine="0"/>
        <w:jc w:val="left"/>
      </w:pPr>
      <w:r>
        <w:rPr>
          <w:b/>
        </w:rPr>
        <w:t xml:space="preserve"> </w:t>
      </w:r>
    </w:p>
    <w:p w:rsidR="00B064CF" w:rsidRDefault="00E32F70">
      <w:pPr>
        <w:spacing w:after="98" w:line="259" w:lineRule="auto"/>
        <w:ind w:left="360" w:firstLine="0"/>
        <w:jc w:val="left"/>
      </w:pPr>
      <w:r>
        <w:rPr>
          <w:b/>
        </w:rPr>
        <w:t xml:space="preserve"> </w:t>
      </w:r>
    </w:p>
    <w:p w:rsidR="00B064CF" w:rsidRDefault="00E32F70">
      <w:pPr>
        <w:spacing w:after="4"/>
        <w:ind w:left="355" w:right="68"/>
      </w:pPr>
      <w:r>
        <w:rPr>
          <w:b/>
        </w:rPr>
        <w:t xml:space="preserve">Consta en el expediente Informe Técnico emitido por Don Gerhard Alejandro Pagel Cambeiro, que desempeña el puesto de trabajo de Arquitecto Técnico, de 21 de mayo de 2021, del siguiente tenor literal: </w:t>
      </w:r>
    </w:p>
    <w:p w:rsidR="00B064CF" w:rsidRDefault="00E32F70">
      <w:pPr>
        <w:spacing w:after="98" w:line="259" w:lineRule="auto"/>
        <w:ind w:left="360" w:firstLine="0"/>
        <w:jc w:val="left"/>
      </w:pPr>
      <w:r>
        <w:rPr>
          <w:b/>
        </w:rPr>
        <w:t xml:space="preserve"> </w:t>
      </w:r>
    </w:p>
    <w:p w:rsidR="00B064CF" w:rsidRDefault="00E32F70">
      <w:pPr>
        <w:spacing w:after="115" w:line="259" w:lineRule="auto"/>
        <w:ind w:left="360" w:firstLine="0"/>
        <w:jc w:val="left"/>
      </w:pPr>
      <w:r>
        <w:rPr>
          <w:b/>
        </w:rPr>
        <w:t xml:space="preserve"> </w:t>
      </w:r>
    </w:p>
    <w:p w:rsidR="00B064CF" w:rsidRDefault="00E32F70">
      <w:pPr>
        <w:spacing w:after="349"/>
        <w:ind w:left="355" w:right="72"/>
      </w:pPr>
      <w:r>
        <w:t xml:space="preserve">   “En relación con el expediente antedicho, que se</w:t>
      </w:r>
      <w:r>
        <w:t xml:space="preserve"> tramita para la elaboración de la Ordenanza municipal de Ocupación del Dominio Público en el municipio de Candelaria tramitado mediante procedimiento de Gestiona número 3633/2020, Gerhard Alejandro Pagel Cambeiro, Arquitecto Técnico municipal, con motivo </w:t>
      </w:r>
      <w:r>
        <w:t xml:space="preserve">del asunto antedicho, emite el siguiente: </w:t>
      </w:r>
    </w:p>
    <w:p w:rsidR="00B064CF" w:rsidRDefault="00E32F70">
      <w:pPr>
        <w:pStyle w:val="Ttulo2"/>
        <w:spacing w:after="230"/>
        <w:ind w:left="290" w:right="7"/>
      </w:pPr>
      <w:r>
        <w:t xml:space="preserve">INFORME DE LOS SERVICIOS TÉCNICOS MUNICIPALES </w:t>
      </w:r>
    </w:p>
    <w:p w:rsidR="00B064CF" w:rsidRDefault="00E32F70">
      <w:pPr>
        <w:spacing w:after="66"/>
        <w:ind w:left="355" w:right="72"/>
      </w:pPr>
      <w:r>
        <w:rPr>
          <w:rFonts w:ascii="Calibri" w:eastAsia="Calibri" w:hAnsi="Calibri" w:cs="Calibri"/>
          <w:noProof/>
        </w:rPr>
        <mc:AlternateContent>
          <mc:Choice Requires="wpg">
            <w:drawing>
              <wp:anchor distT="0" distB="0" distL="114300" distR="114300" simplePos="0" relativeHeight="25188966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10942" name="Group 410942"/>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7032" name="Rectangle 37032"/>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7033" name="Rectangle 37033"/>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222 de 298 </w:t>
                              </w:r>
                            </w:p>
                          </w:txbxContent>
                        </wps:txbx>
                        <wps:bodyPr horzOverflow="overflow" vert="horz" lIns="0" tIns="0" rIns="0" bIns="0" rtlCol="0">
                          <a:noAutofit/>
                        </wps:bodyPr>
                      </wps:wsp>
                    </wpg:wgp>
                  </a:graphicData>
                </a:graphic>
              </wp:anchor>
            </w:drawing>
          </mc:Choice>
          <mc:Fallback xmlns:a="http://schemas.openxmlformats.org/drawingml/2006/main">
            <w:pict>
              <v:group id="Group 410942" style="width:12.7031pt;height:278.91pt;position:absolute;mso-position-horizontal-relative:page;mso-position-horizontal:absolute;margin-left:682.278pt;mso-position-vertical-relative:page;margin-top:533.01pt;" coordsize="1613,35421">
                <v:rect id="Rectangle 37032"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7033"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222 de 298 </w:t>
                        </w:r>
                      </w:p>
                    </w:txbxContent>
                  </v:textbox>
                </v:rect>
                <w10:wrap type="square"/>
              </v:group>
            </w:pict>
          </mc:Fallback>
        </mc:AlternateContent>
      </w:r>
      <w:r>
        <w:t>La Ordenanza de Ocupación de Dominio Público del municipio de Candelaria se ha redactado con el fin de establecer y regular los parámetros técnicos específicos p</w:t>
      </w:r>
      <w:r>
        <w:t>ara la ocupación del dominio público en el municipio, respetando los criterios técnicos de aplicación, establecidos en la normativa urbanística vigente, con especial atención a la protección y conservación del dominio público, así como del patrimonio del m</w:t>
      </w:r>
      <w:r>
        <w:t xml:space="preserve">unicipio.  </w:t>
      </w:r>
    </w:p>
    <w:p w:rsidR="00B064CF" w:rsidRDefault="00E32F70">
      <w:pPr>
        <w:spacing w:after="234"/>
        <w:ind w:left="1073" w:right="72" w:hanging="355"/>
      </w:pPr>
      <w:r>
        <w:rPr>
          <w:rFonts w:ascii="Segoe UI Symbol" w:eastAsia="Segoe UI Symbol" w:hAnsi="Segoe UI Symbol" w:cs="Segoe UI Symbol"/>
        </w:rPr>
        <w:t></w:t>
      </w:r>
      <w:r>
        <w:t xml:space="preserve"> PLAN GENERAL DE ORDENACIÓN,</w:t>
      </w:r>
      <w:r>
        <w:rPr>
          <w:b/>
        </w:rPr>
        <w:t xml:space="preserve"> </w:t>
      </w:r>
      <w:r>
        <w:t>planeamiento municipal en vigor, con publicaciones en B.O.C. de fecha 10 de mayo de 2007 y B.O.P. de fecha 17 de mayo de 2007 y Modificaciones Puntuales, aprobadas definitivamente por acuerdo del Ayuntamiento Pleno</w:t>
      </w:r>
      <w:r>
        <w:t xml:space="preserve">, en sesiones ordinarias de fecha 26 de marzo de 2009 y 29 de diciembre de 2011 y publicada en el BOP de Santa Cruz de Tenerife de fecha 17 de junio de 2009 y 3 de febrero de 2012. </w:t>
      </w:r>
    </w:p>
    <w:p w:rsidR="00B064CF" w:rsidRDefault="00E32F70">
      <w:pPr>
        <w:spacing w:after="54"/>
        <w:ind w:left="355" w:right="72"/>
      </w:pPr>
      <w:r>
        <w:t xml:space="preserve">Esta Ordenanza se estructura en: Una exposición de motivos, 4 Títulos, 61 </w:t>
      </w:r>
      <w:r>
        <w:t xml:space="preserve">Artículos, 1 Disposición Transitoria, 1 Disposición Derogatoria y 1 Disposición Final, destacando el Título III por su contenido fundamentalmente técnico. </w:t>
      </w:r>
    </w:p>
    <w:p w:rsidR="00B064CF" w:rsidRDefault="00E32F70">
      <w:pPr>
        <w:spacing w:after="54"/>
        <w:ind w:left="355" w:right="72"/>
      </w:pPr>
      <w:r>
        <w:t>En el Artículo 6, perteneciente al TÍTULO I DISPOSICIONES PRELIMINARES COMUNES, se define el equipam</w:t>
      </w:r>
      <w:r>
        <w:t>iento objeto de autorización/licencia para la ocupación de dominio público. A partir del artículo 19, se establecen las características técnicas compositivas específicas, no sólo para cada elemento, sino también, estableciendo una diferenciación de las mis</w:t>
      </w:r>
      <w:r>
        <w:t xml:space="preserve">mas, para cada tipo de uso o actividad previsto.  </w:t>
      </w:r>
    </w:p>
    <w:p w:rsidR="00B064CF" w:rsidRDefault="00E32F70">
      <w:pPr>
        <w:spacing w:after="52"/>
        <w:ind w:left="355" w:right="72"/>
      </w:pPr>
      <w:r>
        <w:t>Por lo tanto, someteremos a análisis el cumplimiento de dicho equipamiento incluido por la Ordenanza, según los requisitos urbanísticos fijados por el Plan General de Ordenación del municipio de Candelaria</w:t>
      </w:r>
      <w:r>
        <w:t xml:space="preserve">: </w:t>
      </w:r>
    </w:p>
    <w:p w:rsidR="00B064CF" w:rsidRDefault="00E32F70">
      <w:pPr>
        <w:spacing w:after="11"/>
        <w:ind w:left="355" w:right="72"/>
      </w:pPr>
      <w:r>
        <w:t xml:space="preserve">En primer lugar, analizaremos la admisibilidad de los usos previstos en la Ordenanza, a través de: </w:t>
      </w:r>
    </w:p>
    <w:p w:rsidR="00B064CF" w:rsidRDefault="00E32F70">
      <w:pPr>
        <w:spacing w:after="0" w:line="259" w:lineRule="auto"/>
        <w:ind w:left="360" w:firstLine="0"/>
        <w:jc w:val="left"/>
      </w:pPr>
      <w:r>
        <w:t xml:space="preserve"> </w:t>
      </w:r>
    </w:p>
    <w:p w:rsidR="00B064CF" w:rsidRDefault="00E32F70">
      <w:pPr>
        <w:spacing w:after="11" w:line="248" w:lineRule="auto"/>
        <w:ind w:left="654" w:right="699"/>
      </w:pPr>
      <w:r>
        <w:rPr>
          <w:b/>
          <w:i/>
        </w:rPr>
        <w:t xml:space="preserve">Art. 6.4.4. Categorías Específicas del Uso de Hostelería – Restauración  </w:t>
      </w:r>
    </w:p>
    <w:p w:rsidR="00B064CF" w:rsidRDefault="00E32F70">
      <w:pPr>
        <w:spacing w:after="4"/>
        <w:ind w:left="654" w:right="144"/>
      </w:pPr>
      <w:r>
        <w:rPr>
          <w:i/>
        </w:rPr>
        <w:t>1. A los efectos de su especificación se distinguen las siguientes categorías</w:t>
      </w:r>
      <w:r>
        <w:rPr>
          <w:i/>
        </w:rPr>
        <w:t xml:space="preserve"> de tercer nivel, en relación al espacio en el que se desarrollan las actividades de hostelería: </w:t>
      </w:r>
    </w:p>
    <w:p w:rsidR="00B064CF" w:rsidRDefault="00E32F70">
      <w:pPr>
        <w:spacing w:after="4"/>
        <w:ind w:left="628" w:right="144" w:hanging="283"/>
      </w:pPr>
      <w:r>
        <w:rPr>
          <w:rFonts w:ascii="Segoe UI Symbol" w:eastAsia="Segoe UI Symbol" w:hAnsi="Segoe UI Symbol" w:cs="Segoe UI Symbol"/>
        </w:rPr>
        <w:t></w:t>
      </w:r>
      <w:r>
        <w:t xml:space="preserve"> </w:t>
      </w:r>
      <w:r>
        <w:rPr>
          <w:i/>
        </w:rPr>
        <w:t xml:space="preserve">Kioscos y terrazas (K): cuando el consumo se realiza al aire libre o en espacios cubiertos conformados por estructuras ligeras y fácilmente desmontables. </w:t>
      </w:r>
    </w:p>
    <w:p w:rsidR="00B064CF" w:rsidRDefault="00E32F70">
      <w:pPr>
        <w:spacing w:after="4"/>
        <w:ind w:left="628" w:right="363" w:hanging="283"/>
      </w:pPr>
      <w:r>
        <w:rPr>
          <w:rFonts w:ascii="Segoe UI Symbol" w:eastAsia="Segoe UI Symbol" w:hAnsi="Segoe UI Symbol" w:cs="Segoe UI Symbol"/>
        </w:rPr>
        <w:t></w:t>
      </w:r>
      <w:r>
        <w:t xml:space="preserve"> </w:t>
      </w:r>
      <w:r>
        <w:rPr>
          <w:i/>
        </w:rPr>
        <w:t xml:space="preserve">Bar Tradicional (B): establecimientos con capacidad para un máximo de 24 personas sentadas (6 mesas de 4 personas), destinados principalmente a la venta de bebidas, si bien pueden servir comidas ligeras y de fácil preparación. </w:t>
      </w:r>
    </w:p>
    <w:p w:rsidR="00B064CF" w:rsidRDefault="00E32F70">
      <w:pPr>
        <w:spacing w:after="4"/>
        <w:ind w:left="628" w:right="144" w:hanging="283"/>
      </w:pPr>
      <w:r>
        <w:rPr>
          <w:rFonts w:ascii="Segoe UI Symbol" w:eastAsia="Segoe UI Symbol" w:hAnsi="Segoe UI Symbol" w:cs="Segoe UI Symbol"/>
        </w:rPr>
        <w:t></w:t>
      </w:r>
      <w:r>
        <w:t xml:space="preserve"> </w:t>
      </w:r>
      <w:r>
        <w:rPr>
          <w:i/>
        </w:rPr>
        <w:t>Pequeños Restaurantes (PR</w:t>
      </w:r>
      <w:r>
        <w:rPr>
          <w:i/>
        </w:rPr>
        <w:t xml:space="preserve">): locales cuya capacidad no supera las 40 personas sentadas (10 mesas de 4 personas). </w:t>
      </w:r>
    </w:p>
    <w:p w:rsidR="00B064CF" w:rsidRDefault="00E32F70">
      <w:pPr>
        <w:spacing w:after="4"/>
        <w:ind w:left="628" w:right="144" w:hanging="283"/>
      </w:pPr>
      <w:r>
        <w:rPr>
          <w:rFonts w:ascii="Segoe UI Symbol" w:eastAsia="Segoe UI Symbol" w:hAnsi="Segoe UI Symbol" w:cs="Segoe UI Symbol"/>
        </w:rPr>
        <w:t></w:t>
      </w:r>
      <w:r>
        <w:t xml:space="preserve"> </w:t>
      </w:r>
      <w:r>
        <w:rPr>
          <w:i/>
        </w:rPr>
        <w:t xml:space="preserve">Restaurantes (R): Locales destinados principalmente al servicio de comidas, cuya capacidad no supera las 160 personas sentadas (25 mesas de 4 personas). </w:t>
      </w:r>
    </w:p>
    <w:p w:rsidR="00B064CF" w:rsidRDefault="00E32F70">
      <w:pPr>
        <w:spacing w:after="4"/>
        <w:ind w:left="628" w:right="144" w:hanging="283"/>
      </w:pPr>
      <w:r>
        <w:rPr>
          <w:rFonts w:ascii="Segoe UI Symbol" w:eastAsia="Segoe UI Symbol" w:hAnsi="Segoe UI Symbol" w:cs="Segoe UI Symbol"/>
        </w:rPr>
        <w:t></w:t>
      </w:r>
      <w:r>
        <w:t xml:space="preserve"> </w:t>
      </w:r>
      <w:r>
        <w:rPr>
          <w:i/>
        </w:rPr>
        <w:t>Grandes Re</w:t>
      </w:r>
      <w:r>
        <w:rPr>
          <w:i/>
        </w:rPr>
        <w:t xml:space="preserve">staurantes (GR): locales de hostelería que tengan capacidad para dar servicio a más de 100 personas. </w:t>
      </w:r>
    </w:p>
    <w:p w:rsidR="00B064CF" w:rsidRDefault="00E32F70">
      <w:pPr>
        <w:spacing w:after="4"/>
        <w:ind w:left="628" w:right="144" w:hanging="283"/>
      </w:pPr>
      <w:r>
        <w:rPr>
          <w:rFonts w:ascii="Segoe UI Symbol" w:eastAsia="Segoe UI Symbol" w:hAnsi="Segoe UI Symbol" w:cs="Segoe UI Symbol"/>
        </w:rPr>
        <w:t></w:t>
      </w:r>
      <w:r>
        <w:t xml:space="preserve"> </w:t>
      </w:r>
      <w:r>
        <w:rPr>
          <w:i/>
        </w:rPr>
        <w:t xml:space="preserve">Otras categorías que puedan establecerse en la Ordenanza Municipal reguladora de las actividades clasificadas de hostelería.  </w:t>
      </w:r>
    </w:p>
    <w:p w:rsidR="00B064CF" w:rsidRDefault="00E32F70">
      <w:pPr>
        <w:spacing w:after="4"/>
        <w:ind w:left="628" w:right="362" w:hanging="283"/>
      </w:pPr>
      <w:r>
        <w:rPr>
          <w:rFonts w:ascii="Segoe UI Symbol" w:eastAsia="Segoe UI Symbol" w:hAnsi="Segoe UI Symbol" w:cs="Segoe UI Symbol"/>
        </w:rPr>
        <w:t></w:t>
      </w:r>
      <w:r>
        <w:t xml:space="preserve"> </w:t>
      </w:r>
      <w:r>
        <w:rPr>
          <w:i/>
        </w:rPr>
        <w:t>Las salas de fiestas, d</w:t>
      </w:r>
      <w:r>
        <w:rPr>
          <w:i/>
        </w:rPr>
        <w:t xml:space="preserve">iscotecas y disco-pub (DP): y cualquier otra actividad encuadrable en el grupo 4 de la Ley 1/1998, de 8 de enero, de Régimen Jurídico de los Espectáculos y Actividades Clasificadas. </w:t>
      </w:r>
    </w:p>
    <w:p w:rsidR="00B064CF" w:rsidRDefault="00E32F70">
      <w:pPr>
        <w:spacing w:after="0" w:line="259" w:lineRule="auto"/>
        <w:ind w:left="644" w:firstLine="0"/>
        <w:jc w:val="left"/>
      </w:pPr>
      <w:r>
        <w:rPr>
          <w:i/>
        </w:rPr>
        <w:t xml:space="preserve"> </w:t>
      </w:r>
    </w:p>
    <w:p w:rsidR="00B064CF" w:rsidRDefault="00E32F70">
      <w:pPr>
        <w:spacing w:after="11" w:line="248" w:lineRule="auto"/>
        <w:ind w:left="654" w:right="699"/>
      </w:pPr>
      <w:r>
        <w:rPr>
          <w:b/>
          <w:i/>
        </w:rPr>
        <w:t>Art. 6.4.6. Condiciones Generales de Admisibilidad de los Usos Terciari</w:t>
      </w:r>
      <w:r>
        <w:rPr>
          <w:b/>
          <w:i/>
        </w:rPr>
        <w:t xml:space="preserve">os. </w:t>
      </w:r>
    </w:p>
    <w:p w:rsidR="00B064CF" w:rsidRDefault="00E32F70">
      <w:pPr>
        <w:numPr>
          <w:ilvl w:val="0"/>
          <w:numId w:val="158"/>
        </w:numPr>
        <w:spacing w:after="4"/>
        <w:ind w:right="361"/>
      </w:pPr>
      <w:r>
        <w:rPr>
          <w:rFonts w:ascii="Calibri" w:eastAsia="Calibri" w:hAnsi="Calibri" w:cs="Calibri"/>
          <w:noProof/>
        </w:rPr>
        <mc:AlternateContent>
          <mc:Choice Requires="wpg">
            <w:drawing>
              <wp:anchor distT="0" distB="0" distL="114300" distR="114300" simplePos="0" relativeHeight="25189068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11284" name="Group 411284"/>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7155" name="Rectangle 37155"/>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7156" name="Rectangle 37156"/>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223 de 298 </w:t>
                              </w:r>
                            </w:p>
                          </w:txbxContent>
                        </wps:txbx>
                        <wps:bodyPr horzOverflow="overflow" vert="horz" lIns="0" tIns="0" rIns="0" bIns="0" rtlCol="0">
                          <a:noAutofit/>
                        </wps:bodyPr>
                      </wps:wsp>
                    </wpg:wgp>
                  </a:graphicData>
                </a:graphic>
              </wp:anchor>
            </w:drawing>
          </mc:Choice>
          <mc:Fallback xmlns:a="http://schemas.openxmlformats.org/drawingml/2006/main">
            <w:pict>
              <v:group id="Group 411284" style="width:12.7031pt;height:278.91pt;position:absolute;mso-position-horizontal-relative:page;mso-position-horizontal:absolute;margin-left:682.278pt;mso-position-vertical-relative:page;margin-top:533.01pt;" coordsize="1613,35421">
                <v:rect id="Rectangle 37155"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7156"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223 de 298 </w:t>
                        </w:r>
                      </w:p>
                    </w:txbxContent>
                  </v:textbox>
                </v:rect>
                <w10:wrap type="square"/>
              </v:group>
            </w:pict>
          </mc:Fallback>
        </mc:AlternateContent>
      </w:r>
      <w:r>
        <w:rPr>
          <w:i/>
        </w:rPr>
        <w:t xml:space="preserve">Las edificaciones de uso Comercial, de Oficinas y de </w:t>
      </w:r>
      <w:r>
        <w:rPr>
          <w:i/>
        </w:rPr>
        <w:t xml:space="preserve">Hostelería deberán cumplir con las condiciones y determinaciones establecidas en estas Normas según la tipología en la que se desarrollen y la actividad concreta que ejerzan, así como las determinaciones contenidas en la legislación sectorial que les sean </w:t>
      </w:r>
      <w:r>
        <w:rPr>
          <w:i/>
        </w:rPr>
        <w:t xml:space="preserve">de aplicación y, en especial, las derivadas de la legislación sobre habitabilidad, accesibilidad y supresión de barreras físicas y las actividades clasificadas, en su caso. </w:t>
      </w:r>
    </w:p>
    <w:p w:rsidR="00B064CF" w:rsidRDefault="00E32F70">
      <w:pPr>
        <w:numPr>
          <w:ilvl w:val="0"/>
          <w:numId w:val="158"/>
        </w:numPr>
        <w:spacing w:after="4"/>
        <w:ind w:right="361"/>
      </w:pPr>
      <w:r>
        <w:rPr>
          <w:i/>
        </w:rPr>
        <w:t xml:space="preserve">Los usos Terciarios se admiten en las áreas o sectores en los que se determine expresamente en la ordenación pormenorizada de este Plan General, de los instrumentos de ordenación remitida o del planeamiento de desarrollo. </w:t>
      </w:r>
    </w:p>
    <w:p w:rsidR="00B064CF" w:rsidRDefault="00E32F70">
      <w:pPr>
        <w:numPr>
          <w:ilvl w:val="0"/>
          <w:numId w:val="158"/>
        </w:numPr>
        <w:spacing w:after="4"/>
        <w:ind w:right="361"/>
      </w:pPr>
      <w:r>
        <w:rPr>
          <w:i/>
        </w:rPr>
        <w:t>En el Suelo Rústico serán admitidos en las categorías y condiciones recogidas en las Normas Urbanísticas Estructurales.</w:t>
      </w:r>
      <w:r>
        <w:rPr>
          <w:rFonts w:ascii="Times New Roman" w:eastAsia="Times New Roman" w:hAnsi="Times New Roman" w:cs="Times New Roman"/>
          <w:sz w:val="24"/>
        </w:rPr>
        <w:t xml:space="preserve"> </w:t>
      </w:r>
    </w:p>
    <w:p w:rsidR="00B064CF" w:rsidRDefault="00E32F70">
      <w:pPr>
        <w:spacing w:after="0" w:line="259" w:lineRule="auto"/>
        <w:ind w:left="644" w:firstLine="0"/>
        <w:jc w:val="left"/>
      </w:pPr>
      <w:r>
        <w:rPr>
          <w:b/>
          <w:i/>
        </w:rPr>
        <w:t xml:space="preserve"> </w:t>
      </w:r>
    </w:p>
    <w:p w:rsidR="00B064CF" w:rsidRDefault="00E32F70">
      <w:pPr>
        <w:spacing w:after="4"/>
        <w:ind w:left="654" w:right="362"/>
      </w:pPr>
      <w:r>
        <w:rPr>
          <w:b/>
          <w:i/>
        </w:rPr>
        <w:t xml:space="preserve">Art. 6.4.7. Condiciones Particulares de Admisibilidad del Uso Comercial y de Hostelería </w:t>
      </w:r>
      <w:r>
        <w:rPr>
          <w:i/>
        </w:rPr>
        <w:t>1. La situación del Comercial y de Hostelería</w:t>
      </w:r>
      <w:r>
        <w:rPr>
          <w:i/>
        </w:rPr>
        <w:t xml:space="preserve"> compatible, dentro de la edificación residencial, habrá de ser tal que el acceso se realice de manera independiente, sin utilizar para ello ni las escaleras ni los ascensores de acceso a las viviendas, y no podrá servir de paso ni tener comunicación direc</w:t>
      </w:r>
      <w:r>
        <w:rPr>
          <w:i/>
        </w:rPr>
        <w:t>ta con ninguna vivienda, salvo que se trate de una edificación unifamiliar. 2. Sin perjuicio de las condiciones y determinaciones que se establecen en estas Normas o en las del instrumento de planeamiento de desarrollo, los Usos Comerciales se considerarán</w:t>
      </w:r>
      <w:r>
        <w:rPr>
          <w:i/>
        </w:rPr>
        <w:t xml:space="preserve"> admisibles con otros usos en las siguientes condiciones: </w:t>
      </w:r>
    </w:p>
    <w:p w:rsidR="00B064CF" w:rsidRDefault="00E32F70">
      <w:pPr>
        <w:numPr>
          <w:ilvl w:val="0"/>
          <w:numId w:val="159"/>
        </w:numPr>
        <w:spacing w:after="4"/>
        <w:ind w:right="361" w:hanging="240"/>
      </w:pPr>
      <w:r>
        <w:rPr>
          <w:i/>
        </w:rPr>
        <w:t>Los Kioscos podrán establecerse en Zonas Verdes o Espacios Libres de uso público mediante concesión municipal, o en Dotaciones y Equipamientos previa licencia municipal y siempre con garantía de sa</w:t>
      </w:r>
      <w:r>
        <w:rPr>
          <w:i/>
        </w:rPr>
        <w:t xml:space="preserve">neamiento, eliminación de basura o suministro eléctrico y disponibilidad de agua potable cuando el kiosco haya de destinarse a la expedición de bebidas, siempre que urbanísticamente se permita. </w:t>
      </w:r>
    </w:p>
    <w:p w:rsidR="00B064CF" w:rsidRDefault="00E32F70">
      <w:pPr>
        <w:numPr>
          <w:ilvl w:val="0"/>
          <w:numId w:val="159"/>
        </w:numPr>
        <w:spacing w:after="4"/>
        <w:ind w:right="361" w:hanging="240"/>
      </w:pPr>
      <w:r>
        <w:rPr>
          <w:i/>
        </w:rPr>
        <w:t xml:space="preserve">Las categorías de pequeño, medio comercio, se admiten en las </w:t>
      </w:r>
      <w:r>
        <w:rPr>
          <w:i/>
        </w:rPr>
        <w:t xml:space="preserve">parcelas para las que se determine el uso comercial como compatible, con las excepciones, limitaciones y condiciones que se determinan en estas Normas para cada caso, en los cuadros de ordenación de usos por zonas. </w:t>
      </w:r>
    </w:p>
    <w:p w:rsidR="00B064CF" w:rsidRDefault="00E32F70">
      <w:pPr>
        <w:numPr>
          <w:ilvl w:val="0"/>
          <w:numId w:val="159"/>
        </w:numPr>
        <w:spacing w:after="4"/>
        <w:ind w:right="361" w:hanging="240"/>
      </w:pPr>
      <w:r>
        <w:rPr>
          <w:i/>
        </w:rPr>
        <w:t>Las categorías de Gran Comercio o de Gal</w:t>
      </w:r>
      <w:r>
        <w:rPr>
          <w:i/>
        </w:rPr>
        <w:t xml:space="preserve">ería Comercial, se admiten en las parcelas para </w:t>
      </w:r>
    </w:p>
    <w:p w:rsidR="00B064CF" w:rsidRDefault="00E32F70">
      <w:pPr>
        <w:spacing w:after="4"/>
        <w:ind w:left="654" w:right="144"/>
      </w:pPr>
      <w:r>
        <w:rPr>
          <w:i/>
        </w:rPr>
        <w:t xml:space="preserve">las que se determine el uso comercial como característico, y donde se establezcan como compatibles de otros usos, en los cuadros de ordenación de usos por zonas. </w:t>
      </w:r>
    </w:p>
    <w:p w:rsidR="00B064CF" w:rsidRDefault="00E32F70">
      <w:pPr>
        <w:numPr>
          <w:ilvl w:val="0"/>
          <w:numId w:val="159"/>
        </w:numPr>
        <w:spacing w:after="4"/>
        <w:ind w:right="361" w:hanging="240"/>
      </w:pPr>
      <w:r>
        <w:rPr>
          <w:i/>
        </w:rPr>
        <w:t>Las categorías de Centro Comercial y Gran Co</w:t>
      </w:r>
      <w:r>
        <w:rPr>
          <w:i/>
        </w:rPr>
        <w:t>mercio Especializado sólo se admiten en las zonas determinadas al efecto en el planeamiento. Dichas instalaciones deberán estar conectadas con los Sistemas Generales Viarios o resolver dicha conexión en la forma que se determine expresamente. Su instalació</w:t>
      </w:r>
      <w:r>
        <w:rPr>
          <w:i/>
        </w:rPr>
        <w:t>n requerirá la licencia comercial o autorización previa pertinente de la Administración competente y deberá cumplir con los estudios e informes previos de impacto social y económico que requiera la normativa sectorial de aplicación. 7. En todo caso, la con</w:t>
      </w:r>
      <w:r>
        <w:rPr>
          <w:i/>
        </w:rPr>
        <w:t>cesión de licencia de edificación y apertura para el Gran Comercio, Galería Comercial, Centro Comercial y Gran Comercio Especializado podrá supeditarse a la demostración de la aceptabilidad de los impactos que estos establecimientos puedan producir sobre l</w:t>
      </w:r>
      <w:r>
        <w:rPr>
          <w:i/>
        </w:rPr>
        <w:t xml:space="preserve">a red general viaria, el tráfico y las infraestructuras existentes, y las medidas y acciones a realizar en tal sentido. </w:t>
      </w:r>
    </w:p>
    <w:p w:rsidR="00B064CF" w:rsidRDefault="00E32F70">
      <w:pPr>
        <w:numPr>
          <w:ilvl w:val="0"/>
          <w:numId w:val="160"/>
        </w:numPr>
        <w:spacing w:after="4"/>
        <w:ind w:right="144" w:hanging="247"/>
      </w:pPr>
      <w:r>
        <w:rPr>
          <w:i/>
        </w:rPr>
        <w:t xml:space="preserve">Se permite localizar en parcela residencial y hasta la segunda planta, el Pequeño </w:t>
      </w:r>
    </w:p>
    <w:p w:rsidR="00B064CF" w:rsidRDefault="00E32F70">
      <w:pPr>
        <w:spacing w:after="4"/>
        <w:ind w:left="654" w:right="144"/>
      </w:pPr>
      <w:r>
        <w:rPr>
          <w:i/>
        </w:rPr>
        <w:t>Comercio, el Medio y en las carreteras insulares y e</w:t>
      </w:r>
      <w:r>
        <w:rPr>
          <w:i/>
        </w:rPr>
        <w:t xml:space="preserve">n el viario Estructurante Insular y Comarcal en Ciudad Jardín, permitiéndose todas las categorías en Edificación Cerrada. </w:t>
      </w:r>
    </w:p>
    <w:p w:rsidR="00B064CF" w:rsidRDefault="00E32F70">
      <w:pPr>
        <w:numPr>
          <w:ilvl w:val="0"/>
          <w:numId w:val="160"/>
        </w:numPr>
        <w:spacing w:after="4"/>
        <w:ind w:right="144" w:hanging="247"/>
      </w:pPr>
      <w:r>
        <w:rPr>
          <w:i/>
        </w:rPr>
        <w:t>Se permite localizar en parcela residencial, el Pequeño Restaurante y el Restaurante en las carreteras insulares y viario estructuran</w:t>
      </w:r>
      <w:r>
        <w:rPr>
          <w:i/>
        </w:rPr>
        <w:t xml:space="preserve">te comarcal en Ciudad Jardín. </w:t>
      </w:r>
    </w:p>
    <w:p w:rsidR="00B064CF" w:rsidRDefault="00E32F70">
      <w:pPr>
        <w:numPr>
          <w:ilvl w:val="0"/>
          <w:numId w:val="160"/>
        </w:numPr>
        <w:spacing w:after="1" w:line="239" w:lineRule="auto"/>
        <w:ind w:right="144" w:hanging="247"/>
      </w:pPr>
      <w:r>
        <w:rPr>
          <w:i/>
        </w:rPr>
        <w:t>Se permite localizar en parcela residencial todas las categorías de hostelería; en Edificación Cerrada en viario no inferior a 9 m. de ancho salvo la discoteca. 11. Se permite localizar en Asentamiento Rural el Pequeño Restau</w:t>
      </w:r>
      <w:r>
        <w:rPr>
          <w:i/>
        </w:rPr>
        <w:t xml:space="preserve">rante. </w:t>
      </w:r>
    </w:p>
    <w:p w:rsidR="00B064CF" w:rsidRDefault="00E32F70">
      <w:pPr>
        <w:numPr>
          <w:ilvl w:val="0"/>
          <w:numId w:val="161"/>
        </w:numPr>
        <w:spacing w:after="4"/>
        <w:ind w:right="144"/>
      </w:pPr>
      <w:r>
        <w:rPr>
          <w:i/>
        </w:rPr>
        <w:t xml:space="preserve">Se fijará para cualquier categoría de uso de Hostelería una previsión de 1 plaza de aparcamiento por mesa, salvo en las existentes donde no sea posible cumplimentarlo. </w:t>
      </w:r>
    </w:p>
    <w:p w:rsidR="00B064CF" w:rsidRDefault="00E32F70">
      <w:pPr>
        <w:numPr>
          <w:ilvl w:val="0"/>
          <w:numId w:val="161"/>
        </w:numPr>
        <w:spacing w:after="4"/>
        <w:ind w:right="144"/>
      </w:pPr>
      <w:r>
        <w:rPr>
          <w:rFonts w:ascii="Calibri" w:eastAsia="Calibri" w:hAnsi="Calibri" w:cs="Calibri"/>
          <w:noProof/>
        </w:rPr>
        <mc:AlternateContent>
          <mc:Choice Requires="wpg">
            <w:drawing>
              <wp:anchor distT="0" distB="0" distL="114300" distR="114300" simplePos="0" relativeHeight="25189171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11696" name="Group 411696"/>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7283" name="Rectangle 37283"/>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7284" name="Rectangle 37284"/>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224 de 298 </w:t>
                              </w:r>
                            </w:p>
                          </w:txbxContent>
                        </wps:txbx>
                        <wps:bodyPr horzOverflow="overflow" vert="horz" lIns="0" tIns="0" rIns="0" bIns="0" rtlCol="0">
                          <a:noAutofit/>
                        </wps:bodyPr>
                      </wps:wsp>
                    </wpg:wgp>
                  </a:graphicData>
                </a:graphic>
              </wp:anchor>
            </w:drawing>
          </mc:Choice>
          <mc:Fallback xmlns:a="http://schemas.openxmlformats.org/drawingml/2006/main">
            <w:pict>
              <v:group id="Group 411696" style="width:12.7031pt;height:278.91pt;position:absolute;mso-position-horizontal-relative:page;mso-position-horizontal:absolute;margin-left:682.278pt;mso-position-vertical-relative:page;margin-top:533.01pt;" coordsize="1613,35421">
                <v:rect id="Rectangle 37283"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7284"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224 de 298 </w:t>
                        </w:r>
                      </w:p>
                    </w:txbxContent>
                  </v:textbox>
                </v:rect>
                <w10:wrap type="square"/>
              </v:group>
            </w:pict>
          </mc:Fallback>
        </mc:AlternateContent>
      </w:r>
      <w:r>
        <w:rPr>
          <w:i/>
        </w:rPr>
        <w:t>Se fijará para cualquier categoría de uso comercial una previ</w:t>
      </w:r>
      <w:r>
        <w:rPr>
          <w:i/>
        </w:rPr>
        <w:t xml:space="preserve">sión de 2 plazas de aparcamiento por cada 100 m², salvo en las existentes donde no sea posible cumplimentarlo. </w:t>
      </w:r>
    </w:p>
    <w:p w:rsidR="00B064CF" w:rsidRDefault="00E32F70">
      <w:pPr>
        <w:numPr>
          <w:ilvl w:val="0"/>
          <w:numId w:val="161"/>
        </w:numPr>
        <w:spacing w:after="4"/>
        <w:ind w:right="144"/>
      </w:pPr>
      <w:r>
        <w:rPr>
          <w:i/>
        </w:rPr>
        <w:t>En las actividades encuadradas en los grupos 1, 2 y 3 de la Ley 1/1998, de 8 de enero de Régimen Jurídico de los Espectáculos y Actividades Clas</w:t>
      </w:r>
      <w:r>
        <w:rPr>
          <w:i/>
        </w:rPr>
        <w:t>ificadas no se podrán instalar mostradores que den directamente a espacios de uso público, salvo excepción expresamente contemplada en las Ordenanzas Municipales.</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ind w:left="355" w:right="72"/>
      </w:pPr>
      <w:r>
        <w:t>En relación a los parámetros cuantitativos específicos, para el aprovechamiento especial</w:t>
      </w:r>
      <w:r>
        <w:t xml:space="preserve"> o la utilización privativa de los espacios de dominio público de titularidad municipal que se pueden trasponer a la ordenanza, se analizan específicamente en función de las diferentes tipologías edificatorias establecidas: </w:t>
      </w:r>
    </w:p>
    <w:p w:rsidR="00B064CF" w:rsidRDefault="00E32F70">
      <w:pPr>
        <w:spacing w:after="4"/>
        <w:ind w:left="355" w:right="68"/>
      </w:pPr>
      <w:r>
        <w:rPr>
          <w:rFonts w:ascii="Segoe UI Symbol" w:eastAsia="Segoe UI Symbol" w:hAnsi="Segoe UI Symbol" w:cs="Segoe UI Symbol"/>
          <w:sz w:val="24"/>
        </w:rPr>
        <w:t></w:t>
      </w:r>
      <w:r>
        <w:rPr>
          <w:sz w:val="24"/>
        </w:rPr>
        <w:t xml:space="preserve"> </w:t>
      </w:r>
      <w:r>
        <w:rPr>
          <w:b/>
        </w:rPr>
        <w:t>Normativa Pormenorizada</w:t>
      </w:r>
      <w:r>
        <w:t xml:space="preserve"> del P</w:t>
      </w:r>
      <w:r>
        <w:t>.G.O. vigente:</w:t>
      </w:r>
      <w:r>
        <w:rPr>
          <w:rFonts w:ascii="Times New Roman" w:eastAsia="Times New Roman" w:hAnsi="Times New Roman" w:cs="Times New Roman"/>
          <w:sz w:val="24"/>
        </w:rPr>
        <w:t xml:space="preserve"> </w:t>
      </w:r>
    </w:p>
    <w:p w:rsidR="00B064CF" w:rsidRDefault="00E32F70">
      <w:pPr>
        <w:spacing w:after="11" w:line="248" w:lineRule="auto"/>
        <w:ind w:left="654" w:right="699"/>
      </w:pPr>
      <w:r>
        <w:rPr>
          <w:b/>
          <w:i/>
        </w:rPr>
        <w:t xml:space="preserve">Capítulo I. INFORMACIÓN URBANÍSTICA </w:t>
      </w:r>
    </w:p>
    <w:p w:rsidR="00B064CF" w:rsidRDefault="00E32F70">
      <w:pPr>
        <w:spacing w:after="11" w:line="248" w:lineRule="auto"/>
        <w:ind w:left="654" w:right="699"/>
      </w:pPr>
      <w:r>
        <w:rPr>
          <w:b/>
          <w:i/>
        </w:rPr>
        <w:t xml:space="preserve">Artículo 3.2.28.2. Licencia para Carteles de Propaganda. </w:t>
      </w:r>
    </w:p>
    <w:p w:rsidR="00B064CF" w:rsidRDefault="00E32F70">
      <w:pPr>
        <w:spacing w:after="4"/>
        <w:ind w:left="654" w:right="361"/>
      </w:pPr>
      <w:r>
        <w:rPr>
          <w:i/>
        </w:rPr>
        <w:t>En el Suelo Urbano se permite únicamente colocar carteles de propaganda de los establecimientos comerciales o industriales, que deberán colocarse</w:t>
      </w:r>
      <w:r>
        <w:rPr>
          <w:i/>
        </w:rPr>
        <w:t xml:space="preserve"> pegados a fachada, en el ancho de los huecos y con un máximo de 40 cm. de altura. Quedan expresamente prohibidas las vallas publicitarias. </w:t>
      </w:r>
    </w:p>
    <w:p w:rsidR="00B064CF" w:rsidRDefault="00E32F70">
      <w:pPr>
        <w:spacing w:after="0" w:line="259" w:lineRule="auto"/>
        <w:ind w:left="644" w:firstLine="0"/>
        <w:jc w:val="left"/>
      </w:pPr>
      <w:r>
        <w:rPr>
          <w:b/>
          <w:i/>
        </w:rPr>
        <w:t xml:space="preserve"> </w:t>
      </w:r>
    </w:p>
    <w:p w:rsidR="00B064CF" w:rsidRDefault="00E32F70">
      <w:pPr>
        <w:spacing w:after="5" w:line="248" w:lineRule="auto"/>
        <w:ind w:left="654"/>
      </w:pPr>
      <w:r>
        <w:rPr>
          <w:b/>
          <w:i/>
        </w:rPr>
        <w:t xml:space="preserve">Capítulo 4. NORMATIVA DE PROTECCIÓN EDIFICATORIA DE LAS EDIFICACIONES DENTRO DE CONJUNTO DE INTERÉS. </w:t>
      </w:r>
    </w:p>
    <w:p w:rsidR="00B064CF" w:rsidRDefault="00E32F70">
      <w:pPr>
        <w:spacing w:after="11" w:line="248" w:lineRule="auto"/>
        <w:ind w:left="654" w:right="699"/>
      </w:pPr>
      <w:r>
        <w:rPr>
          <w:b/>
          <w:i/>
        </w:rPr>
        <w:t>Art. 4.4.5. Condiciones Estéticas Particulares.</w:t>
      </w:r>
      <w:r>
        <w:rPr>
          <w:rFonts w:ascii="Times New Roman" w:eastAsia="Times New Roman" w:hAnsi="Times New Roman" w:cs="Times New Roman"/>
          <w:sz w:val="24"/>
        </w:rPr>
        <w:t xml:space="preserve"> </w:t>
      </w:r>
    </w:p>
    <w:p w:rsidR="00B064CF" w:rsidRDefault="00E32F70">
      <w:pPr>
        <w:spacing w:after="113" w:line="248" w:lineRule="auto"/>
        <w:ind w:left="654" w:right="699"/>
      </w:pPr>
      <w:r>
        <w:rPr>
          <w:b/>
          <w:i/>
        </w:rPr>
        <w:t>4. Anuncios y carteles de propaganda:</w:t>
      </w:r>
      <w:r>
        <w:rPr>
          <w:rFonts w:ascii="Times New Roman" w:eastAsia="Times New Roman" w:hAnsi="Times New Roman" w:cs="Times New Roman"/>
          <w:sz w:val="24"/>
        </w:rPr>
        <w:t xml:space="preserve"> </w:t>
      </w:r>
    </w:p>
    <w:p w:rsidR="00B064CF" w:rsidRDefault="00E32F70">
      <w:pPr>
        <w:spacing w:after="4"/>
        <w:ind w:left="654" w:right="362"/>
      </w:pPr>
      <w:r>
        <w:rPr>
          <w:i/>
        </w:rPr>
        <w:t>Los carteles, rótulos, anuncios, etc., deberán estar integrados en el ancho de las líneas de la planta baja, nunca mayores de 40 cm. de alto, prohibiéndose cualquier ca</w:t>
      </w:r>
      <w:r>
        <w:rPr>
          <w:i/>
        </w:rPr>
        <w:t xml:space="preserve">rtel o rótulo que sobresalga de fachada. </w:t>
      </w:r>
    </w:p>
    <w:p w:rsidR="00B064CF" w:rsidRDefault="00E32F70">
      <w:pPr>
        <w:spacing w:after="4"/>
        <w:ind w:left="654" w:right="144"/>
      </w:pPr>
      <w:r>
        <w:rPr>
          <w:i/>
        </w:rPr>
        <w:t xml:space="preserve">Las edificaciones con algún grado de catalogación deberán integrar estos elementos en los huecos de fachada existentes. </w:t>
      </w:r>
    </w:p>
    <w:p w:rsidR="00B064CF" w:rsidRDefault="00E32F70">
      <w:pPr>
        <w:spacing w:after="4"/>
        <w:ind w:left="654" w:right="144"/>
      </w:pPr>
      <w:r>
        <w:rPr>
          <w:i/>
        </w:rPr>
        <w:t xml:space="preserve">Se establece un plazo transitorio de un año, desde la aprobación definitiva de estas Normas, </w:t>
      </w:r>
      <w:r>
        <w:rPr>
          <w:i/>
        </w:rPr>
        <w:t xml:space="preserve">para adaptarlos a éstas. </w:t>
      </w:r>
    </w:p>
    <w:p w:rsidR="00B064CF" w:rsidRDefault="00E32F70">
      <w:pPr>
        <w:spacing w:after="0" w:line="259" w:lineRule="auto"/>
        <w:ind w:left="644" w:firstLine="0"/>
        <w:jc w:val="left"/>
      </w:pPr>
      <w:r>
        <w:rPr>
          <w:i/>
        </w:rPr>
        <w:t xml:space="preserve"> </w:t>
      </w:r>
    </w:p>
    <w:p w:rsidR="00B064CF" w:rsidRDefault="00E32F70">
      <w:pPr>
        <w:spacing w:after="11" w:line="248" w:lineRule="auto"/>
        <w:ind w:left="654" w:right="699"/>
      </w:pPr>
      <w:r>
        <w:rPr>
          <w:b/>
          <w:i/>
        </w:rPr>
        <w:t xml:space="preserve">Art. 5.4.25. Condiciones Estéticas Generales en Edificación Cerrada. </w:t>
      </w:r>
    </w:p>
    <w:p w:rsidR="00B064CF" w:rsidRDefault="00E32F70">
      <w:pPr>
        <w:numPr>
          <w:ilvl w:val="0"/>
          <w:numId w:val="162"/>
        </w:numPr>
        <w:spacing w:after="4"/>
        <w:ind w:right="252" w:hanging="247"/>
      </w:pPr>
      <w:r>
        <w:rPr>
          <w:i/>
        </w:rPr>
        <w:t>Los muros o bancales en el fondo de parcela situados -ladera abajo- y que linden con cualquiera de las categorías suelo rústico, deberán acabarse en toda su a</w:t>
      </w:r>
      <w:r>
        <w:rPr>
          <w:i/>
        </w:rPr>
        <w:t xml:space="preserve">ltura con piedra basáltica. </w:t>
      </w:r>
    </w:p>
    <w:p w:rsidR="00B064CF" w:rsidRDefault="00E32F70">
      <w:pPr>
        <w:numPr>
          <w:ilvl w:val="0"/>
          <w:numId w:val="162"/>
        </w:numPr>
        <w:spacing w:after="4"/>
        <w:ind w:right="252" w:hanging="247"/>
      </w:pPr>
      <w:r>
        <w:rPr>
          <w:i/>
        </w:rPr>
        <w:t>No se permite en áticos o terrazas, para obra nueva o existente, cerrar o cubrir con ningún tipo de cerramiento o pérgola. Solo se permiten los toldos retractiles y unificados en cada edificio para el conjunto de los áticos o t</w:t>
      </w:r>
      <w:r>
        <w:rPr>
          <w:i/>
        </w:rPr>
        <w:t xml:space="preserve">errazas. Se retranquearán un mínimo de un metro de cualquier fachada. </w:t>
      </w:r>
    </w:p>
    <w:p w:rsidR="00B064CF" w:rsidRDefault="00E32F70">
      <w:pPr>
        <w:numPr>
          <w:ilvl w:val="0"/>
          <w:numId w:val="162"/>
        </w:numPr>
        <w:spacing w:after="4"/>
        <w:ind w:right="252" w:hanging="247"/>
      </w:pPr>
      <w:r>
        <w:rPr>
          <w:i/>
        </w:rPr>
        <w:t xml:space="preserve">En fachadas exteriores, solo se permitirán los anuncios, señales, carteles, elementos, construcciones auxiliares o similares, en las condiciones siguientes: </w:t>
      </w:r>
    </w:p>
    <w:p w:rsidR="00B064CF" w:rsidRDefault="00E32F70">
      <w:pPr>
        <w:numPr>
          <w:ilvl w:val="1"/>
          <w:numId w:val="162"/>
        </w:numPr>
        <w:spacing w:after="4"/>
        <w:ind w:right="144" w:hanging="247"/>
      </w:pPr>
      <w:r>
        <w:rPr>
          <w:i/>
        </w:rPr>
        <w:t>No se permiten situarlos fu</w:t>
      </w:r>
      <w:r>
        <w:rPr>
          <w:i/>
        </w:rPr>
        <w:t xml:space="preserve">era del ámbito de la planta baja de edificio. </w:t>
      </w:r>
    </w:p>
    <w:p w:rsidR="00B064CF" w:rsidRDefault="00E32F70">
      <w:pPr>
        <w:numPr>
          <w:ilvl w:val="1"/>
          <w:numId w:val="162"/>
        </w:numPr>
        <w:spacing w:after="4"/>
        <w:ind w:right="144" w:hanging="247"/>
      </w:pPr>
      <w:r>
        <w:rPr>
          <w:i/>
        </w:rPr>
        <w:t xml:space="preserve">No podrán sobresalir más de 0,30m del plano de fachada en planta baja. </w:t>
      </w:r>
    </w:p>
    <w:p w:rsidR="00B064CF" w:rsidRDefault="00E32F70">
      <w:pPr>
        <w:numPr>
          <w:ilvl w:val="1"/>
          <w:numId w:val="162"/>
        </w:numPr>
        <w:spacing w:after="4"/>
        <w:ind w:right="144" w:hanging="247"/>
      </w:pPr>
      <w:r>
        <w:rPr>
          <w:i/>
        </w:rPr>
        <w:t>Deberán situarse en el interior de los huecos previstos en fachada o en una única franja de 0,40m de altura máxima que podrá recorrer tod</w:t>
      </w:r>
      <w:r>
        <w:rPr>
          <w:i/>
        </w:rPr>
        <w:t xml:space="preserve">a la fachada en planta baja. </w:t>
      </w:r>
    </w:p>
    <w:p w:rsidR="00B064CF" w:rsidRDefault="00E32F70">
      <w:pPr>
        <w:numPr>
          <w:ilvl w:val="1"/>
          <w:numId w:val="162"/>
        </w:numPr>
        <w:spacing w:after="4"/>
        <w:ind w:right="144" w:hanging="247"/>
      </w:pPr>
      <w:r>
        <w:rPr>
          <w:rFonts w:ascii="Calibri" w:eastAsia="Calibri" w:hAnsi="Calibri" w:cs="Calibri"/>
          <w:noProof/>
        </w:rPr>
        <mc:AlternateContent>
          <mc:Choice Requires="wpg">
            <w:drawing>
              <wp:anchor distT="0" distB="0" distL="114300" distR="114300" simplePos="0" relativeHeight="25189273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11884" name="Group 411884"/>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7414" name="Rectangle 37414"/>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7415" name="Rectangle 37415"/>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225 de 298 </w:t>
                              </w:r>
                            </w:p>
                          </w:txbxContent>
                        </wps:txbx>
                        <wps:bodyPr horzOverflow="overflow" vert="horz" lIns="0" tIns="0" rIns="0" bIns="0" rtlCol="0">
                          <a:noAutofit/>
                        </wps:bodyPr>
                      </wps:wsp>
                    </wpg:wgp>
                  </a:graphicData>
                </a:graphic>
              </wp:anchor>
            </w:drawing>
          </mc:Choice>
          <mc:Fallback xmlns:a="http://schemas.openxmlformats.org/drawingml/2006/main">
            <w:pict>
              <v:group id="Group 411884" style="width:12.7031pt;height:278.91pt;position:absolute;mso-position-horizontal-relative:page;mso-position-horizontal:absolute;margin-left:682.278pt;mso-position-vertical-relative:page;margin-top:533.01pt;" coordsize="1613,35421">
                <v:rect id="Rectangle 37414"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7415"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225 de 298 </w:t>
                        </w:r>
                      </w:p>
                    </w:txbxContent>
                  </v:textbox>
                </v:rect>
                <w10:wrap type="square"/>
              </v:group>
            </w:pict>
          </mc:Fallback>
        </mc:AlternateContent>
      </w:r>
      <w:r>
        <w:rPr>
          <w:i/>
        </w:rPr>
        <w:t xml:space="preserve">En edificaciones con jardín delantero, se permite situar los anuncios o carteles incorporados en el diseño del cerramiento, sin invadir en ningún caso el dominio público. </w:t>
      </w:r>
    </w:p>
    <w:p w:rsidR="00B064CF" w:rsidRDefault="00E32F70">
      <w:pPr>
        <w:numPr>
          <w:ilvl w:val="1"/>
          <w:numId w:val="162"/>
        </w:numPr>
        <w:spacing w:after="1" w:line="239" w:lineRule="auto"/>
        <w:ind w:right="144" w:hanging="247"/>
      </w:pPr>
      <w:r>
        <w:rPr>
          <w:i/>
        </w:rPr>
        <w:t>No se permiten los toldos, banderolas o similares (salvo los toldos retractiles) fue</w:t>
      </w:r>
      <w:r>
        <w:rPr>
          <w:i/>
        </w:rPr>
        <w:t xml:space="preserve">ra del plano de las fachadas. En ningún caso podrán invadir el dominio público o el jardín delantero, pero si volar sobre ambos. </w:t>
      </w:r>
    </w:p>
    <w:p w:rsidR="00B064CF" w:rsidRDefault="00E32F70">
      <w:pPr>
        <w:numPr>
          <w:ilvl w:val="0"/>
          <w:numId w:val="162"/>
        </w:numPr>
        <w:spacing w:after="4"/>
        <w:ind w:right="252" w:hanging="247"/>
      </w:pPr>
      <w:r>
        <w:rPr>
          <w:i/>
        </w:rPr>
        <w:t xml:space="preserve">El ayuntamiento podrá desarrollar una ordenanza específica por zonas. </w:t>
      </w:r>
    </w:p>
    <w:p w:rsidR="00B064CF" w:rsidRDefault="00E32F70">
      <w:pPr>
        <w:spacing w:after="0" w:line="259" w:lineRule="auto"/>
        <w:ind w:left="644" w:firstLine="0"/>
        <w:jc w:val="left"/>
      </w:pPr>
      <w:r>
        <w:rPr>
          <w:i/>
        </w:rPr>
        <w:t xml:space="preserve"> </w:t>
      </w:r>
    </w:p>
    <w:p w:rsidR="00B064CF" w:rsidRDefault="00E32F70">
      <w:pPr>
        <w:spacing w:after="0" w:line="248" w:lineRule="auto"/>
        <w:ind w:left="654"/>
      </w:pPr>
      <w:r>
        <w:rPr>
          <w:b/>
          <w:i/>
        </w:rPr>
        <w:t xml:space="preserve">Art. 5.4.26. Condiciones Estéticas en los Ámbitos de </w:t>
      </w:r>
      <w:r>
        <w:rPr>
          <w:b/>
          <w:i/>
        </w:rPr>
        <w:t xml:space="preserve">Calle de La Arena y El Risco de Candelaria. </w:t>
      </w:r>
    </w:p>
    <w:p w:rsidR="00B064CF" w:rsidRDefault="00E32F70">
      <w:pPr>
        <w:spacing w:after="1" w:line="239" w:lineRule="auto"/>
        <w:ind w:left="654" w:right="367"/>
        <w:jc w:val="left"/>
      </w:pPr>
      <w:r>
        <w:rPr>
          <w:i/>
        </w:rPr>
        <w:t xml:space="preserve">8. Los toldos o similares, las luminarias o las papeleras sobre las fachadas, vendrán restringidos en su disposición en fachada, dimensiones, color y materiales, a lo que se disponga por parte del Ayuntamiento, </w:t>
      </w:r>
      <w:r>
        <w:rPr>
          <w:i/>
        </w:rPr>
        <w:t xml:space="preserve">a efectos de unificar el carácter de este entorno singular de la Basílica. </w:t>
      </w:r>
    </w:p>
    <w:p w:rsidR="00B064CF" w:rsidRDefault="00E32F70">
      <w:pPr>
        <w:spacing w:after="0" w:line="259" w:lineRule="auto"/>
        <w:ind w:left="644" w:firstLine="0"/>
        <w:jc w:val="left"/>
      </w:pPr>
      <w:r>
        <w:rPr>
          <w:i/>
        </w:rPr>
        <w:t xml:space="preserve"> </w:t>
      </w:r>
    </w:p>
    <w:p w:rsidR="00B064CF" w:rsidRDefault="00E32F70">
      <w:pPr>
        <w:spacing w:after="11" w:line="248" w:lineRule="auto"/>
        <w:ind w:left="654" w:right="699"/>
      </w:pPr>
      <w:r>
        <w:rPr>
          <w:b/>
          <w:i/>
        </w:rPr>
        <w:t>Art. 5.5.17. Cuerpos y Elementos Volados.</w:t>
      </w:r>
      <w:r>
        <w:rPr>
          <w:rFonts w:ascii="Times New Roman" w:eastAsia="Times New Roman" w:hAnsi="Times New Roman" w:cs="Times New Roman"/>
          <w:sz w:val="24"/>
        </w:rPr>
        <w:t xml:space="preserve"> </w:t>
      </w:r>
    </w:p>
    <w:p w:rsidR="00B064CF" w:rsidRDefault="00E32F70">
      <w:pPr>
        <w:spacing w:after="4"/>
        <w:ind w:left="654" w:right="144"/>
      </w:pPr>
      <w:r>
        <w:rPr>
          <w:i/>
        </w:rPr>
        <w:t>6. Se considerarán como elementos volados, los salientes ornamentales o funcionales del edificio no transitables; como aleros, gárgolas</w:t>
      </w:r>
      <w:r>
        <w:rPr>
          <w:i/>
        </w:rPr>
        <w:t xml:space="preserve">, marquesinas, parasoles, etc. </w:t>
      </w:r>
    </w:p>
    <w:p w:rsidR="00B064CF" w:rsidRDefault="00E32F70">
      <w:pPr>
        <w:spacing w:after="4"/>
        <w:ind w:left="654" w:right="144"/>
      </w:pPr>
      <w:r>
        <w:rPr>
          <w:i/>
        </w:rPr>
        <w:t xml:space="preserve">11. No se permite ningún tipo de volado sobre el dominio público, incluyendo los carteles o similares. </w:t>
      </w:r>
    </w:p>
    <w:p w:rsidR="00B064CF" w:rsidRDefault="00E32F70">
      <w:pPr>
        <w:spacing w:after="11" w:line="248" w:lineRule="auto"/>
        <w:ind w:left="654" w:right="699"/>
      </w:pPr>
      <w:r>
        <w:rPr>
          <w:b/>
          <w:i/>
        </w:rPr>
        <w:t xml:space="preserve">Art. 5.5.22. Condiciones Estéticas en Ciudad Jardín. </w:t>
      </w:r>
    </w:p>
    <w:p w:rsidR="00B064CF" w:rsidRDefault="00E32F70">
      <w:pPr>
        <w:spacing w:after="4"/>
        <w:ind w:left="654" w:right="366"/>
      </w:pPr>
      <w:r>
        <w:rPr>
          <w:i/>
        </w:rPr>
        <w:t xml:space="preserve">4. Se prohíbe situar la cartelería o los anuncios fuera de las zonas contempladas para ello en el cerramiento frontal de la parcela. No se permite volar con estos elementos o similares sobre el dominio público. </w:t>
      </w:r>
    </w:p>
    <w:p w:rsidR="00B064CF" w:rsidRDefault="00E32F70">
      <w:pPr>
        <w:spacing w:after="0" w:line="259" w:lineRule="auto"/>
        <w:ind w:left="644" w:firstLine="0"/>
        <w:jc w:val="left"/>
      </w:pPr>
      <w:r>
        <w:rPr>
          <w:i/>
        </w:rPr>
        <w:t xml:space="preserve"> </w:t>
      </w:r>
    </w:p>
    <w:p w:rsidR="00B064CF" w:rsidRDefault="00E32F70">
      <w:pPr>
        <w:spacing w:after="11" w:line="248" w:lineRule="auto"/>
        <w:ind w:left="654" w:right="699"/>
      </w:pPr>
      <w:r>
        <w:rPr>
          <w:b/>
          <w:i/>
        </w:rPr>
        <w:t>Art. 5.6.19. Condiciones Estéticas en Edif</w:t>
      </w:r>
      <w:r>
        <w:rPr>
          <w:b/>
          <w:i/>
        </w:rPr>
        <w:t xml:space="preserve">icación Abierta </w:t>
      </w:r>
    </w:p>
    <w:p w:rsidR="00B064CF" w:rsidRDefault="00E32F70">
      <w:pPr>
        <w:numPr>
          <w:ilvl w:val="0"/>
          <w:numId w:val="163"/>
        </w:numPr>
        <w:spacing w:after="4"/>
        <w:ind w:right="254"/>
      </w:pPr>
      <w:r>
        <w:rPr>
          <w:i/>
        </w:rPr>
        <w:t xml:space="preserve">Se prohíbe situar cartelería o anuncios fuera de las zonas contempladas para ello en el proyecto del cerramiento. No se permite volar con estos elementos o similares sobre el dominio público. </w:t>
      </w:r>
    </w:p>
    <w:p w:rsidR="00B064CF" w:rsidRDefault="00E32F70">
      <w:pPr>
        <w:numPr>
          <w:ilvl w:val="0"/>
          <w:numId w:val="163"/>
        </w:numPr>
        <w:spacing w:after="4"/>
        <w:ind w:right="254"/>
      </w:pPr>
      <w:r>
        <w:rPr>
          <w:i/>
        </w:rPr>
        <w:t>No se permite en áticos, para obra nueva o no,</w:t>
      </w:r>
      <w:r>
        <w:rPr>
          <w:i/>
        </w:rPr>
        <w:t xml:space="preserve"> cerrar con ningún tipo de cerramiento o pérgola las terrazas. Solo se permiten los toldos retractiles e idénticos. </w:t>
      </w:r>
    </w:p>
    <w:p w:rsidR="00B064CF" w:rsidRDefault="00E32F70">
      <w:pPr>
        <w:spacing w:after="0" w:line="259" w:lineRule="auto"/>
        <w:ind w:left="644" w:firstLine="0"/>
        <w:jc w:val="left"/>
      </w:pPr>
      <w:r>
        <w:rPr>
          <w:i/>
        </w:rPr>
        <w:t xml:space="preserve"> </w:t>
      </w:r>
    </w:p>
    <w:p w:rsidR="00B064CF" w:rsidRDefault="00E32F70">
      <w:pPr>
        <w:spacing w:after="11" w:line="248" w:lineRule="auto"/>
        <w:ind w:left="654" w:right="699"/>
      </w:pPr>
      <w:r>
        <w:rPr>
          <w:b/>
          <w:i/>
        </w:rPr>
        <w:t xml:space="preserve">ANEXO 1 </w:t>
      </w:r>
    </w:p>
    <w:p w:rsidR="00B064CF" w:rsidRDefault="00E32F70">
      <w:pPr>
        <w:spacing w:after="0" w:line="248" w:lineRule="auto"/>
        <w:ind w:left="654"/>
      </w:pPr>
      <w:r>
        <w:rPr>
          <w:b/>
          <w:i/>
        </w:rPr>
        <w:t xml:space="preserve">CONDICIONES PARTICULARES DE LA EDIFICACIÓN INDUSTRIAL EN EL POLÍGONO INDUSTRIAL DEL VALLE DE GÜÍMAR. </w:t>
      </w:r>
    </w:p>
    <w:p w:rsidR="00B064CF" w:rsidRDefault="00E32F70">
      <w:pPr>
        <w:spacing w:after="11" w:line="248" w:lineRule="auto"/>
        <w:ind w:left="654" w:right="699"/>
      </w:pPr>
      <w:r>
        <w:rPr>
          <w:b/>
          <w:i/>
        </w:rPr>
        <w:t xml:space="preserve">Artículo 11. Determinaciones Compositivas. </w:t>
      </w:r>
    </w:p>
    <w:p w:rsidR="00B064CF" w:rsidRDefault="00E32F70">
      <w:pPr>
        <w:spacing w:after="4"/>
        <w:ind w:left="654" w:right="360"/>
      </w:pPr>
      <w:r>
        <w:rPr>
          <w:i/>
        </w:rPr>
        <w:t>Composición de los frentes de fachada: En los frentes de fachada de las parcelas se ubicarán, en su caso, los bloques representativos. En este caso no se admitirán construcciones destinadas a los usos asignados a</w:t>
      </w:r>
      <w:r>
        <w:rPr>
          <w:i/>
        </w:rPr>
        <w:t xml:space="preserve"> estos bloques en el interior de las parcelas en tanto no se haya completado a base de ellos todo el frente de fachada, salvo que esto resultase físicamente imposible. Su volumen edificatorio será dominantemente continuo, tendiendo a definir un plano de fa</w:t>
      </w:r>
      <w:r>
        <w:rPr>
          <w:i/>
        </w:rPr>
        <w:t xml:space="preserve">chada según la alineación frontal, sin perjuicio de los retranqueos que sean precisos a criterio del autor del proyecto. </w:t>
      </w:r>
    </w:p>
    <w:p w:rsidR="00B064CF" w:rsidRDefault="00E32F70">
      <w:pPr>
        <w:spacing w:after="4"/>
        <w:ind w:left="654" w:right="358"/>
      </w:pPr>
      <w:r>
        <w:rPr>
          <w:i/>
        </w:rPr>
        <w:t xml:space="preserve">Elementos salientes: Son elementos salientes todos aquellos que sobresaliendo del plano de fachada forman parte de la ornamentación o </w:t>
      </w:r>
      <w:r>
        <w:rPr>
          <w:i/>
        </w:rPr>
        <w:t xml:space="preserve">protección de fachadas y cubiertas, o tienen un carácter de añadido por cualquier motivo. Se distinguen los siguientes tipos: </w:t>
      </w:r>
    </w:p>
    <w:p w:rsidR="00B064CF" w:rsidRDefault="00E32F70">
      <w:pPr>
        <w:numPr>
          <w:ilvl w:val="0"/>
          <w:numId w:val="164"/>
        </w:numPr>
        <w:spacing w:after="4"/>
        <w:ind w:left="1069" w:right="144" w:hanging="142"/>
      </w:pPr>
      <w:r>
        <w:rPr>
          <w:i/>
        </w:rPr>
        <w:t>Elementos funcionales, tales como rejas, persianas, escaleras exteriores, etc.</w:t>
      </w:r>
      <w:r>
        <w:rPr>
          <w:rFonts w:ascii="Times New Roman" w:eastAsia="Times New Roman" w:hAnsi="Times New Roman" w:cs="Times New Roman"/>
          <w:sz w:val="24"/>
        </w:rPr>
        <w:t xml:space="preserve"> </w:t>
      </w:r>
    </w:p>
    <w:p w:rsidR="00B064CF" w:rsidRDefault="00E32F70">
      <w:pPr>
        <w:numPr>
          <w:ilvl w:val="0"/>
          <w:numId w:val="164"/>
        </w:numPr>
        <w:spacing w:after="4"/>
        <w:ind w:left="1069" w:right="144" w:hanging="142"/>
      </w:pPr>
      <w:r>
        <w:rPr>
          <w:i/>
        </w:rPr>
        <w:t>Elementos ornamentales, tales como molduras, rece</w:t>
      </w:r>
      <w:r>
        <w:rPr>
          <w:i/>
        </w:rPr>
        <w:t>rcados, jardineras, etc.</w:t>
      </w:r>
      <w:r>
        <w:rPr>
          <w:rFonts w:ascii="Times New Roman" w:eastAsia="Times New Roman" w:hAnsi="Times New Roman" w:cs="Times New Roman"/>
          <w:sz w:val="24"/>
        </w:rPr>
        <w:t xml:space="preserve"> </w:t>
      </w:r>
    </w:p>
    <w:p w:rsidR="00B064CF" w:rsidRDefault="00E32F70">
      <w:pPr>
        <w:numPr>
          <w:ilvl w:val="0"/>
          <w:numId w:val="164"/>
        </w:numPr>
        <w:spacing w:after="4"/>
        <w:ind w:left="1069" w:right="144" w:hanging="142"/>
      </w:pPr>
      <w:r>
        <w:rPr>
          <w:i/>
        </w:rPr>
        <w:t>Salientes de cubierta, tales como cornisas y aleros.</w:t>
      </w:r>
      <w:r>
        <w:rPr>
          <w:rFonts w:ascii="Times New Roman" w:eastAsia="Times New Roman" w:hAnsi="Times New Roman" w:cs="Times New Roman"/>
          <w:sz w:val="24"/>
        </w:rPr>
        <w:t xml:space="preserve"> </w:t>
      </w:r>
    </w:p>
    <w:p w:rsidR="00B064CF" w:rsidRDefault="00E32F70">
      <w:pPr>
        <w:numPr>
          <w:ilvl w:val="0"/>
          <w:numId w:val="164"/>
        </w:numPr>
        <w:spacing w:after="4"/>
        <w:ind w:left="1069" w:right="144" w:hanging="142"/>
      </w:pPr>
      <w:r>
        <w:rPr>
          <w:rFonts w:ascii="Calibri" w:eastAsia="Calibri" w:hAnsi="Calibri" w:cs="Calibri"/>
          <w:noProof/>
        </w:rPr>
        <mc:AlternateContent>
          <mc:Choice Requires="wpg">
            <w:drawing>
              <wp:anchor distT="0" distB="0" distL="114300" distR="114300" simplePos="0" relativeHeight="25189376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12424" name="Group 412424"/>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7546" name="Rectangle 37546"/>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7547" name="Rectangle 37547"/>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226 de 298 </w:t>
                              </w:r>
                            </w:p>
                          </w:txbxContent>
                        </wps:txbx>
                        <wps:bodyPr horzOverflow="overflow" vert="horz" lIns="0" tIns="0" rIns="0" bIns="0" rtlCol="0">
                          <a:noAutofit/>
                        </wps:bodyPr>
                      </wps:wsp>
                    </wpg:wgp>
                  </a:graphicData>
                </a:graphic>
              </wp:anchor>
            </w:drawing>
          </mc:Choice>
          <mc:Fallback xmlns:a="http://schemas.openxmlformats.org/drawingml/2006/main">
            <w:pict>
              <v:group id="Group 412424" style="width:12.7031pt;height:278.91pt;position:absolute;mso-position-horizontal-relative:page;mso-position-horizontal:absolute;margin-left:682.278pt;mso-position-vertical-relative:page;margin-top:533.01pt;" coordsize="1613,35421">
                <v:rect id="Rectangle 37546"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7547"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226 de 298 </w:t>
                        </w:r>
                      </w:p>
                    </w:txbxContent>
                  </v:textbox>
                </v:rect>
                <w10:wrap type="square"/>
              </v:group>
            </w:pict>
          </mc:Fallback>
        </mc:AlternateContent>
      </w:r>
      <w:r>
        <w:rPr>
          <w:i/>
        </w:rPr>
        <w:t>Techados exteriores, tales como marquesinas y toldos.</w:t>
      </w:r>
      <w:r>
        <w:rPr>
          <w:rFonts w:ascii="Times New Roman" w:eastAsia="Times New Roman" w:hAnsi="Times New Roman" w:cs="Times New Roman"/>
          <w:sz w:val="24"/>
        </w:rPr>
        <w:t xml:space="preserve"> </w:t>
      </w:r>
    </w:p>
    <w:p w:rsidR="00B064CF" w:rsidRDefault="00E32F70">
      <w:pPr>
        <w:numPr>
          <w:ilvl w:val="0"/>
          <w:numId w:val="164"/>
        </w:numPr>
        <w:spacing w:after="4"/>
        <w:ind w:left="1069" w:right="144" w:hanging="142"/>
      </w:pPr>
      <w:r>
        <w:rPr>
          <w:i/>
        </w:rPr>
        <w:t>Anuncios publicitarios, tales como muestras y banderolas.</w:t>
      </w:r>
      <w:r>
        <w:rPr>
          <w:rFonts w:ascii="Times New Roman" w:eastAsia="Times New Roman" w:hAnsi="Times New Roman" w:cs="Times New Roman"/>
          <w:sz w:val="24"/>
        </w:rPr>
        <w:t xml:space="preserve"> </w:t>
      </w:r>
    </w:p>
    <w:p w:rsidR="00B064CF" w:rsidRDefault="00E32F70">
      <w:pPr>
        <w:spacing w:after="4"/>
        <w:ind w:left="654" w:right="144"/>
      </w:pPr>
      <w:r>
        <w:rPr>
          <w:i/>
        </w:rPr>
        <w:t xml:space="preserve">En todo caso, ningún elemento podrá sobresalir </w:t>
      </w:r>
      <w:r>
        <w:rPr>
          <w:i/>
        </w:rPr>
        <w:t xml:space="preserve">del plano de fachada una longitud superior a ciento cincuenta (150) centímetros. </w:t>
      </w:r>
    </w:p>
    <w:p w:rsidR="00B064CF" w:rsidRDefault="00E32F70">
      <w:pPr>
        <w:spacing w:after="29" w:line="259" w:lineRule="auto"/>
        <w:ind w:left="360" w:firstLine="0"/>
        <w:jc w:val="left"/>
      </w:pPr>
      <w:r>
        <w:t xml:space="preserve"> </w:t>
      </w:r>
    </w:p>
    <w:p w:rsidR="00B064CF" w:rsidRDefault="00E32F70">
      <w:pPr>
        <w:spacing w:after="4"/>
        <w:ind w:left="355" w:right="68"/>
      </w:pPr>
      <w:r>
        <w:rPr>
          <w:rFonts w:ascii="Segoe UI Symbol" w:eastAsia="Segoe UI Symbol" w:hAnsi="Segoe UI Symbol" w:cs="Segoe UI Symbol"/>
          <w:sz w:val="24"/>
        </w:rPr>
        <w:t></w:t>
      </w:r>
      <w:r>
        <w:rPr>
          <w:sz w:val="24"/>
        </w:rPr>
        <w:t xml:space="preserve"> </w:t>
      </w:r>
      <w:r>
        <w:rPr>
          <w:b/>
        </w:rPr>
        <w:t>Normativa Estructural</w:t>
      </w:r>
      <w:r>
        <w:t xml:space="preserve"> del P.G.O. vigente:</w:t>
      </w:r>
      <w:r>
        <w:rPr>
          <w:rFonts w:ascii="Times New Roman" w:eastAsia="Times New Roman" w:hAnsi="Times New Roman" w:cs="Times New Roman"/>
          <w:sz w:val="24"/>
        </w:rPr>
        <w:t xml:space="preserve"> </w:t>
      </w:r>
    </w:p>
    <w:p w:rsidR="00B064CF" w:rsidRDefault="00E32F70">
      <w:pPr>
        <w:spacing w:after="4"/>
        <w:ind w:left="654" w:right="144"/>
      </w:pPr>
      <w:r>
        <w:rPr>
          <w:i/>
        </w:rPr>
        <w:t xml:space="preserve">TÍTULO TERCERO. RÉGIMEN DEL SUELO RÚSTICO </w:t>
      </w:r>
    </w:p>
    <w:p w:rsidR="00B064CF" w:rsidRDefault="00E32F70">
      <w:pPr>
        <w:spacing w:after="4"/>
        <w:ind w:left="654" w:right="144"/>
      </w:pPr>
      <w:r>
        <w:rPr>
          <w:i/>
        </w:rPr>
        <w:t>Art. 3.1.2. Determinaciones de ordenación de directa aplicación y de carácter subsid</w:t>
      </w:r>
      <w:r>
        <w:rPr>
          <w:i/>
        </w:rPr>
        <w:t xml:space="preserve">iario. </w:t>
      </w:r>
    </w:p>
    <w:p w:rsidR="00B064CF" w:rsidRDefault="00E32F70">
      <w:pPr>
        <w:spacing w:after="4"/>
        <w:ind w:left="654" w:right="144"/>
      </w:pPr>
      <w:r>
        <w:rPr>
          <w:i/>
        </w:rPr>
        <w:t xml:space="preserve">1. Todo acto de aprovechamiento y uso del suelo rústico deberá respetar las siguientes reglas: </w:t>
      </w:r>
    </w:p>
    <w:p w:rsidR="00B064CF" w:rsidRDefault="00E32F70">
      <w:pPr>
        <w:spacing w:after="4"/>
        <w:ind w:left="798" w:right="359"/>
      </w:pPr>
      <w:r>
        <w:rPr>
          <w:i/>
        </w:rPr>
        <w:t>d) No será posible la colocación y el mantenimiento de anuncios, carteles, vallas publicitarias o instalaciones de características similares, pudiendo a</w:t>
      </w:r>
      <w:r>
        <w:rPr>
          <w:i/>
        </w:rPr>
        <w:t>utorizarse exclusivamente los carteles indicativos o informativos con las características que fije, en cada caso, la Administración competente.</w:t>
      </w:r>
      <w:r>
        <w:rPr>
          <w:rFonts w:ascii="Times New Roman" w:eastAsia="Times New Roman" w:hAnsi="Times New Roman" w:cs="Times New Roman"/>
          <w:sz w:val="24"/>
        </w:rPr>
        <w:t xml:space="preserve"> </w:t>
      </w:r>
    </w:p>
    <w:p w:rsidR="00B064CF" w:rsidRDefault="00E32F70">
      <w:pPr>
        <w:spacing w:after="98" w:line="259" w:lineRule="auto"/>
        <w:ind w:left="360" w:firstLine="0"/>
        <w:jc w:val="left"/>
      </w:pPr>
      <w:r>
        <w:t xml:space="preserve"> </w:t>
      </w:r>
    </w:p>
    <w:p w:rsidR="00B064CF" w:rsidRDefault="00E32F70">
      <w:pPr>
        <w:spacing w:after="111"/>
        <w:ind w:left="355" w:right="72"/>
      </w:pPr>
      <w:r>
        <w:t>Del mismo modo, se pretende que las ocupaciones de dominio público se lleven a cabo respetando las condicione</w:t>
      </w:r>
      <w:r>
        <w:t xml:space="preserve">s de accesibilidad y no discriminación de las personas con limitación, movilidad o comunicación reducida, establecidas en la normativa vigente en materia de accesibilidad, para el acceso y uso del dominio público en igualdad de oportunidades. </w:t>
      </w:r>
    </w:p>
    <w:p w:rsidR="00B064CF" w:rsidRDefault="00E32F70">
      <w:pPr>
        <w:spacing w:after="63"/>
        <w:ind w:left="355" w:right="72"/>
      </w:pPr>
      <w:r>
        <w:t xml:space="preserve">Normativa de aplicación en materia de uso y accesibilidad de los espacios exteriores urbanizados: </w:t>
      </w:r>
    </w:p>
    <w:p w:rsidR="00B064CF" w:rsidRDefault="00E32F70">
      <w:pPr>
        <w:spacing w:after="66"/>
        <w:ind w:left="1080" w:hanging="360"/>
      </w:pPr>
      <w:r>
        <w:rPr>
          <w:rFonts w:ascii="Segoe UI Symbol" w:eastAsia="Segoe UI Symbol" w:hAnsi="Segoe UI Symbol" w:cs="Segoe UI Symbol"/>
        </w:rPr>
        <w:t></w:t>
      </w:r>
      <w:r>
        <w:t xml:space="preserve"> </w:t>
      </w:r>
      <w:r>
        <w:rPr>
          <w:i/>
        </w:rPr>
        <w:t xml:space="preserve">Real Decreto 314/2006, de 17 de marzo, por el que se aprueba el Código Técnico de la Edificación. </w:t>
      </w:r>
    </w:p>
    <w:p w:rsidR="00B064CF" w:rsidRDefault="00E32F70">
      <w:pPr>
        <w:spacing w:after="64" w:line="250" w:lineRule="auto"/>
        <w:ind w:right="132"/>
        <w:jc w:val="right"/>
      </w:pPr>
      <w:r>
        <w:rPr>
          <w:rFonts w:ascii="Segoe UI Symbol" w:eastAsia="Segoe UI Symbol" w:hAnsi="Segoe UI Symbol" w:cs="Segoe UI Symbol"/>
        </w:rPr>
        <w:t></w:t>
      </w:r>
      <w:r>
        <w:t xml:space="preserve"> </w:t>
      </w:r>
      <w:r>
        <w:tab/>
      </w:r>
      <w:r>
        <w:rPr>
          <w:i/>
        </w:rPr>
        <w:t>Orden VIV/561/2010, de 1 de febrero, por la que se de</w:t>
      </w:r>
      <w:r>
        <w:rPr>
          <w:i/>
        </w:rPr>
        <w:t xml:space="preserve">sarrolla el documento técnico de condiciones básicas de accesibilidad y no discriminación para el acceso y utilización de los espacios públicos urbanizados. </w:t>
      </w:r>
    </w:p>
    <w:p w:rsidR="00B064CF" w:rsidRDefault="00E32F70">
      <w:pPr>
        <w:spacing w:after="65"/>
        <w:ind w:left="1080" w:hanging="360"/>
      </w:pPr>
      <w:r>
        <w:rPr>
          <w:rFonts w:ascii="Segoe UI Symbol" w:eastAsia="Segoe UI Symbol" w:hAnsi="Segoe UI Symbol" w:cs="Segoe UI Symbol"/>
        </w:rPr>
        <w:t></w:t>
      </w:r>
      <w:r>
        <w:t xml:space="preserve"> </w:t>
      </w:r>
      <w:r>
        <w:tab/>
      </w:r>
      <w:r>
        <w:rPr>
          <w:i/>
        </w:rPr>
        <w:t xml:space="preserve">Ley 8/1995, de 6 de abril, de accesibilidad y supresión de barreras físicas y de la comunicación. </w:t>
      </w:r>
    </w:p>
    <w:p w:rsidR="00B064CF" w:rsidRDefault="00E32F70">
      <w:pPr>
        <w:spacing w:after="232"/>
        <w:ind w:left="1073" w:hanging="355"/>
      </w:pPr>
      <w:r>
        <w:rPr>
          <w:rFonts w:ascii="Segoe UI Symbol" w:eastAsia="Segoe UI Symbol" w:hAnsi="Segoe UI Symbol" w:cs="Segoe UI Symbol"/>
        </w:rPr>
        <w:t></w:t>
      </w:r>
      <w:r>
        <w:t xml:space="preserve"> </w:t>
      </w:r>
      <w:r>
        <w:rPr>
          <w:i/>
        </w:rPr>
        <w:t>Decreto 227/1997, de 18 de septiembre, por el que se aprueba el Reglamento de la Ley 8/1995, de 6 de abril, de accesibilidad y supresión de barreras física</w:t>
      </w:r>
      <w:r>
        <w:rPr>
          <w:i/>
        </w:rPr>
        <w:t xml:space="preserve">s y de la comunicación.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0"/>
        <w:ind w:left="355" w:right="72"/>
      </w:pPr>
      <w:r>
        <w:t>De lo anteriormente expuesto, se informa que el proyecto de ordenanza es compatible con el Plan General vigente en el municipio de Candelaria y con la legislación sectorial correspondiente, y se ajusta a las disposiciones secto</w:t>
      </w:r>
      <w:r>
        <w:t xml:space="preserve">riales reguladoras de la seguridad, actividades, salubridad, habitabilidad, protección del medio ambiente urbano, patrimonio arquitectónico e histórico artístico. </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72"/>
      </w:pPr>
      <w:r>
        <w:t>En conclusión, se emite informe técnico favorable sobre el proyecto de Ordenanza de Domin</w:t>
      </w:r>
      <w:r>
        <w:t xml:space="preserve">io Público del municipio de Candelaria para su aprobación inicial.” </w:t>
      </w:r>
    </w:p>
    <w:p w:rsidR="00B064CF" w:rsidRDefault="00E32F70">
      <w:pPr>
        <w:spacing w:after="98" w:line="259" w:lineRule="auto"/>
        <w:ind w:left="360" w:firstLine="0"/>
        <w:jc w:val="left"/>
      </w:pPr>
      <w:r>
        <w:rPr>
          <w:b/>
        </w:rPr>
        <w:t xml:space="preserve"> </w:t>
      </w:r>
    </w:p>
    <w:p w:rsidR="00B064CF" w:rsidRDefault="00E32F70">
      <w:pPr>
        <w:spacing w:after="100" w:line="259" w:lineRule="auto"/>
        <w:ind w:left="360" w:firstLine="0"/>
        <w:jc w:val="left"/>
      </w:pPr>
      <w:r>
        <w:rPr>
          <w:b/>
        </w:rPr>
        <w:t xml:space="preserve"> </w:t>
      </w:r>
    </w:p>
    <w:p w:rsidR="00B064CF" w:rsidRDefault="00E32F70">
      <w:pPr>
        <w:spacing w:after="0" w:line="259" w:lineRule="auto"/>
        <w:ind w:left="360" w:firstLine="0"/>
        <w:jc w:val="left"/>
      </w:pPr>
      <w:r>
        <w:rPr>
          <w:b/>
        </w:rPr>
        <w:t xml:space="preserve"> </w:t>
      </w:r>
    </w:p>
    <w:p w:rsidR="00B064CF" w:rsidRDefault="00E32F70">
      <w:pPr>
        <w:spacing w:after="4"/>
        <w:ind w:left="355" w:right="68"/>
      </w:pPr>
      <w:r>
        <w:rPr>
          <w:b/>
        </w:rPr>
        <w:t xml:space="preserve">DICTAMEN FAVORABLE DE LA COMISIÓN INFORMATIVA DE P.G. URBANÍSTICA Y AMBIENTAL, OBRAS y SERVICIOS PÚBLICOS DE 24 DE MAYO DE 2021.  </w:t>
      </w:r>
    </w:p>
    <w:p w:rsidR="00B064CF" w:rsidRDefault="00E32F70">
      <w:pPr>
        <w:spacing w:after="0" w:line="259" w:lineRule="auto"/>
        <w:ind w:left="360" w:firstLine="0"/>
        <w:jc w:val="left"/>
      </w:pPr>
      <w:r>
        <w:rPr>
          <w:b/>
        </w:rPr>
        <w:t xml:space="preserve"> </w:t>
      </w:r>
    </w:p>
    <w:p w:rsidR="00B064CF" w:rsidRDefault="00E32F70">
      <w:pPr>
        <w:spacing w:after="11"/>
        <w:ind w:left="355" w:right="72"/>
      </w:pPr>
      <w:r>
        <w:rPr>
          <w:rFonts w:ascii="Calibri" w:eastAsia="Calibri" w:hAnsi="Calibri" w:cs="Calibri"/>
          <w:noProof/>
        </w:rPr>
        <mc:AlternateContent>
          <mc:Choice Requires="wpg">
            <w:drawing>
              <wp:anchor distT="0" distB="0" distL="114300" distR="114300" simplePos="0" relativeHeight="25189478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12796" name="Group 412796"/>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7655" name="Rectangle 37655"/>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7656" name="Rectangle 37656"/>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227 de 298 </w:t>
                              </w:r>
                            </w:p>
                          </w:txbxContent>
                        </wps:txbx>
                        <wps:bodyPr horzOverflow="overflow" vert="horz" lIns="0" tIns="0" rIns="0" bIns="0" rtlCol="0">
                          <a:noAutofit/>
                        </wps:bodyPr>
                      </wps:wsp>
                    </wpg:wgp>
                  </a:graphicData>
                </a:graphic>
              </wp:anchor>
            </w:drawing>
          </mc:Choice>
          <mc:Fallback xmlns:a="http://schemas.openxmlformats.org/drawingml/2006/main">
            <w:pict>
              <v:group id="Group 412796" style="width:12.7031pt;height:278.91pt;position:absolute;mso-position-horizontal-relative:page;mso-position-horizontal:absolute;margin-left:682.278pt;mso-position-vertical-relative:page;margin-top:533.01pt;" coordsize="1613,35421">
                <v:rect id="Rectangle 37655"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7656"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227 de 298 </w:t>
                        </w:r>
                      </w:p>
                    </w:txbxContent>
                  </v:textbox>
                </v:rect>
                <w10:wrap type="square"/>
              </v:group>
            </w:pict>
          </mc:Fallback>
        </mc:AlternateContent>
      </w:r>
      <w:r>
        <w:t xml:space="preserve">Votos a favor: 4.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Los 4 concejales del Grupo Socialista: </w:t>
      </w:r>
    </w:p>
    <w:p w:rsidR="00B064CF" w:rsidRDefault="00E32F70">
      <w:pPr>
        <w:spacing w:after="0"/>
        <w:ind w:left="355" w:right="72"/>
      </w:pPr>
      <w:r>
        <w:t xml:space="preserve">Doña Hilaria Cecilia Otazo González, Don Jorge Baute Delgado, Doña Margarita Eva Tendero Barroso y Doña María del Carmen Clemente Díaz.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Votos en contra: 0.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Abstenciones: 3.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El concejal del Grupo Popular, Don Juan Miguel Olivera González. </w:t>
      </w:r>
    </w:p>
    <w:p w:rsidR="00B064CF" w:rsidRDefault="00E32F70">
      <w:pPr>
        <w:spacing w:after="0" w:line="259" w:lineRule="auto"/>
        <w:ind w:left="360" w:firstLine="0"/>
        <w:jc w:val="left"/>
      </w:pPr>
      <w:r>
        <w:t xml:space="preserve"> </w:t>
      </w:r>
    </w:p>
    <w:p w:rsidR="00B064CF" w:rsidRDefault="00E32F70">
      <w:pPr>
        <w:spacing w:after="11"/>
        <w:ind w:left="355" w:right="72"/>
      </w:pPr>
      <w:r>
        <w:t>La  co</w:t>
      </w:r>
      <w:r>
        <w:t xml:space="preserve">ncejal del Grupo Mixto (CC-PNC), Doña Ángela Cruz Perera.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La concejal del Grupo Mixto (SSP), Doña Lourdes del Carmen Mondéjar Rondón. </w:t>
      </w:r>
    </w:p>
    <w:p w:rsidR="00B064CF" w:rsidRDefault="00E32F70">
      <w:pPr>
        <w:spacing w:after="0" w:line="259" w:lineRule="auto"/>
        <w:ind w:left="360" w:firstLine="0"/>
        <w:jc w:val="left"/>
      </w:pPr>
      <w:r>
        <w:rPr>
          <w:b/>
        </w:rPr>
        <w:t xml:space="preserve">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4"/>
        <w:ind w:left="355" w:right="68"/>
      </w:pPr>
      <w:r>
        <w:rPr>
          <w:b/>
        </w:rPr>
        <w:t xml:space="preserve">JUNTA DE PORTAVOCES DE 24 DE MAYO DE 2021.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Quedó oída.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rPr>
          <w:b/>
        </w:rPr>
        <w:t xml:space="preserve"> </w:t>
      </w:r>
    </w:p>
    <w:p w:rsidR="00B064CF" w:rsidRDefault="00E32F70">
      <w:pPr>
        <w:spacing w:after="4"/>
        <w:ind w:left="355" w:right="68"/>
      </w:pPr>
      <w:r>
        <w:rPr>
          <w:b/>
        </w:rPr>
        <w:t xml:space="preserve">La Concejal delegada de Planificación y Gestión Urbanística y Ambiental agradece en el </w:t>
      </w:r>
    </w:p>
    <w:p w:rsidR="00B064CF" w:rsidRDefault="00E32F70">
      <w:pPr>
        <w:spacing w:after="4"/>
        <w:ind w:left="355" w:right="68"/>
      </w:pPr>
      <w:r>
        <w:rPr>
          <w:b/>
        </w:rPr>
        <w:t xml:space="preserve">Pleno el trabajo del Técnico de Accesibilidad, del Arquitecto Técnico, de la jurista y de la Secretaría General en el trabajo de esta Ordenanza. </w:t>
      </w:r>
    </w:p>
    <w:p w:rsidR="00B064CF" w:rsidRDefault="00E32F70">
      <w:pPr>
        <w:spacing w:after="0" w:line="259" w:lineRule="auto"/>
        <w:ind w:left="360" w:firstLine="0"/>
        <w:jc w:val="left"/>
      </w:pPr>
      <w:r>
        <w:rPr>
          <w:b/>
        </w:rPr>
        <w:t xml:space="preserve"> </w:t>
      </w:r>
    </w:p>
    <w:p w:rsidR="00B064CF" w:rsidRDefault="00E32F70">
      <w:pPr>
        <w:spacing w:after="4"/>
        <w:ind w:left="355" w:right="68"/>
      </w:pPr>
      <w:r>
        <w:rPr>
          <w:b/>
        </w:rPr>
        <w:t>VOTACIÓN EN EL PLENO</w:t>
      </w:r>
      <w:r>
        <w:rPr>
          <w:b/>
        </w:rPr>
        <w:t xml:space="preserve"> DE 27 DE MAYO DE 2021.  </w:t>
      </w:r>
    </w:p>
    <w:p w:rsidR="00B064CF" w:rsidRDefault="00E32F70">
      <w:pPr>
        <w:spacing w:after="100" w:line="259" w:lineRule="auto"/>
        <w:ind w:left="360" w:firstLine="0"/>
        <w:jc w:val="left"/>
      </w:pPr>
      <w:r>
        <w:t xml:space="preserve"> </w:t>
      </w:r>
    </w:p>
    <w:p w:rsidR="00B064CF" w:rsidRDefault="00E32F70">
      <w:pPr>
        <w:spacing w:after="109"/>
        <w:ind w:left="355" w:right="72"/>
      </w:pPr>
      <w:r>
        <w:t xml:space="preserve">Votos a favor: 11. </w:t>
      </w:r>
    </w:p>
    <w:p w:rsidR="00B064CF" w:rsidRDefault="00E32F70">
      <w:pPr>
        <w:spacing w:after="11"/>
        <w:ind w:left="355" w:right="72"/>
      </w:pPr>
      <w:r>
        <w:t xml:space="preserve">11 concejales del Grupo Socialista: Doña María Concepción Brito Núñez, Don Jorge Baute Delgado, </w:t>
      </w:r>
    </w:p>
    <w:p w:rsidR="00B064CF" w:rsidRDefault="00E32F70">
      <w:pPr>
        <w:spacing w:after="112"/>
        <w:ind w:left="355" w:right="72"/>
      </w:pPr>
      <w:r>
        <w:t>Doña Olivia Concepción Pérez Díaz, Don José Francisco Pinto Ramos, Doña Hilaria Cecilia Otazo González, Don Air</w:t>
      </w:r>
      <w:r>
        <w:t xml:space="preserve">am Pérez Chinea, Doña Margarita Eva Tendero Barroso, Don Manuel Alberto González Pestano, Doña María del Carmen Clemente Díaz, Don Olegario Francisco Alonso Bello y Don Reinaldo José Triviño Blanco. </w:t>
      </w:r>
    </w:p>
    <w:p w:rsidR="00B064CF" w:rsidRDefault="00E32F70">
      <w:pPr>
        <w:spacing w:after="111"/>
        <w:ind w:left="355" w:right="72"/>
      </w:pPr>
      <w:r>
        <w:t xml:space="preserve">Votos en contra: 0. </w:t>
      </w:r>
    </w:p>
    <w:p w:rsidR="00B064CF" w:rsidRDefault="00E32F70">
      <w:pPr>
        <w:spacing w:after="11"/>
        <w:ind w:left="355" w:right="72"/>
      </w:pPr>
      <w:r>
        <w:t xml:space="preserve">Abstenciones: 3. </w:t>
      </w:r>
    </w:p>
    <w:p w:rsidR="00B064CF" w:rsidRDefault="00E32F70">
      <w:pPr>
        <w:spacing w:after="109"/>
        <w:ind w:left="355" w:right="72"/>
      </w:pPr>
      <w:r>
        <w:t xml:space="preserve">3 concejales del Grupo Mixto: Don Antonio Delgado García y Doña Lourdes del Carmen Mondéjar Rondón (SSP) y Doña Ángela Cruz Perera (CC-PNC). </w:t>
      </w:r>
    </w:p>
    <w:p w:rsidR="00B064CF" w:rsidRDefault="00E32F70">
      <w:pPr>
        <w:spacing w:after="0" w:line="259" w:lineRule="auto"/>
        <w:ind w:left="340" w:firstLine="0"/>
        <w:jc w:val="center"/>
      </w:pPr>
      <w:r>
        <w:rPr>
          <w:b/>
        </w:rPr>
        <w:t xml:space="preserve"> </w:t>
      </w:r>
    </w:p>
    <w:p w:rsidR="00B064CF" w:rsidRDefault="00E32F70">
      <w:pPr>
        <w:spacing w:after="0" w:line="259" w:lineRule="auto"/>
        <w:ind w:left="340" w:firstLine="0"/>
        <w:jc w:val="center"/>
      </w:pPr>
      <w:r>
        <w:rPr>
          <w:b/>
        </w:rPr>
        <w:t xml:space="preserve"> </w:t>
      </w:r>
    </w:p>
    <w:p w:rsidR="00B064CF" w:rsidRDefault="00E32F70">
      <w:pPr>
        <w:spacing w:after="0" w:line="259" w:lineRule="auto"/>
        <w:ind w:left="340" w:firstLine="0"/>
        <w:jc w:val="center"/>
      </w:pPr>
      <w:r>
        <w:rPr>
          <w:b/>
        </w:rPr>
        <w:t xml:space="preserve"> </w:t>
      </w:r>
    </w:p>
    <w:p w:rsidR="00B064CF" w:rsidRDefault="00E32F70">
      <w:pPr>
        <w:spacing w:after="0" w:line="259" w:lineRule="auto"/>
        <w:ind w:left="1779" w:firstLine="0"/>
        <w:jc w:val="left"/>
      </w:pPr>
      <w:r>
        <w:rPr>
          <w:b/>
        </w:rPr>
        <w:t xml:space="preserve"> </w:t>
      </w:r>
    </w:p>
    <w:p w:rsidR="00B064CF" w:rsidRDefault="00E32F70">
      <w:pPr>
        <w:spacing w:after="4"/>
        <w:ind w:left="1789" w:right="68"/>
      </w:pPr>
      <w:r>
        <w:rPr>
          <w:b/>
        </w:rPr>
        <w:t xml:space="preserve">      ACUERDO DEL PLENO DE 27 DE MAYO DE 2021. </w:t>
      </w:r>
    </w:p>
    <w:p w:rsidR="00B064CF" w:rsidRDefault="00E32F70">
      <w:pPr>
        <w:spacing w:after="0" w:line="259" w:lineRule="auto"/>
        <w:ind w:left="340" w:firstLine="0"/>
        <w:jc w:val="center"/>
      </w:pPr>
      <w:r>
        <w:rPr>
          <w:b/>
        </w:rPr>
        <w:t xml:space="preserve"> </w:t>
      </w:r>
    </w:p>
    <w:p w:rsidR="00B064CF" w:rsidRDefault="00E32F70">
      <w:pPr>
        <w:spacing w:after="4"/>
        <w:ind w:left="345" w:right="68" w:firstLine="708"/>
      </w:pPr>
      <w:r>
        <w:rPr>
          <w:rFonts w:ascii="Calibri" w:eastAsia="Calibri" w:hAnsi="Calibri" w:cs="Calibri"/>
          <w:noProof/>
        </w:rPr>
        <mc:AlternateContent>
          <mc:Choice Requires="wpg">
            <w:drawing>
              <wp:anchor distT="0" distB="0" distL="114300" distR="114300" simplePos="0" relativeHeight="25189580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13044" name="Group 413044"/>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7775" name="Rectangle 37775"/>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64SKSNYNJRFPNN5DLPPAAC3GS | Verifica</w:t>
                              </w:r>
                              <w:r>
                                <w:rPr>
                                  <w:sz w:val="12"/>
                                </w:rPr>
                                <w:t xml:space="preserve">ción: https://candelaria.sedelectronica.es/ </w:t>
                              </w:r>
                            </w:p>
                          </w:txbxContent>
                        </wps:txbx>
                        <wps:bodyPr horzOverflow="overflow" vert="horz" lIns="0" tIns="0" rIns="0" bIns="0" rtlCol="0">
                          <a:noAutofit/>
                        </wps:bodyPr>
                      </wps:wsp>
                      <wps:wsp>
                        <wps:cNvPr id="37776" name="Rectangle 37776"/>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228 de 298 </w:t>
                              </w:r>
                            </w:p>
                          </w:txbxContent>
                        </wps:txbx>
                        <wps:bodyPr horzOverflow="overflow" vert="horz" lIns="0" tIns="0" rIns="0" bIns="0" rtlCol="0">
                          <a:noAutofit/>
                        </wps:bodyPr>
                      </wps:wsp>
                    </wpg:wgp>
                  </a:graphicData>
                </a:graphic>
              </wp:anchor>
            </w:drawing>
          </mc:Choice>
          <mc:Fallback xmlns:a="http://schemas.openxmlformats.org/drawingml/2006/main">
            <w:pict>
              <v:group id="Group 413044" style="width:12.7031pt;height:278.91pt;position:absolute;mso-position-horizontal-relative:page;mso-position-horizontal:absolute;margin-left:682.278pt;mso-position-vertical-relative:page;margin-top:533.01pt;" coordsize="1613,35421">
                <v:rect id="Rectangle 37775"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7776"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228 de 298 </w:t>
                        </w:r>
                      </w:p>
                    </w:txbxContent>
                  </v:textbox>
                </v:rect>
                <w10:wrap type="square"/>
              </v:group>
            </w:pict>
          </mc:Fallback>
        </mc:AlternateContent>
      </w:r>
      <w:r>
        <w:rPr>
          <w:b/>
        </w:rPr>
        <w:t>PRIMERA. - Aprobar inicialmente la Ordenanza Municipal de Ocupación del Dominio Público en el municipio de Candela</w:t>
      </w:r>
      <w:r>
        <w:rPr>
          <w:b/>
        </w:rPr>
        <w:t xml:space="preserve">ria firmada con fecha 19 de mayo de 2021 por el Arquitecto Técnico y la Técnico de Administración General: </w:t>
      </w:r>
    </w:p>
    <w:p w:rsidR="00B064CF" w:rsidRDefault="00E32F70">
      <w:pPr>
        <w:spacing w:after="0" w:line="259" w:lineRule="auto"/>
        <w:ind w:left="1068" w:firstLine="0"/>
        <w:jc w:val="left"/>
      </w:pPr>
      <w:r>
        <w:rPr>
          <w:b/>
        </w:rPr>
        <w:t xml:space="preserve"> </w:t>
      </w:r>
    </w:p>
    <w:p w:rsidR="00B064CF" w:rsidRDefault="00E32F70">
      <w:pPr>
        <w:spacing w:after="0" w:line="259" w:lineRule="auto"/>
        <w:ind w:left="1068" w:firstLine="0"/>
        <w:jc w:val="left"/>
      </w:pPr>
      <w:r>
        <w:rPr>
          <w:b/>
        </w:rPr>
        <w:t xml:space="preserve"> </w:t>
      </w:r>
    </w:p>
    <w:p w:rsidR="00B064CF" w:rsidRDefault="00E32F70">
      <w:pPr>
        <w:spacing w:after="17" w:line="259" w:lineRule="auto"/>
        <w:ind w:left="360" w:firstLine="0"/>
        <w:jc w:val="left"/>
      </w:pPr>
      <w:r>
        <w:t xml:space="preserve"> </w:t>
      </w:r>
    </w:p>
    <w:p w:rsidR="00B064CF" w:rsidRDefault="00E32F70">
      <w:pPr>
        <w:spacing w:after="13" w:line="250" w:lineRule="auto"/>
        <w:ind w:left="906" w:right="613"/>
        <w:jc w:val="center"/>
      </w:pPr>
      <w:r>
        <w:t xml:space="preserve">“ÍNDICE </w:t>
      </w:r>
    </w:p>
    <w:p w:rsidR="00B064CF" w:rsidRDefault="00E32F70">
      <w:pPr>
        <w:spacing w:after="0" w:line="259" w:lineRule="auto"/>
        <w:ind w:left="340" w:firstLine="0"/>
        <w:jc w:val="center"/>
      </w:pPr>
      <w:r>
        <w:t xml:space="preserve"> </w:t>
      </w:r>
    </w:p>
    <w:p w:rsidR="00B064CF" w:rsidRDefault="00E32F70">
      <w:pPr>
        <w:spacing w:after="10" w:line="249" w:lineRule="auto"/>
        <w:ind w:left="355" w:right="126"/>
      </w:pPr>
      <w:r>
        <w:rPr>
          <w:u w:val="single" w:color="000000"/>
        </w:rPr>
        <w:t>EXPOSICIÓN DE MOTIVOS</w:t>
      </w:r>
      <w:r>
        <w:rPr>
          <w:rFonts w:ascii="Times New Roman" w:eastAsia="Times New Roman" w:hAnsi="Times New Roman" w:cs="Times New Roman"/>
          <w:sz w:val="24"/>
        </w:rPr>
        <w:t xml:space="preserve"> </w:t>
      </w:r>
    </w:p>
    <w:p w:rsidR="00B064CF" w:rsidRDefault="00E32F70">
      <w:pPr>
        <w:spacing w:after="10" w:line="249" w:lineRule="auto"/>
        <w:ind w:left="355" w:right="126"/>
      </w:pPr>
      <w:r>
        <w:rPr>
          <w:u w:val="single" w:color="000000"/>
        </w:rPr>
        <w:t>TÍTULO I. DISPOSICIONES PRELIMINARES</w:t>
      </w:r>
      <w:r>
        <w:t xml:space="preserve"> </w:t>
      </w:r>
    </w:p>
    <w:p w:rsidR="00B064CF" w:rsidRDefault="00E32F70">
      <w:pPr>
        <w:spacing w:after="11"/>
        <w:ind w:left="355" w:right="72"/>
      </w:pPr>
      <w:r>
        <w:t xml:space="preserve">Artículo 1. Objeto </w:t>
      </w:r>
    </w:p>
    <w:p w:rsidR="00B064CF" w:rsidRDefault="00E32F70">
      <w:pPr>
        <w:spacing w:after="11"/>
        <w:ind w:left="355" w:right="72"/>
      </w:pPr>
      <w:r>
        <w:t xml:space="preserve">Artículo 2. Ámbito territorial de aplicación </w:t>
      </w:r>
    </w:p>
    <w:p w:rsidR="00B064CF" w:rsidRDefault="00E32F70">
      <w:pPr>
        <w:spacing w:after="11"/>
        <w:ind w:left="355" w:right="72"/>
      </w:pPr>
      <w:r>
        <w:t xml:space="preserve">Artículo 3. Normativa subsidiaria y concurrencia de regímenes  </w:t>
      </w:r>
    </w:p>
    <w:p w:rsidR="00B064CF" w:rsidRDefault="00E32F70">
      <w:pPr>
        <w:spacing w:after="11"/>
        <w:ind w:left="355" w:right="72"/>
      </w:pPr>
      <w:r>
        <w:t xml:space="preserve">Artículo 4. Efectos </w:t>
      </w:r>
    </w:p>
    <w:p w:rsidR="00B064CF" w:rsidRDefault="00E32F70">
      <w:pPr>
        <w:spacing w:after="11"/>
        <w:ind w:left="355" w:right="72"/>
      </w:pPr>
      <w:r>
        <w:t xml:space="preserve">Artículo 5. Interpretación y aplicación  </w:t>
      </w:r>
    </w:p>
    <w:p w:rsidR="00B064CF" w:rsidRDefault="00E32F70">
      <w:pPr>
        <w:spacing w:after="11"/>
        <w:ind w:left="355" w:right="72"/>
      </w:pPr>
      <w:r>
        <w:t xml:space="preserve">Artículo 6. Definiciones </w:t>
      </w:r>
    </w:p>
    <w:p w:rsidR="00B064CF" w:rsidRDefault="00E32F70">
      <w:pPr>
        <w:spacing w:after="0" w:line="259" w:lineRule="auto"/>
        <w:ind w:left="360" w:firstLine="0"/>
        <w:jc w:val="left"/>
      </w:pPr>
      <w:r>
        <w:t xml:space="preserve"> </w:t>
      </w:r>
    </w:p>
    <w:p w:rsidR="00B064CF" w:rsidRDefault="00E32F70">
      <w:pPr>
        <w:spacing w:after="10" w:line="249" w:lineRule="auto"/>
        <w:ind w:left="355" w:right="126"/>
      </w:pPr>
      <w:r>
        <w:rPr>
          <w:u w:val="single" w:color="000000"/>
        </w:rPr>
        <w:t>TÍTULO II. DISPOSICIONES GENERALES</w:t>
      </w:r>
      <w:r>
        <w:t xml:space="preserve"> </w:t>
      </w:r>
    </w:p>
    <w:p w:rsidR="00B064CF" w:rsidRDefault="00E32F70">
      <w:pPr>
        <w:spacing w:after="11"/>
        <w:ind w:left="355" w:right="72"/>
      </w:pPr>
      <w:r>
        <w:t xml:space="preserve">CAPÍTULO 1. PRINCIPIOS Y CONDICIONES GENERALES DE LA OCUPACÓN </w:t>
      </w:r>
    </w:p>
    <w:p w:rsidR="00B064CF" w:rsidRDefault="00E32F70">
      <w:pPr>
        <w:spacing w:after="11"/>
        <w:ind w:left="1078" w:right="72"/>
      </w:pPr>
      <w:r>
        <w:t xml:space="preserve">Artículo 7. Principios básicos </w:t>
      </w:r>
    </w:p>
    <w:p w:rsidR="00B064CF" w:rsidRDefault="00E32F70">
      <w:pPr>
        <w:spacing w:after="11"/>
        <w:ind w:left="1078" w:right="72"/>
      </w:pPr>
      <w:r>
        <w:t xml:space="preserve">Artículo 8. Condiciones generales de la ocupación  </w:t>
      </w:r>
    </w:p>
    <w:p w:rsidR="00B064CF" w:rsidRDefault="00E32F70">
      <w:pPr>
        <w:spacing w:after="11"/>
        <w:ind w:left="1078" w:right="72"/>
      </w:pPr>
      <w:r>
        <w:t xml:space="preserve">Artículo 9. Garantías y conservación del dominio público  </w:t>
      </w:r>
    </w:p>
    <w:p w:rsidR="00B064CF" w:rsidRDefault="00E32F70">
      <w:pPr>
        <w:spacing w:after="11"/>
        <w:ind w:left="1078" w:right="72"/>
      </w:pPr>
      <w:r>
        <w:t xml:space="preserve">Artículo 10. Retirada del dominio público de elementos e instalaciones no autorizados </w:t>
      </w:r>
    </w:p>
    <w:p w:rsidR="00B064CF" w:rsidRDefault="00E32F70">
      <w:pPr>
        <w:spacing w:after="11"/>
        <w:ind w:left="1078" w:right="72"/>
      </w:pPr>
      <w:r>
        <w:t>Ocupaciones con instalacio</w:t>
      </w:r>
      <w:r>
        <w:t xml:space="preserve">nes y elementos especiales </w:t>
      </w:r>
    </w:p>
    <w:p w:rsidR="00B064CF" w:rsidRDefault="00E32F70">
      <w:pPr>
        <w:spacing w:after="11"/>
        <w:ind w:left="1078" w:right="72"/>
      </w:pPr>
      <w:r>
        <w:t xml:space="preserve">Artículo 11. Ocupaciones con instalaciones y elementos especiales </w:t>
      </w:r>
    </w:p>
    <w:p w:rsidR="00B064CF" w:rsidRDefault="00E32F70">
      <w:pPr>
        <w:spacing w:after="11"/>
        <w:ind w:left="1078" w:right="72"/>
      </w:pPr>
      <w:r>
        <w:t xml:space="preserve">Artículo 12. Cierre total o parcial del tráfico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CAPÍTULO 2. ASPECTOS PROCEDIMENTALES Y NORMAS COMUNES </w:t>
      </w:r>
    </w:p>
    <w:p w:rsidR="00B064CF" w:rsidRDefault="00E32F70">
      <w:pPr>
        <w:spacing w:after="11"/>
        <w:ind w:left="1078" w:right="72"/>
      </w:pPr>
      <w:r>
        <w:t xml:space="preserve">Artículo 13. Títulos habilitantes  </w:t>
      </w:r>
    </w:p>
    <w:p w:rsidR="00B064CF" w:rsidRDefault="00E32F70">
      <w:pPr>
        <w:spacing w:after="11"/>
        <w:ind w:left="1078" w:right="72"/>
      </w:pPr>
      <w:r>
        <w:t>Artículo 14. Compet</w:t>
      </w:r>
      <w:r>
        <w:t xml:space="preserve">encias </w:t>
      </w:r>
    </w:p>
    <w:p w:rsidR="00B064CF" w:rsidRDefault="00E32F70">
      <w:pPr>
        <w:spacing w:after="11"/>
        <w:ind w:left="1078" w:right="72"/>
      </w:pPr>
      <w:r>
        <w:t xml:space="preserve">Artículo 15. Procedimiento de autorización </w:t>
      </w:r>
    </w:p>
    <w:p w:rsidR="00B064CF" w:rsidRDefault="00E32F70">
      <w:pPr>
        <w:spacing w:after="11"/>
        <w:ind w:left="1078" w:right="72"/>
      </w:pPr>
      <w:r>
        <w:t xml:space="preserve"> Artículo 16. Procedimiento de concesión  </w:t>
      </w:r>
    </w:p>
    <w:p w:rsidR="00B064CF" w:rsidRDefault="00E32F70">
      <w:pPr>
        <w:spacing w:after="11"/>
        <w:ind w:left="1078" w:right="72"/>
      </w:pPr>
      <w:r>
        <w:t xml:space="preserve">Artículo 17. Plazos de vigencia </w:t>
      </w:r>
    </w:p>
    <w:p w:rsidR="00B064CF" w:rsidRDefault="00E32F70">
      <w:pPr>
        <w:spacing w:after="11"/>
        <w:ind w:left="1078" w:right="72"/>
      </w:pPr>
      <w:r>
        <w:t xml:space="preserve">Artículo 18. Obligaciones tributarias </w:t>
      </w:r>
    </w:p>
    <w:p w:rsidR="00B064CF" w:rsidRDefault="00E32F70">
      <w:pPr>
        <w:spacing w:after="0" w:line="259" w:lineRule="auto"/>
        <w:ind w:left="360" w:firstLine="0"/>
        <w:jc w:val="left"/>
      </w:pPr>
      <w:r>
        <w:t xml:space="preserve"> </w:t>
      </w:r>
    </w:p>
    <w:p w:rsidR="00B064CF" w:rsidRDefault="00E32F70">
      <w:pPr>
        <w:spacing w:after="10" w:line="249" w:lineRule="auto"/>
        <w:ind w:left="355" w:right="126"/>
      </w:pPr>
      <w:r>
        <w:rPr>
          <w:u w:val="single" w:color="000000"/>
        </w:rPr>
        <w:t>TÍTULO III. CONDICIONES PARTICULARES DE CADA TIPO DE OCUPACIÓN</w:t>
      </w:r>
      <w:r>
        <w:t xml:space="preserve"> </w:t>
      </w:r>
    </w:p>
    <w:p w:rsidR="00B064CF" w:rsidRDefault="00E32F70">
      <w:pPr>
        <w:spacing w:after="11"/>
        <w:ind w:left="355" w:right="72"/>
      </w:pPr>
      <w:r>
        <w:t>CAPÍTULO 1. CONDICIONES</w:t>
      </w:r>
      <w:r>
        <w:t xml:space="preserve"> DE LA OCUPACIONES VINCULADAS A ACTIVIDADES </w:t>
      </w:r>
    </w:p>
    <w:p w:rsidR="00B064CF" w:rsidRDefault="00E32F70">
      <w:pPr>
        <w:spacing w:after="11"/>
        <w:ind w:left="355" w:right="72"/>
      </w:pPr>
      <w:r>
        <w:t xml:space="preserve">TERCIARIAS EJERCIDAS EN ESTABLECIMIENTOS PRIVADOS O PÚBLICOS </w:t>
      </w:r>
    </w:p>
    <w:p w:rsidR="00B064CF" w:rsidRDefault="00E32F70">
      <w:pPr>
        <w:spacing w:after="11"/>
        <w:ind w:left="1078" w:right="72"/>
      </w:pPr>
      <w:r>
        <w:t xml:space="preserve">Sección 1ª. DISPOSICIONES GENERALES </w:t>
      </w:r>
    </w:p>
    <w:p w:rsidR="00B064CF" w:rsidRDefault="00E32F70">
      <w:pPr>
        <w:spacing w:after="11"/>
        <w:ind w:left="1786" w:right="72"/>
      </w:pPr>
      <w:r>
        <w:t xml:space="preserve">Artículo 19. Ocupaciones permitidas y título habilitante  </w:t>
      </w:r>
    </w:p>
    <w:p w:rsidR="00B064CF" w:rsidRDefault="00E32F70">
      <w:pPr>
        <w:spacing w:after="0" w:line="259" w:lineRule="auto"/>
        <w:ind w:left="360" w:firstLine="0"/>
        <w:jc w:val="left"/>
      </w:pPr>
      <w:r>
        <w:t xml:space="preserve"> </w:t>
      </w:r>
    </w:p>
    <w:p w:rsidR="00B064CF" w:rsidRDefault="00E32F70">
      <w:pPr>
        <w:spacing w:after="0"/>
        <w:ind w:left="1078" w:right="72"/>
      </w:pPr>
      <w:r>
        <w:t xml:space="preserve">Sección 2ª. </w:t>
      </w:r>
      <w:r>
        <w:tab/>
      </w:r>
      <w:r>
        <w:t xml:space="preserve">CONDICIONES DE LAS OCUPACIONES VINCULADAS A ACTIVIDADES HOSTELERAS </w:t>
      </w:r>
    </w:p>
    <w:p w:rsidR="00B064CF" w:rsidRDefault="00E32F70">
      <w:pPr>
        <w:spacing w:after="0"/>
        <w:ind w:left="1786" w:right="72"/>
      </w:pPr>
      <w:r>
        <w:t xml:space="preserve">Artículo 20. Condiciones superficiales y dimensionales de las ocupaciones vinculadas a las actividades hosteleras </w:t>
      </w:r>
    </w:p>
    <w:p w:rsidR="00B064CF" w:rsidRDefault="00E32F70">
      <w:pPr>
        <w:spacing w:after="0"/>
        <w:ind w:left="1786" w:right="72"/>
      </w:pPr>
      <w:r>
        <w:t xml:space="preserve">Artículo 21. Señalización de los límites de las ocupaciones vinculadas a </w:t>
      </w:r>
      <w:r>
        <w:t xml:space="preserve">las actividades hosteleras </w:t>
      </w:r>
    </w:p>
    <w:p w:rsidR="00B064CF" w:rsidRDefault="00E32F70">
      <w:pPr>
        <w:spacing w:after="0"/>
        <w:ind w:left="1786" w:right="72"/>
      </w:pPr>
      <w:r>
        <w:t xml:space="preserve">Artículo 22. Características de los elementos accesorios vinculados a las actividades hosteleras </w:t>
      </w:r>
    </w:p>
    <w:p w:rsidR="00B064CF" w:rsidRDefault="00E32F70">
      <w:pPr>
        <w:spacing w:after="0"/>
        <w:ind w:left="1786" w:right="72"/>
      </w:pPr>
      <w:r>
        <w:rPr>
          <w:rFonts w:ascii="Calibri" w:eastAsia="Calibri" w:hAnsi="Calibri" w:cs="Calibri"/>
          <w:noProof/>
        </w:rPr>
        <mc:AlternateContent>
          <mc:Choice Requires="wpg">
            <w:drawing>
              <wp:anchor distT="0" distB="0" distL="114300" distR="114300" simplePos="0" relativeHeight="25189683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12946" name="Group 412946"/>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7894" name="Rectangle 37894"/>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7895" name="Rectangle 37895"/>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Documento firmado electróni</w:t>
                              </w:r>
                              <w:r>
                                <w:rPr>
                                  <w:sz w:val="12"/>
                                </w:rPr>
                                <w:t xml:space="preserve">camente desde la plataforma esPublico Gestiona | Página 229 de 298 </w:t>
                              </w:r>
                            </w:p>
                          </w:txbxContent>
                        </wps:txbx>
                        <wps:bodyPr horzOverflow="overflow" vert="horz" lIns="0" tIns="0" rIns="0" bIns="0" rtlCol="0">
                          <a:noAutofit/>
                        </wps:bodyPr>
                      </wps:wsp>
                    </wpg:wgp>
                  </a:graphicData>
                </a:graphic>
              </wp:anchor>
            </w:drawing>
          </mc:Choice>
          <mc:Fallback xmlns:a="http://schemas.openxmlformats.org/drawingml/2006/main">
            <w:pict>
              <v:group id="Group 412946" style="width:12.7031pt;height:278.91pt;position:absolute;mso-position-horizontal-relative:page;mso-position-horizontal:absolute;margin-left:682.278pt;mso-position-vertical-relative:page;margin-top:533.01pt;" coordsize="1613,35421">
                <v:rect id="Rectangle 37894"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7895"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229 de 298 </w:t>
                        </w:r>
                      </w:p>
                    </w:txbxContent>
                  </v:textbox>
                </v:rect>
                <w10:wrap type="square"/>
              </v:group>
            </w:pict>
          </mc:Fallback>
        </mc:AlternateContent>
      </w:r>
      <w:r>
        <w:t xml:space="preserve">Artículo 23. Obligaciones y limitaciones específicas de las ocupaciones vinculadas a actividades hosteleras </w:t>
      </w:r>
    </w:p>
    <w:p w:rsidR="00B064CF" w:rsidRDefault="00E32F70">
      <w:pPr>
        <w:spacing w:after="0" w:line="259" w:lineRule="auto"/>
        <w:ind w:left="360" w:firstLine="0"/>
        <w:jc w:val="left"/>
      </w:pPr>
      <w:r>
        <w:t xml:space="preserve"> </w:t>
      </w:r>
    </w:p>
    <w:p w:rsidR="00B064CF" w:rsidRDefault="00E32F70">
      <w:pPr>
        <w:spacing w:after="0"/>
        <w:ind w:left="1078" w:right="72"/>
      </w:pPr>
      <w:r>
        <w:t>Sección 3ª. CONDICIONES DE LAS OCUPACIONES VINCULADAS A ACTIVIDADES COMERCIAL</w:t>
      </w:r>
      <w:r>
        <w:t xml:space="preserve">ES O DE OFICINA </w:t>
      </w:r>
    </w:p>
    <w:p w:rsidR="00B064CF" w:rsidRDefault="00E32F70">
      <w:pPr>
        <w:spacing w:after="0"/>
        <w:ind w:left="1786" w:right="72"/>
      </w:pPr>
      <w:r>
        <w:t xml:space="preserve">Artículo 24. Características de los elementos accesorios vinculados a las actividades comerciales o de oficina </w:t>
      </w:r>
    </w:p>
    <w:p w:rsidR="00B064CF" w:rsidRDefault="00E32F70">
      <w:pPr>
        <w:spacing w:after="0"/>
        <w:ind w:left="1786" w:right="72"/>
      </w:pPr>
      <w:r>
        <w:t xml:space="preserve">Artículo 25. Obligaciones y limitaciones específicas de las ocupaciones vinculadas a actividades comerciales o de oficina </w:t>
      </w:r>
    </w:p>
    <w:p w:rsidR="00B064CF" w:rsidRDefault="00E32F70">
      <w:pPr>
        <w:spacing w:after="1"/>
        <w:ind w:left="1786" w:right="72"/>
      </w:pPr>
      <w:r>
        <w:t>Artí</w:t>
      </w:r>
      <w:r>
        <w:t xml:space="preserve">culo 26. </w:t>
      </w:r>
      <w:r>
        <w:tab/>
        <w:t xml:space="preserve">Ocupaciones </w:t>
      </w:r>
      <w:r>
        <w:tab/>
        <w:t xml:space="preserve">con </w:t>
      </w:r>
      <w:r>
        <w:tab/>
        <w:t xml:space="preserve">elementos </w:t>
      </w:r>
      <w:r>
        <w:tab/>
        <w:t xml:space="preserve">decorativos </w:t>
      </w:r>
      <w:r>
        <w:tab/>
        <w:t xml:space="preserve">en </w:t>
      </w:r>
      <w:r>
        <w:tab/>
        <w:t xml:space="preserve">celebraciones tradicionales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CAPÍTULO 2. CONDICIONES DE LAS OCUPACIONES VINCULADAS A ACTIVIDADES LÚDICAS, </w:t>
      </w:r>
    </w:p>
    <w:p w:rsidR="00B064CF" w:rsidRDefault="00E32F70">
      <w:pPr>
        <w:spacing w:after="11"/>
        <w:ind w:left="355" w:right="72"/>
      </w:pPr>
      <w:r>
        <w:t xml:space="preserve">ARTÍSTICAS, RECREATIVAS, INFORMATIVAS, PUBLICITARIAS O SOLIDARIAS </w:t>
      </w:r>
    </w:p>
    <w:p w:rsidR="00B064CF" w:rsidRDefault="00E32F70">
      <w:pPr>
        <w:spacing w:after="11"/>
        <w:ind w:left="1078" w:right="72"/>
      </w:pPr>
      <w:r>
        <w:t xml:space="preserve">Sección 1ª. DISPOSICIONES GENERALES </w:t>
      </w:r>
    </w:p>
    <w:p w:rsidR="00B064CF" w:rsidRDefault="00E32F70">
      <w:pPr>
        <w:spacing w:after="11"/>
        <w:ind w:left="1786" w:right="72"/>
      </w:pPr>
      <w:r>
        <w:t xml:space="preserve">Artículo 27. Ocupaciones permitidas y título habilitante </w:t>
      </w:r>
    </w:p>
    <w:p w:rsidR="00B064CF" w:rsidRDefault="00E32F70">
      <w:pPr>
        <w:spacing w:after="11"/>
        <w:ind w:left="1786" w:right="72"/>
      </w:pPr>
      <w:r>
        <w:t xml:space="preserve">Artículo 28. Condiciones particulares </w:t>
      </w:r>
    </w:p>
    <w:p w:rsidR="00B064CF" w:rsidRDefault="00E32F70">
      <w:pPr>
        <w:spacing w:after="0" w:line="259" w:lineRule="auto"/>
        <w:ind w:left="1068" w:firstLine="0"/>
        <w:jc w:val="left"/>
      </w:pPr>
      <w:r>
        <w:t xml:space="preserve"> </w:t>
      </w:r>
    </w:p>
    <w:p w:rsidR="00B064CF" w:rsidRDefault="00E32F70">
      <w:pPr>
        <w:spacing w:after="11"/>
        <w:ind w:left="1078" w:right="72"/>
      </w:pPr>
      <w:r>
        <w:t xml:space="preserve">Sección 2ª. ACTUACIONES MUSICALES Y OTRAS ACTIVIDADES ARTÍSTICAS </w:t>
      </w:r>
    </w:p>
    <w:p w:rsidR="00B064CF" w:rsidRDefault="00E32F70">
      <w:pPr>
        <w:spacing w:after="11"/>
        <w:ind w:left="1786" w:right="72"/>
      </w:pPr>
      <w:r>
        <w:t xml:space="preserve">Artículo 29. Supuestos sujetos a autorización </w:t>
      </w:r>
    </w:p>
    <w:p w:rsidR="00B064CF" w:rsidRDefault="00E32F70">
      <w:pPr>
        <w:spacing w:after="11"/>
        <w:ind w:left="1786" w:right="72"/>
      </w:pPr>
      <w:r>
        <w:t>Artícul</w:t>
      </w:r>
      <w:r>
        <w:t xml:space="preserve">o 30. Solicitudes, zonas y periodos de ocupación  </w:t>
      </w:r>
    </w:p>
    <w:p w:rsidR="00B064CF" w:rsidRDefault="00E32F70">
      <w:pPr>
        <w:spacing w:after="11"/>
        <w:ind w:left="1786" w:right="72"/>
      </w:pPr>
      <w:r>
        <w:t xml:space="preserve">Artículo 31. Condiciones específicas y obligaciones </w:t>
      </w:r>
    </w:p>
    <w:p w:rsidR="00B064CF" w:rsidRDefault="00E32F70">
      <w:pPr>
        <w:spacing w:after="0" w:line="259" w:lineRule="auto"/>
        <w:ind w:left="360" w:firstLine="0"/>
        <w:jc w:val="left"/>
      </w:pPr>
      <w:r>
        <w:t xml:space="preserve"> </w:t>
      </w:r>
    </w:p>
    <w:p w:rsidR="00B064CF" w:rsidRDefault="00E32F70">
      <w:pPr>
        <w:spacing w:after="11"/>
        <w:ind w:left="1078" w:right="72"/>
      </w:pPr>
      <w:r>
        <w:t xml:space="preserve">Sección 3ª. ACTIVIDADES INFORMATIVAS, DE SENSIBILIZACIÓN O PROMOCIONALES </w:t>
      </w:r>
    </w:p>
    <w:p w:rsidR="00B064CF" w:rsidRDefault="00E32F70">
      <w:pPr>
        <w:spacing w:after="11"/>
        <w:ind w:left="1786" w:right="72"/>
      </w:pPr>
      <w:r>
        <w:t xml:space="preserve">Artículo 32. Supuestos sujetos a autorización  </w:t>
      </w:r>
    </w:p>
    <w:p w:rsidR="00B064CF" w:rsidRDefault="00E32F70">
      <w:pPr>
        <w:spacing w:after="11"/>
        <w:ind w:left="1786" w:right="72"/>
      </w:pPr>
      <w:r>
        <w:t>Artículo 33. Condiciones esp</w:t>
      </w:r>
      <w:r>
        <w:t xml:space="preserve">ecíficas y obligaciones  </w:t>
      </w:r>
    </w:p>
    <w:p w:rsidR="00B064CF" w:rsidRDefault="00E32F70">
      <w:pPr>
        <w:spacing w:after="11"/>
        <w:ind w:left="1786" w:right="72"/>
      </w:pPr>
      <w:r>
        <w:t xml:space="preserve">Artículo 34. Características de los elementos </w:t>
      </w:r>
    </w:p>
    <w:p w:rsidR="00B064CF" w:rsidRDefault="00E32F70">
      <w:pPr>
        <w:spacing w:after="0" w:line="259" w:lineRule="auto"/>
        <w:ind w:left="360" w:firstLine="0"/>
        <w:jc w:val="left"/>
      </w:pPr>
      <w:r>
        <w:t xml:space="preserve"> </w:t>
      </w:r>
    </w:p>
    <w:p w:rsidR="00B064CF" w:rsidRDefault="00E32F70">
      <w:pPr>
        <w:spacing w:after="11"/>
        <w:ind w:left="1078" w:right="72"/>
      </w:pPr>
      <w:r>
        <w:t xml:space="preserve">Sección 4ª. ACTIVIDADES DE CUESTACIÓN, PETITORIAS Y OTRAS SIMILARES CON </w:t>
      </w:r>
    </w:p>
    <w:p w:rsidR="00B064CF" w:rsidRDefault="00E32F70">
      <w:pPr>
        <w:spacing w:after="11"/>
        <w:ind w:left="1078" w:right="72"/>
      </w:pPr>
      <w:r>
        <w:t xml:space="preserve">FINES SOLIDARIOS </w:t>
      </w:r>
    </w:p>
    <w:p w:rsidR="00B064CF" w:rsidRDefault="00E32F70">
      <w:pPr>
        <w:spacing w:after="11"/>
        <w:ind w:left="1786" w:right="72"/>
      </w:pPr>
      <w:r>
        <w:t xml:space="preserve">Artículo 35. Supuestos sujetos a autorización  </w:t>
      </w:r>
    </w:p>
    <w:p w:rsidR="00B064CF" w:rsidRDefault="00E32F70">
      <w:pPr>
        <w:spacing w:after="11"/>
        <w:ind w:left="1786" w:right="72"/>
      </w:pPr>
      <w:r>
        <w:t>Artículo 36. Condiciones específicas y obl</w:t>
      </w:r>
      <w:r>
        <w:t xml:space="preserve">igaciones </w:t>
      </w:r>
    </w:p>
    <w:p w:rsidR="00B064CF" w:rsidRDefault="00E32F70">
      <w:pPr>
        <w:tabs>
          <w:tab w:val="center" w:pos="360"/>
          <w:tab w:val="center" w:pos="1068"/>
          <w:tab w:val="center" w:pos="3959"/>
        </w:tabs>
        <w:spacing w:after="11"/>
        <w:ind w:left="0" w:firstLine="0"/>
        <w:jc w:val="left"/>
      </w:pPr>
      <w:r>
        <w:rPr>
          <w:rFonts w:ascii="Calibri" w:eastAsia="Calibri" w:hAnsi="Calibri" w:cs="Calibri"/>
        </w:rPr>
        <w:tab/>
      </w:r>
      <w:r>
        <w:t xml:space="preserve">  </w:t>
      </w:r>
      <w:r>
        <w:tab/>
        <w:t xml:space="preserve"> </w:t>
      </w:r>
      <w:r>
        <w:tab/>
        <w:t xml:space="preserve">Artículo 37. Características de los elementos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CAPÍTULO 3. OCUPACIONES CON QUIOSCOS </w:t>
      </w:r>
    </w:p>
    <w:p w:rsidR="00B064CF" w:rsidRDefault="00E32F70">
      <w:pPr>
        <w:spacing w:after="11"/>
        <w:ind w:left="1078" w:right="72"/>
      </w:pPr>
      <w:r>
        <w:t xml:space="preserve">Artículo 38. Ocupaciones permitidas y título habilitante  </w:t>
      </w:r>
    </w:p>
    <w:p w:rsidR="00B064CF" w:rsidRDefault="00E32F70">
      <w:pPr>
        <w:spacing w:after="11"/>
        <w:ind w:left="1078" w:right="72"/>
      </w:pPr>
      <w:r>
        <w:t xml:space="preserve">Artículo 39. Condiciones específicas y obligaciones  </w:t>
      </w:r>
    </w:p>
    <w:p w:rsidR="00B064CF" w:rsidRDefault="00E32F70">
      <w:pPr>
        <w:spacing w:after="11"/>
        <w:ind w:left="1078" w:right="72"/>
      </w:pPr>
      <w:r>
        <w:t xml:space="preserve">Artículo 40. Condiciones de los quioscos-bar </w:t>
      </w:r>
    </w:p>
    <w:p w:rsidR="00B064CF" w:rsidRDefault="00E32F70">
      <w:pPr>
        <w:spacing w:after="11"/>
        <w:ind w:left="1078" w:right="72"/>
      </w:pPr>
      <w:r>
        <w:t xml:space="preserve">Artículo 41. Traslado del quiosco </w:t>
      </w:r>
    </w:p>
    <w:p w:rsidR="00B064CF" w:rsidRDefault="00E32F70">
      <w:pPr>
        <w:spacing w:after="11"/>
        <w:ind w:left="1078" w:right="72"/>
      </w:pPr>
      <w:r>
        <w:t xml:space="preserve">Artículo 42. Suspensión o revocación de la concesión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CAPÍTULO 4. OCUPACIONES PARA EL DESARROLLO DE ESPECTÁCULOS Y FESTIVIDADES </w:t>
      </w:r>
    </w:p>
    <w:p w:rsidR="00B064CF" w:rsidRDefault="00E32F70">
      <w:pPr>
        <w:spacing w:after="11"/>
        <w:ind w:left="355" w:right="72"/>
      </w:pPr>
      <w:r>
        <w:t xml:space="preserve">TRADICIONALES </w:t>
      </w:r>
    </w:p>
    <w:p w:rsidR="00B064CF" w:rsidRDefault="00E32F70">
      <w:pPr>
        <w:spacing w:after="11"/>
        <w:ind w:left="1078" w:right="72"/>
      </w:pPr>
      <w:r>
        <w:t>Artículo 43. Ocupaciones perm</w:t>
      </w:r>
      <w:r>
        <w:t xml:space="preserve">itidas y título habilitante  </w:t>
      </w:r>
    </w:p>
    <w:p w:rsidR="00B064CF" w:rsidRDefault="00E32F70">
      <w:pPr>
        <w:spacing w:after="11"/>
        <w:ind w:left="1078" w:right="72"/>
      </w:pPr>
      <w:r>
        <w:t xml:space="preserve">Artículo 44. Condiciones específicas y obligaciones  </w:t>
      </w:r>
    </w:p>
    <w:p w:rsidR="00B064CF" w:rsidRDefault="00E32F70">
      <w:pPr>
        <w:spacing w:after="11"/>
        <w:ind w:left="1078" w:right="72"/>
      </w:pPr>
      <w:r>
        <w:t xml:space="preserve">Artículo 45. Características de los elementos y vehículos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CAPÍTULO 5. OCUPACIONES PARA EL DESARROLLO DE EVENTOS DEPORTIVOS </w:t>
      </w:r>
    </w:p>
    <w:p w:rsidR="00B064CF" w:rsidRDefault="00E32F70">
      <w:pPr>
        <w:spacing w:after="11"/>
        <w:ind w:left="1078" w:right="72"/>
      </w:pPr>
      <w:r>
        <w:rPr>
          <w:rFonts w:ascii="Calibri" w:eastAsia="Calibri" w:hAnsi="Calibri" w:cs="Calibri"/>
          <w:noProof/>
        </w:rPr>
        <mc:AlternateContent>
          <mc:Choice Requires="wpg">
            <w:drawing>
              <wp:anchor distT="0" distB="0" distL="114300" distR="114300" simplePos="0" relativeHeight="25189785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13208" name="Group 413208"/>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8018" name="Rectangle 38018"/>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8019" name="Rectangle 38019"/>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230 de 298 </w:t>
                              </w:r>
                            </w:p>
                          </w:txbxContent>
                        </wps:txbx>
                        <wps:bodyPr horzOverflow="overflow" vert="horz" lIns="0" tIns="0" rIns="0" bIns="0" rtlCol="0">
                          <a:noAutofit/>
                        </wps:bodyPr>
                      </wps:wsp>
                    </wpg:wgp>
                  </a:graphicData>
                </a:graphic>
              </wp:anchor>
            </w:drawing>
          </mc:Choice>
          <mc:Fallback xmlns:a="http://schemas.openxmlformats.org/drawingml/2006/main">
            <w:pict>
              <v:group id="Group 413208" style="width:12.7031pt;height:278.91pt;position:absolute;mso-position-horizontal-relative:page;mso-position-horizontal:absolute;margin-left:682.278pt;mso-position-vertical-relative:page;margin-top:533.01pt;" coordsize="1613,35421">
                <v:rect id="Rectangle 38018"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8019"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230 de 298 </w:t>
                        </w:r>
                      </w:p>
                    </w:txbxContent>
                  </v:textbox>
                </v:rect>
                <w10:wrap type="square"/>
              </v:group>
            </w:pict>
          </mc:Fallback>
        </mc:AlternateContent>
      </w:r>
      <w:r>
        <w:t xml:space="preserve">Artículo 46. Ocupaciones permitidas y título habilitante  </w:t>
      </w:r>
    </w:p>
    <w:p w:rsidR="00B064CF" w:rsidRDefault="00E32F70">
      <w:pPr>
        <w:spacing w:after="11"/>
        <w:ind w:left="1078" w:right="72"/>
      </w:pPr>
      <w:r>
        <w:t>Ar</w:t>
      </w:r>
      <w:r>
        <w:t xml:space="preserve">tículo 47. Condiciones específicas y obligaciones  </w:t>
      </w:r>
    </w:p>
    <w:p w:rsidR="00B064CF" w:rsidRDefault="00E32F70">
      <w:pPr>
        <w:spacing w:after="11"/>
        <w:ind w:left="1078" w:right="72"/>
      </w:pPr>
      <w:r>
        <w:t xml:space="preserve">Artículo 48. Características de los elementos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CAPÍTULO 6. OTRAS OCUPACIONES </w:t>
      </w:r>
    </w:p>
    <w:p w:rsidR="00B064CF" w:rsidRDefault="00E32F70">
      <w:pPr>
        <w:spacing w:after="11"/>
        <w:ind w:left="1078" w:right="72"/>
      </w:pPr>
      <w:r>
        <w:t xml:space="preserve">Artículo 49. Elementos para la protección de las aceras </w:t>
      </w:r>
    </w:p>
    <w:p w:rsidR="00B064CF" w:rsidRDefault="00E32F70">
      <w:pPr>
        <w:spacing w:after="11"/>
        <w:ind w:left="1078" w:right="72"/>
      </w:pPr>
      <w:r>
        <w:t xml:space="preserve">Artículo 50. Espejos de tráfico </w:t>
      </w:r>
    </w:p>
    <w:p w:rsidR="00B064CF" w:rsidRDefault="00E32F70">
      <w:pPr>
        <w:spacing w:after="11"/>
        <w:ind w:left="1078" w:right="72"/>
      </w:pPr>
      <w:r>
        <w:t xml:space="preserve">Artículo </w:t>
      </w:r>
      <w:r>
        <w:t xml:space="preserve">51. Cajeros automáticos y máquinas expendedoras  </w:t>
      </w:r>
    </w:p>
    <w:p w:rsidR="00B064CF" w:rsidRDefault="00E32F70">
      <w:pPr>
        <w:spacing w:after="0" w:line="259" w:lineRule="auto"/>
        <w:ind w:left="360" w:firstLine="0"/>
        <w:jc w:val="left"/>
      </w:pPr>
      <w:r>
        <w:t xml:space="preserve"> </w:t>
      </w:r>
    </w:p>
    <w:p w:rsidR="00B064CF" w:rsidRDefault="00E32F70">
      <w:pPr>
        <w:spacing w:after="10" w:line="249" w:lineRule="auto"/>
        <w:ind w:left="355" w:right="126"/>
      </w:pPr>
      <w:r>
        <w:rPr>
          <w:u w:val="single" w:color="000000"/>
        </w:rPr>
        <w:t>TÍTULO IV. INFRACCIONES Y SANCIONES</w:t>
      </w:r>
      <w:r>
        <w:t xml:space="preserve"> </w:t>
      </w:r>
    </w:p>
    <w:p w:rsidR="00B064CF" w:rsidRDefault="00E32F70">
      <w:pPr>
        <w:spacing w:after="11"/>
        <w:ind w:left="1078" w:right="72"/>
      </w:pPr>
      <w:r>
        <w:t xml:space="preserve">Artículo 52. Sujetos responsables </w:t>
      </w:r>
    </w:p>
    <w:p w:rsidR="00B064CF" w:rsidRDefault="00E32F70">
      <w:pPr>
        <w:spacing w:after="11"/>
        <w:ind w:left="1078" w:right="72"/>
      </w:pPr>
      <w:r>
        <w:t xml:space="preserve">Artículo 53. Tipificación de las infracciones  </w:t>
      </w:r>
    </w:p>
    <w:p w:rsidR="00B064CF" w:rsidRDefault="00E32F70">
      <w:pPr>
        <w:spacing w:after="11"/>
        <w:ind w:left="1078" w:right="72"/>
      </w:pPr>
      <w:r>
        <w:t xml:space="preserve">Artículo 54. Sanciones </w:t>
      </w:r>
    </w:p>
    <w:p w:rsidR="00B064CF" w:rsidRDefault="00E32F70">
      <w:pPr>
        <w:spacing w:after="11"/>
        <w:ind w:left="1078" w:right="72"/>
      </w:pPr>
      <w:r>
        <w:t xml:space="preserve">Artículo 55. Graduación de las sanciones. </w:t>
      </w:r>
    </w:p>
    <w:p w:rsidR="00B064CF" w:rsidRDefault="00E32F70">
      <w:pPr>
        <w:spacing w:after="0" w:line="246" w:lineRule="auto"/>
        <w:ind w:left="1068" w:right="4190" w:firstLine="0"/>
        <w:jc w:val="left"/>
      </w:pPr>
      <w:r>
        <w:t>Artículo 56. Resp</w:t>
      </w:r>
      <w:r>
        <w:t xml:space="preserve">onsabilidad e indemnizaciones. Artículo 57. Personas responsables Artículo 58. Inspección y Control. Artículo 59. Procedimiento </w:t>
      </w:r>
    </w:p>
    <w:p w:rsidR="00B064CF" w:rsidRDefault="00E32F70">
      <w:pPr>
        <w:spacing w:after="11"/>
        <w:ind w:left="1078" w:right="72"/>
      </w:pPr>
      <w:r>
        <w:t xml:space="preserve">Artículo 60. Medidas cautelares. </w:t>
      </w:r>
    </w:p>
    <w:p w:rsidR="00B064CF" w:rsidRDefault="00E32F70">
      <w:pPr>
        <w:spacing w:after="11"/>
        <w:ind w:left="1078" w:right="72"/>
      </w:pPr>
      <w:r>
        <w:t xml:space="preserve">Artículo 61. Prescripción </w:t>
      </w:r>
    </w:p>
    <w:p w:rsidR="00B064CF" w:rsidRDefault="00E32F70">
      <w:pPr>
        <w:spacing w:after="0" w:line="259" w:lineRule="auto"/>
        <w:ind w:left="360" w:firstLine="0"/>
        <w:jc w:val="left"/>
      </w:pPr>
      <w:r>
        <w:t xml:space="preserve"> </w:t>
      </w:r>
    </w:p>
    <w:p w:rsidR="00B064CF" w:rsidRDefault="00E32F70">
      <w:pPr>
        <w:spacing w:after="10" w:line="249" w:lineRule="auto"/>
        <w:ind w:left="355" w:right="126"/>
      </w:pPr>
      <w:r>
        <w:rPr>
          <w:u w:val="single" w:color="000000"/>
        </w:rPr>
        <w:t>DISPOSICIÓN TRANSITORIA ÚNICA</w:t>
      </w:r>
      <w:r>
        <w:t xml:space="preserve"> </w:t>
      </w:r>
    </w:p>
    <w:p w:rsidR="00B064CF" w:rsidRDefault="00E32F70">
      <w:pPr>
        <w:spacing w:after="0" w:line="259" w:lineRule="auto"/>
        <w:ind w:left="360" w:firstLine="0"/>
        <w:jc w:val="left"/>
      </w:pPr>
      <w:r>
        <w:t xml:space="preserve"> </w:t>
      </w:r>
    </w:p>
    <w:p w:rsidR="00B064CF" w:rsidRDefault="00E32F70">
      <w:pPr>
        <w:spacing w:after="10" w:line="249" w:lineRule="auto"/>
        <w:ind w:left="355" w:right="126"/>
      </w:pPr>
      <w:r>
        <w:rPr>
          <w:u w:val="single" w:color="000000"/>
        </w:rPr>
        <w:t>DISPOSICIÓN DEROGATORIA</w:t>
      </w:r>
      <w:r>
        <w:t xml:space="preserve"> </w:t>
      </w:r>
    </w:p>
    <w:p w:rsidR="00B064CF" w:rsidRDefault="00E32F70">
      <w:pPr>
        <w:spacing w:after="11"/>
        <w:ind w:left="355" w:right="72"/>
      </w:pPr>
      <w:r>
        <w:t xml:space="preserve">Única. Derogación normativa  </w:t>
      </w:r>
    </w:p>
    <w:p w:rsidR="00B064CF" w:rsidRDefault="00E32F70">
      <w:pPr>
        <w:spacing w:after="0" w:line="259" w:lineRule="auto"/>
        <w:ind w:left="360" w:firstLine="0"/>
        <w:jc w:val="left"/>
      </w:pPr>
      <w:r>
        <w:t xml:space="preserve"> </w:t>
      </w:r>
    </w:p>
    <w:p w:rsidR="00B064CF" w:rsidRDefault="00E32F70">
      <w:pPr>
        <w:spacing w:after="10" w:line="249" w:lineRule="auto"/>
        <w:ind w:left="355" w:right="126"/>
      </w:pPr>
      <w:r>
        <w:rPr>
          <w:u w:val="single" w:color="000000"/>
        </w:rPr>
        <w:t>DISPOSICIÓN FINAL ÚNICA</w:t>
      </w:r>
      <w:r>
        <w:t xml:space="preserve"> </w:t>
      </w:r>
    </w:p>
    <w:p w:rsidR="00B064CF" w:rsidRDefault="00E32F70">
      <w:pPr>
        <w:spacing w:after="11"/>
        <w:ind w:left="355" w:right="72"/>
      </w:pPr>
      <w:r>
        <w:t xml:space="preserve">Publicación y entrada en vigor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ANEXO I – GRÁFICOS OCUPACIONES VINCULADAS A ACTIVIDADES HOSTELERAS </w:t>
      </w:r>
    </w:p>
    <w:p w:rsidR="00B064CF" w:rsidRDefault="00E32F70">
      <w:pPr>
        <w:spacing w:after="11"/>
        <w:ind w:left="355" w:right="72"/>
      </w:pPr>
      <w:r>
        <w:t xml:space="preserve">ANEXO II - MOBILIARIO </w:t>
      </w:r>
    </w:p>
    <w:p w:rsidR="00B064CF" w:rsidRDefault="00E32F70">
      <w:pPr>
        <w:tabs>
          <w:tab w:val="center" w:pos="545"/>
          <w:tab w:val="center" w:pos="3580"/>
        </w:tabs>
        <w:spacing w:after="11"/>
        <w:ind w:left="0" w:firstLine="0"/>
        <w:jc w:val="left"/>
      </w:pPr>
      <w:r>
        <w:rPr>
          <w:rFonts w:ascii="Calibri" w:eastAsia="Calibri" w:hAnsi="Calibri" w:cs="Calibri"/>
        </w:rPr>
        <w:tab/>
      </w:r>
      <w:r>
        <w:t xml:space="preserve">II.1. </w:t>
      </w:r>
      <w:r>
        <w:tab/>
        <w:t xml:space="preserve">Características de mesas, sillas, sombrillas y toldos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11"/>
        <w:ind w:left="355" w:right="72"/>
      </w:pPr>
      <w:r>
        <w:t>EXPOS</w:t>
      </w:r>
      <w:r>
        <w:t xml:space="preserve">ICIÓN DE MOTIVOS </w:t>
      </w:r>
    </w:p>
    <w:p w:rsidR="00B064CF" w:rsidRDefault="00E32F70">
      <w:pPr>
        <w:spacing w:after="0"/>
        <w:ind w:left="355" w:right="72"/>
      </w:pPr>
      <w:r>
        <w:t>La regulación de la protección, ordenación y uso del suelo público del municipio de Candelaria es necesaria e imprescindible y requiere de una ordenanza que asegure la mejora del espacio público para la convivencia ciudadana, la preservac</w:t>
      </w:r>
      <w:r>
        <w:t xml:space="preserve">ión de los bienes y derechos públicos, la calidad del paisaje urbano del municipio y la sostenibilidad ambiental y que ordene el conjunto de intereses legítimos, tanto públicos como privados, que confluyen sobre el mismo, de un modo racional y sostenible, </w:t>
      </w:r>
      <w:r>
        <w:t xml:space="preserve">de forma que el municipio sea un lugar accesible e inclusivo, manteniendo, en cualquier caso, como prioritario el uso común general del espacio público  </w:t>
      </w:r>
    </w:p>
    <w:p w:rsidR="00B064CF" w:rsidRDefault="00E32F70">
      <w:pPr>
        <w:spacing w:after="0"/>
        <w:ind w:left="355" w:right="72"/>
      </w:pPr>
      <w:r>
        <w:t>Esta ordenanza tiene por objeto racionalizar y encauzar las diferentes ocupaciones del dominio público en el municipio de Candelaria, consiguiendo la compatibilidad entre quien pretenda un uso especial del dominio público, también generador de riqueza y em</w:t>
      </w:r>
      <w:r>
        <w:t>pleo, con el uso común por toda la ciudadanía</w:t>
      </w:r>
      <w:r>
        <w:rPr>
          <w:color w:val="7030A0"/>
        </w:rPr>
        <w:t>.</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rPr>
          <w:color w:val="7030A0"/>
        </w:rPr>
        <w:t xml:space="preserve"> </w:t>
      </w:r>
    </w:p>
    <w:p w:rsidR="00B064CF" w:rsidRDefault="00E32F70">
      <w:pPr>
        <w:spacing w:after="0"/>
        <w:ind w:left="355" w:right="72"/>
      </w:pPr>
      <w:r>
        <w:rPr>
          <w:rFonts w:ascii="Calibri" w:eastAsia="Calibri" w:hAnsi="Calibri" w:cs="Calibri"/>
          <w:noProof/>
        </w:rPr>
        <mc:AlternateContent>
          <mc:Choice Requires="wpg">
            <w:drawing>
              <wp:anchor distT="0" distB="0" distL="114300" distR="114300" simplePos="0" relativeHeight="25189888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13416" name="Group 413416"/>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8129" name="Rectangle 38129"/>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8130" name="Rectangle 38130"/>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231 de 298 </w:t>
                              </w:r>
                            </w:p>
                          </w:txbxContent>
                        </wps:txbx>
                        <wps:bodyPr horzOverflow="overflow" vert="horz" lIns="0" tIns="0" rIns="0" bIns="0" rtlCol="0">
                          <a:noAutofit/>
                        </wps:bodyPr>
                      </wps:wsp>
                    </wpg:wgp>
                  </a:graphicData>
                </a:graphic>
              </wp:anchor>
            </w:drawing>
          </mc:Choice>
          <mc:Fallback xmlns:a="http://schemas.openxmlformats.org/drawingml/2006/main">
            <w:pict>
              <v:group id="Group 413416" style="width:12.7031pt;height:278.91pt;position:absolute;mso-position-horizontal-relative:page;mso-position-horizontal:absolute;margin-left:682.278pt;mso-position-vertical-relative:page;margin-top:533.01pt;" coordsize="1613,35421">
                <v:rect id="Rectangle 38129"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8130"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231 de 298 </w:t>
                        </w:r>
                      </w:p>
                    </w:txbxContent>
                  </v:textbox>
                </v:rect>
                <w10:wrap type="square"/>
              </v:group>
            </w:pict>
          </mc:Fallback>
        </mc:AlternateContent>
      </w:r>
      <w:r>
        <w:t>El buen clima predominante en el municipio de Candelaria durante la mayor parte del año, convierte sus espacios públicos en lugares de encuentro y entretenimiento, lo que justifica la importancia de la intervención administrativa en la gestión y conservaci</w:t>
      </w:r>
      <w:r>
        <w:t>ón del dominio público.</w:t>
      </w:r>
      <w:r>
        <w:rPr>
          <w:color w:val="7030A0"/>
        </w:rPr>
        <w:t xml:space="preserve"> </w:t>
      </w:r>
      <w:r>
        <w:t>En este sentido, existen principios incuestionables que deben primar en todos los casos, de manera que la ocupación del dominio público no puede suponer una merma de los requisitos mínimos de</w:t>
      </w:r>
      <w:r>
        <w:rPr>
          <w:color w:val="7030A0"/>
        </w:rPr>
        <w:t xml:space="preserve"> </w:t>
      </w:r>
      <w:r>
        <w:t>accesibilidad de nuestras calles o de la</w:t>
      </w:r>
      <w:r>
        <w:t xml:space="preserve"> perturbación del derecho al descanso de su población.</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rPr>
          <w:color w:val="7030A0"/>
        </w:rPr>
        <w:t xml:space="preserve"> </w:t>
      </w:r>
    </w:p>
    <w:p w:rsidR="00B064CF" w:rsidRDefault="00E32F70">
      <w:pPr>
        <w:spacing w:after="0"/>
        <w:ind w:left="355" w:right="72"/>
      </w:pPr>
      <w:r>
        <w:t xml:space="preserve">En relación con la protección del dominio público, tan importante es contar con la norma legal que determine su alcance y sancione su incumplimiento como que la ciudadanía tenga presente que con su </w:t>
      </w:r>
      <w:r>
        <w:t>colaboración se puede conseguir que el municipio sea un lugar grato y confortable donde se desarrollen las relaciones familiares, sociales y profesionales y, al mismo tiempo, lugar de acogida amable para quien nos visite, tanto en lo que se refiere a la es</w:t>
      </w:r>
      <w:r>
        <w:t xml:space="preserve">tancia como al ocio. </w:t>
      </w:r>
    </w:p>
    <w:p w:rsidR="00B064CF" w:rsidRDefault="00E32F70">
      <w:pPr>
        <w:spacing w:after="0" w:line="259" w:lineRule="auto"/>
        <w:ind w:left="360" w:firstLine="0"/>
        <w:jc w:val="left"/>
      </w:pPr>
      <w:r>
        <w:t xml:space="preserve"> </w:t>
      </w:r>
    </w:p>
    <w:p w:rsidR="00B064CF" w:rsidRDefault="00E32F70">
      <w:pPr>
        <w:numPr>
          <w:ilvl w:val="0"/>
          <w:numId w:val="165"/>
        </w:numPr>
        <w:spacing w:after="0"/>
        <w:ind w:right="72"/>
      </w:pPr>
      <w:r>
        <w:t>La presente Ordenanza se dicta al amparo de las facultades atribuidas  a las entidades locales por la Constitución Española y su normativa básica de desarrollo, haciendo uso de la potestad normativa que tales entidades tienen recono</w:t>
      </w:r>
      <w:r>
        <w:t>cida en virtud de lo dispuesto en los artículos 4 y 84 de la Ley 7/1985, de 2 de abril, reguladora de las Bases de Régimen Local; 55 del Real Decreto Legislativo 781/1986, de 18 de abril, por el que se aprueba el Texto Refundido de las Disposiciones Legale</w:t>
      </w:r>
      <w:r>
        <w:t>s Vigentes en materia de Régimen Local; y en el ejercicio de las facultades de gestión y administración de los bienes de dominio público derivadas de la Ley 33/2003, de 3 de noviembre, de Patrimonio de las Administraciones Públicas y del Real Decreto 1372/</w:t>
      </w:r>
      <w:r>
        <w:t xml:space="preserve">1986, de 13 de junio, por el que se aprueba el Reglamento de Bienes de las Entidades Locales. </w:t>
      </w:r>
    </w:p>
    <w:p w:rsidR="00B064CF" w:rsidRDefault="00E32F70">
      <w:pPr>
        <w:numPr>
          <w:ilvl w:val="0"/>
          <w:numId w:val="165"/>
        </w:numPr>
        <w:spacing w:after="0"/>
        <w:ind w:right="72"/>
      </w:pPr>
      <w:r>
        <w:t xml:space="preserve">Esta nueva Ordenanza parte del establecimiento de unas disposiciones generales para regular, seguidamente, las diferentes modalidades de ocupación. </w:t>
      </w:r>
    </w:p>
    <w:p w:rsidR="00B064CF" w:rsidRDefault="00E32F70">
      <w:pPr>
        <w:spacing w:after="0"/>
        <w:ind w:left="355" w:right="72"/>
      </w:pPr>
      <w:r>
        <w:t>En el Título</w:t>
      </w:r>
      <w:r>
        <w:t xml:space="preserve"> I se recogen las disposiciones de carácter preliminar, encaminadas a delimitar el objeto y ámbito de aplicación de esta norma, así como la normativa subsidiaria y los criterios interpretativos. Dicho Título contiene, en su último artículo, una relación de</w:t>
      </w:r>
      <w:r>
        <w:t xml:space="preserve"> conceptos que ayudará a la correcta interpretación y aplicación de la presente Ordenanza. </w:t>
      </w:r>
    </w:p>
    <w:p w:rsidR="00B064CF" w:rsidRDefault="00E32F70">
      <w:pPr>
        <w:spacing w:after="0"/>
        <w:ind w:left="355" w:right="72"/>
      </w:pPr>
      <w:r>
        <w:t>El Título II contiene las disposiciones de carácter general estructuradas en dos bloques. En un primer bloque se sientan los principios básicos y las condiciones ge</w:t>
      </w:r>
      <w:r>
        <w:t>nerales que debe observar toda ocupación; se señalan las facultades de la Administración para velar por el adecuado uso y conservación del dominio; y se establecen las condiciones para la implantación de instalaciones especiales (gradas, escenarios, carpas</w:t>
      </w:r>
      <w:r>
        <w:t>, etc.) o el cierre al tráfico de las vías públicas. El segundo bloque trata los aspectos procedimentales, los títulos habilitantes (autorización expresa o concesión), la distribución competencial entre los diferentes departamentos y órganos municipales, l</w:t>
      </w:r>
      <w:r>
        <w:t xml:space="preserve">os plazos de vigencia de los títulos y las obligaciones tributarias de los autorizados o concesionarios. </w:t>
      </w:r>
    </w:p>
    <w:p w:rsidR="00B064CF" w:rsidRDefault="00E32F70">
      <w:pPr>
        <w:spacing w:after="0" w:line="259" w:lineRule="auto"/>
        <w:ind w:left="360" w:firstLine="0"/>
        <w:jc w:val="left"/>
      </w:pPr>
      <w:r>
        <w:t xml:space="preserve"> </w:t>
      </w:r>
    </w:p>
    <w:p w:rsidR="00B064CF" w:rsidRDefault="00E32F70">
      <w:pPr>
        <w:spacing w:after="0"/>
        <w:ind w:left="355" w:right="72"/>
      </w:pPr>
      <w:r>
        <w:rPr>
          <w:rFonts w:ascii="Calibri" w:eastAsia="Calibri" w:hAnsi="Calibri" w:cs="Calibri"/>
          <w:noProof/>
        </w:rPr>
        <mc:AlternateContent>
          <mc:Choice Requires="wpg">
            <w:drawing>
              <wp:anchor distT="0" distB="0" distL="114300" distR="114300" simplePos="0" relativeHeight="25189990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14219" name="Group 414219"/>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8237" name="Rectangle 38237"/>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8238" name="Rectangle 38238"/>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232 de 298 </w:t>
                              </w:r>
                            </w:p>
                          </w:txbxContent>
                        </wps:txbx>
                        <wps:bodyPr horzOverflow="overflow" vert="horz" lIns="0" tIns="0" rIns="0" bIns="0" rtlCol="0">
                          <a:noAutofit/>
                        </wps:bodyPr>
                      </wps:wsp>
                    </wpg:wgp>
                  </a:graphicData>
                </a:graphic>
              </wp:anchor>
            </w:drawing>
          </mc:Choice>
          <mc:Fallback xmlns:a="http://schemas.openxmlformats.org/drawingml/2006/main">
            <w:pict>
              <v:group id="Group 414219" style="width:12.7031pt;height:278.91pt;position:absolute;mso-position-horizontal-relative:page;mso-position-horizontal:absolute;margin-left:682.278pt;mso-position-vertical-relative:page;margin-top:533.01pt;" coordsize="1613,35421">
                <v:rect id="Rectangle 38237"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8238"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232 de 298 </w:t>
                        </w:r>
                      </w:p>
                    </w:txbxContent>
                  </v:textbox>
                </v:rect>
                <w10:wrap type="square"/>
              </v:group>
            </w:pict>
          </mc:Fallback>
        </mc:AlternateContent>
      </w:r>
      <w:r>
        <w:t>El Título III se estructura en seis capítulos, que se corresponden con cada una de las diferentes modalidades de ocupación (ocupaciones vinculadas a las activida</w:t>
      </w:r>
      <w:r>
        <w:t xml:space="preserve">des terciarias -hostelería, comercial y oficinas- desarrolladas en establecimientos privados o públicos; ocupaciones vinculadas a actividades lúdicas, artísticas, recreativas, informativas, publicitarias o solidarias; ocupaciones con quioscos; ocupaciones </w:t>
      </w:r>
      <w:r>
        <w:t>para la celebración de espectáculos y festividades tradicionales; ocupaciones para el desarrollo de eventos deportivos; y otras modalidades de ocupación -protección de aceras, espejos de tráfico, cajeros automáticos y máquinas expendedoras-). Para cada una</w:t>
      </w:r>
      <w:r>
        <w:t xml:space="preserve"> de esas modalidades de ocupación se establece una doble regulación: por un lado, se fijan las condiciones dimensionales y de posicionamiento del espacio a ocupar, y por otro lado se señalan las características de los elementos y dispositivos asociados y v</w:t>
      </w:r>
      <w:r>
        <w:t xml:space="preserve">inculados a cada tipo de ocupación. </w:t>
      </w:r>
    </w:p>
    <w:p w:rsidR="00B064CF" w:rsidRDefault="00E32F70">
      <w:pPr>
        <w:spacing w:after="0" w:line="259" w:lineRule="auto"/>
        <w:ind w:left="360" w:firstLine="0"/>
        <w:jc w:val="left"/>
      </w:pPr>
      <w:r>
        <w:t xml:space="preserve"> </w:t>
      </w:r>
    </w:p>
    <w:p w:rsidR="00B064CF" w:rsidRDefault="00E32F70">
      <w:pPr>
        <w:spacing w:after="0"/>
        <w:ind w:left="355" w:right="72"/>
      </w:pPr>
      <w:r>
        <w:t>El Título IV contiene el régimen sancionador, especificando las conductas contrarias a lo previsto en la presente Ordenanza que quedan tipificadas como infracciones a la misma, y estableciendo las sanciones que corres</w:t>
      </w:r>
      <w:r>
        <w:t xml:space="preserve">ponden a cada una.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TÍTULO I DISPOSICIONES PRELIMINARES COMUNES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Artículo 1. Objeto </w:t>
      </w:r>
    </w:p>
    <w:p w:rsidR="00B064CF" w:rsidRDefault="00E32F70">
      <w:pPr>
        <w:numPr>
          <w:ilvl w:val="0"/>
          <w:numId w:val="166"/>
        </w:numPr>
        <w:spacing w:after="0"/>
        <w:ind w:right="72"/>
      </w:pPr>
      <w:r>
        <w:t xml:space="preserve">La presente Ordenanza tiene por objeto establecer la regulación jurídica del aprovechamiento especial o la utilización privativa de los espacios de dominio público </w:t>
      </w:r>
      <w:r>
        <w:t xml:space="preserve">de titularidad municipal, mediante su ocupación especial o privativa con: </w:t>
      </w:r>
    </w:p>
    <w:p w:rsidR="00B064CF" w:rsidRDefault="00E32F70">
      <w:pPr>
        <w:spacing w:after="0"/>
        <w:ind w:left="355" w:right="72"/>
      </w:pPr>
      <w:r>
        <w:t>◦</w:t>
      </w:r>
      <w:r>
        <w:t xml:space="preserve"> Instalaciones accesorias vinculadas a actividades terciarias (hosteleras, comerciales o de oficina) que se desarrollan en establecimientos de titularidad privada o pública. </w:t>
      </w:r>
    </w:p>
    <w:p w:rsidR="00B064CF" w:rsidRDefault="00E32F70">
      <w:pPr>
        <w:spacing w:after="0"/>
        <w:ind w:left="355" w:right="72"/>
      </w:pPr>
      <w:r>
        <w:t>◦</w:t>
      </w:r>
      <w:r>
        <w:t xml:space="preserve"> Act</w:t>
      </w:r>
      <w:r>
        <w:t xml:space="preserve">ividades lúdicas, artísticas, informativas, publicitarias, solidarias, de sensibilización, promocionales, cuestación, petitorias, quioscos, espectáculos y festividades tradicionales, eventos deportivos y otras ocupaciones como elementos para protección de </w:t>
      </w:r>
      <w:r>
        <w:t xml:space="preserve">aceras, espejos de tráfico, cajeros automáticos y máquinas expendedoras, incluidos los elementos accesorios que les sirvan de soporte. </w:t>
      </w:r>
    </w:p>
    <w:p w:rsidR="00B064CF" w:rsidRDefault="00E32F70">
      <w:pPr>
        <w:numPr>
          <w:ilvl w:val="0"/>
          <w:numId w:val="166"/>
        </w:numPr>
        <w:spacing w:after="0"/>
        <w:ind w:right="72"/>
      </w:pPr>
      <w:r>
        <w:t>Quedan fuera del ámbito de aplicación de esta Ordenanza las modalidades de ocupación diferentes a las señaladas en el nú</w:t>
      </w:r>
      <w:r>
        <w:t xml:space="preserve">mero anterior y las que afecten al dominio público no municipal, cuyas regulaciones vendrán determinadas en las correspondientes normas legales y reglamentarias. </w:t>
      </w:r>
    </w:p>
    <w:p w:rsidR="00B064CF" w:rsidRDefault="00E32F70">
      <w:pPr>
        <w:spacing w:after="11"/>
        <w:ind w:left="355" w:right="72"/>
      </w:pPr>
      <w:r>
        <w:t xml:space="preserve">Artículo 2. Ámbito territorial de aplicación </w:t>
      </w:r>
    </w:p>
    <w:p w:rsidR="00B064CF" w:rsidRDefault="00E32F70">
      <w:pPr>
        <w:spacing w:after="0"/>
        <w:ind w:left="355" w:right="72"/>
      </w:pPr>
      <w:r>
        <w:t xml:space="preserve">La presente Ordenanza es de aplicación en todo </w:t>
      </w:r>
      <w:r>
        <w:t xml:space="preserve">el término municipal de Candelaria y queda referida exclusivamente al dominio público de titularidad municipal. </w:t>
      </w:r>
    </w:p>
    <w:p w:rsidR="00B064CF" w:rsidRDefault="00E32F70">
      <w:pPr>
        <w:spacing w:after="11"/>
        <w:ind w:left="355" w:right="72"/>
      </w:pPr>
      <w:r>
        <w:t xml:space="preserve">Artículo 3. Normativa subsidiaria y concurrencia de regímenes </w:t>
      </w:r>
    </w:p>
    <w:p w:rsidR="00B064CF" w:rsidRDefault="00E32F70">
      <w:pPr>
        <w:numPr>
          <w:ilvl w:val="0"/>
          <w:numId w:val="167"/>
        </w:numPr>
        <w:spacing w:after="199"/>
        <w:ind w:left="628" w:right="72" w:hanging="283"/>
      </w:pPr>
      <w:r>
        <w:t>Sin perjuicio de lo establecido en esta Ordenanza, resultarán aplicables a las o</w:t>
      </w:r>
      <w:r>
        <w:t xml:space="preserve">cupaciones del dominio público las disposiciones que resulten procedentes contenidas en las demás ordenanzas municipales y en el resto de la normativa sectorial. </w:t>
      </w:r>
    </w:p>
    <w:p w:rsidR="00B064CF" w:rsidRDefault="00E32F70">
      <w:pPr>
        <w:numPr>
          <w:ilvl w:val="0"/>
          <w:numId w:val="167"/>
        </w:numPr>
        <w:ind w:left="628" w:right="72" w:hanging="283"/>
      </w:pPr>
      <w:r>
        <w:t>Las determinaciones de esta Ordenanza se aplicarán sin perjuicio de las competencias y atribuciones que, por razones territoriales o competenciales, correspondan a otras Administraciones</w:t>
      </w:r>
      <w:r>
        <w:rPr>
          <w:color w:val="7030A0"/>
        </w:rPr>
        <w:t xml:space="preserve"> </w:t>
      </w:r>
      <w:r>
        <w:t>o en normas contenidas en las Ordenanzas Municipales específicas en v</w:t>
      </w:r>
      <w:r>
        <w:t>igor.</w:t>
      </w:r>
      <w:r>
        <w:rPr>
          <w:rFonts w:ascii="Times New Roman" w:eastAsia="Times New Roman" w:hAnsi="Times New Roman" w:cs="Times New Roman"/>
          <w:sz w:val="24"/>
        </w:rPr>
        <w:t xml:space="preserve"> </w:t>
      </w:r>
    </w:p>
    <w:p w:rsidR="00B064CF" w:rsidRDefault="00E32F70">
      <w:pPr>
        <w:spacing w:after="11"/>
        <w:ind w:left="355" w:right="72"/>
      </w:pPr>
      <w:r>
        <w:t xml:space="preserve">Artículo 4. Efectos </w:t>
      </w:r>
    </w:p>
    <w:p w:rsidR="00B064CF" w:rsidRDefault="00E32F70">
      <w:pPr>
        <w:numPr>
          <w:ilvl w:val="0"/>
          <w:numId w:val="168"/>
        </w:numPr>
        <w:ind w:left="628" w:right="72" w:hanging="283"/>
      </w:pPr>
      <w:r>
        <w:t xml:space="preserve">La entrada en vigor de la Ordenanza Reguladora de la Ocupación del Dominio Público del Ayuntamiento de Candelaria produce los efectos legalmente previstos y, en concreto, los siguientes: </w:t>
      </w:r>
    </w:p>
    <w:p w:rsidR="00B064CF" w:rsidRDefault="00E32F70">
      <w:pPr>
        <w:numPr>
          <w:ilvl w:val="1"/>
          <w:numId w:val="168"/>
        </w:numPr>
        <w:ind w:right="72" w:hanging="360"/>
      </w:pPr>
      <w:r>
        <w:t>La obligatoriedad del cumplimiento de su</w:t>
      </w:r>
      <w:r>
        <w:t xml:space="preserve">s determinaciones tanto para el Ayuntamiento como para otras Administraciones o entidades públicas, y para los particulares. </w:t>
      </w:r>
    </w:p>
    <w:p w:rsidR="00B064CF" w:rsidRDefault="00E32F70">
      <w:pPr>
        <w:numPr>
          <w:ilvl w:val="1"/>
          <w:numId w:val="168"/>
        </w:numPr>
        <w:ind w:right="72" w:hanging="360"/>
      </w:pPr>
      <w:r>
        <w:t xml:space="preserve">La publicidad de su contenido, teniendo cualquier persona, derecho de consulta e información sobre la misma. </w:t>
      </w:r>
    </w:p>
    <w:p w:rsidR="00B064CF" w:rsidRDefault="00E32F70">
      <w:pPr>
        <w:numPr>
          <w:ilvl w:val="0"/>
          <w:numId w:val="168"/>
        </w:numPr>
        <w:ind w:left="628" w:right="72" w:hanging="283"/>
      </w:pPr>
      <w:r>
        <w:t>Esta Ordenanza tendr</w:t>
      </w:r>
      <w:r>
        <w:t xml:space="preserve">á vigencia indefinida, sin perjuicio de las modificaciones que se puedan introducir con arreglo a lo dispuesto en la legislación aplicable. </w:t>
      </w:r>
    </w:p>
    <w:p w:rsidR="00B064CF" w:rsidRDefault="00E32F70">
      <w:pPr>
        <w:spacing w:after="11"/>
        <w:ind w:left="355" w:right="72"/>
      </w:pPr>
      <w:r>
        <w:t xml:space="preserve">Artículo 5. Interpretación y aplicación </w:t>
      </w:r>
    </w:p>
    <w:p w:rsidR="00B064CF" w:rsidRDefault="00E32F70">
      <w:pPr>
        <w:numPr>
          <w:ilvl w:val="0"/>
          <w:numId w:val="169"/>
        </w:numPr>
        <w:ind w:left="628" w:right="72" w:hanging="283"/>
      </w:pPr>
      <w:r>
        <w:rPr>
          <w:rFonts w:ascii="Calibri" w:eastAsia="Calibri" w:hAnsi="Calibri" w:cs="Calibri"/>
          <w:noProof/>
        </w:rPr>
        <mc:AlternateContent>
          <mc:Choice Requires="wpg">
            <w:drawing>
              <wp:anchor distT="0" distB="0" distL="114300" distR="114300" simplePos="0" relativeHeight="25190092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14227" name="Group 414227"/>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8356" name="Rectangle 38356"/>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8357" name="Rectangle 38357"/>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233 de 298 </w:t>
                              </w:r>
                            </w:p>
                          </w:txbxContent>
                        </wps:txbx>
                        <wps:bodyPr horzOverflow="overflow" vert="horz" lIns="0" tIns="0" rIns="0" bIns="0" rtlCol="0">
                          <a:noAutofit/>
                        </wps:bodyPr>
                      </wps:wsp>
                    </wpg:wgp>
                  </a:graphicData>
                </a:graphic>
              </wp:anchor>
            </w:drawing>
          </mc:Choice>
          <mc:Fallback xmlns:a="http://schemas.openxmlformats.org/drawingml/2006/main">
            <w:pict>
              <v:group id="Group 414227" style="width:12.7031pt;height:278.91pt;position:absolute;mso-position-horizontal-relative:page;mso-position-horizontal:absolute;margin-left:682.278pt;mso-position-vertical-relative:page;margin-top:533.01pt;" coordsize="1613,35421">
                <v:rect id="Rectangle 38356"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8357"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233 de 298 </w:t>
                        </w:r>
                      </w:p>
                    </w:txbxContent>
                  </v:textbox>
                </v:rect>
                <w10:wrap type="square"/>
              </v:group>
            </w:pict>
          </mc:Fallback>
        </mc:AlternateContent>
      </w:r>
      <w:r>
        <w:t>La interpretación de esta Ordenanza corresponde exclusivament</w:t>
      </w:r>
      <w:r>
        <w:t xml:space="preserve">e al Ayuntamiento de Candelaria en el ejercicio de sus competencias. </w:t>
      </w:r>
    </w:p>
    <w:p w:rsidR="00B064CF" w:rsidRDefault="00E32F70">
      <w:pPr>
        <w:numPr>
          <w:ilvl w:val="0"/>
          <w:numId w:val="169"/>
        </w:numPr>
        <w:ind w:left="628" w:right="72" w:hanging="283"/>
      </w:pPr>
      <w:r>
        <w:t xml:space="preserve">Las referencias a la legislación o reglamentación vigente deberán entenderse referidas, en su caso, a la legislación o reglamentación que las modifique o sustituya. </w:t>
      </w:r>
    </w:p>
    <w:p w:rsidR="00B064CF" w:rsidRDefault="00E32F70">
      <w:pPr>
        <w:numPr>
          <w:ilvl w:val="0"/>
          <w:numId w:val="169"/>
        </w:numPr>
        <w:ind w:left="628" w:right="72" w:hanging="283"/>
      </w:pPr>
      <w:r>
        <w:t xml:space="preserve">A los efectos de la </w:t>
      </w:r>
      <w:r>
        <w:t>interpretación y aplicación de esta Ordenanza, los conceptos y términos utilizados tienen el significado y el alcance que para cada uno de ellos se precisa en el propio articulado, estando para el resto a lo establecido en el artículo 3.1 del Código Civil.</w:t>
      </w:r>
      <w:r>
        <w:t xml:space="preserve"> </w:t>
      </w:r>
    </w:p>
    <w:p w:rsidR="00B064CF" w:rsidRDefault="00E32F70">
      <w:pPr>
        <w:spacing w:after="11"/>
        <w:ind w:left="355" w:right="72"/>
      </w:pPr>
      <w:r>
        <w:t xml:space="preserve">Artículo 6. Definiciones </w:t>
      </w:r>
    </w:p>
    <w:p w:rsidR="00B064CF" w:rsidRDefault="00E32F70">
      <w:pPr>
        <w:spacing w:after="33"/>
        <w:ind w:left="355" w:right="72"/>
      </w:pPr>
      <w:r>
        <w:t xml:space="preserve">A efectos de la interpretación y aplicación de esta Ordenanza, los conceptos utilizados en la misma tienen el significado y el alcance que para cada uno de ellos se precisa a continuación: </w:t>
      </w:r>
    </w:p>
    <w:p w:rsidR="00B064CF" w:rsidRDefault="00E32F70">
      <w:pPr>
        <w:numPr>
          <w:ilvl w:val="0"/>
          <w:numId w:val="170"/>
        </w:numPr>
        <w:spacing w:after="11"/>
        <w:ind w:left="472" w:right="72" w:hanging="127"/>
      </w:pPr>
      <w:r>
        <w:t xml:space="preserve">Acera: parte de la vía pública destinada al tránsito peatonal </w:t>
      </w:r>
    </w:p>
    <w:p w:rsidR="00B064CF" w:rsidRDefault="00E32F70">
      <w:pPr>
        <w:numPr>
          <w:ilvl w:val="0"/>
          <w:numId w:val="170"/>
        </w:numPr>
        <w:spacing w:after="0"/>
        <w:ind w:left="472" w:right="72" w:hanging="127"/>
      </w:pPr>
      <w:r>
        <w:t>Actividades de cuestación o petitorias: aquellas de carácter temporal destinadas a recabar fondos para causas humanitarias o fines sociales de significación ciudadana e interés general, realiza</w:t>
      </w:r>
      <w:r>
        <w:t xml:space="preserve">das siempre con finalidades benéficas. </w:t>
      </w:r>
    </w:p>
    <w:p w:rsidR="00B064CF" w:rsidRDefault="00E32F70">
      <w:pPr>
        <w:numPr>
          <w:ilvl w:val="0"/>
          <w:numId w:val="170"/>
        </w:numPr>
        <w:spacing w:after="0"/>
        <w:ind w:left="472" w:right="72" w:hanging="127"/>
      </w:pPr>
      <w:r>
        <w:t xml:space="preserve">Actividades informativas, de sensibilización o promocionales: aquellas de carácter temporal que tienen por objeto el desarrollo de labores divulgativas o difusoras, la obtención de datos, la realización de encuestas </w:t>
      </w:r>
      <w:r>
        <w:t xml:space="preserve">y sondeos o la recogida de firmas. </w:t>
      </w:r>
    </w:p>
    <w:p w:rsidR="00B064CF" w:rsidRDefault="00E32F70">
      <w:pPr>
        <w:numPr>
          <w:ilvl w:val="0"/>
          <w:numId w:val="170"/>
        </w:numPr>
        <w:spacing w:after="4"/>
        <w:ind w:left="472" w:right="72" w:hanging="127"/>
      </w:pPr>
      <w:r>
        <w:t>Calle peatonal: aquélla en que la totalidad de la vía esté reservada de forma permanente al uso peatonal excepto en el horario permitido para carga/descarga y para el paso de vehículos de servicio público o de residentes</w:t>
      </w:r>
      <w:r>
        <w:t xml:space="preserve">. • Calzada: parte de la vía pública destinada al tráfico rodado. </w:t>
      </w:r>
    </w:p>
    <w:p w:rsidR="00B064CF" w:rsidRDefault="00E32F70">
      <w:pPr>
        <w:numPr>
          <w:ilvl w:val="0"/>
          <w:numId w:val="170"/>
        </w:numPr>
        <w:spacing w:after="11"/>
        <w:ind w:left="472" w:right="72" w:hanging="127"/>
      </w:pPr>
      <w:r>
        <w:t xml:space="preserve">Carpa: instalación desmontable compuesta por una gran lona o elemento similar que cubre un recinto amplio, pudiendo quedar perimetralmente abierta o cerrada. </w:t>
      </w:r>
    </w:p>
    <w:p w:rsidR="00B064CF" w:rsidRDefault="00E32F70">
      <w:pPr>
        <w:numPr>
          <w:ilvl w:val="0"/>
          <w:numId w:val="170"/>
        </w:numPr>
        <w:spacing w:after="0"/>
        <w:ind w:left="472" w:right="72" w:hanging="127"/>
      </w:pPr>
      <w:r>
        <w:t>Cenador: Instalación desmontab</w:t>
      </w:r>
      <w:r>
        <w:t xml:space="preserve">le compuesta por una estructura apoyada en el suelo o anclada en él mediante dos o más pies o fustes, que soporta una o varias lonas o elementos similares (fijos, enrollables o plegables), pudiendo tener cerramientos laterales enrollables o plegables. </w:t>
      </w:r>
    </w:p>
    <w:p w:rsidR="00B064CF" w:rsidRDefault="00E32F70">
      <w:pPr>
        <w:numPr>
          <w:ilvl w:val="0"/>
          <w:numId w:val="170"/>
        </w:numPr>
        <w:spacing w:after="0"/>
        <w:ind w:left="472" w:right="72" w:hanging="127"/>
      </w:pPr>
      <w:r>
        <w:t>Dom</w:t>
      </w:r>
      <w:r>
        <w:t xml:space="preserve">inio público: bienes de titularidad municipal destinados al uso público   afectos a un servicio público. </w:t>
      </w:r>
    </w:p>
    <w:p w:rsidR="00B064CF" w:rsidRDefault="00E32F70">
      <w:pPr>
        <w:numPr>
          <w:ilvl w:val="0"/>
          <w:numId w:val="170"/>
        </w:numPr>
        <w:spacing w:after="0"/>
        <w:ind w:left="472" w:right="72" w:hanging="127"/>
      </w:pPr>
      <w:r>
        <w:t>Hostelería: actividad que tiene por finalidad la preparación y servicio de comidas y/o bebidas para su venta y consumición en el propio establecimient</w:t>
      </w:r>
      <w:r>
        <w:t xml:space="preserve">o y espacios anexos. </w:t>
      </w:r>
    </w:p>
    <w:p w:rsidR="00B064CF" w:rsidRDefault="00E32F70">
      <w:pPr>
        <w:numPr>
          <w:ilvl w:val="0"/>
          <w:numId w:val="170"/>
        </w:numPr>
        <w:spacing w:after="0"/>
        <w:ind w:left="472" w:right="72" w:hanging="127"/>
      </w:pPr>
      <w:r>
        <w:t xml:space="preserve">Mampara, biombo, pantalla, bastidor: panel vertical móvil, apoyado en el suelo por uno o varios pies, que sirve para dividir, delimitar o aislar un espacio (nunca anclados al suelo o pared). </w:t>
      </w:r>
    </w:p>
    <w:p w:rsidR="00B064CF" w:rsidRDefault="00E32F70">
      <w:pPr>
        <w:numPr>
          <w:ilvl w:val="0"/>
          <w:numId w:val="170"/>
        </w:numPr>
        <w:spacing w:after="0"/>
        <w:ind w:left="472" w:right="72" w:hanging="127"/>
      </w:pPr>
      <w:r>
        <w:t>Plataforma o Parklet: Instalación de carác</w:t>
      </w:r>
      <w:r>
        <w:t xml:space="preserve">ter provisional, que permite la ocupación de plazas de estacionamiento en la vía pública mediante la instalación de tarimas que enrasen el espacio ocupado por las terrazas con la acera existente, de manera que no se perciba ningún cambio de nivel. </w:t>
      </w:r>
    </w:p>
    <w:p w:rsidR="00B064CF" w:rsidRDefault="00E32F70">
      <w:pPr>
        <w:numPr>
          <w:ilvl w:val="0"/>
          <w:numId w:val="170"/>
        </w:numPr>
        <w:spacing w:after="0"/>
        <w:ind w:left="472" w:right="72" w:hanging="127"/>
      </w:pPr>
      <w:r>
        <w:t>Quiosco</w:t>
      </w:r>
      <w:r>
        <w:t>: Espacio comercial de pequeño tamaño y construcción ligera, formado por varias columnas que sostienen una cubierta, destinado a la venta de periódicos, revistas, golosinas y otros artículos.</w:t>
      </w:r>
      <w:r>
        <w:rPr>
          <w:rFonts w:ascii="Times New Roman" w:eastAsia="Times New Roman" w:hAnsi="Times New Roman" w:cs="Times New Roman"/>
          <w:sz w:val="24"/>
        </w:rPr>
        <w:t xml:space="preserve"> </w:t>
      </w:r>
    </w:p>
    <w:p w:rsidR="00B064CF" w:rsidRDefault="00E32F70">
      <w:pPr>
        <w:numPr>
          <w:ilvl w:val="0"/>
          <w:numId w:val="170"/>
        </w:numPr>
        <w:spacing w:after="1"/>
        <w:ind w:left="472" w:right="72" w:hanging="127"/>
      </w:pPr>
      <w:r>
        <w:t>Rótulo: cartel, fijo o móvil, instalado permanentemente para pu</w:t>
      </w:r>
      <w:r>
        <w:t xml:space="preserve">blicitar cualquier tipo de actividad o negocio y dotado de corporeidad, incluidos los elementos accesorios que les sirvan de soporte y los que les proporcionen iluminación, ya sea propia o indirecta </w:t>
      </w:r>
    </w:p>
    <w:p w:rsidR="00B064CF" w:rsidRDefault="00E32F70">
      <w:pPr>
        <w:numPr>
          <w:ilvl w:val="0"/>
          <w:numId w:val="170"/>
        </w:numPr>
        <w:spacing w:after="0"/>
        <w:ind w:left="472" w:right="72" w:hanging="127"/>
      </w:pPr>
      <w:r>
        <w:t>Sombrilla: instalación auxiliar para resguardar del sol,</w:t>
      </w:r>
      <w:r>
        <w:t xml:space="preserve"> compuesta por un solo pie o mástil que soporta una lona o elemento similar plegable, sin cerramientos laterales. </w:t>
      </w:r>
    </w:p>
    <w:p w:rsidR="00B064CF" w:rsidRDefault="00E32F70">
      <w:pPr>
        <w:numPr>
          <w:ilvl w:val="0"/>
          <w:numId w:val="170"/>
        </w:numPr>
        <w:spacing w:after="24"/>
        <w:ind w:left="472" w:right="72" w:hanging="127"/>
      </w:pPr>
      <w:r>
        <w:rPr>
          <w:rFonts w:ascii="Calibri" w:eastAsia="Calibri" w:hAnsi="Calibri" w:cs="Calibri"/>
          <w:noProof/>
        </w:rPr>
        <mc:AlternateContent>
          <mc:Choice Requires="wpg">
            <w:drawing>
              <wp:anchor distT="0" distB="0" distL="114300" distR="114300" simplePos="0" relativeHeight="25190195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14511" name="Group 414511"/>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8464" name="Rectangle 38464"/>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8465" name="Rectangle 38465"/>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234 de 298 </w:t>
                              </w:r>
                            </w:p>
                          </w:txbxContent>
                        </wps:txbx>
                        <wps:bodyPr horzOverflow="overflow" vert="horz" lIns="0" tIns="0" rIns="0" bIns="0" rtlCol="0">
                          <a:noAutofit/>
                        </wps:bodyPr>
                      </wps:wsp>
                    </wpg:wgp>
                  </a:graphicData>
                </a:graphic>
              </wp:anchor>
            </w:drawing>
          </mc:Choice>
          <mc:Fallback xmlns:a="http://schemas.openxmlformats.org/drawingml/2006/main">
            <w:pict>
              <v:group id="Group 414511" style="width:12.7031pt;height:278.91pt;position:absolute;mso-position-horizontal-relative:page;mso-position-horizontal:absolute;margin-left:682.278pt;mso-position-vertical-relative:page;margin-top:533.01pt;" coordsize="1613,35421">
                <v:rect id="Rectangle 38464"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8465"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234 de 298 </w:t>
                        </w:r>
                      </w:p>
                    </w:txbxContent>
                  </v:textbox>
                </v:rect>
                <w10:wrap type="square"/>
              </v:group>
            </w:pict>
          </mc:Fallback>
        </mc:AlternateContent>
      </w:r>
      <w:r>
        <w:t>Terraza: ocupación del suelo de uso público aneja a un establecimiento comercial de hostelería o restauración autorizado para la instalación de elementos accesor</w:t>
      </w:r>
      <w:r>
        <w:t xml:space="preserve">ios de las actividades de hostelería (mesas, sillas, sombrillas, toldos, mamparas…), nunca anclados al suelo. </w:t>
      </w:r>
    </w:p>
    <w:p w:rsidR="00B064CF" w:rsidRDefault="00E32F70">
      <w:pPr>
        <w:numPr>
          <w:ilvl w:val="0"/>
          <w:numId w:val="170"/>
        </w:numPr>
        <w:spacing w:after="0"/>
        <w:ind w:left="472" w:right="72" w:hanging="127"/>
      </w:pPr>
      <w:r>
        <w:t>Toldo: instalación auxiliar anclada en la pared, compuesta por una estructura ligera retráctil y una cubierta de lona, o elemento similar, enroll</w:t>
      </w:r>
      <w:r>
        <w:t xml:space="preserve">able o plegable. </w:t>
      </w:r>
    </w:p>
    <w:p w:rsidR="00B064CF" w:rsidRDefault="00E32F70">
      <w:pPr>
        <w:numPr>
          <w:ilvl w:val="0"/>
          <w:numId w:val="170"/>
        </w:numPr>
        <w:spacing w:after="0"/>
        <w:ind w:left="472" w:right="72" w:hanging="127"/>
      </w:pPr>
      <w:r>
        <w:t>Vía pública, aquella parte del dominio público y que por naturaleza está destinada al uso general y al tránsito de personas, vehículos y semovientes. A los mismos efectos es independiente que esté urbanizada o no, cuando de su destino urb</w:t>
      </w:r>
      <w:r>
        <w:t xml:space="preserve">anístico se deduzca el carácter de vía pública.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TÍTULO II DISPOSICIONES GENERALES </w:t>
      </w:r>
    </w:p>
    <w:p w:rsidR="00B064CF" w:rsidRDefault="00E32F70">
      <w:pPr>
        <w:spacing w:after="11"/>
        <w:ind w:left="355" w:right="72"/>
      </w:pPr>
      <w:r>
        <w:t xml:space="preserve">CAPÍTULO 1 PRINCIPIOS Y CONDICIONES GENERALES DE LA OCUPACIÓN </w:t>
      </w:r>
    </w:p>
    <w:p w:rsidR="00B064CF" w:rsidRDefault="00E32F70">
      <w:pPr>
        <w:spacing w:after="11"/>
        <w:ind w:left="355" w:right="72"/>
      </w:pPr>
      <w:r>
        <w:t xml:space="preserve">Artículo 7. Principios básicos </w:t>
      </w:r>
    </w:p>
    <w:p w:rsidR="00B064CF" w:rsidRDefault="00E32F70">
      <w:pPr>
        <w:spacing w:after="0"/>
        <w:ind w:left="355" w:right="72"/>
      </w:pPr>
      <w:r>
        <w:t>La ocupación de los espacios municipales de dominio público se regirá por l</w:t>
      </w:r>
      <w:r>
        <w:t xml:space="preserve">os siguientes principios generales: </w:t>
      </w:r>
    </w:p>
    <w:p w:rsidR="00B064CF" w:rsidRDefault="00E32F70">
      <w:pPr>
        <w:numPr>
          <w:ilvl w:val="0"/>
          <w:numId w:val="171"/>
        </w:numPr>
        <w:ind w:right="72" w:hanging="708"/>
      </w:pPr>
      <w:r>
        <w:t>Obligación de obtención del título habilitante, de forma previa a la ocupación, mediante licencia municipal otorgada por el Ayuntamiento de Candelaria, como titular del dominio público, instada a requerimiento de la per</w:t>
      </w:r>
      <w:r>
        <w:t>sona física o jurídica  interesada mediante escrito, presentado en los términos y medios legalmente admitidos, al que se acompañarán los documentos que en cada caso se determine en los artículos que conforman esta ordenanza, y la tasa exigible conforme a l</w:t>
      </w:r>
      <w:r>
        <w:t xml:space="preserve">a ordenanza fiscal correspondiente. </w:t>
      </w:r>
    </w:p>
    <w:p w:rsidR="00B064CF" w:rsidRDefault="00E32F70">
      <w:pPr>
        <w:numPr>
          <w:ilvl w:val="0"/>
          <w:numId w:val="171"/>
        </w:numPr>
        <w:ind w:right="72" w:hanging="708"/>
      </w:pPr>
      <w:r>
        <w:t>La tramitación de solicitudes de licencias se ajustará a los procedimientos señalados en esta ordenanza, sin perjuicio de las peculiaridades y requisitos que, por razón de su contenido específico, se establezcan en norm</w:t>
      </w:r>
      <w:r>
        <w:t xml:space="preserve">as de rango superior y en las normas reguladoras de la tramitación de otras autorizaciones administrativas que sean exigibles. </w:t>
      </w:r>
    </w:p>
    <w:p w:rsidR="00B064CF" w:rsidRDefault="00E32F70">
      <w:pPr>
        <w:numPr>
          <w:ilvl w:val="0"/>
          <w:numId w:val="171"/>
        </w:numPr>
        <w:ind w:right="72" w:hanging="708"/>
      </w:pPr>
      <w:r>
        <w:t>Limitación de las ocupaciones, al objeto de evitar una proliferación excesiva de las mismas que limite o impida innecesaria e in</w:t>
      </w:r>
      <w:r>
        <w:t xml:space="preserve">justificadamente el uso común, igual y gratuito del espacio público. </w:t>
      </w:r>
    </w:p>
    <w:p w:rsidR="00B064CF" w:rsidRDefault="00E32F70">
      <w:pPr>
        <w:numPr>
          <w:ilvl w:val="0"/>
          <w:numId w:val="171"/>
        </w:numPr>
        <w:ind w:right="72" w:hanging="708"/>
      </w:pPr>
      <w:r>
        <w:t xml:space="preserve">Uniformidad de los elementos, para logar así una imagen coherente y ordenada del conjunto. </w:t>
      </w:r>
    </w:p>
    <w:p w:rsidR="00B064CF" w:rsidRDefault="00E32F70">
      <w:pPr>
        <w:numPr>
          <w:ilvl w:val="0"/>
          <w:numId w:val="171"/>
        </w:numPr>
        <w:ind w:right="72" w:hanging="708"/>
      </w:pPr>
      <w:r>
        <w:t>Compatibilidad entre los elementos a instalar y el entorno, con la finalidad de obtener una in</w:t>
      </w:r>
      <w:r>
        <w:t xml:space="preserve">tegración armónica de los primeros en el segundo. </w:t>
      </w:r>
    </w:p>
    <w:p w:rsidR="00B064CF" w:rsidRDefault="00E32F70">
      <w:pPr>
        <w:numPr>
          <w:ilvl w:val="0"/>
          <w:numId w:val="171"/>
        </w:numPr>
        <w:ind w:right="72" w:hanging="708"/>
      </w:pPr>
      <w:r>
        <w:t xml:space="preserve">Evitación del desarrollo de actividades y ocupaciones que, individualmente o por concurrencia, supongan efectos aditivos negativos o contraproducentes. </w:t>
      </w:r>
    </w:p>
    <w:p w:rsidR="00B064CF" w:rsidRDefault="00E32F70">
      <w:pPr>
        <w:numPr>
          <w:ilvl w:val="0"/>
          <w:numId w:val="171"/>
        </w:numPr>
        <w:ind w:right="72" w:hanging="708"/>
      </w:pPr>
      <w:r>
        <w:t xml:space="preserve">Cumplimiento de las medidas de seguridad, accesibilidad y funcionalidad del espacio público. </w:t>
      </w:r>
    </w:p>
    <w:p w:rsidR="00B064CF" w:rsidRDefault="00E32F70">
      <w:pPr>
        <w:numPr>
          <w:ilvl w:val="0"/>
          <w:numId w:val="171"/>
        </w:numPr>
        <w:ind w:right="72" w:hanging="708"/>
      </w:pPr>
      <w:r>
        <w:t xml:space="preserve">Protección de los recursos paisajísticos, históricos y culturales.  </w:t>
      </w:r>
    </w:p>
    <w:p w:rsidR="00B064CF" w:rsidRDefault="00E32F70">
      <w:pPr>
        <w:numPr>
          <w:ilvl w:val="0"/>
          <w:numId w:val="171"/>
        </w:numPr>
        <w:ind w:right="72" w:hanging="708"/>
      </w:pPr>
      <w:r>
        <w:t xml:space="preserve">Respeto a las reglas de convivencia. </w:t>
      </w:r>
    </w:p>
    <w:p w:rsidR="00B064CF" w:rsidRDefault="00E32F70">
      <w:pPr>
        <w:numPr>
          <w:ilvl w:val="0"/>
          <w:numId w:val="171"/>
        </w:numPr>
        <w:ind w:right="72" w:hanging="708"/>
      </w:pPr>
      <w:r>
        <w:t xml:space="preserve">Fomento del espacio público como lugar de encuentro que cumple un contenido social específico. </w:t>
      </w:r>
    </w:p>
    <w:p w:rsidR="00B064CF" w:rsidRDefault="00E32F70">
      <w:pPr>
        <w:spacing w:after="11"/>
        <w:ind w:left="355" w:right="72"/>
      </w:pPr>
      <w:r>
        <w:t xml:space="preserve">Artículo 8. Condiciones generales de la ocupación </w:t>
      </w:r>
    </w:p>
    <w:p w:rsidR="00B064CF" w:rsidRDefault="00E32F70">
      <w:pPr>
        <w:numPr>
          <w:ilvl w:val="0"/>
          <w:numId w:val="172"/>
        </w:numPr>
        <w:spacing w:after="0"/>
        <w:ind w:right="72"/>
      </w:pPr>
      <w:r>
        <w:t>Las ocupaciones de los espacios municipales de dominio público cumplirán, con carácter general, las siguiente</w:t>
      </w:r>
      <w:r>
        <w:t xml:space="preserve">s condiciones: </w:t>
      </w:r>
    </w:p>
    <w:p w:rsidR="00B064CF" w:rsidRDefault="00E32F70">
      <w:pPr>
        <w:numPr>
          <w:ilvl w:val="2"/>
          <w:numId w:val="173"/>
        </w:numPr>
        <w:ind w:right="72" w:hanging="360"/>
      </w:pPr>
      <w:r>
        <w:t xml:space="preserve">Permitirán el tránsito normal de peatones y vehículos en condiciones adecuadas. </w:t>
      </w:r>
    </w:p>
    <w:p w:rsidR="00B064CF" w:rsidRDefault="00E32F70">
      <w:pPr>
        <w:numPr>
          <w:ilvl w:val="2"/>
          <w:numId w:val="173"/>
        </w:numPr>
        <w:ind w:right="72" w:hanging="360"/>
      </w:pPr>
      <w:r>
        <w:rPr>
          <w:rFonts w:ascii="Calibri" w:eastAsia="Calibri" w:hAnsi="Calibri" w:cs="Calibri"/>
          <w:noProof/>
        </w:rPr>
        <mc:AlternateContent>
          <mc:Choice Requires="wpg">
            <w:drawing>
              <wp:anchor distT="0" distB="0" distL="114300" distR="114300" simplePos="0" relativeHeight="25190297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14831" name="Group 414831"/>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8587" name="Rectangle 38587"/>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8588" name="Rectangle 38588"/>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Documento firmado electrónicamente desde la plataforma e</w:t>
                              </w:r>
                              <w:r>
                                <w:rPr>
                                  <w:sz w:val="12"/>
                                </w:rPr>
                                <w:t xml:space="preserve">sPublico Gestiona | Página 235 de 298 </w:t>
                              </w:r>
                            </w:p>
                          </w:txbxContent>
                        </wps:txbx>
                        <wps:bodyPr horzOverflow="overflow" vert="horz" lIns="0" tIns="0" rIns="0" bIns="0" rtlCol="0">
                          <a:noAutofit/>
                        </wps:bodyPr>
                      </wps:wsp>
                    </wpg:wgp>
                  </a:graphicData>
                </a:graphic>
              </wp:anchor>
            </w:drawing>
          </mc:Choice>
          <mc:Fallback xmlns:a="http://schemas.openxmlformats.org/drawingml/2006/main">
            <w:pict>
              <v:group id="Group 414831" style="width:12.7031pt;height:278.91pt;position:absolute;mso-position-horizontal-relative:page;mso-position-horizontal:absolute;margin-left:682.278pt;mso-position-vertical-relative:page;margin-top:533.01pt;" coordsize="1613,35421">
                <v:rect id="Rectangle 38587"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8588"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235 de 298 </w:t>
                        </w:r>
                      </w:p>
                    </w:txbxContent>
                  </v:textbox>
                </v:rect>
                <w10:wrap type="square"/>
              </v:group>
            </w:pict>
          </mc:Fallback>
        </mc:AlternateContent>
      </w:r>
      <w:r>
        <w:t xml:space="preserve">No impedirán ni dificultarán el acceso a edificios y parcelas, ya sean de titularidad privada o pública. </w:t>
      </w:r>
    </w:p>
    <w:p w:rsidR="00B064CF" w:rsidRDefault="00E32F70">
      <w:pPr>
        <w:numPr>
          <w:ilvl w:val="2"/>
          <w:numId w:val="173"/>
        </w:numPr>
        <w:ind w:right="72" w:hanging="360"/>
      </w:pPr>
      <w:r>
        <w:t>No obstaculizarán los pasos y vados (tanto peatonales como vehiculares, incluidos los reservados o destinados a</w:t>
      </w:r>
      <w:r>
        <w:t xml:space="preserve"> personas con movilidad reducida), las paradas de transporte público, las salidas de emergencia ni las zonas habilitadas para carga y descarga. </w:t>
      </w:r>
    </w:p>
    <w:p w:rsidR="00B064CF" w:rsidRDefault="00E32F70">
      <w:pPr>
        <w:numPr>
          <w:ilvl w:val="2"/>
          <w:numId w:val="173"/>
        </w:numPr>
        <w:ind w:right="72" w:hanging="360"/>
      </w:pPr>
      <w:r>
        <w:t xml:space="preserve">No afectarán a espacios públicos ajardinados existentes. </w:t>
      </w:r>
    </w:p>
    <w:p w:rsidR="00B064CF" w:rsidRDefault="00E32F70">
      <w:pPr>
        <w:numPr>
          <w:ilvl w:val="2"/>
          <w:numId w:val="173"/>
        </w:numPr>
        <w:ind w:right="72" w:hanging="360"/>
      </w:pPr>
      <w:r>
        <w:t>No dificultarán o limitarán la visión de la señalizac</w:t>
      </w:r>
      <w:r>
        <w:t xml:space="preserve">ión de tráfico ni pondrán en riesgo la seguridad vial.  </w:t>
      </w:r>
    </w:p>
    <w:p w:rsidR="00B064CF" w:rsidRDefault="00E32F70">
      <w:pPr>
        <w:numPr>
          <w:ilvl w:val="2"/>
          <w:numId w:val="173"/>
        </w:numPr>
        <w:ind w:right="72" w:hanging="360"/>
      </w:pPr>
      <w:r>
        <w:t xml:space="preserve">No supondrán un riesgo para la seguridad en caso de afluencia masiva de personas. </w:t>
      </w:r>
    </w:p>
    <w:p w:rsidR="00B064CF" w:rsidRDefault="00E32F70">
      <w:pPr>
        <w:numPr>
          <w:ilvl w:val="2"/>
          <w:numId w:val="173"/>
        </w:numPr>
        <w:ind w:right="72" w:hanging="360"/>
      </w:pPr>
      <w:r>
        <w:t>No ampararán el desarrollo de actividades o la instalación de dispositivos que puedan producir molestias por ruidos,</w:t>
      </w:r>
      <w:r>
        <w:t xml:space="preserve"> olores, humos o similares a los residentes, salvo en los casos debidamente justificados y autorizados de eventos públicos o celebraciones populares de carácter esporádico u ocasional. </w:t>
      </w:r>
    </w:p>
    <w:p w:rsidR="00B064CF" w:rsidRDefault="00E32F70">
      <w:pPr>
        <w:numPr>
          <w:ilvl w:val="0"/>
          <w:numId w:val="172"/>
        </w:numPr>
        <w:spacing w:after="0"/>
        <w:ind w:right="72"/>
      </w:pPr>
      <w:r>
        <w:t xml:space="preserve">La personas o entidades titulares de las licencias concedidas para la </w:t>
      </w:r>
      <w:r>
        <w:t xml:space="preserve">ocupación del dominio público tendrán las siguientes obligaciones: </w:t>
      </w:r>
    </w:p>
    <w:p w:rsidR="00B064CF" w:rsidRDefault="00E32F70">
      <w:pPr>
        <w:numPr>
          <w:ilvl w:val="1"/>
          <w:numId w:val="172"/>
        </w:numPr>
        <w:ind w:right="72" w:hanging="360"/>
      </w:pPr>
      <w:r>
        <w:t xml:space="preserve">Observar y cumplir las condiciones comunes y específicas establecidas en la presente Ordenanza y, en su caso, las particulares contenidas en la autorización habilitante para la ocupación. </w:t>
      </w:r>
    </w:p>
    <w:p w:rsidR="00B064CF" w:rsidRDefault="00E32F70">
      <w:pPr>
        <w:numPr>
          <w:ilvl w:val="1"/>
          <w:numId w:val="172"/>
        </w:numPr>
        <w:ind w:right="72" w:hanging="360"/>
      </w:pPr>
      <w:r>
        <w:t xml:space="preserve">Mantener en perfecto estado de limpieza y decoro la superficie ocupada y sus alrededores. </w:t>
      </w:r>
    </w:p>
    <w:p w:rsidR="00B064CF" w:rsidRDefault="00E32F70">
      <w:pPr>
        <w:numPr>
          <w:ilvl w:val="1"/>
          <w:numId w:val="172"/>
        </w:numPr>
        <w:ind w:right="72" w:hanging="360"/>
      </w:pPr>
      <w:r>
        <w:t xml:space="preserve">Respetar la urbanización, instalaciones y mobiliario urbano integrado en el ámbito espacial afectado por la ocupación. </w:t>
      </w:r>
    </w:p>
    <w:p w:rsidR="00B064CF" w:rsidRDefault="00E32F70">
      <w:pPr>
        <w:numPr>
          <w:ilvl w:val="1"/>
          <w:numId w:val="172"/>
        </w:numPr>
        <w:ind w:right="72" w:hanging="360"/>
      </w:pPr>
      <w:r>
        <w:t>Facilitar el acceso a los registros e instal</w:t>
      </w:r>
      <w:r>
        <w:t xml:space="preserve">aciones de los servicios públicos (abastecimiento de agua, suministro eléctrico, saneamiento, alumbrado público, telecomunicaciones, riego, etc.) para su reparación, supervisión o mantenimiento. </w:t>
      </w:r>
    </w:p>
    <w:p w:rsidR="00B064CF" w:rsidRDefault="00E32F70">
      <w:pPr>
        <w:numPr>
          <w:ilvl w:val="1"/>
          <w:numId w:val="172"/>
        </w:numPr>
        <w:spacing w:line="246" w:lineRule="auto"/>
        <w:ind w:right="72" w:hanging="360"/>
      </w:pPr>
      <w:r>
        <w:t>Mantener las instalaciones y elementos de la ocupación en ad</w:t>
      </w:r>
      <w:r>
        <w:t xml:space="preserve">ecuadas condiciones de limpieza, ornato, seguridad y funcionalidad. A tal efecto se deberá adoptar, en todo momento, las medidas que garanticen el cumplimiento de dicha obligación. </w:t>
      </w:r>
    </w:p>
    <w:p w:rsidR="00B064CF" w:rsidRDefault="00E32F70">
      <w:pPr>
        <w:numPr>
          <w:ilvl w:val="1"/>
          <w:numId w:val="172"/>
        </w:numPr>
        <w:ind w:right="72" w:hanging="360"/>
      </w:pPr>
      <w:r>
        <w:t>Responder por los daños que se puedan ocasionar a los bienes privados o pú</w:t>
      </w:r>
      <w:r>
        <w:t xml:space="preserve">blicos, ejecutando, en su caso, cuantas actuaciones u obras fueran necesarias para la restitución de los bienes afectados a su estado original. </w:t>
      </w:r>
    </w:p>
    <w:p w:rsidR="00B064CF" w:rsidRDefault="00E32F70">
      <w:pPr>
        <w:numPr>
          <w:ilvl w:val="1"/>
          <w:numId w:val="172"/>
        </w:numPr>
        <w:spacing w:line="246" w:lineRule="auto"/>
        <w:ind w:right="72" w:hanging="360"/>
      </w:pPr>
      <w:r>
        <w:t>Tener cubierto, mediante póliza de seguros, cualquier accidente o daño que se pueda producir, a la administraci</w:t>
      </w:r>
      <w:r>
        <w:t xml:space="preserve">ón y/o a terceros, como consecuencia de la ocupación del suelo público. Dicha póliza debe encontrarse, en todo momento, al corriente de pago. </w:t>
      </w:r>
    </w:p>
    <w:p w:rsidR="00B064CF" w:rsidRDefault="00E32F70">
      <w:pPr>
        <w:numPr>
          <w:ilvl w:val="1"/>
          <w:numId w:val="172"/>
        </w:numPr>
        <w:ind w:right="72" w:hanging="360"/>
      </w:pPr>
      <w:r>
        <w:t>Cesar la actividad vinculada a la ocupación y retirar de manera inmediata, a requerimiento de las autoridades mun</w:t>
      </w:r>
      <w:r>
        <w:t xml:space="preserve">icipales, insulares, autonómicas o estatales, las instalaciones y elementos de la ocupación, cuando concurra causa de emergencia, necesidad o interés público. </w:t>
      </w:r>
    </w:p>
    <w:p w:rsidR="00B064CF" w:rsidRDefault="00E32F70">
      <w:pPr>
        <w:numPr>
          <w:ilvl w:val="1"/>
          <w:numId w:val="172"/>
        </w:numPr>
        <w:ind w:right="72" w:hanging="360"/>
      </w:pPr>
      <w:r>
        <w:rPr>
          <w:rFonts w:ascii="Calibri" w:eastAsia="Calibri" w:hAnsi="Calibri" w:cs="Calibri"/>
          <w:noProof/>
        </w:rPr>
        <mc:AlternateContent>
          <mc:Choice Requires="wpg">
            <w:drawing>
              <wp:anchor distT="0" distB="0" distL="114300" distR="114300" simplePos="0" relativeHeight="25190400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15148" name="Group 415148"/>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8698" name="Rectangle 38698"/>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64SKSNYNJRFPNN5DLPPAAC3GS | Verificación: https://candelaria.sedelectronica.</w:t>
                              </w:r>
                              <w:r>
                                <w:rPr>
                                  <w:sz w:val="12"/>
                                </w:rPr>
                                <w:t xml:space="preserve">es/ </w:t>
                              </w:r>
                            </w:p>
                          </w:txbxContent>
                        </wps:txbx>
                        <wps:bodyPr horzOverflow="overflow" vert="horz" lIns="0" tIns="0" rIns="0" bIns="0" rtlCol="0">
                          <a:noAutofit/>
                        </wps:bodyPr>
                      </wps:wsp>
                      <wps:wsp>
                        <wps:cNvPr id="38699" name="Rectangle 38699"/>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236 de 298 </w:t>
                              </w:r>
                            </w:p>
                          </w:txbxContent>
                        </wps:txbx>
                        <wps:bodyPr horzOverflow="overflow" vert="horz" lIns="0" tIns="0" rIns="0" bIns="0" rtlCol="0">
                          <a:noAutofit/>
                        </wps:bodyPr>
                      </wps:wsp>
                    </wpg:wgp>
                  </a:graphicData>
                </a:graphic>
              </wp:anchor>
            </w:drawing>
          </mc:Choice>
          <mc:Fallback xmlns:a="http://schemas.openxmlformats.org/drawingml/2006/main">
            <w:pict>
              <v:group id="Group 415148" style="width:12.7031pt;height:278.91pt;position:absolute;mso-position-horizontal-relative:page;mso-position-horizontal:absolute;margin-left:682.278pt;mso-position-vertical-relative:page;margin-top:533.01pt;" coordsize="1613,35421">
                <v:rect id="Rectangle 38698"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8699"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236 de 298 </w:t>
                        </w:r>
                      </w:p>
                    </w:txbxContent>
                  </v:textbox>
                </v:rect>
                <w10:wrap type="square"/>
              </v:group>
            </w:pict>
          </mc:Fallback>
        </mc:AlternateContent>
      </w:r>
      <w:r>
        <w:t>Retirar las instalaciones y elementos de la ocupación y cesar, en su caso, la actividad vinculada a la misma, a instancia de las autoridades municipales y</w:t>
      </w:r>
      <w:r>
        <w:t xml:space="preserve"> en el plazo que se señale al efecto, cuando se revoque o suspenda el título habilitante; en tales supuestos la retirada y/o suspensión tendrá, respectivamente, carácter definitivo o provisional. </w:t>
      </w:r>
    </w:p>
    <w:p w:rsidR="00B064CF" w:rsidRDefault="00E32F70">
      <w:pPr>
        <w:numPr>
          <w:ilvl w:val="1"/>
          <w:numId w:val="172"/>
        </w:numPr>
        <w:ind w:right="72" w:hanging="360"/>
      </w:pPr>
      <w:r>
        <w:t>Retirar las instalaciones y elementos de la ocupación y ces</w:t>
      </w:r>
      <w:r>
        <w:t xml:space="preserve">ar, en su caso, la actividad vinculada a la misma, cuando finalice el plazo de vigencia establecido en título habilitante y éste no haya sido renovado. </w:t>
      </w:r>
    </w:p>
    <w:p w:rsidR="00B064CF" w:rsidRDefault="00E32F70">
      <w:pPr>
        <w:numPr>
          <w:ilvl w:val="1"/>
          <w:numId w:val="172"/>
        </w:numPr>
        <w:ind w:right="72" w:hanging="360"/>
      </w:pPr>
      <w:r>
        <w:t>Queda expresamente prohibido almacenar o apilar productos y materiales, de toda clase, en suelo público</w:t>
      </w:r>
      <w:r>
        <w:t xml:space="preserve">, salvo los expresamente autorizados. </w:t>
      </w:r>
    </w:p>
    <w:p w:rsidR="00B064CF" w:rsidRDefault="00E32F70">
      <w:pPr>
        <w:numPr>
          <w:ilvl w:val="1"/>
          <w:numId w:val="172"/>
        </w:numPr>
        <w:ind w:right="72" w:hanging="360"/>
      </w:pPr>
      <w:r>
        <w:t>Queda prohibida la instalación de cualquier tipo de máquinas comerciales, dispensadoras, recreativas o de azar en suelo público, salvo que se autorice de forma expresa. Queda igualmente prohibido cualquier tipo de uso</w:t>
      </w:r>
      <w:r>
        <w:t xml:space="preserve"> instrumental del arbolado y de los elementos del mobiliario urbano municipal en la ocupación de suelo público o en el desarrollo de la actividad que justifica la ocupación. </w:t>
      </w:r>
    </w:p>
    <w:p w:rsidR="00B064CF" w:rsidRDefault="00E32F70">
      <w:pPr>
        <w:numPr>
          <w:ilvl w:val="1"/>
          <w:numId w:val="172"/>
        </w:numPr>
        <w:ind w:right="72" w:hanging="360"/>
      </w:pPr>
      <w:r>
        <w:t xml:space="preserve">El mobiliario de las instalaciones deberá ser ajustado a las características del </w:t>
      </w:r>
      <w:r>
        <w:t xml:space="preserve">entorno urbano en el que se ubiquen, pudiendo exigirse el cumplimiento de determinadas condiciones estéticas y de uniformidad entre los diversos establecimientos asentados en un entorno urbano semejante. </w:t>
      </w:r>
    </w:p>
    <w:p w:rsidR="00B064CF" w:rsidRDefault="00E32F70">
      <w:pPr>
        <w:numPr>
          <w:ilvl w:val="1"/>
          <w:numId w:val="172"/>
        </w:numPr>
        <w:ind w:right="72" w:hanging="360"/>
      </w:pPr>
      <w:r>
        <w:t xml:space="preserve">Queda prohibido instalar aparatos reproductores de </w:t>
      </w:r>
      <w:r>
        <w:t>imagen y/o sonido en la vía pública, tales como: equipos de música, televisores, o aparatos de cualquier otra índole (equipos informáticos, karaokes, etc.) así como emitir sonido hacia la vía pública por ningún medio, ni siquiera desde el interior del loca</w:t>
      </w:r>
      <w:r>
        <w:t xml:space="preserve">l. </w:t>
      </w:r>
    </w:p>
    <w:p w:rsidR="00B064CF" w:rsidRDefault="00E32F70">
      <w:pPr>
        <w:numPr>
          <w:ilvl w:val="1"/>
          <w:numId w:val="172"/>
        </w:numPr>
        <w:ind w:right="72" w:hanging="360"/>
      </w:pPr>
      <w:r>
        <w:t xml:space="preserve">Queda prohibida la exposición o la instalación, en fachada, de elementos que no estén expresamente incluidos en la presente ordenanza y/o permitidos por la Normativa Urbanística vigente de aplicación. </w:t>
      </w:r>
    </w:p>
    <w:p w:rsidR="00B064CF" w:rsidRDefault="00E32F70">
      <w:pPr>
        <w:numPr>
          <w:ilvl w:val="0"/>
          <w:numId w:val="174"/>
        </w:numPr>
        <w:ind w:left="628" w:right="72" w:hanging="283"/>
      </w:pPr>
      <w:r>
        <w:t>El incumplimiento de las obligaciones señaladas en</w:t>
      </w:r>
      <w:r>
        <w:t xml:space="preserve"> el número anterior habilitará al Ayuntamiento para ejecutar subsidiariamente, a costa de la persona o entidad interesada y sin derecho a indemnización, cuantas acciones, actuaciones y obras sean necesarias para el adecuado mantenimiento, reposición, uso y</w:t>
      </w:r>
      <w:r>
        <w:t xml:space="preserve">/o liberación del espacio público, todo ello sin perjuicio de la incoación del correspondiente procedimiento sancionador. </w:t>
      </w:r>
    </w:p>
    <w:p w:rsidR="00B064CF" w:rsidRDefault="00E32F70">
      <w:pPr>
        <w:numPr>
          <w:ilvl w:val="0"/>
          <w:numId w:val="174"/>
        </w:numPr>
        <w:ind w:left="628" w:right="72" w:hanging="283"/>
      </w:pPr>
      <w:r>
        <w:t>Cuando el Ayuntamiento, por razones de interés público, requiera disponer libremente del espacio público, ordenará la retirada temporal de los elementos e instalaciones y la suspensión de las actividades. La retirada temporal también podrá ser ordenada dir</w:t>
      </w:r>
      <w:r>
        <w:t>ectamente por la Policía Local cuando se constate que la ocupación del dominio público genera una situación de riesgo inminente para la seguridad de las personas o bienes. Dichas retiradas o suspensiones temporales, que se podrán mantener mientras persista</w:t>
      </w:r>
      <w:r>
        <w:t xml:space="preserve">n las necesidades de libre disposición del espacio público o se mantengan las circunstancias que originaron la situación de riesgo, no generarán derecho de indemnización alguno, sin perjuicio de la devolución de la parte proporcional de la tasa que, en su </w:t>
      </w:r>
      <w:r>
        <w:t xml:space="preserve">caso, corresponda. </w:t>
      </w:r>
    </w:p>
    <w:p w:rsidR="00B064CF" w:rsidRDefault="00E32F70">
      <w:pPr>
        <w:spacing w:after="11"/>
        <w:ind w:left="355" w:right="72"/>
      </w:pPr>
      <w:r>
        <w:t>Artículo 9. Garantías, conservación del dominio público y seguros</w:t>
      </w:r>
      <w:r>
        <w:rPr>
          <w:rFonts w:ascii="Times New Roman" w:eastAsia="Times New Roman" w:hAnsi="Times New Roman" w:cs="Times New Roman"/>
          <w:sz w:val="24"/>
        </w:rPr>
        <w:t xml:space="preserve"> </w:t>
      </w:r>
    </w:p>
    <w:p w:rsidR="00B064CF" w:rsidRDefault="00E32F70">
      <w:pPr>
        <w:numPr>
          <w:ilvl w:val="0"/>
          <w:numId w:val="175"/>
        </w:numPr>
        <w:ind w:left="628" w:right="72" w:hanging="283"/>
      </w:pPr>
      <w:r>
        <w:rPr>
          <w:rFonts w:ascii="Calibri" w:eastAsia="Calibri" w:hAnsi="Calibri" w:cs="Calibri"/>
          <w:noProof/>
        </w:rPr>
        <mc:AlternateContent>
          <mc:Choice Requires="wpg">
            <w:drawing>
              <wp:anchor distT="0" distB="0" distL="114300" distR="114300" simplePos="0" relativeHeight="25190502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15257" name="Group 415257"/>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8801" name="Rectangle 38801"/>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8802" name="Rectangle 38802"/>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Documento firmado electrónicamente desde la plataforma esPublico G</w:t>
                              </w:r>
                              <w:r>
                                <w:rPr>
                                  <w:sz w:val="12"/>
                                </w:rPr>
                                <w:t xml:space="preserve">estiona | Página 237 de 298 </w:t>
                              </w:r>
                            </w:p>
                          </w:txbxContent>
                        </wps:txbx>
                        <wps:bodyPr horzOverflow="overflow" vert="horz" lIns="0" tIns="0" rIns="0" bIns="0" rtlCol="0">
                          <a:noAutofit/>
                        </wps:bodyPr>
                      </wps:wsp>
                    </wpg:wgp>
                  </a:graphicData>
                </a:graphic>
              </wp:anchor>
            </w:drawing>
          </mc:Choice>
          <mc:Fallback xmlns:a="http://schemas.openxmlformats.org/drawingml/2006/main">
            <w:pict>
              <v:group id="Group 415257" style="width:12.7031pt;height:278.91pt;position:absolute;mso-position-horizontal-relative:page;mso-position-horizontal:absolute;margin-left:682.278pt;mso-position-vertical-relative:page;margin-top:533.01pt;" coordsize="1613,35421">
                <v:rect id="Rectangle 38801"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8802"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237 de 298 </w:t>
                        </w:r>
                      </w:p>
                    </w:txbxContent>
                  </v:textbox>
                </v:rect>
                <w10:wrap type="square"/>
              </v:group>
            </w:pict>
          </mc:Fallback>
        </mc:AlternateContent>
      </w:r>
      <w:r>
        <w:t>El Ayuntamiento exigirá a la persona o entidad solicitante de la autorización para ocupar el dominio público, que constituya una garantía, mediante los medios admitidos en derecho, que sea suficiente para asegurar la retirada d</w:t>
      </w:r>
      <w:r>
        <w:t xml:space="preserve">e los elementos e instalaciones una vez finalizada la ocupación, así como para garantizar la correcta reposición o reparación del espacio público ocupado. </w:t>
      </w:r>
    </w:p>
    <w:p w:rsidR="00B064CF" w:rsidRDefault="00E32F70">
      <w:pPr>
        <w:numPr>
          <w:ilvl w:val="0"/>
          <w:numId w:val="175"/>
        </w:numPr>
        <w:ind w:left="628" w:right="72" w:hanging="283"/>
      </w:pPr>
      <w:r>
        <w:t>Si la ocupación del dominio público lleva aparejado el deterioro o la destrucción del mismo, la pers</w:t>
      </w:r>
      <w:r>
        <w:t>ona o entidad ocupante queda obligada a ejecutar cuantas obras de reparación o reposición fueran necesarias para restituir el espacio público. Si no lo hiciese, el Ayuntamiento efectuará la reconstrucción o reparación con cargo a la garantía prestada. En c</w:t>
      </w:r>
      <w:r>
        <w:t xml:space="preserve">aso de que ésta no se hubiese constituido o no cubriese el coste total de los gastos de las actuaciones, el ocupante procederá a abonar al Ayuntamiento los gastos no cubiertos. </w:t>
      </w:r>
    </w:p>
    <w:p w:rsidR="00B064CF" w:rsidRDefault="00E32F70">
      <w:pPr>
        <w:numPr>
          <w:ilvl w:val="0"/>
          <w:numId w:val="175"/>
        </w:numPr>
        <w:ind w:left="628" w:right="72" w:hanging="283"/>
      </w:pPr>
      <w:r>
        <w:t xml:space="preserve">Cuando se considere conveniente para la salvaguarda y protección de las personas y bienes, en función de las características concretas de la ocupación, el Ayuntamiento, con carácter previo al otorgamiento de la autorización o como condición de eficacia de </w:t>
      </w:r>
      <w:r>
        <w:t xml:space="preserve">la misma, podrá exigir la suscripción de un seguro de responsabilidad civil y daños a terceros en cuantía suficiente para cubrir las eventuales afecciones que pudieran ocasionarse.  </w:t>
      </w:r>
    </w:p>
    <w:p w:rsidR="00B064CF" w:rsidRDefault="00E32F70">
      <w:pPr>
        <w:numPr>
          <w:ilvl w:val="0"/>
          <w:numId w:val="175"/>
        </w:numPr>
        <w:ind w:left="628" w:right="72" w:hanging="283"/>
      </w:pPr>
      <w:r>
        <w:t>El Ayuntamiento podrá denegar la autorización para ocupar el dominio públ</w:t>
      </w:r>
      <w:r>
        <w:t xml:space="preserve">ico cuando prevea que dicha ocupación generará un deterioro o destrucción del mismo.   </w:t>
      </w:r>
    </w:p>
    <w:p w:rsidR="00B064CF" w:rsidRDefault="00E32F70">
      <w:pPr>
        <w:spacing w:after="11"/>
        <w:ind w:left="355" w:right="72"/>
      </w:pPr>
      <w:r>
        <w:t xml:space="preserve">Artículo 10. Retirada del dominio público de elementos o instalaciones no autorizados </w:t>
      </w:r>
    </w:p>
    <w:p w:rsidR="00B064CF" w:rsidRDefault="00E32F70">
      <w:pPr>
        <w:numPr>
          <w:ilvl w:val="0"/>
          <w:numId w:val="176"/>
        </w:numPr>
        <w:ind w:left="628" w:right="72" w:hanging="283"/>
      </w:pPr>
      <w:r>
        <w:t>El Ayuntamiento, a través de la intervención de los agentes de la autoridad, orde</w:t>
      </w:r>
      <w:r>
        <w:t>nará de manera inmediata el cese de la actividad y la retirada de todos los elementos e instalaciones que se dispongan sobre el dominio público, cuando no cuenten con la correspondiente autorización o cuando contravengan de manera manifiesta las condicione</w:t>
      </w:r>
      <w:r>
        <w:t xml:space="preserve">s de la otorgada. </w:t>
      </w:r>
    </w:p>
    <w:p w:rsidR="00B064CF" w:rsidRDefault="00E32F70">
      <w:pPr>
        <w:numPr>
          <w:ilvl w:val="0"/>
          <w:numId w:val="176"/>
        </w:numPr>
        <w:ind w:left="628" w:right="72" w:hanging="283"/>
      </w:pPr>
      <w:r>
        <w:t>Los agentes intervinientes levantarán acta o diligencia en la que se deje constancia de los hechos, se ordene el cese de la actividad y la retirada de los elementos que procedan y se otorgue un plazo para ello, que en ningún caso podrá s</w:t>
      </w:r>
      <w:r>
        <w:t xml:space="preserve">er superior a setenta y dos (72) horas. Una copia del acta o diligencia que se levante será entregada al responsable de la ocupación. </w:t>
      </w:r>
    </w:p>
    <w:p w:rsidR="00B064CF" w:rsidRDefault="00E32F70">
      <w:pPr>
        <w:numPr>
          <w:ilvl w:val="0"/>
          <w:numId w:val="176"/>
        </w:numPr>
        <w:ind w:left="628" w:right="72" w:hanging="283"/>
      </w:pPr>
      <w:r>
        <w:t>El Ayuntamiento procederá a la ejecución subsidiaria de la retirada, que será efectuada materialmente por el departamento</w:t>
      </w:r>
      <w:r>
        <w:t xml:space="preserve"> municipal competente acompañado de la Policía Local, en los siguientes casos: </w:t>
      </w:r>
    </w:p>
    <w:p w:rsidR="00B064CF" w:rsidRDefault="00E32F70">
      <w:pPr>
        <w:numPr>
          <w:ilvl w:val="1"/>
          <w:numId w:val="176"/>
        </w:numPr>
        <w:ind w:right="72" w:hanging="360"/>
      </w:pPr>
      <w:r>
        <w:t xml:space="preserve">Cuando la persona física o jurídica ocupante no retire los elementos en el plazo que se señale en el acta o diligencia. </w:t>
      </w:r>
    </w:p>
    <w:p w:rsidR="00B064CF" w:rsidRDefault="00E32F70">
      <w:pPr>
        <w:numPr>
          <w:ilvl w:val="1"/>
          <w:numId w:val="176"/>
        </w:numPr>
        <w:ind w:right="72" w:hanging="360"/>
      </w:pPr>
      <w:r>
        <w:t>Cuando la persona o entidad ocupante rehúse expresament</w:t>
      </w:r>
      <w:r>
        <w:t xml:space="preserve">e la recepción del acta o diligencia, o cuando por cualquier causa imputable a él, debidamente justificada, no haya sido posible la entrega de la misma. </w:t>
      </w:r>
    </w:p>
    <w:p w:rsidR="00B064CF" w:rsidRDefault="00E32F70">
      <w:pPr>
        <w:numPr>
          <w:ilvl w:val="1"/>
          <w:numId w:val="176"/>
        </w:numPr>
        <w:ind w:right="72" w:hanging="360"/>
      </w:pPr>
      <w:r>
        <w:t xml:space="preserve">Cuando no haya sido posible identificar a la persona física o jurídica responsable de la ocupación. </w:t>
      </w:r>
    </w:p>
    <w:p w:rsidR="00B064CF" w:rsidRDefault="00E32F70">
      <w:pPr>
        <w:numPr>
          <w:ilvl w:val="0"/>
          <w:numId w:val="176"/>
        </w:numPr>
        <w:ind w:left="628" w:right="72" w:hanging="283"/>
      </w:pPr>
      <w:r>
        <w:rPr>
          <w:rFonts w:ascii="Calibri" w:eastAsia="Calibri" w:hAnsi="Calibri" w:cs="Calibri"/>
          <w:noProof/>
        </w:rPr>
        <mc:AlternateContent>
          <mc:Choice Requires="wpg">
            <w:drawing>
              <wp:anchor distT="0" distB="0" distL="114300" distR="114300" simplePos="0" relativeHeight="25190604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15359" name="Group 415359"/>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8905" name="Rectangle 38905"/>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8906" name="Rectangle 38906"/>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238 de 298 </w:t>
                              </w:r>
                            </w:p>
                          </w:txbxContent>
                        </wps:txbx>
                        <wps:bodyPr horzOverflow="overflow" vert="horz" lIns="0" tIns="0" rIns="0" bIns="0" rtlCol="0">
                          <a:noAutofit/>
                        </wps:bodyPr>
                      </wps:wsp>
                    </wpg:wgp>
                  </a:graphicData>
                </a:graphic>
              </wp:anchor>
            </w:drawing>
          </mc:Choice>
          <mc:Fallback xmlns:a="http://schemas.openxmlformats.org/drawingml/2006/main">
            <w:pict>
              <v:group id="Group 415359" style="width:12.7031pt;height:278.91pt;position:absolute;mso-position-horizontal-relative:page;mso-position-horizontal:absolute;margin-left:682.278pt;mso-position-vertical-relative:page;margin-top:533.01pt;" coordsize="1613,35421">
                <v:rect id="Rectangle 38905"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8906"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238 de 298 </w:t>
                        </w:r>
                      </w:p>
                    </w:txbxContent>
                  </v:textbox>
                </v:rect>
                <w10:wrap type="square"/>
              </v:group>
            </w:pict>
          </mc:Fallback>
        </mc:AlternateContent>
      </w:r>
      <w:r>
        <w:t xml:space="preserve">Los elementos retirados serán depositados y custodiados en </w:t>
      </w:r>
      <w:r>
        <w:t>el recinto que a tales efectos habilite el Ayuntamiento, por un plazo máximo de 15 días de forma que si no son retirados se procederá a su destrucción y/o reciclaje, quedando obligado la persona propietaria de los mismos al abono de la tasa por la prestaci</w:t>
      </w:r>
      <w:r>
        <w:t xml:space="preserve">ón del servicio de retirada, transporte y almacenaje, de acuerdo con lo dispuesto en la Ordenanza Fiscal correspondiente. </w:t>
      </w:r>
    </w:p>
    <w:p w:rsidR="00B064CF" w:rsidRDefault="00E32F70">
      <w:pPr>
        <w:numPr>
          <w:ilvl w:val="0"/>
          <w:numId w:val="176"/>
        </w:numPr>
        <w:ind w:left="628" w:right="72" w:hanging="283"/>
      </w:pPr>
      <w:r>
        <w:t>La retirada de los elementos regulada en este artículo se efectuará sin perjuicio del procedimiento sancionador que, en su caso, pudi</w:t>
      </w:r>
      <w:r>
        <w:t xml:space="preserve">era incoarse. </w:t>
      </w:r>
    </w:p>
    <w:p w:rsidR="00B064CF" w:rsidRDefault="00E32F70">
      <w:pPr>
        <w:spacing w:after="11"/>
        <w:ind w:left="355" w:right="72"/>
      </w:pPr>
      <w:r>
        <w:t xml:space="preserve">Artículo 11. Ocupaciones con instalaciones y elementos especiales </w:t>
      </w:r>
    </w:p>
    <w:p w:rsidR="00B064CF" w:rsidRDefault="00E32F70">
      <w:pPr>
        <w:numPr>
          <w:ilvl w:val="0"/>
          <w:numId w:val="177"/>
        </w:numPr>
        <w:ind w:left="628" w:right="72" w:hanging="283"/>
      </w:pPr>
      <w:r>
        <w:t>El dominio público podrá ser ocupado mediante la instalación ocasional de escenarios, carpas, gradas o algún otro elemento similar de carácter eventual, cuando la característ</w:t>
      </w:r>
      <w:r>
        <w:t xml:space="preserve">ica de la actividad a desarrollar así lo requiera. </w:t>
      </w:r>
    </w:p>
    <w:p w:rsidR="00B064CF" w:rsidRDefault="00E32F70">
      <w:pPr>
        <w:numPr>
          <w:ilvl w:val="0"/>
          <w:numId w:val="177"/>
        </w:numPr>
        <w:ind w:left="628" w:right="72" w:hanging="283"/>
      </w:pPr>
      <w:r>
        <w:t>El Ayuntamiento valorará discrecionalmente la procedencia de la instalación de estos elementos especiales, pudiendo no permitirla si la considera injustificada por razón de las características de la activ</w:t>
      </w:r>
      <w:r>
        <w:t>idad a desarrollar, si concurren circunstancias de peligrosidad, o si el interés público la desaconseja. En caso de autorizarlas, el Ayuntamiento podrá imponer condiciones a su instalación, según los informes que al respecto emitan los diferentes departame</w:t>
      </w:r>
      <w:r>
        <w:t xml:space="preserve">ntos municipales. </w:t>
      </w:r>
    </w:p>
    <w:p w:rsidR="00B064CF" w:rsidRDefault="00E32F70">
      <w:pPr>
        <w:numPr>
          <w:ilvl w:val="0"/>
          <w:numId w:val="177"/>
        </w:numPr>
        <w:ind w:left="628" w:right="72" w:hanging="283"/>
      </w:pPr>
      <w:r>
        <w:t>Para ello se deberá aportar el correspondiente proyecto suscrito por técnico competente, que describa la instalación de su objeto y justifique el cumplimiento de la normativa que resulte aplicable. En los casos de instalaciones de escasa</w:t>
      </w:r>
      <w:r>
        <w:t xml:space="preserve"> entidad o complejidad técnica, dicho proyecto podrá ser sustituido por los siguientes documentos, de presentación conjunta o refundida: </w:t>
      </w:r>
    </w:p>
    <w:p w:rsidR="00B064CF" w:rsidRDefault="00E32F70">
      <w:pPr>
        <w:numPr>
          <w:ilvl w:val="1"/>
          <w:numId w:val="177"/>
        </w:numPr>
        <w:ind w:right="72" w:hanging="360"/>
      </w:pPr>
      <w:r>
        <w:t>Certificado emitido por personal técnico competente en el que éste acredite y manifieste, bajo su exclusiva responsabi</w:t>
      </w:r>
      <w:r>
        <w:t xml:space="preserve">lidad, que las instalaciones son de escasa entidad y complejidad técnica.  </w:t>
      </w:r>
    </w:p>
    <w:p w:rsidR="00B064CF" w:rsidRDefault="00E32F70">
      <w:pPr>
        <w:numPr>
          <w:ilvl w:val="1"/>
          <w:numId w:val="177"/>
        </w:numPr>
        <w:ind w:right="72" w:hanging="360"/>
      </w:pPr>
      <w:r>
        <w:t>Memoria técnica descriptiva de la instalación, redactada por personal técnico competente, con las especificaciones técnicas de todos los elementos a instalar, y descripción gráfica</w:t>
      </w:r>
      <w:r>
        <w:t xml:space="preserve"> y escrita de la instalación pretendida. </w:t>
      </w:r>
    </w:p>
    <w:p w:rsidR="00B064CF" w:rsidRDefault="00E32F70">
      <w:pPr>
        <w:numPr>
          <w:ilvl w:val="0"/>
          <w:numId w:val="177"/>
        </w:numPr>
        <w:ind w:left="628" w:right="72" w:hanging="283"/>
      </w:pPr>
      <w:r>
        <w:t xml:space="preserve">Una vez autorizada la ocupación con alguno de los elementos señalados en el número 1 de este artículo y concluido el montaje de los mismos, la persona titular de la autorización no podrá poner en funcionamiento la </w:t>
      </w:r>
      <w:r>
        <w:t>instalación si previamente no ha obtenido un certificado suscrito por técnico competente en el que quede acreditado que ésta se ajusta al proyecto o memoria presentada y reúne las condiciones de seguridad suficientes para su puesta en uso. La falta de obte</w:t>
      </w:r>
      <w:r>
        <w:t xml:space="preserve">nción de tal certificación conllevará la prohibición de poner en funcionamiento la instalación.  </w:t>
      </w:r>
    </w:p>
    <w:p w:rsidR="00B064CF" w:rsidRDefault="00E32F70">
      <w:pPr>
        <w:numPr>
          <w:ilvl w:val="0"/>
          <w:numId w:val="177"/>
        </w:numPr>
        <w:ind w:left="628" w:right="72" w:hanging="283"/>
      </w:pPr>
      <w:r>
        <w:t xml:space="preserve">Cuando sea precisa la realización de instalaciones eléctricas, la persona titular de la instalación pretendida, deberá estar en posesión de un certificado de </w:t>
      </w:r>
      <w:r>
        <w:t xml:space="preserve">la instalación eléctrica suscrito por personal instalador autorizado. </w:t>
      </w:r>
    </w:p>
    <w:p w:rsidR="00B064CF" w:rsidRDefault="00E32F70">
      <w:pPr>
        <w:spacing w:after="11"/>
        <w:ind w:left="355" w:right="72"/>
      </w:pPr>
      <w:r>
        <w:t xml:space="preserve">Artículo 12. Cierre total o parcial de los espacios públicos al tráfico rodado </w:t>
      </w:r>
    </w:p>
    <w:p w:rsidR="00B064CF" w:rsidRDefault="00E32F70">
      <w:pPr>
        <w:numPr>
          <w:ilvl w:val="0"/>
          <w:numId w:val="178"/>
        </w:numPr>
        <w:ind w:left="628" w:right="72" w:hanging="283"/>
      </w:pPr>
      <w:r>
        <w:rPr>
          <w:rFonts w:ascii="Calibri" w:eastAsia="Calibri" w:hAnsi="Calibri" w:cs="Calibri"/>
          <w:noProof/>
        </w:rPr>
        <mc:AlternateContent>
          <mc:Choice Requires="wpg">
            <w:drawing>
              <wp:anchor distT="0" distB="0" distL="114300" distR="114300" simplePos="0" relativeHeight="25190707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15503" name="Group 415503"/>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9009" name="Rectangle 39009"/>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9010" name="Rectangle 39010"/>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239 de 298 </w:t>
                              </w:r>
                            </w:p>
                          </w:txbxContent>
                        </wps:txbx>
                        <wps:bodyPr horzOverflow="overflow" vert="horz" lIns="0" tIns="0" rIns="0" bIns="0" rtlCol="0">
                          <a:noAutofit/>
                        </wps:bodyPr>
                      </wps:wsp>
                    </wpg:wgp>
                  </a:graphicData>
                </a:graphic>
              </wp:anchor>
            </w:drawing>
          </mc:Choice>
          <mc:Fallback xmlns:a="http://schemas.openxmlformats.org/drawingml/2006/main">
            <w:pict>
              <v:group id="Group 415503" style="width:12.7031pt;height:278.91pt;position:absolute;mso-position-horizontal-relative:page;mso-position-horizontal:absolute;margin-left:682.278pt;mso-position-vertical-relative:page;margin-top:533.01pt;" coordsize="1613,35421">
                <v:rect id="Rectangle 39009"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9010"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239 de 298 </w:t>
                        </w:r>
                      </w:p>
                    </w:txbxContent>
                  </v:textbox>
                </v:rect>
                <w10:wrap type="square"/>
              </v:group>
            </w:pict>
          </mc:Fallback>
        </mc:AlternateContent>
      </w:r>
      <w:r>
        <w:t>Durante el desarrollo en el dominio público municipal de las actividades o eventos que se regulan en esta Ordenanza, podrá acordarse el cierre total o parcial al</w:t>
      </w:r>
      <w:r>
        <w:t xml:space="preserve"> tráfico rodado en el emplazamiento objeto de ocupación, procurándose, no obstante, compatibilizar en la medida de lo posible el uso compartido de la vía pública por las personas asistentes al acto y por la circulación ordinaria de vehículos, aunque ésta s</w:t>
      </w:r>
      <w:r>
        <w:t xml:space="preserve">e vea entorpecida. </w:t>
      </w:r>
    </w:p>
    <w:p w:rsidR="00B064CF" w:rsidRDefault="00E32F70">
      <w:pPr>
        <w:numPr>
          <w:ilvl w:val="0"/>
          <w:numId w:val="178"/>
        </w:numPr>
        <w:ind w:left="628" w:right="72" w:hanging="283"/>
      </w:pPr>
      <w:r>
        <w:t>En los supuestos de cierre parcial a tráfico, en los que se compatibilice el uso del espacio público por las personas asistentes a las actividades o eventos con la circulación ordinaria de vehículos, la autorización deberá incluir las c</w:t>
      </w:r>
      <w:r>
        <w:t>ondiciones que hayan de cumplirse por la entidad organizadora del evento para hacer posible dicha compatibilidad, disponiéndose en todo momento del suficiente ancho de calzada para garantizar el paso de vehículos en condiciones normales y seguras de circul</w:t>
      </w:r>
      <w:r>
        <w:t xml:space="preserve">ación. </w:t>
      </w:r>
    </w:p>
    <w:p w:rsidR="00B064CF" w:rsidRDefault="00E32F70">
      <w:pPr>
        <w:numPr>
          <w:ilvl w:val="0"/>
          <w:numId w:val="178"/>
        </w:numPr>
        <w:ind w:left="628" w:right="72" w:hanging="283"/>
      </w:pPr>
      <w:r>
        <w:t>En todo caso deberán adoptarse las medidas oportunas tendentes a garantizar el paso de vehículos de emergencia, así como cuantas medidas de señalización, control y vigilancia sean necesarias para garantizar la seguridad vial en las zonas afectadas.</w:t>
      </w:r>
      <w:r>
        <w:t xml:space="preserve"> </w:t>
      </w:r>
    </w:p>
    <w:p w:rsidR="00B064CF" w:rsidRDefault="00E32F70">
      <w:pPr>
        <w:numPr>
          <w:ilvl w:val="0"/>
          <w:numId w:val="178"/>
        </w:numPr>
        <w:ind w:left="628" w:right="72" w:hanging="283"/>
      </w:pPr>
      <w:r>
        <w:t>Cualquier cierre total o parcial al tráfico rodado deberá contar con informe favorable de la Policía Local, que contendrá, en su caso, todas las medidas a que se refieren los números anteriores tendentes a garantizar las adecuadas condiciones de segurida</w:t>
      </w:r>
      <w:r>
        <w:t xml:space="preserve">d y funcionalidad en el uso del espacio público; las medidas que en tal sentido proponga la Policía en su informe quedarán incorporadas a la autorización/concesión como condiciones de eficacia de la misma. </w:t>
      </w:r>
    </w:p>
    <w:p w:rsidR="00B064CF" w:rsidRDefault="00E32F70">
      <w:pPr>
        <w:numPr>
          <w:ilvl w:val="0"/>
          <w:numId w:val="178"/>
        </w:numPr>
        <w:ind w:left="628" w:right="72" w:hanging="283"/>
      </w:pPr>
      <w:r>
        <w:t>No obstante, lo dispuesto en los párrafos anterio</w:t>
      </w:r>
      <w:r>
        <w:t>res, si una vez iniciada la ocupación la Policía Local constatase que existe una situación de riesgo, ya sea para los asistentes al acto, para la circulación rodada o para terceras personas, adoptará de forma inmediata las medidas necesarias para restablec</w:t>
      </w:r>
      <w:r>
        <w:t xml:space="preserve">er la seguridad, pudiendo incluso proponer la suspensión del evento a la persona o entidad responsable del dispositivo de seguridad.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CAPÍTULO 2 ASPECTOS PROCEDIMENTALES Y NORMAS COMUNES  </w:t>
      </w:r>
    </w:p>
    <w:p w:rsidR="00B064CF" w:rsidRDefault="00E32F70">
      <w:pPr>
        <w:spacing w:after="11"/>
        <w:ind w:left="355" w:right="72"/>
      </w:pPr>
      <w:r>
        <w:t xml:space="preserve">Artículo 13. Títulos habilitantes </w:t>
      </w:r>
    </w:p>
    <w:p w:rsidR="00B064CF" w:rsidRDefault="00E32F70">
      <w:pPr>
        <w:numPr>
          <w:ilvl w:val="0"/>
          <w:numId w:val="179"/>
        </w:numPr>
        <w:ind w:left="628" w:right="72" w:hanging="283"/>
      </w:pPr>
      <w:r>
        <w:t>La ocupación del dominio públi</w:t>
      </w:r>
      <w:r>
        <w:t xml:space="preserve">co, en cualquiera de los supuestos regulados en esta Ordenanza, se sujeta a concesión administrativa cuando suponga un uso privativo o anormal de los bienes integrados en el dominio, y a Licencia de Ocupación en el resto de los casos. </w:t>
      </w:r>
    </w:p>
    <w:p w:rsidR="00B064CF" w:rsidRDefault="00E32F70">
      <w:pPr>
        <w:numPr>
          <w:ilvl w:val="0"/>
          <w:numId w:val="179"/>
        </w:numPr>
        <w:ind w:left="628" w:right="72" w:hanging="283"/>
      </w:pPr>
      <w:r>
        <w:t>El otorgamiento de l</w:t>
      </w:r>
      <w:r>
        <w:t>a Licencia o concesión para la ocupación del dominio público no exime a la persona autorizada o concesionaria de la obligación de obtener, en su caso, las demás autorizaciones o licencias que resultaran preceptivas por razón de la actividad, localización u</w:t>
      </w:r>
      <w:r>
        <w:t xml:space="preserve"> obra que, en su caso, vaya a desarrollarse.  </w:t>
      </w:r>
    </w:p>
    <w:p w:rsidR="00B064CF" w:rsidRDefault="00E32F70">
      <w:pPr>
        <w:numPr>
          <w:ilvl w:val="0"/>
          <w:numId w:val="179"/>
        </w:numPr>
        <w:ind w:left="628" w:right="72" w:hanging="283"/>
      </w:pPr>
      <w:r>
        <w:t xml:space="preserve">Las Licencias o concesiones para la ocupación del dominio público podrán ser transmitidas salvo cuando, de conformidad con lo dispuesto en el artículo 92.2 de la Ley 33/2003 de 3 de noviembre de Patrimonio de </w:t>
      </w:r>
      <w:r>
        <w:t xml:space="preserve">las Administraciones Públicas se hayan otorgado teniendo en cuenta circunstancias personales de la persona autorizada o su número se haya limitado o en el propio otorgamiento se hayan impuesto condiciones que limitan la transmisión. </w:t>
      </w:r>
    </w:p>
    <w:p w:rsidR="00B064CF" w:rsidRDefault="00E32F70">
      <w:pPr>
        <w:numPr>
          <w:ilvl w:val="0"/>
          <w:numId w:val="179"/>
        </w:numPr>
        <w:ind w:left="628" w:right="72" w:hanging="283"/>
      </w:pPr>
      <w:r>
        <w:t>Las Licencias y/o conc</w:t>
      </w:r>
      <w:r>
        <w:t xml:space="preserve">esiones se otorgarán salvo el derecho de propiedad y sin perjuicio de derecho de terceros. </w:t>
      </w:r>
    </w:p>
    <w:p w:rsidR="00B064CF" w:rsidRDefault="00E32F70">
      <w:pPr>
        <w:numPr>
          <w:ilvl w:val="0"/>
          <w:numId w:val="179"/>
        </w:numPr>
        <w:ind w:left="628" w:right="72" w:hanging="283"/>
      </w:pPr>
      <w:r>
        <w:rPr>
          <w:rFonts w:ascii="Calibri" w:eastAsia="Calibri" w:hAnsi="Calibri" w:cs="Calibri"/>
          <w:noProof/>
        </w:rPr>
        <mc:AlternateContent>
          <mc:Choice Requires="wpg">
            <w:drawing>
              <wp:anchor distT="0" distB="0" distL="114300" distR="114300" simplePos="0" relativeHeight="25190809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15646" name="Group 415646"/>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9123" name="Rectangle 39123"/>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9124" name="Rectangle 39124"/>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240 de 298 </w:t>
                              </w:r>
                            </w:p>
                          </w:txbxContent>
                        </wps:txbx>
                        <wps:bodyPr horzOverflow="overflow" vert="horz" lIns="0" tIns="0" rIns="0" bIns="0" rtlCol="0">
                          <a:noAutofit/>
                        </wps:bodyPr>
                      </wps:wsp>
                    </wpg:wgp>
                  </a:graphicData>
                </a:graphic>
              </wp:anchor>
            </w:drawing>
          </mc:Choice>
          <mc:Fallback xmlns:a="http://schemas.openxmlformats.org/drawingml/2006/main">
            <w:pict>
              <v:group id="Group 415646" style="width:12.7031pt;height:278.91pt;position:absolute;mso-position-horizontal-relative:page;mso-position-horizontal:absolute;margin-left:682.278pt;mso-position-vertical-relative:page;margin-top:533.01pt;" coordsize="1613,35421">
                <v:rect id="Rectangle 39123"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9124"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240 de 298 </w:t>
                        </w:r>
                      </w:p>
                    </w:txbxContent>
                  </v:textbox>
                </v:rect>
                <w10:wrap type="square"/>
              </v:group>
            </w:pict>
          </mc:Fallback>
        </mc:AlternateContent>
      </w:r>
      <w:r>
        <w:t>En virtud de las notas de inalienabilidad e imprescriptibilidad de los bienes de dominio público, la mera concurrencia de los requisitos necesarios para que la o</w:t>
      </w:r>
      <w:r>
        <w:t>cupación pueda ser autorizada no otorga derecho alguno a la obtención del título. El Ayuntamiento, considerando todas las circunstancias reales o previsibles, otorgará o denegará de forma motivada las licencias y concesiones teniendo en cuenta que el inter</w:t>
      </w:r>
      <w:r>
        <w:t xml:space="preserve">és general ha de prevalecer sobre el particular. </w:t>
      </w:r>
    </w:p>
    <w:p w:rsidR="00B064CF" w:rsidRDefault="00E32F70">
      <w:pPr>
        <w:numPr>
          <w:ilvl w:val="0"/>
          <w:numId w:val="179"/>
        </w:numPr>
        <w:ind w:left="628" w:right="72" w:hanging="283"/>
      </w:pPr>
      <w:r>
        <w:t>Los títulos que se otorguen no generarán derechos adicionales a favor de las personas autorizadas o concesionarias que vayan más allá de la ocupación del dominio público en las condiciones que se establezcan, ni presupondrá un reconocimiento tácito para la</w:t>
      </w:r>
      <w:r>
        <w:t xml:space="preserve"> instalación de otros elementos o la realización de otras actividades diferentes a las autorizadas. </w:t>
      </w:r>
    </w:p>
    <w:p w:rsidR="00B064CF" w:rsidRDefault="00E32F70">
      <w:pPr>
        <w:numPr>
          <w:ilvl w:val="0"/>
          <w:numId w:val="179"/>
        </w:numPr>
        <w:ind w:left="628" w:right="72" w:hanging="283"/>
      </w:pPr>
      <w:r>
        <w:t xml:space="preserve">Las Licencias/concesiones que se otorguen contendrán, al menos, los siguientes datos:  </w:t>
      </w:r>
    </w:p>
    <w:p w:rsidR="00B064CF" w:rsidRDefault="00E32F70">
      <w:pPr>
        <w:tabs>
          <w:tab w:val="center" w:pos="736"/>
          <w:tab w:val="center" w:pos="2293"/>
        </w:tabs>
        <w:spacing w:after="146"/>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 xml:space="preserve">Titular de la autorización. </w:t>
      </w:r>
    </w:p>
    <w:p w:rsidR="00B064CF" w:rsidRDefault="00E32F70">
      <w:pPr>
        <w:tabs>
          <w:tab w:val="center" w:pos="736"/>
          <w:tab w:val="center" w:pos="3044"/>
        </w:tabs>
        <w:spacing w:after="143"/>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Lugar y emplazamiento de la oc</w:t>
      </w:r>
      <w:r>
        <w:t xml:space="preserve">upación. </w:t>
      </w:r>
    </w:p>
    <w:p w:rsidR="00B064CF" w:rsidRDefault="00E32F70">
      <w:pPr>
        <w:tabs>
          <w:tab w:val="center" w:pos="736"/>
          <w:tab w:val="center" w:pos="3123"/>
        </w:tabs>
        <w:spacing w:after="145"/>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 xml:space="preserve">Dimensiones y superficie de la ocupación. </w:t>
      </w:r>
    </w:p>
    <w:p w:rsidR="00B064CF" w:rsidRDefault="00E32F70">
      <w:pPr>
        <w:tabs>
          <w:tab w:val="center" w:pos="736"/>
          <w:tab w:val="center" w:pos="4809"/>
        </w:tabs>
        <w:spacing w:after="143"/>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 xml:space="preserve">Número de elementos a instalar y características de los mismos, en su caso. </w:t>
      </w:r>
    </w:p>
    <w:p w:rsidR="00B064CF" w:rsidRDefault="00E32F70">
      <w:pPr>
        <w:tabs>
          <w:tab w:val="center" w:pos="736"/>
          <w:tab w:val="center" w:pos="2805"/>
        </w:tabs>
        <w:spacing w:after="144"/>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 xml:space="preserve">Fecha de inicio y plazo de vigencia. </w:t>
      </w:r>
    </w:p>
    <w:p w:rsidR="00B064CF" w:rsidRDefault="00E32F70">
      <w:pPr>
        <w:tabs>
          <w:tab w:val="center" w:pos="736"/>
          <w:tab w:val="center" w:pos="2004"/>
        </w:tabs>
        <w:spacing w:after="146"/>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 xml:space="preserve">Horario autorizado. </w:t>
      </w:r>
    </w:p>
    <w:p w:rsidR="00B064CF" w:rsidRDefault="00E32F70">
      <w:pPr>
        <w:tabs>
          <w:tab w:val="center" w:pos="736"/>
          <w:tab w:val="center" w:pos="3790"/>
        </w:tabs>
        <w:spacing w:after="143"/>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r>
      <w:r>
        <w:t xml:space="preserve">Condiciones particulares de la autorización, en su caso. </w:t>
      </w:r>
    </w:p>
    <w:p w:rsidR="00B064CF" w:rsidRDefault="00E32F70">
      <w:pPr>
        <w:tabs>
          <w:tab w:val="center" w:pos="736"/>
          <w:tab w:val="center" w:pos="4769"/>
        </w:tabs>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 xml:space="preserve">Descripción gráfica de la superficie susceptible de ser ocupada, en su caso. </w:t>
      </w:r>
    </w:p>
    <w:p w:rsidR="00B064CF" w:rsidRDefault="00E32F70">
      <w:pPr>
        <w:numPr>
          <w:ilvl w:val="0"/>
          <w:numId w:val="179"/>
        </w:numPr>
        <w:ind w:left="628" w:right="72" w:hanging="283"/>
      </w:pPr>
      <w:r>
        <w:t>Cuando la instalación de algunos de los elementos con los que se fuera a ocupar el dominio público requiriese la eje</w:t>
      </w:r>
      <w:r>
        <w:t>cución de obras menores, éstas quedarían amparadas por la propia autorización o concesión para ocupar el dominio público, siempre que dichas obras estuvieran debidamente previstas y descritas en la documentación que acompañe la solicitud de autorización o,</w:t>
      </w:r>
      <w:r>
        <w:t xml:space="preserve"> en su caso, en las condiciones de la licencia y/o concesión. </w:t>
      </w:r>
    </w:p>
    <w:p w:rsidR="00B064CF" w:rsidRDefault="00E32F70">
      <w:pPr>
        <w:numPr>
          <w:ilvl w:val="0"/>
          <w:numId w:val="179"/>
        </w:numPr>
        <w:ind w:left="628" w:right="72" w:hanging="283"/>
      </w:pPr>
      <w:r>
        <w:t>El documento acreditativo de la autorización y el plano que describa la instalación autorizada deberá exhibirse, de forma permanente, en un lugar visible de la instalación o del establecimiento</w:t>
      </w:r>
      <w:r>
        <w:t xml:space="preserve"> al que presta servicio. </w:t>
      </w:r>
    </w:p>
    <w:p w:rsidR="00B064CF" w:rsidRDefault="00E32F70">
      <w:pPr>
        <w:spacing w:after="11"/>
        <w:ind w:left="355" w:right="72"/>
      </w:pPr>
      <w:r>
        <w:t xml:space="preserve">Artículo 14. Competencias </w:t>
      </w:r>
    </w:p>
    <w:p w:rsidR="00B064CF" w:rsidRDefault="00E32F70">
      <w:pPr>
        <w:spacing w:after="275"/>
        <w:ind w:left="628" w:right="72" w:hanging="283"/>
      </w:pPr>
      <w:r>
        <w:t>3. El órgano competente para la resolución de los procedimientos regulados en esta Ordenanza será la Alcaldía-Presidencia del Ayuntamiento de Candelaria, salvo delegación de esta atribución en otro órgan</w:t>
      </w:r>
      <w:r>
        <w:t xml:space="preserve">o. </w:t>
      </w:r>
    </w:p>
    <w:p w:rsidR="00B064CF" w:rsidRDefault="00E32F70">
      <w:pPr>
        <w:numPr>
          <w:ilvl w:val="0"/>
          <w:numId w:val="180"/>
        </w:numPr>
        <w:spacing w:after="275"/>
        <w:ind w:left="628" w:right="72" w:hanging="283"/>
      </w:pPr>
      <w:r>
        <w:rPr>
          <w:rFonts w:ascii="Calibri" w:eastAsia="Calibri" w:hAnsi="Calibri" w:cs="Calibri"/>
          <w:noProof/>
        </w:rPr>
        <mc:AlternateContent>
          <mc:Choice Requires="wpg">
            <w:drawing>
              <wp:anchor distT="0" distB="0" distL="114300" distR="114300" simplePos="0" relativeHeight="25190912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15900" name="Group 415900"/>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9229" name="Rectangle 39229"/>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9230" name="Rectangle 39230"/>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241 de 298 </w:t>
                              </w:r>
                            </w:p>
                          </w:txbxContent>
                        </wps:txbx>
                        <wps:bodyPr horzOverflow="overflow" vert="horz" lIns="0" tIns="0" rIns="0" bIns="0" rtlCol="0">
                          <a:noAutofit/>
                        </wps:bodyPr>
                      </wps:wsp>
                    </wpg:wgp>
                  </a:graphicData>
                </a:graphic>
              </wp:anchor>
            </w:drawing>
          </mc:Choice>
          <mc:Fallback xmlns:a="http://schemas.openxmlformats.org/drawingml/2006/main">
            <w:pict>
              <v:group id="Group 415900" style="width:12.7031pt;height:278.91pt;position:absolute;mso-position-horizontal-relative:page;mso-position-horizontal:absolute;margin-left:682.278pt;mso-position-vertical-relative:page;margin-top:533.01pt;" coordsize="1613,35421">
                <v:rect id="Rectangle 39229"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9230"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241 de 298 </w:t>
                        </w:r>
                      </w:p>
                    </w:txbxContent>
                  </v:textbox>
                </v:rect>
                <w10:wrap type="square"/>
              </v:group>
            </w:pict>
          </mc:Fallback>
        </mc:AlternateContent>
      </w:r>
      <w:r>
        <w:t>La inspección y control de las actividades que se desarrollen en los espacios de dominio público municipal, así como la ocupación del mismo con cualquier clase de elemento o instalación, corresponde a la Policía Local y a la Inspección Urbanística del Ayun</w:t>
      </w:r>
      <w:r>
        <w:t xml:space="preserve">tamiento de Candelaria. Sus miembros, en calidad de agentes de la autoridad, velarán por el fiel e íntegro cumplimiento de lo dispuesto en esta Ordenanza, impidiendo todos aquellos usos, aprovechamientos u ocupaciones que no cuenten con la correspondiente </w:t>
      </w:r>
      <w:r>
        <w:t>autorización, y vigilando que las personas o entidades que lo ocupen al amparo de un título cumplan las condiciones y requisitos fijados en el mismo y en esta norma, para lo cual, primordialmente, vigilarán, disuadirán, impedirán y denunciarán las infracci</w:t>
      </w:r>
      <w:r>
        <w:t xml:space="preserve">ones tipificadas en el Titulo IV. </w:t>
      </w:r>
    </w:p>
    <w:p w:rsidR="00B064CF" w:rsidRDefault="00E32F70">
      <w:pPr>
        <w:numPr>
          <w:ilvl w:val="0"/>
          <w:numId w:val="180"/>
        </w:numPr>
        <w:ind w:left="628" w:right="72" w:hanging="283"/>
      </w:pPr>
      <w:r>
        <w:t>De acuerdo con lo establecido en la normativa tributaria, corresponderá al Departamento municipal con competencia en materia tributaria, la comprobación e inspección fiscal de las ocupaciones del dominio público, hayan si</w:t>
      </w:r>
      <w:r>
        <w:t xml:space="preserve">do o no autorizadas. </w:t>
      </w:r>
    </w:p>
    <w:p w:rsidR="00B064CF" w:rsidRDefault="00E32F70">
      <w:pPr>
        <w:spacing w:after="11"/>
        <w:ind w:left="355" w:right="72"/>
      </w:pPr>
      <w:r>
        <w:t xml:space="preserve">Artículo 15. Procedimiento de autorización </w:t>
      </w:r>
    </w:p>
    <w:p w:rsidR="00B064CF" w:rsidRDefault="00E32F70">
      <w:pPr>
        <w:numPr>
          <w:ilvl w:val="0"/>
          <w:numId w:val="181"/>
        </w:numPr>
        <w:ind w:left="628" w:right="72" w:hanging="283"/>
      </w:pPr>
      <w:r>
        <w:t>Los procedimientos de autorización para la ocupación del dominio público se ajustarán a lo dispuesto en la Ley 39/2015, de 1 de octubre, del Procedimiento Administrativo Común de las Adminis</w:t>
      </w:r>
      <w:r>
        <w:t xml:space="preserve">traciones Públicas (en adelante LPACAP), sin perjuicio de las peculiaridades establecidas en la presente Ordenanza. </w:t>
      </w:r>
    </w:p>
    <w:p w:rsidR="00B064CF" w:rsidRDefault="00E32F70">
      <w:pPr>
        <w:numPr>
          <w:ilvl w:val="0"/>
          <w:numId w:val="181"/>
        </w:numPr>
        <w:ind w:left="628" w:right="72" w:hanging="283"/>
      </w:pPr>
      <w:r>
        <w:t>Cuando el procedimiento se inicie a instancia de persona interesada, la solicitud contendrá los datos señalados en el artículo 66.1 de la L</w:t>
      </w:r>
      <w:r>
        <w:t xml:space="preserve">PACAP y se acompañará de la documentación que se señala en el modelo de solicitud. </w:t>
      </w:r>
    </w:p>
    <w:p w:rsidR="00B064CF" w:rsidRDefault="00E32F70">
      <w:pPr>
        <w:numPr>
          <w:ilvl w:val="0"/>
          <w:numId w:val="181"/>
        </w:numPr>
        <w:ind w:left="628" w:right="72" w:hanging="283"/>
      </w:pPr>
      <w:r>
        <w:t>Si la solicitud de iniciación no reúne los requisitos señalados por la normativa vigente o si la documentación está incompleta, se requerirá al interesado para que, en el p</w:t>
      </w:r>
      <w:r>
        <w:t xml:space="preserve">lazo de diez días, subsane la falta o acompañe los documentos preceptivos con indicación de que, si así no lo hiciera, se le tendrá por desistido de su petición, archivándose sin más trámites con los efectos previstos en el artículo 21.1 de la LPACAP. </w:t>
      </w:r>
    </w:p>
    <w:p w:rsidR="00B064CF" w:rsidRDefault="00E32F70">
      <w:pPr>
        <w:numPr>
          <w:ilvl w:val="0"/>
          <w:numId w:val="181"/>
        </w:numPr>
        <w:ind w:left="628" w:right="72" w:hanging="283"/>
      </w:pPr>
      <w:r>
        <w:t>Pre</w:t>
      </w:r>
      <w:r>
        <w:t xml:space="preserve">via emisión de los informes técnicos y jurídicos que correspondan, y en su caso informe de la Policía Local, el órgano competente resolverá concediendo o denegando motivadamente la autorización solicitada. </w:t>
      </w:r>
    </w:p>
    <w:p w:rsidR="00B064CF" w:rsidRDefault="00E32F70">
      <w:pPr>
        <w:numPr>
          <w:ilvl w:val="0"/>
          <w:numId w:val="181"/>
        </w:numPr>
        <w:ind w:left="628" w:right="72" w:hanging="283"/>
      </w:pPr>
      <w:r>
        <w:t>La resolución del procedimiento deberá producirse</w:t>
      </w:r>
      <w:r>
        <w:t xml:space="preserve"> en el plazo máximo de tres meses, contado desde el día siguiente a la fecha en que se haya presentado en forma y completa la correspondiente solicitud. </w:t>
      </w:r>
    </w:p>
    <w:p w:rsidR="00B064CF" w:rsidRDefault="00E32F70">
      <w:pPr>
        <w:numPr>
          <w:ilvl w:val="0"/>
          <w:numId w:val="181"/>
        </w:numPr>
        <w:ind w:left="628" w:right="72" w:hanging="283"/>
      </w:pPr>
      <w:r>
        <w:t>El transcurso del plazo máximo fijado en el número anterior podrá interrumpirse por una sola vez media</w:t>
      </w:r>
      <w:r>
        <w:t xml:space="preserve">nte requerimiento para subsanación de deficiencias de fondo. El requerimiento deberá precisar las deficiencias y el plazo para su subsanación, que en ningún caso será inferior a un mes. </w:t>
      </w:r>
    </w:p>
    <w:p w:rsidR="00B064CF" w:rsidRDefault="00E32F70">
      <w:pPr>
        <w:numPr>
          <w:ilvl w:val="0"/>
          <w:numId w:val="181"/>
        </w:numPr>
        <w:ind w:left="628" w:right="72" w:hanging="283"/>
      </w:pPr>
      <w:r>
        <w:t xml:space="preserve">Las solicitudes no resueltas expresamente en el plazo establecido en </w:t>
      </w:r>
      <w:r>
        <w:t xml:space="preserve">el número 5 del presente artículo, se entenderán denegadas. </w:t>
      </w:r>
    </w:p>
    <w:p w:rsidR="00B064CF" w:rsidRDefault="00E32F70">
      <w:pPr>
        <w:spacing w:after="11"/>
        <w:ind w:left="355" w:right="72"/>
      </w:pPr>
      <w:r>
        <w:t xml:space="preserve">Artículo 16. Procedimiento de concesión </w:t>
      </w:r>
    </w:p>
    <w:p w:rsidR="00B064CF" w:rsidRDefault="00E32F70">
      <w:pPr>
        <w:spacing w:after="0"/>
        <w:ind w:left="355" w:right="72"/>
      </w:pPr>
      <w:r>
        <w:t>Las concesiones se sujetarán, en cuanto al procedimiento de otorgamiento, formalidades y condiciones, a lo dispuesto en la presente ordenanza, y a la norm</w:t>
      </w:r>
      <w:r>
        <w:t xml:space="preserve">ativa que resulte aplicable en materia de entidades locales y bienes de las mismas. </w:t>
      </w:r>
    </w:p>
    <w:p w:rsidR="00B064CF" w:rsidRDefault="00E32F70">
      <w:pPr>
        <w:spacing w:after="11"/>
        <w:ind w:left="355" w:right="72"/>
      </w:pPr>
      <w:r>
        <w:t xml:space="preserve">Artículo 17. Plazos de vigencia </w:t>
      </w:r>
    </w:p>
    <w:p w:rsidR="00B064CF" w:rsidRDefault="00E32F70">
      <w:pPr>
        <w:numPr>
          <w:ilvl w:val="0"/>
          <w:numId w:val="182"/>
        </w:numPr>
        <w:ind w:right="72" w:hanging="708"/>
      </w:pPr>
      <w:r>
        <w:t xml:space="preserve">Toda autorización o concesión para la ocupación del dominio público será otorgada con plazo de vigencia. </w:t>
      </w:r>
    </w:p>
    <w:p w:rsidR="00B064CF" w:rsidRDefault="00E32F70">
      <w:pPr>
        <w:numPr>
          <w:ilvl w:val="0"/>
          <w:numId w:val="182"/>
        </w:numPr>
        <w:ind w:right="72" w:hanging="708"/>
      </w:pPr>
      <w:r>
        <w:t>La ocupación del dominio público</w:t>
      </w:r>
      <w:r>
        <w:t xml:space="preserve"> no podrá tener carácter permanente. </w:t>
      </w:r>
    </w:p>
    <w:p w:rsidR="00B064CF" w:rsidRDefault="00E32F70">
      <w:pPr>
        <w:numPr>
          <w:ilvl w:val="0"/>
          <w:numId w:val="182"/>
        </w:numPr>
        <w:ind w:right="72" w:hanging="708"/>
      </w:pPr>
      <w:r>
        <w:rPr>
          <w:rFonts w:ascii="Calibri" w:eastAsia="Calibri" w:hAnsi="Calibri" w:cs="Calibri"/>
          <w:noProof/>
        </w:rPr>
        <mc:AlternateContent>
          <mc:Choice Requires="wpg">
            <w:drawing>
              <wp:anchor distT="0" distB="0" distL="114300" distR="114300" simplePos="0" relativeHeight="25191014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15795" name="Group 415795"/>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9347" name="Rectangle 39347"/>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9348" name="Rectangle 39348"/>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242 de 298 </w:t>
                              </w:r>
                            </w:p>
                          </w:txbxContent>
                        </wps:txbx>
                        <wps:bodyPr horzOverflow="overflow" vert="horz" lIns="0" tIns="0" rIns="0" bIns="0" rtlCol="0">
                          <a:noAutofit/>
                        </wps:bodyPr>
                      </wps:wsp>
                    </wpg:wgp>
                  </a:graphicData>
                </a:graphic>
              </wp:anchor>
            </w:drawing>
          </mc:Choice>
          <mc:Fallback xmlns:a="http://schemas.openxmlformats.org/drawingml/2006/main">
            <w:pict>
              <v:group id="Group 415795" style="width:12.7031pt;height:278.91pt;position:absolute;mso-position-horizontal-relative:page;mso-position-horizontal:absolute;margin-left:682.278pt;mso-position-vertical-relative:page;margin-top:533.01pt;" coordsize="1613,35421">
                <v:rect id="Rectangle 39347"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9348"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242 de 298 </w:t>
                        </w:r>
                      </w:p>
                    </w:txbxContent>
                  </v:textbox>
                </v:rect>
                <w10:wrap type="square"/>
              </v:group>
            </w:pict>
          </mc:Fallback>
        </mc:AlternateContent>
      </w:r>
      <w:r>
        <w:t>En el caso de ocupaciones anuales o temporales, las renovaciones de las licencias serán tácitas, salvo en el caso de impago de las tasas. La renovación tampoco será tácita en los supuestos de renuncia o de modificación de las condiciones de la ocupación, e</w:t>
      </w:r>
      <w:r>
        <w:t xml:space="preserve">n cuyos casos las personas titulares vendrán obligadas a presentar, respectivamente, escrito indicativo de la renuncia o nueva solicitud de licencia. </w:t>
      </w:r>
    </w:p>
    <w:p w:rsidR="00B064CF" w:rsidRDefault="00E32F70">
      <w:pPr>
        <w:numPr>
          <w:ilvl w:val="0"/>
          <w:numId w:val="182"/>
        </w:numPr>
        <w:ind w:right="72" w:hanging="708"/>
      </w:pPr>
      <w:r>
        <w:t xml:space="preserve">El Ayuntamiento de Candelaria podrá modificar, suspender o revocar el título otorgado, previo trámite de </w:t>
      </w:r>
      <w:r>
        <w:t xml:space="preserve">audiencia a su titular: </w:t>
      </w:r>
    </w:p>
    <w:p w:rsidR="00B064CF" w:rsidRDefault="00E32F70">
      <w:pPr>
        <w:tabs>
          <w:tab w:val="center" w:pos="748"/>
          <w:tab w:val="center" w:pos="3753"/>
        </w:tabs>
        <w:spacing w:after="143"/>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 xml:space="preserve">por razones de interés público debidamente motivadas </w:t>
      </w:r>
    </w:p>
    <w:p w:rsidR="00B064CF" w:rsidRDefault="00E32F70">
      <w:pPr>
        <w:tabs>
          <w:tab w:val="center" w:pos="748"/>
          <w:tab w:val="right" w:pos="10005"/>
        </w:tabs>
        <w:spacing w:after="144"/>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 xml:space="preserve">por incumplimiento de los requisitos y obligaciones establecidos en la presente Ordenanza  </w:t>
      </w:r>
    </w:p>
    <w:p w:rsidR="00B064CF" w:rsidRDefault="00E32F70">
      <w:pPr>
        <w:tabs>
          <w:tab w:val="center" w:pos="748"/>
          <w:tab w:val="center" w:pos="4143"/>
        </w:tabs>
        <w:spacing w:after="145"/>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 xml:space="preserve">por inobservancia de las condiciones de la propia autorización, </w:t>
      </w:r>
    </w:p>
    <w:p w:rsidR="00B064CF" w:rsidRDefault="00E32F70">
      <w:pPr>
        <w:ind w:left="1080" w:right="72" w:hanging="360"/>
      </w:pPr>
      <w:r>
        <w:rPr>
          <w:rFonts w:ascii="Segoe UI Symbol" w:eastAsia="Segoe UI Symbol" w:hAnsi="Segoe UI Symbol" w:cs="Segoe UI Symbol"/>
        </w:rPr>
        <w:t></w:t>
      </w:r>
      <w:r>
        <w:t xml:space="preserve"> por in</w:t>
      </w:r>
      <w:r>
        <w:t xml:space="preserve">compatibilidad de la ocupación con la normativa y/o con las condiciones técnicas generales aprobadas con posterioridad </w:t>
      </w:r>
    </w:p>
    <w:p w:rsidR="00B064CF" w:rsidRDefault="00E32F70">
      <w:pPr>
        <w:ind w:left="1080" w:right="72" w:hanging="360"/>
      </w:pPr>
      <w:r>
        <w:rPr>
          <w:rFonts w:ascii="Segoe UI Symbol" w:eastAsia="Segoe UI Symbol" w:hAnsi="Segoe UI Symbol" w:cs="Segoe UI Symbol"/>
        </w:rPr>
        <w:t></w:t>
      </w:r>
      <w:r>
        <w:t xml:space="preserve"> por desaparición de las circunstancias que motivaron su otorgamiento o sobrevinieran otras que, de haber existido, habrían justificado</w:t>
      </w:r>
      <w:r>
        <w:t xml:space="preserve"> su denegación </w:t>
      </w:r>
    </w:p>
    <w:p w:rsidR="00B064CF" w:rsidRDefault="00E32F70">
      <w:pPr>
        <w:tabs>
          <w:tab w:val="center" w:pos="748"/>
          <w:tab w:val="center" w:pos="3061"/>
        </w:tabs>
        <w:spacing w:after="143"/>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 xml:space="preserve">por producir daños en el dominio público </w:t>
      </w:r>
    </w:p>
    <w:p w:rsidR="00B064CF" w:rsidRDefault="00E32F70">
      <w:pPr>
        <w:spacing w:after="0" w:line="367" w:lineRule="auto"/>
        <w:ind w:left="730" w:right="1324"/>
      </w:pPr>
      <w:r>
        <w:rPr>
          <w:rFonts w:ascii="Segoe UI Symbol" w:eastAsia="Segoe UI Symbol" w:hAnsi="Segoe UI Symbol" w:cs="Segoe UI Symbol"/>
        </w:rPr>
        <w:t></w:t>
      </w:r>
      <w:r>
        <w:t xml:space="preserve"> </w:t>
      </w:r>
      <w:r>
        <w:tab/>
        <w:t xml:space="preserve">por impedir la utilización del suelo para actividades de mayor interés público  </w:t>
      </w:r>
      <w:r>
        <w:rPr>
          <w:rFonts w:ascii="Segoe UI Symbol" w:eastAsia="Segoe UI Symbol" w:hAnsi="Segoe UI Symbol" w:cs="Segoe UI Symbol"/>
        </w:rPr>
        <w:t></w:t>
      </w:r>
      <w:r>
        <w:t xml:space="preserve"> </w:t>
      </w:r>
      <w:r>
        <w:tab/>
        <w:t xml:space="preserve">por menoscabar el uso general. </w:t>
      </w:r>
    </w:p>
    <w:p w:rsidR="00B064CF" w:rsidRDefault="00E32F70">
      <w:pPr>
        <w:numPr>
          <w:ilvl w:val="0"/>
          <w:numId w:val="182"/>
        </w:numPr>
        <w:ind w:right="72" w:hanging="708"/>
      </w:pPr>
      <w:r>
        <w:t>La modificación, suspensión o revocación de una autorización no conlleva der</w:t>
      </w:r>
      <w:r>
        <w:t>echo a indemnización. La modificación, suspensión o revocación de una concesión sólo procederá si concurren circunstancias de interés público que lo motiven y el resarcimiento de los daños producidos en tales casos se producirá, si procediere, en los térmi</w:t>
      </w:r>
      <w:r>
        <w:t xml:space="preserve">nos previstos en las condiciones de la concesión. </w:t>
      </w:r>
    </w:p>
    <w:p w:rsidR="00B064CF" w:rsidRDefault="00E32F70">
      <w:pPr>
        <w:spacing w:after="11"/>
        <w:ind w:left="355" w:right="72"/>
      </w:pPr>
      <w:r>
        <w:t xml:space="preserve">Artículo 18. Obligaciones tributarias </w:t>
      </w:r>
    </w:p>
    <w:p w:rsidR="00B064CF" w:rsidRDefault="00E32F70">
      <w:pPr>
        <w:numPr>
          <w:ilvl w:val="0"/>
          <w:numId w:val="183"/>
        </w:numPr>
        <w:ind w:left="628" w:right="72" w:hanging="283"/>
      </w:pPr>
      <w:r>
        <w:t xml:space="preserve">La ocupación de los espacios de dominio público aparejará, en todo caso, la exacción de la correspondiente tasa municipal, según lo determinado en la Ordenanza fiscal correspondiente. </w:t>
      </w:r>
    </w:p>
    <w:p w:rsidR="00B064CF" w:rsidRDefault="00E32F70">
      <w:pPr>
        <w:numPr>
          <w:ilvl w:val="0"/>
          <w:numId w:val="183"/>
        </w:numPr>
        <w:ind w:left="628" w:right="72" w:hanging="283"/>
      </w:pPr>
      <w:r>
        <w:t xml:space="preserve">En los supuestos de modificación, suspensión o revocación previstos en </w:t>
      </w:r>
      <w:r>
        <w:t xml:space="preserve">el número 4 y 5 del artículo anterior, y a los efectos tributarios que procedan, se estará a lo dispuesto en la correspondiente Ordenanza Fiscal. </w:t>
      </w:r>
    </w:p>
    <w:p w:rsidR="00B064CF" w:rsidRDefault="00E32F70">
      <w:pPr>
        <w:numPr>
          <w:ilvl w:val="0"/>
          <w:numId w:val="183"/>
        </w:numPr>
        <w:ind w:left="628" w:right="72" w:hanging="283"/>
      </w:pPr>
      <w:r>
        <w:t>En ningún caso podrá autorizarse la ocupación del dominio público a personas físicas o jurídicas que no se ha</w:t>
      </w:r>
      <w:r>
        <w:t xml:space="preserve">llen al corriente en sus obligaciones tributarias y con la Seguridad Social. </w:t>
      </w:r>
    </w:p>
    <w:p w:rsidR="00B064CF" w:rsidRDefault="00E32F70">
      <w:pPr>
        <w:numPr>
          <w:ilvl w:val="0"/>
          <w:numId w:val="183"/>
        </w:numPr>
        <w:ind w:left="628" w:right="72" w:hanging="283"/>
      </w:pPr>
      <w:r>
        <w:t xml:space="preserve">El incumplimiento de las obligaciones tributarias municipales, conforme a los establecido en la normativa tributaria, motivará que no se renueven las licencias otorgadas. </w:t>
      </w:r>
    </w:p>
    <w:p w:rsidR="00B064CF" w:rsidRDefault="00E32F70">
      <w:pPr>
        <w:spacing w:after="0" w:line="259" w:lineRule="auto"/>
        <w:ind w:left="360" w:firstLine="0"/>
        <w:jc w:val="left"/>
      </w:pPr>
      <w:r>
        <w:t xml:space="preserve"> </w:t>
      </w:r>
    </w:p>
    <w:p w:rsidR="00B064CF" w:rsidRDefault="00E32F70">
      <w:pPr>
        <w:spacing w:after="11"/>
        <w:ind w:left="355" w:right="72"/>
      </w:pPr>
      <w:r>
        <w:t>TÍTU</w:t>
      </w:r>
      <w:r>
        <w:t xml:space="preserve">LO III. CONDICIONES PARTICULARES PARA CADA TIPO DE OCUPACIÓN  </w:t>
      </w:r>
    </w:p>
    <w:p w:rsidR="00B064CF" w:rsidRDefault="00E32F70">
      <w:pPr>
        <w:spacing w:after="11"/>
        <w:ind w:left="355" w:right="72"/>
      </w:pPr>
      <w:r>
        <w:t xml:space="preserve">CAPÍTULO 1. OCUPACIONES VINCULADAS A ACTIVIDADES TERCIARIAS EJERCIDAS EN </w:t>
      </w:r>
    </w:p>
    <w:p w:rsidR="00B064CF" w:rsidRDefault="00E32F70">
      <w:pPr>
        <w:spacing w:after="11"/>
        <w:ind w:left="355" w:right="72"/>
      </w:pPr>
      <w:r>
        <w:t xml:space="preserve">ESTABLECIMIENTOS PRIVADOS O PÚBLICOS </w:t>
      </w:r>
    </w:p>
    <w:p w:rsidR="00B064CF" w:rsidRDefault="00E32F70">
      <w:pPr>
        <w:spacing w:after="11"/>
        <w:ind w:left="355" w:right="72"/>
      </w:pPr>
      <w:r>
        <w:t xml:space="preserve">Sección 1ª. DISPOSICIONES GENERALES </w:t>
      </w:r>
    </w:p>
    <w:p w:rsidR="00B064CF" w:rsidRDefault="00E32F70">
      <w:pPr>
        <w:spacing w:after="102"/>
        <w:ind w:left="355" w:right="72"/>
      </w:pPr>
      <w:r>
        <w:rPr>
          <w:rFonts w:ascii="Calibri" w:eastAsia="Calibri" w:hAnsi="Calibri" w:cs="Calibri"/>
          <w:noProof/>
        </w:rPr>
        <mc:AlternateContent>
          <mc:Choice Requires="wpg">
            <w:drawing>
              <wp:anchor distT="0" distB="0" distL="114300" distR="114300" simplePos="0" relativeHeight="25191116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16249" name="Group 416249"/>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9455" name="Rectangle 39455"/>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w:t>
                              </w:r>
                              <w:r>
                                <w:rPr>
                                  <w:sz w:val="12"/>
                                </w:rPr>
                                <w:t xml:space="preserve">S | Verificación: https://candelaria.sedelectronica.es/ </w:t>
                              </w:r>
                            </w:p>
                          </w:txbxContent>
                        </wps:txbx>
                        <wps:bodyPr horzOverflow="overflow" vert="horz" lIns="0" tIns="0" rIns="0" bIns="0" rtlCol="0">
                          <a:noAutofit/>
                        </wps:bodyPr>
                      </wps:wsp>
                      <wps:wsp>
                        <wps:cNvPr id="39456" name="Rectangle 39456"/>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243 de 298 </w:t>
                              </w:r>
                            </w:p>
                          </w:txbxContent>
                        </wps:txbx>
                        <wps:bodyPr horzOverflow="overflow" vert="horz" lIns="0" tIns="0" rIns="0" bIns="0" rtlCol="0">
                          <a:noAutofit/>
                        </wps:bodyPr>
                      </wps:wsp>
                    </wpg:wgp>
                  </a:graphicData>
                </a:graphic>
              </wp:anchor>
            </w:drawing>
          </mc:Choice>
          <mc:Fallback xmlns:a="http://schemas.openxmlformats.org/drawingml/2006/main">
            <w:pict>
              <v:group id="Group 416249" style="width:12.7031pt;height:278.91pt;position:absolute;mso-position-horizontal-relative:page;mso-position-horizontal:absolute;margin-left:682.278pt;mso-position-vertical-relative:page;margin-top:533.01pt;" coordsize="1613,35421">
                <v:rect id="Rectangle 39455"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9456"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243 de 298 </w:t>
                        </w:r>
                      </w:p>
                    </w:txbxContent>
                  </v:textbox>
                </v:rect>
                <w10:wrap type="square"/>
              </v:group>
            </w:pict>
          </mc:Fallback>
        </mc:AlternateContent>
      </w:r>
      <w:r>
        <w:t xml:space="preserve">Artículo 19. Ocupaciones permitidas y título habilitante </w:t>
      </w:r>
    </w:p>
    <w:p w:rsidR="00B064CF" w:rsidRDefault="00E32F70">
      <w:pPr>
        <w:numPr>
          <w:ilvl w:val="0"/>
          <w:numId w:val="183"/>
        </w:numPr>
        <w:spacing w:after="277"/>
        <w:ind w:left="628" w:right="72" w:hanging="283"/>
      </w:pPr>
      <w:r>
        <w:t>El dominio público podrá ser ocupado, en las</w:t>
      </w:r>
      <w:r>
        <w:t xml:space="preserve"> condiciones establecidas en los siguientes artículos de este Capítulo, mediante elementos accesorios de las actividades de hostelería que se desarrollen en los establecimientos privados o públicos. La ocupación sólo podrá realizarse con sillas, mesas, som</w:t>
      </w:r>
      <w:r>
        <w:t xml:space="preserve">brillas, toldos retráctiles, mamparas, jardineras (no fijas) y rótulos.  </w:t>
      </w:r>
    </w:p>
    <w:p w:rsidR="00B064CF" w:rsidRDefault="00E32F70">
      <w:pPr>
        <w:numPr>
          <w:ilvl w:val="0"/>
          <w:numId w:val="183"/>
        </w:numPr>
        <w:spacing w:after="279"/>
        <w:ind w:left="628" w:right="72" w:hanging="283"/>
      </w:pPr>
      <w:r>
        <w:t xml:space="preserve">Podrá ser autorizada la ocupación del dominio público, en las condiciones que en este Capítulo se regulan, mediante elementos accesorios de las actividades comerciales o de oficina que se desarrollen en el interior de establecimientos privados.  </w:t>
      </w:r>
    </w:p>
    <w:p w:rsidR="00B064CF" w:rsidRDefault="00E32F70">
      <w:pPr>
        <w:numPr>
          <w:ilvl w:val="0"/>
          <w:numId w:val="183"/>
        </w:numPr>
        <w:spacing w:after="280"/>
        <w:ind w:left="628" w:right="72" w:hanging="283"/>
      </w:pPr>
      <w:r>
        <w:t>El domini</w:t>
      </w:r>
      <w:r>
        <w:t>o público sólo podrá ser ocupado, en subsuelo, suelo o vuelo, con elementos accesorios vinculados a una actividad hostelera o comercial que cuente con el título habilitante correspondiente, y que se desarrolle en un establecimiento contiguo o próximo al es</w:t>
      </w:r>
      <w:r>
        <w:t xml:space="preserve">pacio a ocupar. Queda prohibida cualquier ocupación que no cumpla estos requisitos. </w:t>
      </w:r>
    </w:p>
    <w:p w:rsidR="00B064CF" w:rsidRDefault="00E32F70">
      <w:pPr>
        <w:numPr>
          <w:ilvl w:val="0"/>
          <w:numId w:val="183"/>
        </w:numPr>
        <w:spacing w:after="276"/>
        <w:ind w:left="628" w:right="72" w:hanging="283"/>
      </w:pPr>
      <w:r>
        <w:t>Toda ocupación vinculada a actividades terciarias deberá cumplir las condiciones generales establecidas en el artículo 8. Las condiciones de ocupación y características de</w:t>
      </w:r>
      <w:r>
        <w:t xml:space="preserve"> los elementos que se establecen en el presente Capítulo también son de obligada observancia. </w:t>
      </w:r>
    </w:p>
    <w:p w:rsidR="00B064CF" w:rsidRDefault="00E32F70">
      <w:pPr>
        <w:numPr>
          <w:ilvl w:val="0"/>
          <w:numId w:val="183"/>
        </w:numPr>
        <w:ind w:left="628" w:right="72" w:hanging="283"/>
      </w:pPr>
      <w:r>
        <w:t>El Ayuntamiento, mediante el establecimiento de condiciones particulares en las autorizaciones, podrá fijar determinados requisitos de uniformidad para el mobili</w:t>
      </w:r>
      <w:r>
        <w:t xml:space="preserve">ario y demás elementos accesorios en una zona urbana concreta, ya sea para lograr una mejor armonización con el entorno o para la obtención de una imagen más homogénea. </w:t>
      </w:r>
    </w:p>
    <w:p w:rsidR="00B064CF" w:rsidRDefault="00E32F70">
      <w:pPr>
        <w:numPr>
          <w:ilvl w:val="0"/>
          <w:numId w:val="183"/>
        </w:numPr>
        <w:ind w:left="628" w:right="72" w:hanging="283"/>
      </w:pPr>
      <w:r>
        <w:t>Se podrá denegar la instalación de las terrazas en sitios en los que la pendiente de las aceras, la situación ambiental (exceso de humos, etc.), el tránsito intenso y frecuente de peatones o cualquier otra circunstancia similar no aconsejen la implantación</w:t>
      </w:r>
      <w:r>
        <w:t xml:space="preserve"> de este tipo de instalaciones.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Sección 2ª. CONDICIONES DE LAS OCUPACIONES VINCULADAS A ACTIVIDADES </w:t>
      </w:r>
    </w:p>
    <w:p w:rsidR="00B064CF" w:rsidRDefault="00E32F70">
      <w:pPr>
        <w:spacing w:after="11"/>
        <w:ind w:left="355" w:right="72"/>
      </w:pPr>
      <w:r>
        <w:t xml:space="preserve">HOSTELERAS </w:t>
      </w:r>
    </w:p>
    <w:p w:rsidR="00B064CF" w:rsidRDefault="00E32F70">
      <w:pPr>
        <w:spacing w:after="0"/>
        <w:ind w:left="355" w:right="72"/>
      </w:pPr>
      <w:r>
        <w:t xml:space="preserve">Artículo 20.   Condiciones superficiales y dimensionales de las ocupaciones vinculadas a las actividades hosteleras </w:t>
      </w:r>
    </w:p>
    <w:p w:rsidR="00B064CF" w:rsidRDefault="00E32F70">
      <w:pPr>
        <w:numPr>
          <w:ilvl w:val="0"/>
          <w:numId w:val="184"/>
        </w:numPr>
        <w:spacing w:after="0"/>
        <w:ind w:right="72"/>
      </w:pPr>
      <w:r>
        <w:t>En las vías que soport</w:t>
      </w:r>
      <w:r>
        <w:t xml:space="preserve">en tránsito rodado, las ocupaciones con elementos accesorios de una actividad hostelera, cumplirán las siguientes condiciones: </w:t>
      </w:r>
    </w:p>
    <w:p w:rsidR="00B064CF" w:rsidRDefault="00E32F70">
      <w:pPr>
        <w:numPr>
          <w:ilvl w:val="1"/>
          <w:numId w:val="184"/>
        </w:numPr>
        <w:ind w:right="72" w:hanging="360"/>
      </w:pPr>
      <w:r>
        <w:t xml:space="preserve">Sólo podrán ser ocupadas las aceras o zonas destinadas al uso peatonal, nunca las calzadas destinadas al tráfico rodado. Podrán </w:t>
      </w:r>
      <w:r>
        <w:t xml:space="preserve">ser ocupadas las zonas de aparcamiento, quedando condicionada su autorización al cumplimiento de las condiciones específicas, descritas en el artículo 22 apartado 10. </w:t>
      </w:r>
    </w:p>
    <w:p w:rsidR="00B064CF" w:rsidRDefault="00E32F70">
      <w:pPr>
        <w:numPr>
          <w:ilvl w:val="1"/>
          <w:numId w:val="184"/>
        </w:numPr>
        <w:ind w:right="72" w:hanging="360"/>
      </w:pPr>
      <w:r>
        <w:rPr>
          <w:rFonts w:ascii="Calibri" w:eastAsia="Calibri" w:hAnsi="Calibri" w:cs="Calibri"/>
          <w:noProof/>
        </w:rPr>
        <mc:AlternateContent>
          <mc:Choice Requires="wpg">
            <w:drawing>
              <wp:anchor distT="0" distB="0" distL="114300" distR="114300" simplePos="0" relativeHeight="25191219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16178" name="Group 416178"/>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9559" name="Rectangle 39559"/>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9560" name="Rectangle 39560"/>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244 de 298 </w:t>
                              </w:r>
                            </w:p>
                          </w:txbxContent>
                        </wps:txbx>
                        <wps:bodyPr horzOverflow="overflow" vert="horz" lIns="0" tIns="0" rIns="0" bIns="0" rtlCol="0">
                          <a:noAutofit/>
                        </wps:bodyPr>
                      </wps:wsp>
                    </wpg:wgp>
                  </a:graphicData>
                </a:graphic>
              </wp:anchor>
            </w:drawing>
          </mc:Choice>
          <mc:Fallback xmlns:a="http://schemas.openxmlformats.org/drawingml/2006/main">
            <w:pict>
              <v:group id="Group 416178" style="width:12.7031pt;height:278.91pt;position:absolute;mso-position-horizontal-relative:page;mso-position-horizontal:absolute;margin-left:682.278pt;mso-position-vertical-relative:page;margin-top:533.01pt;" coordsize="1613,35421">
                <v:rect id="Rectangle 39559"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9560"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244 de 298 </w:t>
                        </w:r>
                      </w:p>
                    </w:txbxContent>
                  </v:textbox>
                </v:rect>
                <w10:wrap type="square"/>
              </v:group>
            </w:pict>
          </mc:Fallback>
        </mc:AlternateContent>
      </w:r>
      <w:r>
        <w:t>No se autorizará la ocupación en los tramos de acera o espaci</w:t>
      </w:r>
      <w:r>
        <w:t xml:space="preserve">os de circulación peatonal dónde no se pueda establecer un ancho libre de paso junto a fachada, o elemento horizontal que materialice físicamente el límite edificado a nivel del suelo, de 1,80 m, sin perjuicio de estrangulamientos puntuales provocados por </w:t>
      </w:r>
      <w:r>
        <w:t>elementos del mobiliario urbano, en los que el ancho libre de paso no será inferior a un metro y cincuenta centímetros (1,50 m), garantizando así el uso no discriminatorio y la circulación de forma autónoma y continua de todas las personas. (ANEXO I. GRÁFI</w:t>
      </w:r>
      <w:r>
        <w:t xml:space="preserve">CO 1.1.). </w:t>
      </w:r>
    </w:p>
    <w:p w:rsidR="00B064CF" w:rsidRDefault="00E32F70">
      <w:pPr>
        <w:numPr>
          <w:ilvl w:val="1"/>
          <w:numId w:val="184"/>
        </w:numPr>
        <w:ind w:right="72" w:hanging="360"/>
      </w:pPr>
      <w:r>
        <w:t xml:space="preserve">El tramo libre de ocupación descrito en el apartado anterior, podrá estar separado de la fachada o elemento horizontal que materialice físicamente el límite edificado, cuando las características y el uso del espacio recomienden otra disposición </w:t>
      </w:r>
      <w:r>
        <w:t xml:space="preserve">del itinerario peatonal accesible o cuando éste carezca de dicha línea de fachada o referencia edificada, siempre que la orientación y el encaminamiento esté señalizado mediante una franja-guía longitudinal (ANEXO I. GRÁFICO 1.2.). </w:t>
      </w:r>
    </w:p>
    <w:p w:rsidR="00B064CF" w:rsidRDefault="00E32F70">
      <w:pPr>
        <w:numPr>
          <w:ilvl w:val="1"/>
          <w:numId w:val="184"/>
        </w:numPr>
        <w:ind w:right="72" w:hanging="360"/>
      </w:pPr>
      <w:r>
        <w:t>La ocupación se desarro</w:t>
      </w:r>
      <w:r>
        <w:t xml:space="preserve">llará en una franja de ancho uniforme, salvo que la configuración y dimensiones del espacio público permitan ocupaciones de superficies trapezoidales o irregulares.   </w:t>
      </w:r>
    </w:p>
    <w:p w:rsidR="00B064CF" w:rsidRDefault="00E32F70">
      <w:pPr>
        <w:numPr>
          <w:ilvl w:val="1"/>
          <w:numId w:val="184"/>
        </w:numPr>
        <w:ind w:right="72" w:hanging="360"/>
      </w:pPr>
      <w:r>
        <w:t>En los accesos peatonales a los portales o locales se respetará una franja de paso libre</w:t>
      </w:r>
      <w:r>
        <w:t xml:space="preserve"> de cualquier obstáculo, de al menos un metro y ochenta centímetros (1,80 m) de ancho. En los accesos vehiculares, la ocupación se separará como mínimo cincuenta centímetros (0,50 m) del borde de la puerta o hueco de acceso. </w:t>
      </w:r>
    </w:p>
    <w:p w:rsidR="00B064CF" w:rsidRDefault="00E32F70">
      <w:pPr>
        <w:numPr>
          <w:ilvl w:val="1"/>
          <w:numId w:val="184"/>
        </w:numPr>
        <w:ind w:right="72" w:hanging="360"/>
      </w:pPr>
      <w:r>
        <w:t>La superficie ocupada se separ</w:t>
      </w:r>
      <w:r>
        <w:t xml:space="preserve">ará, al menos, cincuenta centímetros (0,50 m) de las calzadas de circulación vehicular. Cuando exista una zona de aparcamiento en línea junto a la acera, se deberá permitir entrar y salir del vehículo sin dificultad.   </w:t>
      </w:r>
    </w:p>
    <w:p w:rsidR="00B064CF" w:rsidRDefault="00E32F70">
      <w:pPr>
        <w:numPr>
          <w:ilvl w:val="1"/>
          <w:numId w:val="184"/>
        </w:numPr>
        <w:ind w:right="72" w:hanging="360"/>
      </w:pPr>
      <w:r>
        <w:t>No se autorizarán ocupaciones cuando</w:t>
      </w:r>
      <w:r>
        <w:t xml:space="preserve"> exista una calzada de tráfico rodado o una zona de aparcamiento entre el espacio que se pretenda ocupar y el establecimiento que sirva de soporte a la actividad de hostelería.  </w:t>
      </w:r>
    </w:p>
    <w:p w:rsidR="00B064CF" w:rsidRDefault="00E32F70">
      <w:pPr>
        <w:numPr>
          <w:ilvl w:val="1"/>
          <w:numId w:val="184"/>
        </w:numPr>
        <w:spacing w:after="129"/>
        <w:ind w:right="72" w:hanging="360"/>
      </w:pPr>
      <w:r>
        <w:t>La ocupación sólo podrá autorizarse en el frente del establecimiento al que s</w:t>
      </w:r>
      <w:r>
        <w:t xml:space="preserve">e vincula, aunque de manera excepcional, pudiera extenderse al frente de los locales inmediatamente contiguos siempre que se cumplan las siguientes condiciones: Cond Generales </w:t>
      </w:r>
      <w:r>
        <w:rPr>
          <w:rFonts w:ascii="Segoe UI Symbol" w:eastAsia="Segoe UI Symbol" w:hAnsi="Segoe UI Symbol" w:cs="Segoe UI Symbol"/>
        </w:rPr>
        <w:t></w:t>
      </w:r>
      <w:r>
        <w:t xml:space="preserve"> Que los locales contiguos no se destinen a un uso residencial. </w:t>
      </w:r>
    </w:p>
    <w:p w:rsidR="00B064CF" w:rsidRDefault="00E32F70">
      <w:pPr>
        <w:ind w:left="1493" w:right="72" w:hanging="360"/>
      </w:pPr>
      <w:r>
        <w:rPr>
          <w:rFonts w:ascii="Segoe UI Symbol" w:eastAsia="Segoe UI Symbol" w:hAnsi="Segoe UI Symbol" w:cs="Segoe UI Symbol"/>
        </w:rPr>
        <w:t></w:t>
      </w:r>
      <w:r>
        <w:t xml:space="preserve"> Que presten </w:t>
      </w:r>
      <w:r>
        <w:t xml:space="preserve">su conformidad los titulares de las actividades que en dichos establecimientos se ejerzan. </w:t>
      </w:r>
    </w:p>
    <w:p w:rsidR="00B064CF" w:rsidRDefault="00E32F70">
      <w:pPr>
        <w:ind w:left="1493" w:right="72" w:hanging="360"/>
      </w:pPr>
      <w:r>
        <w:rPr>
          <w:rFonts w:ascii="Segoe UI Symbol" w:eastAsia="Segoe UI Symbol" w:hAnsi="Segoe UI Symbol" w:cs="Segoe UI Symbol"/>
        </w:rPr>
        <w:t></w:t>
      </w:r>
      <w:r>
        <w:t xml:space="preserve"> Que cuando se implante una nueva actividad en alguno de los locales contiguos, se obtenga la conformidad de su titular. </w:t>
      </w:r>
    </w:p>
    <w:p w:rsidR="00B064CF" w:rsidRDefault="00E32F70">
      <w:pPr>
        <w:ind w:left="1493" w:right="72" w:hanging="360"/>
      </w:pPr>
      <w:r>
        <w:rPr>
          <w:rFonts w:ascii="Segoe UI Symbol" w:eastAsia="Segoe UI Symbol" w:hAnsi="Segoe UI Symbol" w:cs="Segoe UI Symbol"/>
        </w:rPr>
        <w:t></w:t>
      </w:r>
      <w:r>
        <w:t xml:space="preserve"> Que no lo impidan los estatutos de la c</w:t>
      </w:r>
      <w:r>
        <w:t xml:space="preserve">omunidad de propietarios en el que se enclavan los locales. </w:t>
      </w:r>
    </w:p>
    <w:p w:rsidR="00B064CF" w:rsidRDefault="00E32F70">
      <w:pPr>
        <w:numPr>
          <w:ilvl w:val="1"/>
          <w:numId w:val="184"/>
        </w:numPr>
        <w:ind w:right="72" w:hanging="360"/>
      </w:pPr>
      <w:r>
        <w:t xml:space="preserve">En el supuesto de establecimientos con fachada en esquina, la ocupación podrá desarrollarse en los frentes de ambas fachadas, siempre dentro de los límites establecidos en la presente Ordenanza. </w:t>
      </w:r>
    </w:p>
    <w:p w:rsidR="00B064CF" w:rsidRDefault="00E32F70">
      <w:pPr>
        <w:numPr>
          <w:ilvl w:val="0"/>
          <w:numId w:val="184"/>
        </w:numPr>
        <w:spacing w:after="0"/>
        <w:ind w:right="72"/>
      </w:pPr>
      <w:r>
        <w:t xml:space="preserve">En las vías de tránsito exclusivamente peatonal que no soporten ningún tipo de tránsito rodado, ni siquiera restringido, las ocupaciones con elementos accesorios de una actividad hostelera cumplirán las siguientes condiciones: </w:t>
      </w:r>
    </w:p>
    <w:p w:rsidR="00B064CF" w:rsidRDefault="00E32F70">
      <w:pPr>
        <w:numPr>
          <w:ilvl w:val="1"/>
          <w:numId w:val="186"/>
        </w:numPr>
        <w:ind w:right="72" w:hanging="360"/>
      </w:pPr>
      <w:r>
        <w:rPr>
          <w:rFonts w:ascii="Calibri" w:eastAsia="Calibri" w:hAnsi="Calibri" w:cs="Calibri"/>
          <w:noProof/>
        </w:rPr>
        <mc:AlternateContent>
          <mc:Choice Requires="wpg">
            <w:drawing>
              <wp:anchor distT="0" distB="0" distL="114300" distR="114300" simplePos="0" relativeHeight="25191321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29857" name="Group 429857"/>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9692" name="Rectangle 39692"/>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9693" name="Rectangle 39693"/>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245 de 298 </w:t>
                              </w:r>
                            </w:p>
                          </w:txbxContent>
                        </wps:txbx>
                        <wps:bodyPr horzOverflow="overflow" vert="horz" lIns="0" tIns="0" rIns="0" bIns="0" rtlCol="0">
                          <a:noAutofit/>
                        </wps:bodyPr>
                      </wps:wsp>
                    </wpg:wgp>
                  </a:graphicData>
                </a:graphic>
              </wp:anchor>
            </w:drawing>
          </mc:Choice>
          <mc:Fallback xmlns:a="http://schemas.openxmlformats.org/drawingml/2006/main">
            <w:pict>
              <v:group id="Group 429857" style="width:12.7031pt;height:278.91pt;position:absolute;mso-position-horizontal-relative:page;mso-position-horizontal:absolute;margin-left:682.278pt;mso-position-vertical-relative:page;margin-top:533.01pt;" coordsize="1613,35421">
                <v:rect id="Rectangle 39692"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9693"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245 de 298 </w:t>
                        </w:r>
                      </w:p>
                    </w:txbxContent>
                  </v:textbox>
                </v:rect>
                <w10:wrap type="square"/>
              </v:group>
            </w:pict>
          </mc:Fallback>
        </mc:AlternateContent>
      </w:r>
      <w:r>
        <w:t>No se autorizará la ocupación en los tramos de vías peatonale</w:t>
      </w:r>
      <w:r>
        <w:t>s que presenten una anchura libre inferior a seis metros (6,00 m), no obstante, cuando las características y el uso del espacio recomienden otra disposición del itinerario peatonal accesible o cuando éste carezca de dicha línea de fachada o referencia edif</w:t>
      </w:r>
      <w:r>
        <w:t xml:space="preserve">icada, siempre que la orientación y el encaminamiento esté señalizado mediante una franja-guía longitudinal y éste se realice por el centro del tramo, se permitirán en vías de ancho inferior. </w:t>
      </w:r>
    </w:p>
    <w:p w:rsidR="00B064CF" w:rsidRDefault="00E32F70">
      <w:pPr>
        <w:numPr>
          <w:ilvl w:val="1"/>
          <w:numId w:val="186"/>
        </w:numPr>
        <w:spacing w:after="124"/>
        <w:ind w:right="72" w:hanging="360"/>
      </w:pPr>
      <w:r>
        <w:t>La ocupación deberá realizarse, como norma general, en el centr</w:t>
      </w:r>
      <w:r>
        <w:t xml:space="preserve">o del tramo peatonal, debiendo respetar franjas libres de paso junto a las fachadas delimitadoras, cuya anchura mínima sea igual o superior a 2,00 m, sin perjuicio de lo expresado en el apartado anterior. </w:t>
      </w:r>
    </w:p>
    <w:p w:rsidR="00B064CF" w:rsidRDefault="00E32F70">
      <w:pPr>
        <w:spacing w:after="13" w:line="250" w:lineRule="auto"/>
        <w:ind w:left="906" w:right="622"/>
        <w:jc w:val="center"/>
      </w:pPr>
      <w:r>
        <w:t xml:space="preserve">TABLA 1. (GRÁFICO DE OCUPACIÓN ANEXO I. </w:t>
      </w:r>
    </w:p>
    <w:p w:rsidR="00B064CF" w:rsidRDefault="00E32F70">
      <w:pPr>
        <w:spacing w:after="13" w:line="250" w:lineRule="auto"/>
        <w:ind w:left="906" w:right="619"/>
        <w:jc w:val="center"/>
      </w:pPr>
      <w:r>
        <w:t>GRÁFICO 1</w:t>
      </w:r>
      <w:r>
        <w:t xml:space="preserve">.3.) </w:t>
      </w:r>
    </w:p>
    <w:tbl>
      <w:tblPr>
        <w:tblStyle w:val="TableGrid"/>
        <w:tblW w:w="5946" w:type="dxa"/>
        <w:tblInd w:w="2170" w:type="dxa"/>
        <w:tblCellMar>
          <w:top w:w="4" w:type="dxa"/>
          <w:left w:w="144" w:type="dxa"/>
          <w:bottom w:w="0" w:type="dxa"/>
          <w:right w:w="541" w:type="dxa"/>
        </w:tblCellMar>
        <w:tblLook w:val="04A0" w:firstRow="1" w:lastRow="0" w:firstColumn="1" w:lastColumn="0" w:noHBand="0" w:noVBand="1"/>
      </w:tblPr>
      <w:tblGrid>
        <w:gridCol w:w="3279"/>
        <w:gridCol w:w="2667"/>
      </w:tblGrid>
      <w:tr w:rsidR="00B064CF">
        <w:trPr>
          <w:trHeight w:val="758"/>
        </w:trPr>
        <w:tc>
          <w:tcPr>
            <w:tcW w:w="3279" w:type="dxa"/>
            <w:tcBorders>
              <w:top w:val="nil"/>
              <w:left w:val="nil"/>
              <w:bottom w:val="nil"/>
              <w:right w:val="nil"/>
            </w:tcBorders>
            <w:shd w:val="clear" w:color="auto" w:fill="F2F2F2"/>
          </w:tcPr>
          <w:p w:rsidR="00B064CF" w:rsidRDefault="00E32F70">
            <w:pPr>
              <w:spacing w:after="0" w:line="259" w:lineRule="auto"/>
              <w:ind w:left="247" w:firstLine="0"/>
              <w:jc w:val="left"/>
            </w:pPr>
            <w:r>
              <w:t xml:space="preserve">ANCHO MÍNIMO DE </w:t>
            </w:r>
          </w:p>
          <w:p w:rsidR="00B064CF" w:rsidRDefault="00E32F70">
            <w:pPr>
              <w:spacing w:after="0" w:line="259" w:lineRule="auto"/>
              <w:ind w:left="432" w:hanging="118"/>
            </w:pPr>
            <w:r>
              <w:t xml:space="preserve">FRANJA LIBRE DE OCUPACIÓN (A) </w:t>
            </w:r>
          </w:p>
        </w:tc>
        <w:tc>
          <w:tcPr>
            <w:tcW w:w="2667" w:type="dxa"/>
            <w:tcBorders>
              <w:top w:val="nil"/>
              <w:left w:val="nil"/>
              <w:bottom w:val="nil"/>
              <w:right w:val="nil"/>
            </w:tcBorders>
            <w:shd w:val="clear" w:color="auto" w:fill="F2F2F2"/>
            <w:vAlign w:val="center"/>
          </w:tcPr>
          <w:p w:rsidR="00B064CF" w:rsidRDefault="00E32F70">
            <w:pPr>
              <w:spacing w:after="0" w:line="259" w:lineRule="auto"/>
              <w:ind w:left="0" w:firstLine="0"/>
              <w:jc w:val="left"/>
            </w:pPr>
            <w:r>
              <w:t xml:space="preserve">ANCHO DE VÍA (B) </w:t>
            </w:r>
          </w:p>
        </w:tc>
      </w:tr>
    </w:tbl>
    <w:p w:rsidR="00B064CF" w:rsidRDefault="00E32F70">
      <w:pPr>
        <w:tabs>
          <w:tab w:val="center" w:pos="3583"/>
          <w:tab w:val="center" w:pos="6552"/>
        </w:tabs>
        <w:spacing w:after="70" w:line="250" w:lineRule="auto"/>
        <w:ind w:left="0" w:firstLine="0"/>
        <w:jc w:val="left"/>
      </w:pPr>
      <w:r>
        <w:rPr>
          <w:rFonts w:ascii="Calibri" w:eastAsia="Calibri" w:hAnsi="Calibri" w:cs="Calibri"/>
        </w:rPr>
        <w:tab/>
      </w:r>
      <w:r>
        <w:t xml:space="preserve">2,00 m </w:t>
      </w:r>
      <w:r>
        <w:tab/>
        <w:t xml:space="preserve">6,00 m ≤ a &lt; 8,00 m  </w:t>
      </w:r>
    </w:p>
    <w:p w:rsidR="00B064CF" w:rsidRDefault="00E32F70">
      <w:pPr>
        <w:tabs>
          <w:tab w:val="center" w:pos="3583"/>
          <w:tab w:val="center" w:pos="6553"/>
        </w:tabs>
        <w:spacing w:after="70" w:line="250" w:lineRule="auto"/>
        <w:ind w:left="0" w:firstLine="0"/>
        <w:jc w:val="left"/>
      </w:pPr>
      <w:r>
        <w:rPr>
          <w:rFonts w:ascii="Calibri" w:eastAsia="Calibri" w:hAnsi="Calibri" w:cs="Calibri"/>
        </w:rPr>
        <w:tab/>
      </w:r>
      <w:r>
        <w:t xml:space="preserve">2,50 m </w:t>
      </w:r>
      <w:r>
        <w:tab/>
        <w:t xml:space="preserve">8,00 m ≤ a &lt; 10,00 m  </w:t>
      </w:r>
    </w:p>
    <w:p w:rsidR="00B064CF" w:rsidRDefault="00E32F70">
      <w:pPr>
        <w:tabs>
          <w:tab w:val="center" w:pos="3583"/>
          <w:tab w:val="center" w:pos="6552"/>
        </w:tabs>
        <w:spacing w:after="65" w:line="250" w:lineRule="auto"/>
        <w:ind w:left="0" w:firstLine="0"/>
        <w:jc w:val="left"/>
      </w:pPr>
      <w:r>
        <w:rPr>
          <w:rFonts w:ascii="Calibri" w:eastAsia="Calibri" w:hAnsi="Calibri" w:cs="Calibri"/>
        </w:rPr>
        <w:tab/>
      </w:r>
      <w:r>
        <w:t xml:space="preserve">3,00 m </w:t>
      </w:r>
      <w:r>
        <w:tab/>
        <w:t xml:space="preserve">10,00 m ≤ a &lt; 12,00 m  </w:t>
      </w:r>
    </w:p>
    <w:p w:rsidR="00B064CF" w:rsidRDefault="00E32F70">
      <w:pPr>
        <w:tabs>
          <w:tab w:val="center" w:pos="3583"/>
          <w:tab w:val="center" w:pos="6553"/>
        </w:tabs>
        <w:spacing w:after="13" w:line="250" w:lineRule="auto"/>
        <w:ind w:left="0" w:firstLine="0"/>
        <w:jc w:val="left"/>
      </w:pPr>
      <w:r>
        <w:rPr>
          <w:rFonts w:ascii="Calibri" w:eastAsia="Calibri" w:hAnsi="Calibri" w:cs="Calibri"/>
        </w:rPr>
        <w:tab/>
      </w:r>
      <w:r>
        <w:t xml:space="preserve">3,50 m </w:t>
      </w:r>
      <w:r>
        <w:tab/>
        <w:t xml:space="preserve">a ≥ 12,00 m  </w:t>
      </w:r>
    </w:p>
    <w:p w:rsidR="00B064CF" w:rsidRDefault="00E32F70">
      <w:pPr>
        <w:spacing w:after="11"/>
        <w:ind w:left="1090" w:right="72"/>
      </w:pPr>
      <w:r>
        <w:t xml:space="preserve">En ningún caso, la ocupación pretendida superará el 50% del ancho del ancho de la vía. </w:t>
      </w:r>
    </w:p>
    <w:p w:rsidR="00B064CF" w:rsidRDefault="00E32F70">
      <w:pPr>
        <w:numPr>
          <w:ilvl w:val="1"/>
          <w:numId w:val="186"/>
        </w:numPr>
        <w:spacing w:after="7"/>
        <w:ind w:right="72" w:hanging="360"/>
      </w:pPr>
      <w:r>
        <w:t>En el caso de que concurran dos actividades hosteleras, que den frente a un mismo espacio de una vía peatonal y soliciten su ocupación, el ancho de la franja ocupada vinculada a cada establecimiento no podrá sobrepasar el 50% del ancho de la ocupación máxi</w:t>
      </w:r>
      <w:r>
        <w:t xml:space="preserve">ma permitida para dicho tramo peatonal.  (ANEXO I. GRÁFICO 1.4.). </w:t>
      </w:r>
    </w:p>
    <w:p w:rsidR="00B064CF" w:rsidRDefault="00E32F70">
      <w:pPr>
        <w:numPr>
          <w:ilvl w:val="1"/>
          <w:numId w:val="186"/>
        </w:numPr>
        <w:ind w:right="72" w:hanging="360"/>
      </w:pPr>
      <w:r>
        <w:t xml:space="preserve">Toda ocupación respetará las condiciones, que le sean de aplicación, establecidas en el apartado 1 del presente artículo. </w:t>
      </w:r>
    </w:p>
    <w:p w:rsidR="00B064CF" w:rsidRDefault="00E32F70">
      <w:pPr>
        <w:numPr>
          <w:ilvl w:val="0"/>
          <w:numId w:val="184"/>
        </w:numPr>
        <w:spacing w:after="0"/>
        <w:ind w:right="72"/>
      </w:pPr>
      <w:r>
        <w:t>En las vías de tránsito peatonal que soporten tránsito restringido</w:t>
      </w:r>
      <w:r>
        <w:t xml:space="preserve"> de vehículos, las ocupaciones con elementos accesorios de una actividad hostelera cumplirán las siguientes condiciones: </w:t>
      </w:r>
    </w:p>
    <w:p w:rsidR="00B064CF" w:rsidRDefault="00E32F70">
      <w:pPr>
        <w:numPr>
          <w:ilvl w:val="1"/>
          <w:numId w:val="185"/>
        </w:numPr>
        <w:ind w:right="72" w:hanging="360"/>
      </w:pPr>
      <w:r>
        <w:t xml:space="preserve">Deberá respetarse una franja libre de ocupación de al menos tres metros y cincuenta centímetros (3,50 m) de ancho en toda la longitud </w:t>
      </w:r>
      <w:r>
        <w:t xml:space="preserve">de la vía. En las vías o en los tramos de las mismas que presenten una anchura inferior a seis metros (6,00 m), el ancho de la franja podrá reducirse a tres metros (3,00 m). </w:t>
      </w:r>
    </w:p>
    <w:p w:rsidR="00B064CF" w:rsidRDefault="00E32F70">
      <w:pPr>
        <w:numPr>
          <w:ilvl w:val="1"/>
          <w:numId w:val="185"/>
        </w:numPr>
        <w:ind w:right="72" w:hanging="360"/>
      </w:pPr>
      <w:r>
        <w:t xml:space="preserve">Toda ocupación respetará las condiciones que le sean de aplicación, establecidas </w:t>
      </w:r>
      <w:r>
        <w:t xml:space="preserve">en el apartado 1., salvo a lo referido a la letra g del apartado 1, pudiendo ser concedido para casos excepcionales. </w:t>
      </w:r>
    </w:p>
    <w:p w:rsidR="00B064CF" w:rsidRDefault="00E32F70">
      <w:pPr>
        <w:spacing w:after="0"/>
        <w:ind w:left="355" w:right="72"/>
      </w:pPr>
      <w:r>
        <w:t xml:space="preserve">Artículo 21. Señalización de los límites de las ocupaciones vinculadas a las actividades terciarias hosteleras. </w:t>
      </w:r>
    </w:p>
    <w:p w:rsidR="00B064CF" w:rsidRDefault="00E32F70">
      <w:pPr>
        <w:numPr>
          <w:ilvl w:val="0"/>
          <w:numId w:val="187"/>
        </w:numPr>
        <w:ind w:right="72" w:hanging="286"/>
      </w:pPr>
      <w:r>
        <w:t>Las licencias no se conce</w:t>
      </w:r>
      <w:r>
        <w:t xml:space="preserve">derán por número de mesas o sillas, sino por unidades de superficie del espacio que se ha de ocupar.  </w:t>
      </w:r>
    </w:p>
    <w:p w:rsidR="00B064CF" w:rsidRDefault="00E32F70">
      <w:pPr>
        <w:numPr>
          <w:ilvl w:val="0"/>
          <w:numId w:val="187"/>
        </w:numPr>
        <w:ind w:right="72" w:hanging="286"/>
      </w:pPr>
      <w:r>
        <w:t>Al objeto de facilitar las actuaciones de control e inspección del dominio público, la persona o entidad titular de la autorización vendrá obligada a señ</w:t>
      </w:r>
      <w:r>
        <w:t xml:space="preserve">alizar los límites del espacio autorizado.  </w:t>
      </w:r>
    </w:p>
    <w:p w:rsidR="00B064CF" w:rsidRDefault="00E32F70">
      <w:pPr>
        <w:numPr>
          <w:ilvl w:val="0"/>
          <w:numId w:val="187"/>
        </w:numPr>
        <w:ind w:right="72" w:hanging="286"/>
      </w:pPr>
      <w:r>
        <w:rPr>
          <w:rFonts w:ascii="Calibri" w:eastAsia="Calibri" w:hAnsi="Calibri" w:cs="Calibri"/>
          <w:noProof/>
        </w:rPr>
        <mc:AlternateContent>
          <mc:Choice Requires="wpg">
            <w:drawing>
              <wp:anchor distT="0" distB="0" distL="114300" distR="114300" simplePos="0" relativeHeight="25191424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16944" name="Group 416944"/>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9817" name="Rectangle 39817"/>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9818" name="Rectangle 39818"/>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246 de 298 </w:t>
                              </w:r>
                            </w:p>
                          </w:txbxContent>
                        </wps:txbx>
                        <wps:bodyPr horzOverflow="overflow" vert="horz" lIns="0" tIns="0" rIns="0" bIns="0" rtlCol="0">
                          <a:noAutofit/>
                        </wps:bodyPr>
                      </wps:wsp>
                    </wpg:wgp>
                  </a:graphicData>
                </a:graphic>
              </wp:anchor>
            </w:drawing>
          </mc:Choice>
          <mc:Fallback xmlns:a="http://schemas.openxmlformats.org/drawingml/2006/main">
            <w:pict>
              <v:group id="Group 416944" style="width:12.7031pt;height:278.91pt;position:absolute;mso-position-horizontal-relative:page;mso-position-horizontal:absolute;margin-left:682.278pt;mso-position-vertical-relative:page;margin-top:533.01pt;" coordsize="1613,35421">
                <v:rect id="Rectangle 39817"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9818"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246 de 298 </w:t>
                        </w:r>
                      </w:p>
                    </w:txbxContent>
                  </v:textbox>
                </v:rect>
                <w10:wrap type="square"/>
              </v:group>
            </w:pict>
          </mc:Fallback>
        </mc:AlternateContent>
      </w:r>
      <w:r>
        <w:t>El espacio au</w:t>
      </w:r>
      <w:r>
        <w:t>torizado se debe marcar en el pavimento con una línea de pintura deleble, discontinua, con una longitud máxima de 15 centímetros (0,15m) y un ancho máximo de 5 centímetros (0,05m). Quedarán repartidas proporcionalmente y separadas un mínimo de 3 m y un máx</w:t>
      </w:r>
      <w:r>
        <w:t>imo de 4,5 m. La pintura será especial para pavimento de exterior, antideslizante y de color blanco, salvo que no resalte suficientemente del tono del pavimento, en cuyo caso será roja. La administración podrá modificar estos parámetros para que dichas mar</w:t>
      </w:r>
      <w:r>
        <w:t xml:space="preserve">cas tengan una mejor integración en el entorno. </w:t>
      </w:r>
    </w:p>
    <w:p w:rsidR="00B064CF" w:rsidRDefault="00E32F70">
      <w:pPr>
        <w:numPr>
          <w:ilvl w:val="0"/>
          <w:numId w:val="187"/>
        </w:numPr>
        <w:ind w:right="72" w:hanging="286"/>
      </w:pPr>
      <w:r>
        <w:t xml:space="preserve">La línea se pintará desde el límite de terraza, que corresponda por autorización/licencia, hacia el interior de la ocupación. </w:t>
      </w:r>
    </w:p>
    <w:p w:rsidR="00B064CF" w:rsidRDefault="00E32F70">
      <w:pPr>
        <w:numPr>
          <w:ilvl w:val="0"/>
          <w:numId w:val="187"/>
        </w:numPr>
        <w:ind w:right="72" w:hanging="286"/>
      </w:pPr>
      <w:r>
        <w:t>La señalización sólo podrá realizarse en presencia de personal municipal con com</w:t>
      </w:r>
      <w:r>
        <w:t>petencias para el ejercicio de las facultades de control e inspección, quienes comunicarán a la persona o entidad titular de la autorización el día y hora para llevarla a cabo, levantando acta de la actuación y adoptando todas las medidas necesarias para q</w:t>
      </w:r>
      <w:r>
        <w:t xml:space="preserve">ue la señalización se ajuste estrictamente al contenido de la autorización. </w:t>
      </w:r>
    </w:p>
    <w:p w:rsidR="00B064CF" w:rsidRDefault="00E32F70">
      <w:pPr>
        <w:numPr>
          <w:ilvl w:val="0"/>
          <w:numId w:val="187"/>
        </w:numPr>
        <w:ind w:right="72" w:hanging="286"/>
      </w:pPr>
      <w:r>
        <w:t>Será obligación de la persona o entidad titular de la autorización, durante la vigencia de ésta, realizar el mantenimiento de la señalización regulada en el presente artículo, deb</w:t>
      </w:r>
      <w:r>
        <w:t xml:space="preserve">iendo proceder a su repintado o reposición, de acuerdo con las características descritas en los apartados anteriores, tantas veces como sea preciso para que los límites del espacio autorizado permanezcan claramente visibles. </w:t>
      </w:r>
    </w:p>
    <w:p w:rsidR="00B064CF" w:rsidRDefault="00E32F70">
      <w:pPr>
        <w:numPr>
          <w:ilvl w:val="0"/>
          <w:numId w:val="187"/>
        </w:numPr>
        <w:ind w:right="72" w:hanging="286"/>
      </w:pPr>
      <w:r>
        <w:t>Tanto en los supuestos de revocación como de no renovación de la autorización, la persona o entidad titular vendrá obligada a eliminar las marcas de señalización de la ocupación. Subsidiariamente serán los servicios técnicos municipales los encargados de e</w:t>
      </w:r>
      <w:r>
        <w:t xml:space="preserve">liminar tales marcas, con cargo al interesado. </w:t>
      </w:r>
    </w:p>
    <w:p w:rsidR="00B064CF" w:rsidRDefault="00E32F70">
      <w:pPr>
        <w:spacing w:after="11"/>
        <w:ind w:left="355" w:right="72"/>
      </w:pPr>
      <w:r>
        <w:t xml:space="preserve">Artículo 22. Características de los elementos accesorios vinculados a las actividades hosteleras </w:t>
      </w:r>
    </w:p>
    <w:p w:rsidR="00B064CF" w:rsidRDefault="00E32F70">
      <w:pPr>
        <w:numPr>
          <w:ilvl w:val="0"/>
          <w:numId w:val="188"/>
        </w:numPr>
        <w:ind w:right="72" w:hanging="360"/>
      </w:pPr>
      <w:r>
        <w:t xml:space="preserve">Todos los elementos que se dispongan en el dominio público estarán diseñados e instalados de tal forma que su </w:t>
      </w:r>
      <w:r>
        <w:t xml:space="preserve">utilización no represente real o potencial peligro para viandantes o usuarios, debiendo cumplir las condiciones generales de ocupación descritas en el artículo 8, así como las condiciones que se señalan en el Anexo II. </w:t>
      </w:r>
    </w:p>
    <w:p w:rsidR="00B064CF" w:rsidRDefault="00E32F70">
      <w:pPr>
        <w:numPr>
          <w:ilvl w:val="0"/>
          <w:numId w:val="188"/>
        </w:numPr>
        <w:ind w:right="72" w:hanging="360"/>
      </w:pPr>
      <w:r>
        <w:t>El mobiliario y los elementos que se</w:t>
      </w:r>
      <w:r>
        <w:t xml:space="preserve"> dispongan para la ocupación no podrán superar, en subsuelo, suelo ni vuelo, los límites del espacio autorizado, que debe señalizarse de conformidad con lo dispuesto en el artículo 21. </w:t>
      </w:r>
    </w:p>
    <w:p w:rsidR="00B064CF" w:rsidRDefault="00E32F70">
      <w:pPr>
        <w:numPr>
          <w:ilvl w:val="0"/>
          <w:numId w:val="188"/>
        </w:numPr>
        <w:ind w:right="72" w:hanging="360"/>
      </w:pPr>
      <w:r>
        <w:t xml:space="preserve">Las mesas y sillas deberán cumplir las siguientes condiciones: </w:t>
      </w:r>
    </w:p>
    <w:p w:rsidR="00B064CF" w:rsidRDefault="00E32F70">
      <w:pPr>
        <w:numPr>
          <w:ilvl w:val="1"/>
          <w:numId w:val="192"/>
        </w:numPr>
        <w:ind w:right="72" w:hanging="360"/>
      </w:pPr>
      <w:r>
        <w:t xml:space="preserve">Todas </w:t>
      </w:r>
      <w:r>
        <w:t xml:space="preserve">las mesas y sillas vinculadas a un mismo establecimiento serán de idéntico modelo, color y material. </w:t>
      </w:r>
    </w:p>
    <w:p w:rsidR="00B064CF" w:rsidRDefault="00E32F70">
      <w:pPr>
        <w:numPr>
          <w:ilvl w:val="1"/>
          <w:numId w:val="192"/>
        </w:numPr>
        <w:ind w:right="72" w:hanging="360"/>
      </w:pPr>
      <w:r>
        <w:t xml:space="preserve">Podrán incluir el nombre, logotipo o razón social del establecimiento. </w:t>
      </w:r>
    </w:p>
    <w:p w:rsidR="00B064CF" w:rsidRDefault="00E32F70">
      <w:pPr>
        <w:numPr>
          <w:ilvl w:val="0"/>
          <w:numId w:val="188"/>
        </w:numPr>
        <w:ind w:right="72" w:hanging="360"/>
      </w:pPr>
      <w:r>
        <w:t xml:space="preserve">Las sombrillas cumplirán las siguientes condiciones: </w:t>
      </w:r>
    </w:p>
    <w:p w:rsidR="00B064CF" w:rsidRDefault="00E32F70">
      <w:pPr>
        <w:numPr>
          <w:ilvl w:val="1"/>
          <w:numId w:val="188"/>
        </w:numPr>
        <w:ind w:right="72" w:hanging="360"/>
      </w:pPr>
      <w:r>
        <w:t>Se deberán disponer sobre ba</w:t>
      </w:r>
      <w:r>
        <w:t xml:space="preserve">ses y soportes que garanticen su estabilidad y eviten vuelcos o caídas. </w:t>
      </w:r>
    </w:p>
    <w:p w:rsidR="00B064CF" w:rsidRDefault="00E32F70">
      <w:pPr>
        <w:numPr>
          <w:ilvl w:val="1"/>
          <w:numId w:val="188"/>
        </w:numPr>
        <w:ind w:right="72" w:hanging="360"/>
      </w:pPr>
      <w:r>
        <w:t xml:space="preserve">Cuando no afecten a elementos catalogados o no se dispongan en ámbitos declarados como BIC, podrán contar con sistemas de sujeción machihembrada o similar, siempre que:  </w:t>
      </w:r>
    </w:p>
    <w:p w:rsidR="00B064CF" w:rsidRDefault="00E32F70">
      <w:pPr>
        <w:tabs>
          <w:tab w:val="center" w:pos="1161"/>
          <w:tab w:val="center" w:pos="4801"/>
        </w:tabs>
        <w:spacing w:after="146"/>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No afect</w:t>
      </w:r>
      <w:r>
        <w:t xml:space="preserve">en a los servicios e instalaciones existentes en el subsuelo. </w:t>
      </w:r>
    </w:p>
    <w:p w:rsidR="00B064CF" w:rsidRDefault="00E32F70">
      <w:pPr>
        <w:tabs>
          <w:tab w:val="center" w:pos="1161"/>
          <w:tab w:val="center" w:pos="3585"/>
        </w:tabs>
        <w:spacing w:after="143"/>
        <w:ind w:left="0" w:firstLine="0"/>
        <w:jc w:val="left"/>
      </w:pPr>
      <w:r>
        <w:rPr>
          <w:rFonts w:ascii="Calibri" w:eastAsia="Calibri" w:hAnsi="Calibri" w:cs="Calibri"/>
          <w:noProof/>
        </w:rPr>
        <mc:AlternateContent>
          <mc:Choice Requires="wpg">
            <w:drawing>
              <wp:anchor distT="0" distB="0" distL="114300" distR="114300" simplePos="0" relativeHeight="25191526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17023" name="Group 417023"/>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39933" name="Rectangle 39933"/>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39934" name="Rectangle 39934"/>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247 de 298 </w:t>
                              </w:r>
                            </w:p>
                          </w:txbxContent>
                        </wps:txbx>
                        <wps:bodyPr horzOverflow="overflow" vert="horz" lIns="0" tIns="0" rIns="0" bIns="0" rtlCol="0">
                          <a:noAutofit/>
                        </wps:bodyPr>
                      </wps:wsp>
                    </wpg:wgp>
                  </a:graphicData>
                </a:graphic>
              </wp:anchor>
            </w:drawing>
          </mc:Choice>
          <mc:Fallback xmlns:a="http://schemas.openxmlformats.org/drawingml/2006/main">
            <w:pict>
              <v:group id="Group 417023" style="width:12.7031pt;height:278.91pt;position:absolute;mso-position-horizontal-relative:page;mso-position-horizontal:absolute;margin-left:682.278pt;mso-position-vertical-relative:page;margin-top:533.01pt;" coordsize="1613,35421">
                <v:rect id="Rectangle 39933"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39934"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247 de 298 </w:t>
                        </w:r>
                      </w:p>
                    </w:txbxContent>
                  </v:textbox>
                </v:rect>
                <w10:wrap type="square"/>
              </v:group>
            </w:pict>
          </mc:Fallback>
        </mc:AlternateContent>
      </w:r>
      <w:r>
        <w:rPr>
          <w:rFonts w:ascii="Calibri" w:eastAsia="Calibri" w:hAnsi="Calibri" w:cs="Calibri"/>
        </w:rPr>
        <w:tab/>
      </w:r>
      <w:r>
        <w:rPr>
          <w:rFonts w:ascii="Segoe UI Symbol" w:eastAsia="Segoe UI Symbol" w:hAnsi="Segoe UI Symbol" w:cs="Segoe UI Symbol"/>
        </w:rPr>
        <w:t></w:t>
      </w:r>
      <w:r>
        <w:t xml:space="preserve"> </w:t>
      </w:r>
      <w:r>
        <w:tab/>
        <w:t xml:space="preserve">No se ubiquen sobre cubiertas de sótanos. </w:t>
      </w:r>
    </w:p>
    <w:p w:rsidR="00B064CF" w:rsidRDefault="00E32F70">
      <w:pPr>
        <w:ind w:left="1493" w:right="72" w:hanging="360"/>
      </w:pPr>
      <w:r>
        <w:rPr>
          <w:rFonts w:ascii="Segoe UI Symbol" w:eastAsia="Segoe UI Symbol" w:hAnsi="Segoe UI Symbol" w:cs="Segoe UI Symbol"/>
        </w:rPr>
        <w:t></w:t>
      </w:r>
      <w:r>
        <w:t xml:space="preserve"> No sobresalgan de la rasante del pavimento elementos ni partes de su mecanismo, una vez retiradas los elementos </w:t>
      </w:r>
      <w:r>
        <w:t xml:space="preserve">a colocar, debiendo asegurar su continuidad y la inexistencia de resaltes.  </w:t>
      </w:r>
    </w:p>
    <w:p w:rsidR="00B064CF" w:rsidRDefault="00E32F70">
      <w:pPr>
        <w:ind w:left="1493" w:right="72" w:hanging="360"/>
      </w:pPr>
      <w:r>
        <w:rPr>
          <w:rFonts w:ascii="Segoe UI Symbol" w:eastAsia="Segoe UI Symbol" w:hAnsi="Segoe UI Symbol" w:cs="Segoe UI Symbol"/>
        </w:rPr>
        <w:t></w:t>
      </w:r>
      <w:r>
        <w:t xml:space="preserve"> </w:t>
      </w:r>
      <w:r>
        <w:tab/>
        <w:t xml:space="preserve">No se generen orificios abiertos en el pavimento, ya sea con los elementos retirados o colocados.  </w:t>
      </w:r>
    </w:p>
    <w:p w:rsidR="00B064CF" w:rsidRDefault="00E32F70">
      <w:pPr>
        <w:spacing w:after="0"/>
        <w:ind w:left="1078" w:right="72"/>
      </w:pPr>
      <w:r>
        <w:t>Se podrá denegar dicha instalación en el caso de concurrir cualquier circuns</w:t>
      </w:r>
      <w:r>
        <w:t xml:space="preserve">tancia que no aconseje la implantación de la misma. </w:t>
      </w:r>
    </w:p>
    <w:p w:rsidR="00B064CF" w:rsidRDefault="00E32F70">
      <w:pPr>
        <w:numPr>
          <w:ilvl w:val="1"/>
          <w:numId w:val="188"/>
        </w:numPr>
        <w:ind w:right="72" w:hanging="360"/>
      </w:pPr>
      <w:r>
        <w:t>La altura libre mínima será de dos metros y veinte centímetros (2,20 m), y su altura máxima, como norma general, será de 3,00 m, medidos desde el suelo a su parte superior, salvo que las condiciones arqu</w:t>
      </w:r>
      <w:r>
        <w:t xml:space="preserve">itectónicas específicas de las edificaciones requieran otros condicionantes para su instalación.  </w:t>
      </w:r>
    </w:p>
    <w:p w:rsidR="00B064CF" w:rsidRDefault="00E32F70">
      <w:pPr>
        <w:numPr>
          <w:ilvl w:val="1"/>
          <w:numId w:val="188"/>
        </w:numPr>
        <w:ind w:right="72" w:hanging="360"/>
      </w:pPr>
      <w:r>
        <w:t xml:space="preserve">Todas las sombrillas vinculadas a un mismo establecimiento serán de idéntico modelo, color y material. </w:t>
      </w:r>
    </w:p>
    <w:p w:rsidR="00B064CF" w:rsidRDefault="00E32F70">
      <w:pPr>
        <w:numPr>
          <w:ilvl w:val="1"/>
          <w:numId w:val="188"/>
        </w:numPr>
        <w:ind w:right="72" w:hanging="360"/>
      </w:pPr>
      <w:r>
        <w:t xml:space="preserve">Podrán incluir, únicamente en los faldones o en la parte más baja de la sombrilla, el nombre, logotipo o razón social del establecimiento.  </w:t>
      </w:r>
    </w:p>
    <w:p w:rsidR="00B064CF" w:rsidRDefault="00E32F70">
      <w:pPr>
        <w:numPr>
          <w:ilvl w:val="0"/>
          <w:numId w:val="188"/>
        </w:numPr>
        <w:spacing w:after="278"/>
        <w:ind w:right="72" w:hanging="360"/>
      </w:pPr>
      <w:r>
        <w:t xml:space="preserve">Los cenadores cumplirán las siguientes condiciones:  </w:t>
      </w:r>
    </w:p>
    <w:p w:rsidR="00B064CF" w:rsidRDefault="00E32F70">
      <w:pPr>
        <w:numPr>
          <w:ilvl w:val="1"/>
          <w:numId w:val="194"/>
        </w:numPr>
        <w:ind w:right="72" w:hanging="360"/>
      </w:pPr>
      <w:r>
        <w:t xml:space="preserve">Se deberán disponer sobre bases y soportes que garanticen su </w:t>
      </w:r>
      <w:r>
        <w:t xml:space="preserve">estabilidad y eviten vuelcos o caídas. </w:t>
      </w:r>
    </w:p>
    <w:p w:rsidR="00B064CF" w:rsidRDefault="00E32F70">
      <w:pPr>
        <w:numPr>
          <w:ilvl w:val="1"/>
          <w:numId w:val="194"/>
        </w:numPr>
        <w:spacing w:after="279"/>
        <w:ind w:right="72" w:hanging="360"/>
      </w:pPr>
      <w:r>
        <w:t>Cuando no afecten a elementos catalogados o no se dispongan en ámbitos declarados como BIC, podrán contar con sistemas de sujeción machihembrada o similar, siempre que se ajusten a las condiciones descritas en el apa</w:t>
      </w:r>
      <w:r>
        <w:t xml:space="preserve">rtado 4.b. </w:t>
      </w:r>
    </w:p>
    <w:p w:rsidR="00B064CF" w:rsidRDefault="00E32F70">
      <w:pPr>
        <w:numPr>
          <w:ilvl w:val="1"/>
          <w:numId w:val="194"/>
        </w:numPr>
        <w:spacing w:after="278"/>
        <w:ind w:right="72" w:hanging="360"/>
      </w:pPr>
      <w:r>
        <w:t xml:space="preserve">Las estructuras serán desmontables, instaladas sin elaboración de materiales in situ ni empleo de soldaduras, pudiendo ser desmanteladas sin operaciones de demolición. </w:t>
      </w:r>
    </w:p>
    <w:p w:rsidR="00B064CF" w:rsidRDefault="00E32F70">
      <w:pPr>
        <w:numPr>
          <w:ilvl w:val="1"/>
          <w:numId w:val="194"/>
        </w:numPr>
        <w:spacing w:after="280"/>
        <w:ind w:right="72" w:hanging="360"/>
      </w:pPr>
      <w:r>
        <w:t xml:space="preserve">La altura libre mínima será de dos metros y veinte centímetros (2,20 m), y </w:t>
      </w:r>
      <w:r>
        <w:t xml:space="preserve">su altura máxima, como normal general, será de 3,00 m, medidos desde el suelo a su parte superior, salvo que las condiciones arquitectónicas específicas de las edificaciones requieran otros condicionantes para su instalación. </w:t>
      </w:r>
    </w:p>
    <w:p w:rsidR="00B064CF" w:rsidRDefault="00E32F70">
      <w:pPr>
        <w:numPr>
          <w:ilvl w:val="1"/>
          <w:numId w:val="194"/>
        </w:numPr>
        <w:spacing w:after="277"/>
        <w:ind w:right="72" w:hanging="360"/>
      </w:pPr>
      <w:r>
        <w:t>Como normal general, no podrán ubicarse a menos de dos metros (2,00 m) de distancia de cualquier fachada o cuerpo volado, sin perjuicio de que se exija otra distancia mayor, o bien, se aconseje adosarla a linderos o fachada, en la normativa que le sea de a</w:t>
      </w:r>
      <w:r>
        <w:t xml:space="preserve">plicación. </w:t>
      </w:r>
    </w:p>
    <w:p w:rsidR="00B064CF" w:rsidRDefault="00E32F70">
      <w:pPr>
        <w:numPr>
          <w:ilvl w:val="1"/>
          <w:numId w:val="194"/>
        </w:numPr>
        <w:spacing w:after="210"/>
        <w:ind w:right="72" w:hanging="360"/>
      </w:pPr>
      <w:r>
        <w:t xml:space="preserve">Deberán ser instalados por empresa especializada que garantice su estabilidad y seguridad.  </w:t>
      </w:r>
    </w:p>
    <w:p w:rsidR="00B064CF" w:rsidRDefault="00E32F70">
      <w:pPr>
        <w:numPr>
          <w:ilvl w:val="1"/>
          <w:numId w:val="194"/>
        </w:numPr>
        <w:ind w:right="72" w:hanging="360"/>
      </w:pPr>
      <w:r>
        <w:t>Podrán tener cerramientos verticales como máximo en tres caras, debiendo quedar siempre abierta la cara que enfrenta con el establecimiento. Dichos cer</w:t>
      </w:r>
      <w:r>
        <w:t xml:space="preserve">ramientos serán enrollables y flexibles, no permitiéndose ningún cerramiento de carácter fijo. Al menos el 50% de la superficie de los cerramientos será transparente.   </w:t>
      </w:r>
    </w:p>
    <w:p w:rsidR="00B064CF" w:rsidRDefault="00E32F70">
      <w:pPr>
        <w:numPr>
          <w:ilvl w:val="0"/>
          <w:numId w:val="188"/>
        </w:numPr>
        <w:ind w:right="72" w:hanging="360"/>
      </w:pPr>
      <w:r>
        <w:rPr>
          <w:rFonts w:ascii="Calibri" w:eastAsia="Calibri" w:hAnsi="Calibri" w:cs="Calibri"/>
          <w:noProof/>
        </w:rPr>
        <mc:AlternateContent>
          <mc:Choice Requires="wpg">
            <w:drawing>
              <wp:anchor distT="0" distB="0" distL="114300" distR="114300" simplePos="0" relativeHeight="25191628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17229" name="Group 417229"/>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0052" name="Rectangle 40052"/>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64SKSNYNJRFPNN5DLPPAAC3GS | Verificación: https://candelaria.sedel</w:t>
                              </w:r>
                              <w:r>
                                <w:rPr>
                                  <w:sz w:val="12"/>
                                </w:rPr>
                                <w:t xml:space="preserve">ectronica.es/ </w:t>
                              </w:r>
                            </w:p>
                          </w:txbxContent>
                        </wps:txbx>
                        <wps:bodyPr horzOverflow="overflow" vert="horz" lIns="0" tIns="0" rIns="0" bIns="0" rtlCol="0">
                          <a:noAutofit/>
                        </wps:bodyPr>
                      </wps:wsp>
                      <wps:wsp>
                        <wps:cNvPr id="40053" name="Rectangle 40053"/>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248 de 298 </w:t>
                              </w:r>
                            </w:p>
                          </w:txbxContent>
                        </wps:txbx>
                        <wps:bodyPr horzOverflow="overflow" vert="horz" lIns="0" tIns="0" rIns="0" bIns="0" rtlCol="0">
                          <a:noAutofit/>
                        </wps:bodyPr>
                      </wps:wsp>
                    </wpg:wgp>
                  </a:graphicData>
                </a:graphic>
              </wp:anchor>
            </w:drawing>
          </mc:Choice>
          <mc:Fallback xmlns:a="http://schemas.openxmlformats.org/drawingml/2006/main">
            <w:pict>
              <v:group id="Group 417229" style="width:12.7031pt;height:278.91pt;position:absolute;mso-position-horizontal-relative:page;mso-position-horizontal:absolute;margin-left:682.278pt;mso-position-vertical-relative:page;margin-top:533.01pt;" coordsize="1613,35421">
                <v:rect id="Rectangle 40052"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0053"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248 de 298 </w:t>
                        </w:r>
                      </w:p>
                    </w:txbxContent>
                  </v:textbox>
                </v:rect>
                <w10:wrap type="square"/>
              </v:group>
            </w:pict>
          </mc:Fallback>
        </mc:AlternateContent>
      </w:r>
      <w:r>
        <w:t xml:space="preserve">Los toldos deberán cumplir las siguientes condiciones: </w:t>
      </w:r>
    </w:p>
    <w:p w:rsidR="00B064CF" w:rsidRDefault="00E32F70">
      <w:pPr>
        <w:numPr>
          <w:ilvl w:val="1"/>
          <w:numId w:val="191"/>
        </w:numPr>
        <w:ind w:right="72" w:hanging="360"/>
      </w:pPr>
      <w:r>
        <w:t xml:space="preserve">Sólo serán autorizados los toldos retráctiles e idénticos, adosados a fachada,  </w:t>
      </w:r>
    </w:p>
    <w:p w:rsidR="00B064CF" w:rsidRDefault="00E32F70">
      <w:pPr>
        <w:numPr>
          <w:ilvl w:val="1"/>
          <w:numId w:val="191"/>
        </w:numPr>
        <w:ind w:right="72" w:hanging="360"/>
      </w:pPr>
      <w:r>
        <w:t>Se perm</w:t>
      </w:r>
      <w:r>
        <w:t xml:space="preserve">itirá únicamente para las actividades hosteleras, la instalación de los mismos, mediante puntos de fijación en la acera, perfectamente enrasados, que serán retirados a la hora de cierre, debiendo cumplir las condiciones establecidas en el apartado 4.b. </w:t>
      </w:r>
    </w:p>
    <w:p w:rsidR="00B064CF" w:rsidRDefault="00E32F70">
      <w:pPr>
        <w:numPr>
          <w:ilvl w:val="1"/>
          <w:numId w:val="191"/>
        </w:numPr>
        <w:ind w:right="72" w:hanging="360"/>
      </w:pPr>
      <w:r>
        <w:t>Só</w:t>
      </w:r>
      <w:r>
        <w:t xml:space="preserve">lo serán autorizados si la franja de suelo ocupada es contigua a la fachada de anclaje. </w:t>
      </w:r>
    </w:p>
    <w:p w:rsidR="00B064CF" w:rsidRDefault="00E32F70">
      <w:pPr>
        <w:numPr>
          <w:ilvl w:val="1"/>
          <w:numId w:val="191"/>
        </w:numPr>
        <w:ind w:right="72" w:hanging="360"/>
      </w:pPr>
      <w:r>
        <w:t xml:space="preserve">Los toldos desplegados no podrán sobrepasar los límites del espacio de ocupación autorizado y deberán respetar, en todo caso, el arbolado o instalaciones existentes. </w:t>
      </w:r>
    </w:p>
    <w:p w:rsidR="00B064CF" w:rsidRDefault="00E32F70">
      <w:pPr>
        <w:numPr>
          <w:ilvl w:val="1"/>
          <w:numId w:val="191"/>
        </w:numPr>
        <w:ind w:right="72" w:hanging="360"/>
      </w:pPr>
      <w:r>
        <w:t>Los toldos recogidos no podrán volar más de cincuenta centímetros (0,50 m) del plano de fachada y dejarán una altura libre mínima de tres metros (3,00 m) sobre la rasante de la acera o espacio peatonal, salvo que las condiciones arquitectónicas específicas</w:t>
      </w:r>
      <w:r>
        <w:t xml:space="preserve"> de las edificaciones requieran otros condicionantes para su instalación. </w:t>
      </w:r>
    </w:p>
    <w:p w:rsidR="00B064CF" w:rsidRDefault="00E32F70">
      <w:pPr>
        <w:numPr>
          <w:ilvl w:val="1"/>
          <w:numId w:val="191"/>
        </w:numPr>
        <w:ind w:right="72" w:hanging="360"/>
      </w:pPr>
      <w:r>
        <w:t>Se situarán a una altura no inferior a dos metros y veinte centímetros (2,20 m) sobre la rasante de la acera o espacio peatonal, medida en el punto más bajo del toldo e incluyendo t</w:t>
      </w:r>
      <w:r>
        <w:t xml:space="preserve">odos los componentes del mismo.  </w:t>
      </w:r>
    </w:p>
    <w:p w:rsidR="00B064CF" w:rsidRDefault="00E32F70">
      <w:pPr>
        <w:numPr>
          <w:ilvl w:val="1"/>
          <w:numId w:val="191"/>
        </w:numPr>
        <w:ind w:right="72" w:hanging="360"/>
      </w:pPr>
      <w:r>
        <w:t xml:space="preserve">Todos los toldos vinculados a un mismo establecimiento serán de idéntico modelo, color y material.   </w:t>
      </w:r>
    </w:p>
    <w:p w:rsidR="00B064CF" w:rsidRDefault="00E32F70">
      <w:pPr>
        <w:numPr>
          <w:ilvl w:val="1"/>
          <w:numId w:val="191"/>
        </w:numPr>
        <w:ind w:right="72" w:hanging="360"/>
      </w:pPr>
      <w:r>
        <w:t xml:space="preserve">Podrán incluir el nombre, logotipo o razón social del establecimiento.  </w:t>
      </w:r>
    </w:p>
    <w:p w:rsidR="00B064CF" w:rsidRDefault="00E32F70">
      <w:pPr>
        <w:numPr>
          <w:ilvl w:val="1"/>
          <w:numId w:val="191"/>
        </w:numPr>
        <w:ind w:right="72" w:hanging="360"/>
      </w:pPr>
      <w:r>
        <w:t>Deberán ser instalados por empresa especializad</w:t>
      </w:r>
      <w:r>
        <w:t xml:space="preserve">a que garantice su estabilidad y seguridad.  </w:t>
      </w:r>
    </w:p>
    <w:p w:rsidR="00B064CF" w:rsidRDefault="00E32F70">
      <w:pPr>
        <w:numPr>
          <w:ilvl w:val="0"/>
          <w:numId w:val="188"/>
        </w:numPr>
        <w:spacing w:after="274"/>
        <w:ind w:right="72" w:hanging="360"/>
      </w:pPr>
      <w:r>
        <w:t xml:space="preserve">Las mamparas cumplirán las siguientes condiciones: </w:t>
      </w:r>
    </w:p>
    <w:p w:rsidR="00B064CF" w:rsidRDefault="00E32F70">
      <w:pPr>
        <w:numPr>
          <w:ilvl w:val="1"/>
          <w:numId w:val="189"/>
        </w:numPr>
        <w:spacing w:after="276"/>
        <w:ind w:right="72" w:hanging="406"/>
      </w:pPr>
      <w:r>
        <w:t xml:space="preserve">Se deberán disponer sobre bases y soportes que garanticen su estabilidad y eviten vuelcos y caídas. No se admitirá ningún tipo de anclaje al suelo. </w:t>
      </w:r>
    </w:p>
    <w:p w:rsidR="00B064CF" w:rsidRDefault="00E32F70">
      <w:pPr>
        <w:numPr>
          <w:ilvl w:val="1"/>
          <w:numId w:val="189"/>
        </w:numPr>
        <w:spacing w:after="274"/>
        <w:ind w:right="72" w:hanging="406"/>
      </w:pPr>
      <w:r>
        <w:t>Podrán contar con partes ciegas, traslúcidas o transparentes. En este último caso se deberán incorporar elementos que garanticen su detección, debiendo ajustarse a las condiciones en materia de accesibilidad que le sean de aplicación. Estas regulaciones de</w:t>
      </w:r>
      <w:r>
        <w:t xml:space="preserve"> señalización se podrán obviar cuando la superficie vidriada contenga otros elementos informativos que garanticen suficientemente su detección o si existe mobiliario detectable a todo lo largo de dichas superficies. </w:t>
      </w:r>
    </w:p>
    <w:p w:rsidR="00B064CF" w:rsidRDefault="00E32F70">
      <w:pPr>
        <w:numPr>
          <w:ilvl w:val="1"/>
          <w:numId w:val="189"/>
        </w:numPr>
        <w:spacing w:after="274"/>
        <w:ind w:right="72" w:hanging="406"/>
      </w:pPr>
      <w:r>
        <w:t>La parte ciega no podrá superar los nov</w:t>
      </w:r>
      <w:r>
        <w:t xml:space="preserve">enta centímetros (0,90 m) de altura medidos desde la rasante del pavimento, debiendo resolverse el resto con material traslúcido o transparente. </w:t>
      </w:r>
    </w:p>
    <w:p w:rsidR="00B064CF" w:rsidRDefault="00E32F70">
      <w:pPr>
        <w:numPr>
          <w:ilvl w:val="1"/>
          <w:numId w:val="189"/>
        </w:numPr>
        <w:spacing w:after="273"/>
        <w:ind w:right="72" w:hanging="406"/>
      </w:pPr>
      <w:r>
        <w:t>La altura total no será inferior a noventa centímetros (0,90 m) ni superior a ciento cincuenta centímetros (1,</w:t>
      </w:r>
      <w:r>
        <w:t xml:space="preserve">50 m).  </w:t>
      </w:r>
    </w:p>
    <w:p w:rsidR="00B064CF" w:rsidRDefault="00E32F70">
      <w:pPr>
        <w:numPr>
          <w:ilvl w:val="1"/>
          <w:numId w:val="189"/>
        </w:numPr>
        <w:ind w:right="72" w:hanging="406"/>
      </w:pPr>
      <w:r>
        <w:t xml:space="preserve">Todas las mamparas vinculadas a un mismo establecimiento serán de idéntico modelo, color y material.  </w:t>
      </w:r>
    </w:p>
    <w:p w:rsidR="00B064CF" w:rsidRDefault="00E32F70">
      <w:pPr>
        <w:numPr>
          <w:ilvl w:val="0"/>
          <w:numId w:val="188"/>
        </w:numPr>
        <w:ind w:right="72" w:hanging="360"/>
      </w:pPr>
      <w:r>
        <w:t xml:space="preserve">Los rótulos vinculados a las actividades de hostelería cumplirán las siguientes condiciones:  </w:t>
      </w:r>
    </w:p>
    <w:p w:rsidR="00B064CF" w:rsidRDefault="00E32F70">
      <w:pPr>
        <w:numPr>
          <w:ilvl w:val="1"/>
          <w:numId w:val="188"/>
        </w:numPr>
        <w:ind w:right="72" w:hanging="360"/>
      </w:pPr>
      <w:r>
        <w:rPr>
          <w:rFonts w:ascii="Calibri" w:eastAsia="Calibri" w:hAnsi="Calibri" w:cs="Calibri"/>
          <w:noProof/>
        </w:rPr>
        <mc:AlternateContent>
          <mc:Choice Requires="wpg">
            <w:drawing>
              <wp:anchor distT="0" distB="0" distL="114300" distR="114300" simplePos="0" relativeHeight="25191731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17478" name="Group 417478"/>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0171" name="Rectangle 40171"/>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64SKSNYNJRFPNN5DLPPAAC3GS | V</w:t>
                              </w:r>
                              <w:r>
                                <w:rPr>
                                  <w:sz w:val="12"/>
                                </w:rPr>
                                <w:t xml:space="preserve">erificación: https://candelaria.sedelectronica.es/ </w:t>
                              </w:r>
                            </w:p>
                          </w:txbxContent>
                        </wps:txbx>
                        <wps:bodyPr horzOverflow="overflow" vert="horz" lIns="0" tIns="0" rIns="0" bIns="0" rtlCol="0">
                          <a:noAutofit/>
                        </wps:bodyPr>
                      </wps:wsp>
                      <wps:wsp>
                        <wps:cNvPr id="40172" name="Rectangle 40172"/>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249 de 298 </w:t>
                              </w:r>
                            </w:p>
                          </w:txbxContent>
                        </wps:txbx>
                        <wps:bodyPr horzOverflow="overflow" vert="horz" lIns="0" tIns="0" rIns="0" bIns="0" rtlCol="0">
                          <a:noAutofit/>
                        </wps:bodyPr>
                      </wps:wsp>
                    </wpg:wgp>
                  </a:graphicData>
                </a:graphic>
              </wp:anchor>
            </w:drawing>
          </mc:Choice>
          <mc:Fallback xmlns:a="http://schemas.openxmlformats.org/drawingml/2006/main">
            <w:pict>
              <v:group id="Group 417478" style="width:12.7031pt;height:278.91pt;position:absolute;mso-position-horizontal-relative:page;mso-position-horizontal:absolute;margin-left:682.278pt;mso-position-vertical-relative:page;margin-top:533.01pt;" coordsize="1613,35421">
                <v:rect id="Rectangle 40171"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0172"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249 de 298 </w:t>
                        </w:r>
                      </w:p>
                    </w:txbxContent>
                  </v:textbox>
                </v:rect>
                <w10:wrap type="square"/>
              </v:group>
            </w:pict>
          </mc:Fallback>
        </mc:AlternateContent>
      </w:r>
      <w:r>
        <w:t xml:space="preserve">Contendrán sólo la denominación de la actividad a la que se vinculan. </w:t>
      </w:r>
    </w:p>
    <w:p w:rsidR="00B064CF" w:rsidRDefault="00E32F70">
      <w:pPr>
        <w:numPr>
          <w:ilvl w:val="1"/>
          <w:numId w:val="188"/>
        </w:numPr>
        <w:ind w:right="72" w:hanging="360"/>
      </w:pPr>
      <w:r>
        <w:t>No podrán extenderse, ni vertical ni</w:t>
      </w:r>
      <w:r>
        <w:t xml:space="preserve"> horizontalmente, fuera de los límites de la fachada del establecimiento al que se vinculan. </w:t>
      </w:r>
    </w:p>
    <w:p w:rsidR="00B064CF" w:rsidRDefault="00E32F70">
      <w:pPr>
        <w:numPr>
          <w:ilvl w:val="1"/>
          <w:numId w:val="188"/>
        </w:numPr>
        <w:ind w:right="72" w:hanging="360"/>
      </w:pPr>
      <w:r>
        <w:t>Los rótulos adosados a fachada deberán ajustarse a las condiciones técnicas y estéticas referidas en la normativa urbanística vigente, manteniendo una altura libre no inferior a dos metros y veinte centímetros (2,20 m) sobre la rasante del espacio público,</w:t>
      </w:r>
      <w:r>
        <w:t xml:space="preserve"> salvo que las condiciones arquitectónicas específicas de las edificaciones requieran otros condicionantes para su instalación. </w:t>
      </w:r>
    </w:p>
    <w:p w:rsidR="00B064CF" w:rsidRDefault="00E32F70">
      <w:pPr>
        <w:numPr>
          <w:ilvl w:val="1"/>
          <w:numId w:val="188"/>
        </w:numPr>
        <w:ind w:right="72" w:hanging="360"/>
      </w:pPr>
      <w:r>
        <w:t xml:space="preserve">No se permiten los rótulos en bandera.  </w:t>
      </w:r>
    </w:p>
    <w:p w:rsidR="00B064CF" w:rsidRDefault="00E32F70">
      <w:pPr>
        <w:numPr>
          <w:ilvl w:val="1"/>
          <w:numId w:val="188"/>
        </w:numPr>
        <w:ind w:right="72" w:hanging="360"/>
      </w:pPr>
      <w:r>
        <w:t>No se autorizarán en tramos de vías que presenten una anchura igual o inferior a cinco</w:t>
      </w:r>
      <w:r>
        <w:t xml:space="preserve"> metros (5,00 m), salvo que el rótulo se disponga adosado y con un vuelo no superior a cinco centímetros (0,05 m).  </w:t>
      </w:r>
    </w:p>
    <w:p w:rsidR="00B064CF" w:rsidRDefault="00E32F70">
      <w:pPr>
        <w:numPr>
          <w:ilvl w:val="1"/>
          <w:numId w:val="188"/>
        </w:numPr>
        <w:ind w:right="72" w:hanging="360"/>
      </w:pPr>
      <w:r>
        <w:t xml:space="preserve">Deberán ser instalados por empresa especializada que garantice su estabilidad y seguridad.   </w:t>
      </w:r>
    </w:p>
    <w:p w:rsidR="00B064CF" w:rsidRDefault="00E32F70">
      <w:pPr>
        <w:numPr>
          <w:ilvl w:val="0"/>
          <w:numId w:val="188"/>
        </w:numPr>
        <w:ind w:right="72" w:hanging="360"/>
      </w:pPr>
      <w:r>
        <w:t>Los maceteros o jardineras vinculadas a las a</w:t>
      </w:r>
      <w:r>
        <w:t xml:space="preserve">ctividades de hostelería cumplirán las siguientes condiciones:  </w:t>
      </w:r>
    </w:p>
    <w:p w:rsidR="00B064CF" w:rsidRDefault="00E32F70">
      <w:pPr>
        <w:numPr>
          <w:ilvl w:val="1"/>
          <w:numId w:val="193"/>
        </w:numPr>
        <w:ind w:right="72" w:hanging="360"/>
      </w:pPr>
      <w:r>
        <w:t xml:space="preserve">Tendrán que disponer de una base y características que aseguren su estabilidad y solidez en caso de viento o contacto accidental de los peatones. </w:t>
      </w:r>
    </w:p>
    <w:p w:rsidR="00B064CF" w:rsidRDefault="00E32F70">
      <w:pPr>
        <w:numPr>
          <w:ilvl w:val="1"/>
          <w:numId w:val="193"/>
        </w:numPr>
        <w:ind w:right="72" w:hanging="360"/>
      </w:pPr>
      <w:r>
        <w:t xml:space="preserve">No podrán superar unas dimensiones máximas, </w:t>
      </w:r>
      <w:r>
        <w:t xml:space="preserve">incluyendo la especie vegetal plantada, de un metro y cincuenta centímetros (1,50 m) de altura.  </w:t>
      </w:r>
    </w:p>
    <w:p w:rsidR="00B064CF" w:rsidRDefault="00E32F70">
      <w:pPr>
        <w:numPr>
          <w:ilvl w:val="1"/>
          <w:numId w:val="193"/>
        </w:numPr>
        <w:ind w:right="72" w:hanging="360"/>
      </w:pPr>
      <w:r>
        <w:t xml:space="preserve">El Ayuntamiento podrá exigir que los maceteros, jardineras o plantas se ajusten a un modelo determinado en función del lugar donde se tengan que ubicar, para </w:t>
      </w:r>
      <w:r>
        <w:t xml:space="preserve">una mejor armonización con el entorno. </w:t>
      </w:r>
    </w:p>
    <w:p w:rsidR="00B064CF" w:rsidRDefault="00E32F70">
      <w:pPr>
        <w:numPr>
          <w:ilvl w:val="0"/>
          <w:numId w:val="188"/>
        </w:numPr>
        <w:ind w:right="72" w:hanging="360"/>
      </w:pPr>
      <w:r>
        <w:t xml:space="preserve">Las plataformas o parklets vinculadas a las actividades de hostelería cumplirán las siguientes condiciones: </w:t>
      </w:r>
    </w:p>
    <w:p w:rsidR="00B064CF" w:rsidRDefault="00E32F70">
      <w:pPr>
        <w:numPr>
          <w:ilvl w:val="1"/>
          <w:numId w:val="190"/>
        </w:numPr>
        <w:ind w:right="72" w:hanging="360"/>
      </w:pPr>
      <w:r>
        <w:t xml:space="preserve">Deberá presentarse certificado técnico que acredite la estabilidad y seguridad estructural de la instalación, suscrito por personal técnico competente. </w:t>
      </w:r>
    </w:p>
    <w:p w:rsidR="00B064CF" w:rsidRDefault="00E32F70">
      <w:pPr>
        <w:numPr>
          <w:ilvl w:val="1"/>
          <w:numId w:val="190"/>
        </w:numPr>
        <w:ind w:right="72" w:hanging="360"/>
      </w:pPr>
      <w:r>
        <w:t>Se autorizará su colocación en las calzadas, ocupando plazas de estacionamiento, siempre que la instala</w:t>
      </w:r>
      <w:r>
        <w:t xml:space="preserve">ción se realice al mismo nivel de la acera, sin que exista resalte entre ambos pavimentos. El material predominante será la madera y elementos vegetales. </w:t>
      </w:r>
    </w:p>
    <w:p w:rsidR="00B064CF" w:rsidRDefault="00E32F70">
      <w:pPr>
        <w:numPr>
          <w:ilvl w:val="1"/>
          <w:numId w:val="190"/>
        </w:numPr>
        <w:ind w:right="72" w:hanging="360"/>
      </w:pPr>
      <w:r>
        <w:t>Las uniones o juntas del pavimento deberán estar totalmente selladas para evitar que los restos de co</w:t>
      </w:r>
      <w:r>
        <w:t xml:space="preserve">mida puedan depositarse bajo la plataforma, evitando así la aparición de plagas. </w:t>
      </w:r>
    </w:p>
    <w:p w:rsidR="00B064CF" w:rsidRDefault="00E32F70">
      <w:pPr>
        <w:numPr>
          <w:ilvl w:val="1"/>
          <w:numId w:val="190"/>
        </w:numPr>
        <w:ind w:right="72" w:hanging="360"/>
      </w:pPr>
      <w:r>
        <w:t>Tarima de madera como pavimento y estructura metálica desmontable como soporte estructural, que permita el paso de aguas pluviales y aguas resultantes del baldeo de las calle</w:t>
      </w:r>
      <w:r>
        <w:t xml:space="preserve">s. Por lo tanto, se evitará colocar cualquier cerramiento en el perímetro que dificulte el paso del agua. </w:t>
      </w:r>
    </w:p>
    <w:p w:rsidR="00B064CF" w:rsidRDefault="00E32F70">
      <w:pPr>
        <w:numPr>
          <w:ilvl w:val="1"/>
          <w:numId w:val="190"/>
        </w:numPr>
        <w:ind w:right="72" w:hanging="360"/>
      </w:pPr>
      <w:r>
        <w:rPr>
          <w:rFonts w:ascii="Calibri" w:eastAsia="Calibri" w:hAnsi="Calibri" w:cs="Calibri"/>
          <w:noProof/>
        </w:rPr>
        <mc:AlternateContent>
          <mc:Choice Requires="wpg">
            <w:drawing>
              <wp:anchor distT="0" distB="0" distL="114300" distR="114300" simplePos="0" relativeHeight="25191833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17858" name="Group 417858"/>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0280" name="Rectangle 40280"/>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40281" name="Rectangle 40281"/>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Documento firmado electrónicamente desde la pl</w:t>
                              </w:r>
                              <w:r>
                                <w:rPr>
                                  <w:sz w:val="12"/>
                                </w:rPr>
                                <w:t xml:space="preserve">ataforma esPublico Gestiona | Página 250 de 298 </w:t>
                              </w:r>
                            </w:p>
                          </w:txbxContent>
                        </wps:txbx>
                        <wps:bodyPr horzOverflow="overflow" vert="horz" lIns="0" tIns="0" rIns="0" bIns="0" rtlCol="0">
                          <a:noAutofit/>
                        </wps:bodyPr>
                      </wps:wsp>
                    </wpg:wgp>
                  </a:graphicData>
                </a:graphic>
              </wp:anchor>
            </w:drawing>
          </mc:Choice>
          <mc:Fallback xmlns:a="http://schemas.openxmlformats.org/drawingml/2006/main">
            <w:pict>
              <v:group id="Group 417858" style="width:12.7031pt;height:278.91pt;position:absolute;mso-position-horizontal-relative:page;mso-position-horizontal:absolute;margin-left:682.278pt;mso-position-vertical-relative:page;margin-top:533.01pt;" coordsize="1613,35421">
                <v:rect id="Rectangle 40280"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0281"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250 de 298 </w:t>
                        </w:r>
                      </w:p>
                    </w:txbxContent>
                  </v:textbox>
                </v:rect>
                <w10:wrap type="square"/>
              </v:group>
            </w:pict>
          </mc:Fallback>
        </mc:AlternateContent>
      </w:r>
      <w:r>
        <w:t>Protección perimetral contra incidencias de tráfico, con vallado de seguridad que garantice la protección y seguridad de los ocupantes de la misma. Se permitirá la adición de elementos vegetales, siempre que</w:t>
      </w:r>
      <w:r>
        <w:t xml:space="preserve"> no supongan una reducción de las condiciones de seguridad. Cada tramo del vallado tendrá una longitud máxima no superior a la del armazón, siendo la unión entre dichos tramos fácilmente desmontables. </w:t>
      </w:r>
    </w:p>
    <w:p w:rsidR="00B064CF" w:rsidRDefault="00E32F70">
      <w:pPr>
        <w:numPr>
          <w:ilvl w:val="1"/>
          <w:numId w:val="190"/>
        </w:numPr>
        <w:ind w:right="72" w:hanging="360"/>
      </w:pPr>
      <w:r>
        <w:t>Los elementos de seguridad en las plataformas, impedir</w:t>
      </w:r>
      <w:r>
        <w:t xml:space="preserve">án en las maniobras de estacionamiento, debiendo además redondear (0,50m. de radio) o achaflanar (0,50m. de lado) las aristas exteriores de la plataforma de modo que facilite la entrada y salida de vehículos a los aparcamientos contiguos. </w:t>
      </w:r>
    </w:p>
    <w:p w:rsidR="00B064CF" w:rsidRDefault="00E32F70">
      <w:pPr>
        <w:numPr>
          <w:ilvl w:val="1"/>
          <w:numId w:val="190"/>
        </w:numPr>
        <w:ind w:right="72" w:hanging="360"/>
      </w:pPr>
      <w:r>
        <w:t xml:space="preserve">La plataforma deberá ser fácilmente desmontable, y estar diseñada para que pueda retirarse de forma fácil y rápida, en caso de emergencia u otras razones que se estimen desde el Ayuntamiento. Deberá estar confeccionada por varios armazones independientes, </w:t>
      </w:r>
      <w:r>
        <w:t>las dimensiones máximas serán de 4,50 x 2,50 metros para cada uno de esos elementos (armazón metálico y suelo de madera). La plataforma, deberá ejecutarse en, al menos, dos (2) módulos estructurales independientes en caso de superar los cuatro metros y med</w:t>
      </w:r>
      <w:r>
        <w:t xml:space="preserve">io de largo. </w:t>
      </w:r>
    </w:p>
    <w:p w:rsidR="00B064CF" w:rsidRDefault="00E32F70">
      <w:pPr>
        <w:numPr>
          <w:ilvl w:val="1"/>
          <w:numId w:val="190"/>
        </w:numPr>
        <w:ind w:right="72" w:hanging="360"/>
      </w:pPr>
      <w:r>
        <w:t xml:space="preserve">Fácilmente desmontable implica que la plataforma será modular y la retirada de los módulos de la vía pública será mediante herramientas de mano sencillas, no siendo necesario elementos de corte tipo radial.  </w:t>
      </w:r>
    </w:p>
    <w:p w:rsidR="00B064CF" w:rsidRDefault="00E32F70">
      <w:pPr>
        <w:numPr>
          <w:ilvl w:val="1"/>
          <w:numId w:val="190"/>
        </w:numPr>
        <w:ind w:right="72" w:hanging="360"/>
      </w:pPr>
      <w:r>
        <w:t>Las uniones o ensambles de los mó</w:t>
      </w:r>
      <w:r>
        <w:t xml:space="preserve">dulos serán mediante tornillería, no admitiéndose soldaduras. </w:t>
      </w:r>
    </w:p>
    <w:p w:rsidR="00B064CF" w:rsidRDefault="00E32F70">
      <w:pPr>
        <w:numPr>
          <w:ilvl w:val="1"/>
          <w:numId w:val="190"/>
        </w:numPr>
        <w:ind w:right="72" w:hanging="360"/>
      </w:pPr>
      <w:r>
        <w:t xml:space="preserve">Los materiales empleados en la plataforma serán predominantemente la madera y elementos vegetales en la tarima y soporte metálico. </w:t>
      </w:r>
    </w:p>
    <w:p w:rsidR="00B064CF" w:rsidRDefault="00E32F70">
      <w:pPr>
        <w:numPr>
          <w:ilvl w:val="1"/>
          <w:numId w:val="190"/>
        </w:numPr>
        <w:ind w:right="72" w:hanging="360"/>
      </w:pPr>
      <w:r>
        <w:t xml:space="preserve">La instalación de la plataforma no podrá dañar la calzada ni </w:t>
      </w:r>
      <w:r>
        <w:t xml:space="preserve">las aceras. </w:t>
      </w:r>
    </w:p>
    <w:p w:rsidR="00B064CF" w:rsidRDefault="00E32F70">
      <w:pPr>
        <w:ind w:left="1080" w:right="72" w:hanging="360"/>
      </w:pPr>
      <w:r>
        <w:t xml:space="preserve">r) En caso de que se requiera anclaje en el asfalto, previa autorización del mismo, deberá ajustarse a las siguientes condiciones:  </w:t>
      </w:r>
    </w:p>
    <w:p w:rsidR="00B064CF" w:rsidRDefault="00E32F70">
      <w:pPr>
        <w:tabs>
          <w:tab w:val="center" w:pos="1161"/>
          <w:tab w:val="center" w:pos="4801"/>
        </w:tabs>
        <w:spacing w:after="145"/>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 xml:space="preserve">No afecten a los servicios e instalaciones existentes en el subsuelo. </w:t>
      </w:r>
    </w:p>
    <w:p w:rsidR="00B064CF" w:rsidRDefault="00E32F70">
      <w:pPr>
        <w:ind w:left="1493" w:right="72" w:hanging="360"/>
      </w:pPr>
      <w:r>
        <w:rPr>
          <w:rFonts w:ascii="Segoe UI Symbol" w:eastAsia="Segoe UI Symbol" w:hAnsi="Segoe UI Symbol" w:cs="Segoe UI Symbol"/>
        </w:rPr>
        <w:t></w:t>
      </w:r>
      <w:r>
        <w:t xml:space="preserve"> No sobresalgan de la rasante del </w:t>
      </w:r>
      <w:r>
        <w:t xml:space="preserve">asfalto elementos ni partes de su mecanismo, una vez retiradas, debiendo asegurar su continuidad y la inexistencia de resaltes.  </w:t>
      </w:r>
    </w:p>
    <w:p w:rsidR="00B064CF" w:rsidRDefault="00E32F70">
      <w:pPr>
        <w:spacing w:after="0"/>
        <w:ind w:left="355" w:right="72"/>
      </w:pPr>
      <w:r>
        <w:t xml:space="preserve">Artículo 23.   Obligaciones   y   limitaciones   específicas   de    las    ocupaciones vinculadas a actividades hosteleras </w:t>
      </w:r>
    </w:p>
    <w:p w:rsidR="00B064CF" w:rsidRDefault="00E32F70">
      <w:pPr>
        <w:numPr>
          <w:ilvl w:val="0"/>
          <w:numId w:val="195"/>
        </w:numPr>
        <w:ind w:left="628" w:right="72" w:hanging="283"/>
      </w:pPr>
      <w:r>
        <w:t>L</w:t>
      </w:r>
      <w:r>
        <w:t>a persona o entidad titular de la autorización para ocupar el dominio público deberá colocar en el establecimiento, en un lugar visible, el título habilitante de la ocupación y el plano en el que figure su representación gráfica, sellado por el Ayuntamient</w:t>
      </w:r>
      <w:r>
        <w:t xml:space="preserve">o. </w:t>
      </w:r>
    </w:p>
    <w:p w:rsidR="00B064CF" w:rsidRDefault="00E32F70">
      <w:pPr>
        <w:numPr>
          <w:ilvl w:val="0"/>
          <w:numId w:val="195"/>
        </w:numPr>
        <w:ind w:left="628" w:right="72" w:hanging="283"/>
      </w:pPr>
      <w:r>
        <w:t>En ningún caso podrá utilizarse el dominio público como lugar de depósito de productos o mercancías. También será considerado como depósito indebido, entre otros, el apilamiento de mobiliario, se produzca éste durante el horario de autorizado o fuera d</w:t>
      </w:r>
      <w:r>
        <w:t xml:space="preserve">e él. </w:t>
      </w:r>
    </w:p>
    <w:p w:rsidR="00B064CF" w:rsidRDefault="00E32F70">
      <w:pPr>
        <w:numPr>
          <w:ilvl w:val="0"/>
          <w:numId w:val="195"/>
        </w:numPr>
        <w:ind w:left="628" w:right="72" w:hanging="283"/>
      </w:pPr>
      <w:r>
        <w:t xml:space="preserve">Al finalizar el horario autorizado deberán ser retirados del dominio público todos los elementos de mobiliario no anclados al suelo y deberán plegarse o enrollarse los toldos.  </w:t>
      </w:r>
    </w:p>
    <w:p w:rsidR="00B064CF" w:rsidRDefault="00E32F70">
      <w:pPr>
        <w:numPr>
          <w:ilvl w:val="0"/>
          <w:numId w:val="195"/>
        </w:numPr>
        <w:ind w:left="628" w:right="72" w:hanging="283"/>
      </w:pPr>
      <w:r>
        <w:rPr>
          <w:rFonts w:ascii="Calibri" w:eastAsia="Calibri" w:hAnsi="Calibri" w:cs="Calibri"/>
          <w:noProof/>
        </w:rPr>
        <mc:AlternateContent>
          <mc:Choice Requires="wpg">
            <w:drawing>
              <wp:anchor distT="0" distB="0" distL="114300" distR="114300" simplePos="0" relativeHeight="25191936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17747" name="Group 417747"/>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0389" name="Rectangle 40389"/>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64SKSNYNJRFPNN5DLPPAAC3GS | Verificación: https://c</w:t>
                              </w:r>
                              <w:r>
                                <w:rPr>
                                  <w:sz w:val="12"/>
                                </w:rPr>
                                <w:t xml:space="preserve">andelaria.sedelectronica.es/ </w:t>
                              </w:r>
                            </w:p>
                          </w:txbxContent>
                        </wps:txbx>
                        <wps:bodyPr horzOverflow="overflow" vert="horz" lIns="0" tIns="0" rIns="0" bIns="0" rtlCol="0">
                          <a:noAutofit/>
                        </wps:bodyPr>
                      </wps:wsp>
                      <wps:wsp>
                        <wps:cNvPr id="40390" name="Rectangle 40390"/>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251 de 298 </w:t>
                              </w:r>
                            </w:p>
                          </w:txbxContent>
                        </wps:txbx>
                        <wps:bodyPr horzOverflow="overflow" vert="horz" lIns="0" tIns="0" rIns="0" bIns="0" rtlCol="0">
                          <a:noAutofit/>
                        </wps:bodyPr>
                      </wps:wsp>
                    </wpg:wgp>
                  </a:graphicData>
                </a:graphic>
              </wp:anchor>
            </w:drawing>
          </mc:Choice>
          <mc:Fallback xmlns:a="http://schemas.openxmlformats.org/drawingml/2006/main">
            <w:pict>
              <v:group id="Group 417747" style="width:12.7031pt;height:278.91pt;position:absolute;mso-position-horizontal-relative:page;mso-position-horizontal:absolute;margin-left:682.278pt;mso-position-vertical-relative:page;margin-top:533.01pt;" coordsize="1613,35421">
                <v:rect id="Rectangle 40389"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0390"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251 de 298 </w:t>
                        </w:r>
                      </w:p>
                    </w:txbxContent>
                  </v:textbox>
                </v:rect>
                <w10:wrap type="square"/>
              </v:group>
            </w:pict>
          </mc:Fallback>
        </mc:AlternateContent>
      </w:r>
      <w:r>
        <w:t xml:space="preserve">En el espacio ocupado sólo se podrán servir los productos que, de acuerdo con el título habilitante para el ejercicio de la actividad, se esté autorizado a expender en el interior del establecimiento. </w:t>
      </w:r>
    </w:p>
    <w:p w:rsidR="00B064CF" w:rsidRDefault="00E32F70">
      <w:pPr>
        <w:numPr>
          <w:ilvl w:val="0"/>
          <w:numId w:val="195"/>
        </w:numPr>
        <w:ind w:left="628" w:right="72" w:hanging="283"/>
      </w:pPr>
      <w:r>
        <w:t xml:space="preserve">No podrán instalarse en el dominio público, ni en las </w:t>
      </w:r>
      <w:r>
        <w:t>fachadas o huecos de las mismas, aparatos reproductores de imagen o sonido. Igualmente queda prohibido que los equipos similares instalados en el interior del local se dispongan de tal forma que proyecten el sonido con la intención de que se escuchen desde</w:t>
      </w:r>
      <w:r>
        <w:t xml:space="preserve"> el exterior. </w:t>
      </w:r>
    </w:p>
    <w:p w:rsidR="00B064CF" w:rsidRDefault="00E32F70">
      <w:pPr>
        <w:numPr>
          <w:ilvl w:val="0"/>
          <w:numId w:val="195"/>
        </w:numPr>
        <w:ind w:left="628" w:right="72" w:hanging="283"/>
      </w:pPr>
      <w:r>
        <w:t>Cualquier ocupación del dominio público vinculada a una actividad de hostelería deberá dotarse de medidas correctoras similares a las que, en su caso, fueran exigidas para el desarrollo de la actividad en terrazas de uso privado. Dichas medi</w:t>
      </w:r>
      <w:r>
        <w:t xml:space="preserve">das serán las que determinen los servicios técnicos municipales y quedarán incorporadas a la autorización habilitante como condiciones de la misma. </w:t>
      </w:r>
    </w:p>
    <w:p w:rsidR="00B064CF" w:rsidRDefault="00E32F70">
      <w:pPr>
        <w:numPr>
          <w:ilvl w:val="0"/>
          <w:numId w:val="195"/>
        </w:numPr>
        <w:ind w:left="628" w:right="72" w:hanging="283"/>
      </w:pPr>
      <w:r>
        <w:t>Sin perjuicio de otros horarios que a través de la correspondiente Disposición Especial se puedan establece</w:t>
      </w:r>
      <w:r>
        <w:t>r para determinadas zonas del municipio o para ciertas épocas del año, las ocupaciones del dominio público vinculadas a las actividades de hostelería se desarrollarán cumpliendo los horarios establecidos en la normativa de aplicación. Finalizado el horario</w:t>
      </w:r>
      <w:r>
        <w:t xml:space="preserve"> establecido, no se permitirá la presencia de clientes ni se expenderá consumición alguna en el dominio público, disponiendo el titular de la autorización de quince minutos añadidos para dar cumplimiento a lo dispuesto en el número 3 del presente artículo,</w:t>
      </w:r>
      <w:r>
        <w:t xml:space="preserve"> evitando originar ruidos por arrastre o apilamiento.  </w:t>
      </w:r>
    </w:p>
    <w:p w:rsidR="00B064CF" w:rsidRDefault="00E32F70">
      <w:pPr>
        <w:spacing w:after="0"/>
        <w:ind w:left="355" w:right="72"/>
      </w:pPr>
      <w:r>
        <w:t xml:space="preserve">Sección 3ª. CONDICIONES DE LAS OCUPACIONES VINCULADAS A ACTIVIDADES COMERCIALES O DE OFICINA </w:t>
      </w:r>
    </w:p>
    <w:p w:rsidR="00B064CF" w:rsidRDefault="00E32F70">
      <w:pPr>
        <w:ind w:left="355" w:right="72"/>
      </w:pPr>
      <w:r>
        <w:t xml:space="preserve">Artículo 24. Características de los elementos vinculados a las actividades comerciales o de oficina </w:t>
      </w:r>
    </w:p>
    <w:p w:rsidR="00B064CF" w:rsidRDefault="00E32F70">
      <w:pPr>
        <w:numPr>
          <w:ilvl w:val="0"/>
          <w:numId w:val="196"/>
        </w:numPr>
        <w:ind w:left="628" w:right="72" w:hanging="283"/>
      </w:pPr>
      <w:r>
        <w:t>Todos</w:t>
      </w:r>
      <w:r>
        <w:t xml:space="preserve"> los elementos que se dispongan en el dominio público estarán diseñados e instalados de tal forma que su utilización no represente real o potencial peligro para viandantes o usuarios, debiendo de ajustarse a las condiciones, que les sean de aplicación, est</w:t>
      </w:r>
      <w:r>
        <w:t xml:space="preserve">ablecidas en el artículo 22. </w:t>
      </w:r>
    </w:p>
    <w:p w:rsidR="00B064CF" w:rsidRDefault="00E32F70">
      <w:pPr>
        <w:numPr>
          <w:ilvl w:val="0"/>
          <w:numId w:val="196"/>
        </w:numPr>
        <w:spacing w:after="65"/>
        <w:ind w:left="628" w:right="72" w:hanging="283"/>
      </w:pPr>
      <w:r>
        <w:t xml:space="preserve">Los toldos deberán cumplir, además de las descritas en el apartado 6 del artículo 22, las siguientes condiciones específicas: </w:t>
      </w:r>
    </w:p>
    <w:p w:rsidR="00B064CF" w:rsidRDefault="00E32F70">
      <w:pPr>
        <w:ind w:left="718" w:right="72"/>
      </w:pPr>
      <w:r>
        <w:t xml:space="preserve">c. Su vuelo máximo será el más restrictivo de los siguientes: </w:t>
      </w:r>
    </w:p>
    <w:p w:rsidR="00B064CF" w:rsidRDefault="00E32F70">
      <w:pPr>
        <w:ind w:left="1354" w:right="72" w:hanging="360"/>
      </w:pPr>
      <w:r>
        <w:rPr>
          <w:rFonts w:ascii="Segoe UI Symbol" w:eastAsia="Segoe UI Symbol" w:hAnsi="Segoe UI Symbol" w:cs="Segoe UI Symbol"/>
        </w:rPr>
        <w:t></w:t>
      </w:r>
      <w:r>
        <w:t xml:space="preserve"> El equivalente a una décima parte </w:t>
      </w:r>
      <w:r>
        <w:t xml:space="preserve">(1/10) del ancho de la vía, en las calles de tránsito exclusivamente peatonal. </w:t>
      </w:r>
    </w:p>
    <w:p w:rsidR="00B064CF" w:rsidRDefault="00E32F70">
      <w:pPr>
        <w:tabs>
          <w:tab w:val="center" w:pos="1022"/>
          <w:tab w:val="center" w:pos="3886"/>
        </w:tabs>
        <w:spacing w:after="146"/>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 xml:space="preserve">El ancho de la acera, en las vías con tráfico rodado. </w:t>
      </w:r>
    </w:p>
    <w:p w:rsidR="00B064CF" w:rsidRDefault="00E32F70">
      <w:pPr>
        <w:tabs>
          <w:tab w:val="center" w:pos="1022"/>
          <w:tab w:val="center" w:pos="2387"/>
        </w:tabs>
        <w:spacing w:after="128"/>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 xml:space="preserve">Dos metros (2,00 m). </w:t>
      </w:r>
    </w:p>
    <w:p w:rsidR="00B064CF" w:rsidRDefault="00E32F70">
      <w:pPr>
        <w:numPr>
          <w:ilvl w:val="0"/>
          <w:numId w:val="196"/>
        </w:numPr>
        <w:ind w:left="628" w:right="72" w:hanging="283"/>
      </w:pPr>
      <w:r>
        <w:t xml:space="preserve">Los rótulos vinculados a actividades comerciales o de oficina se sujetarán a las condiciones establecidas en el apartado 8 del artículo 22.  </w:t>
      </w:r>
    </w:p>
    <w:p w:rsidR="00B064CF" w:rsidRDefault="00E32F70">
      <w:pPr>
        <w:spacing w:after="0"/>
        <w:ind w:left="355" w:right="72"/>
      </w:pPr>
      <w:r>
        <w:t xml:space="preserve">Artículo 25. Obligaciones y limitaciones específicas de las ocupaciones vinculadas a actividades comerciales o de </w:t>
      </w:r>
      <w:r>
        <w:t xml:space="preserve">oficina </w:t>
      </w:r>
    </w:p>
    <w:p w:rsidR="00B064CF" w:rsidRDefault="00E32F70">
      <w:pPr>
        <w:numPr>
          <w:ilvl w:val="0"/>
          <w:numId w:val="197"/>
        </w:numPr>
        <w:ind w:left="628" w:right="72" w:hanging="283"/>
      </w:pPr>
      <w:r>
        <w:rPr>
          <w:rFonts w:ascii="Calibri" w:eastAsia="Calibri" w:hAnsi="Calibri" w:cs="Calibri"/>
          <w:noProof/>
        </w:rPr>
        <mc:AlternateContent>
          <mc:Choice Requires="wpg">
            <w:drawing>
              <wp:anchor distT="0" distB="0" distL="114300" distR="114300" simplePos="0" relativeHeight="25192038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18032" name="Group 418032"/>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0507" name="Rectangle 40507"/>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40508" name="Rectangle 40508"/>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252 de 298 </w:t>
                              </w:r>
                            </w:p>
                          </w:txbxContent>
                        </wps:txbx>
                        <wps:bodyPr horzOverflow="overflow" vert="horz" lIns="0" tIns="0" rIns="0" bIns="0" rtlCol="0">
                          <a:noAutofit/>
                        </wps:bodyPr>
                      </wps:wsp>
                    </wpg:wgp>
                  </a:graphicData>
                </a:graphic>
              </wp:anchor>
            </w:drawing>
          </mc:Choice>
          <mc:Fallback xmlns:a="http://schemas.openxmlformats.org/drawingml/2006/main">
            <w:pict>
              <v:group id="Group 418032" style="width:12.7031pt;height:278.91pt;position:absolute;mso-position-horizontal-relative:page;mso-position-horizontal:absolute;margin-left:682.278pt;mso-position-vertical-relative:page;margin-top:533.01pt;" coordsize="1613,35421">
                <v:rect id="Rectangle 40507"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0508"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252 de 298 </w:t>
                        </w:r>
                      </w:p>
                    </w:txbxContent>
                  </v:textbox>
                </v:rect>
                <w10:wrap type="square"/>
              </v:group>
            </w:pict>
          </mc:Fallback>
        </mc:AlternateContent>
      </w:r>
      <w:r>
        <w:t>La persona o entidad titular de la autorización p</w:t>
      </w:r>
      <w:r>
        <w:t xml:space="preserve">ara ocupar el dominio público deberá colocar en el establecimiento, en un lugar visible, el título habilitante de la ocupación y el plano en el que figure su representación gráfica, sellado por el Ayuntamiento. </w:t>
      </w:r>
    </w:p>
    <w:p w:rsidR="00B064CF" w:rsidRDefault="00E32F70">
      <w:pPr>
        <w:numPr>
          <w:ilvl w:val="0"/>
          <w:numId w:val="197"/>
        </w:numPr>
        <w:ind w:left="628" w:right="72" w:hanging="283"/>
      </w:pPr>
      <w:r>
        <w:t>En ningún caso podrá utilizarse el dominio p</w:t>
      </w:r>
      <w:r>
        <w:t xml:space="preserve">úblico como lugar de depósito de productos o mercancías. También será considerado como depósito indebido, entre otros, el apilamiento de mobiliario, se produzca éste durante el horario de autorizado o fuera de él. </w:t>
      </w:r>
    </w:p>
    <w:p w:rsidR="00B064CF" w:rsidRDefault="00E32F70">
      <w:pPr>
        <w:numPr>
          <w:ilvl w:val="0"/>
          <w:numId w:val="197"/>
        </w:numPr>
        <w:ind w:left="628" w:right="72" w:hanging="283"/>
      </w:pPr>
      <w:r>
        <w:t>Al finalizar el horario autorizado deberá</w:t>
      </w:r>
      <w:r>
        <w:t xml:space="preserve">n plegarse o enrollarse los toldos. </w:t>
      </w:r>
    </w:p>
    <w:p w:rsidR="00B064CF" w:rsidRDefault="00E32F70">
      <w:pPr>
        <w:spacing w:after="11"/>
        <w:ind w:left="355" w:right="72"/>
      </w:pPr>
      <w:r>
        <w:t xml:space="preserve">Artículo 26. Ocupaciones con elementos decorativos en celebraciones tradicionales </w:t>
      </w:r>
    </w:p>
    <w:p w:rsidR="00B064CF" w:rsidRDefault="00E32F70">
      <w:pPr>
        <w:numPr>
          <w:ilvl w:val="0"/>
          <w:numId w:val="198"/>
        </w:numPr>
        <w:ind w:left="628" w:right="72" w:hanging="283"/>
      </w:pPr>
      <w:r>
        <w:t>El dominio público municipal podrá ser ocupado excepcionalmente con la colocación de elementos decorativos en las puertas, únicamente co</w:t>
      </w:r>
      <w:r>
        <w:t xml:space="preserve">n motivo de las fiestas navideñas u otras celebraciones tradicionales. En ningún caso se permitirá la ocupación con mercancías o productos, ni con vitrinas, expositores, percheros o elementos análogos. </w:t>
      </w:r>
    </w:p>
    <w:p w:rsidR="00B064CF" w:rsidRDefault="00E32F70">
      <w:pPr>
        <w:numPr>
          <w:ilvl w:val="0"/>
          <w:numId w:val="198"/>
        </w:numPr>
        <w:ind w:left="628" w:right="72" w:hanging="283"/>
      </w:pPr>
      <w:r>
        <w:t xml:space="preserve">El periodo máximo de ocupación autorizable en fechas </w:t>
      </w:r>
      <w:r>
        <w:t xml:space="preserve">navideñas será el comprendido entre el 1 de diciembre y el 6 de enero del año siguiente. Para el resto de fiestas tradicionales, los periodos de autorización serán los que fije el Ayuntamiento a través de la correspondiente Disposición Especial. </w:t>
      </w:r>
    </w:p>
    <w:p w:rsidR="00B064CF" w:rsidRDefault="00E32F70">
      <w:pPr>
        <w:numPr>
          <w:ilvl w:val="0"/>
          <w:numId w:val="198"/>
        </w:numPr>
        <w:ind w:left="628" w:right="72" w:hanging="283"/>
      </w:pPr>
      <w:r>
        <w:t>Todos los</w:t>
      </w:r>
      <w:r>
        <w:t xml:space="preserve"> elementos decorativos que se dispongan en el dominio público estarán diseñados e instalados de tal forma que su utilización no represente real o potencial peligro para viandantes o usuarios, debiendo presentar la suficiente estabilidad para cumplir en tod</w:t>
      </w:r>
      <w:r>
        <w:t xml:space="preserve">o momento dicha exigencia. </w:t>
      </w:r>
    </w:p>
    <w:p w:rsidR="00B064CF" w:rsidRDefault="00E32F70">
      <w:pPr>
        <w:numPr>
          <w:ilvl w:val="0"/>
          <w:numId w:val="198"/>
        </w:numPr>
        <w:ind w:left="628" w:right="72" w:hanging="283"/>
      </w:pPr>
      <w:r>
        <w:t xml:space="preserve">Los elementos decorativos podrán ser elegidas libremente por la persona o entidad titular de la autorización, siempre que no supongan molestias para los viandantes y no interfieran la </w:t>
      </w:r>
      <w:r>
        <w:t xml:space="preserve">visibilidad de los demás elementos de la vía pública, corriendo a cargo de aquélla la obligación de cuidado y mantenimiento de las mismas. </w:t>
      </w:r>
    </w:p>
    <w:p w:rsidR="00B064CF" w:rsidRDefault="00E32F70">
      <w:pPr>
        <w:spacing w:after="0" w:line="259" w:lineRule="auto"/>
        <w:ind w:left="360" w:firstLine="0"/>
        <w:jc w:val="left"/>
      </w:pPr>
      <w:r>
        <w:t xml:space="preserve"> </w:t>
      </w:r>
    </w:p>
    <w:p w:rsidR="00B064CF" w:rsidRDefault="00E32F70">
      <w:pPr>
        <w:tabs>
          <w:tab w:val="center" w:pos="4659"/>
          <w:tab w:val="center" w:pos="9566"/>
        </w:tabs>
        <w:spacing w:after="11"/>
        <w:ind w:left="0" w:firstLine="0"/>
        <w:jc w:val="left"/>
      </w:pPr>
      <w:r>
        <w:rPr>
          <w:rFonts w:ascii="Calibri" w:eastAsia="Calibri" w:hAnsi="Calibri" w:cs="Calibri"/>
        </w:rPr>
        <w:tab/>
      </w:r>
      <w:r>
        <w:t xml:space="preserve">CAPÍTULO 2 OCUPACIONES VINCULADAS A ACTIVIDADES LÚDICAS, ARTÍSTICAS, </w:t>
      </w:r>
      <w:r>
        <w:tab/>
        <w:t xml:space="preserve"> </w:t>
      </w:r>
    </w:p>
    <w:p w:rsidR="00B064CF" w:rsidRDefault="00E32F70">
      <w:pPr>
        <w:spacing w:after="11"/>
        <w:ind w:left="355" w:right="72"/>
      </w:pPr>
      <w:r>
        <w:t xml:space="preserve">RECREATIVAS, INFORMATIVAS, PUBLICITARIAS </w:t>
      </w:r>
      <w:r>
        <w:t xml:space="preserve">Y SOLIDARIAS </w:t>
      </w:r>
    </w:p>
    <w:p w:rsidR="00B064CF" w:rsidRDefault="00E32F70">
      <w:pPr>
        <w:spacing w:after="11"/>
        <w:ind w:left="355" w:right="72"/>
      </w:pPr>
      <w:r>
        <w:t xml:space="preserve">Sección 1ª. DISPOSICIONES GENERALES </w:t>
      </w:r>
    </w:p>
    <w:p w:rsidR="00B064CF" w:rsidRDefault="00E32F70">
      <w:pPr>
        <w:tabs>
          <w:tab w:val="center" w:pos="917"/>
          <w:tab w:val="center" w:pos="3844"/>
        </w:tabs>
        <w:spacing w:after="11"/>
        <w:ind w:left="0" w:firstLine="0"/>
        <w:jc w:val="left"/>
      </w:pPr>
      <w:r>
        <w:rPr>
          <w:rFonts w:ascii="Calibri" w:eastAsia="Calibri" w:hAnsi="Calibri" w:cs="Calibri"/>
        </w:rPr>
        <w:tab/>
      </w:r>
      <w:r>
        <w:t xml:space="preserve">Artículo 27. </w:t>
      </w:r>
      <w:r>
        <w:tab/>
        <w:t xml:space="preserve">Ocupaciones permitidas y título habilitante </w:t>
      </w:r>
    </w:p>
    <w:p w:rsidR="00B064CF" w:rsidRDefault="00E32F70">
      <w:pPr>
        <w:numPr>
          <w:ilvl w:val="0"/>
          <w:numId w:val="199"/>
        </w:numPr>
        <w:ind w:left="628" w:right="72" w:hanging="283"/>
      </w:pPr>
      <w:r>
        <w:t xml:space="preserve">El dominio público podrá ser ocupado para el desarrollo de las actividades que se regulan en este Capítulo. </w:t>
      </w:r>
    </w:p>
    <w:p w:rsidR="00B064CF" w:rsidRDefault="00E32F70">
      <w:pPr>
        <w:numPr>
          <w:ilvl w:val="0"/>
          <w:numId w:val="199"/>
        </w:numPr>
        <w:ind w:left="628" w:right="72" w:hanging="283"/>
      </w:pPr>
      <w:r>
        <w:t>La ocupación con las actividades reg</w:t>
      </w:r>
      <w:r>
        <w:t xml:space="preserve">uladas en el presente Capítulo que sean promovidas u organizadas por el Ayuntamiento, quedan fuera del ámbito de aplicación de esta Ordenanza. </w:t>
      </w:r>
    </w:p>
    <w:p w:rsidR="00B064CF" w:rsidRDefault="00E32F70">
      <w:pPr>
        <w:numPr>
          <w:ilvl w:val="0"/>
          <w:numId w:val="199"/>
        </w:numPr>
        <w:ind w:left="628" w:right="72" w:hanging="283"/>
      </w:pPr>
      <w:r>
        <w:t>Toda ocupación relacionada con las actividades previstas en este Capítulo deberá cumplir las condiciones general</w:t>
      </w:r>
      <w:r>
        <w:t xml:space="preserve">es establecidas en el artículo 8, así como las condiciones particulares y las específicas que, para cada modalidad, se establecen en los artículos siguientes de este Capítulo. </w:t>
      </w:r>
    </w:p>
    <w:p w:rsidR="00B064CF" w:rsidRDefault="00E32F70">
      <w:pPr>
        <w:numPr>
          <w:ilvl w:val="0"/>
          <w:numId w:val="199"/>
        </w:numPr>
        <w:ind w:left="628" w:right="72" w:hanging="283"/>
      </w:pPr>
      <w:r>
        <w:rPr>
          <w:rFonts w:ascii="Calibri" w:eastAsia="Calibri" w:hAnsi="Calibri" w:cs="Calibri"/>
          <w:noProof/>
        </w:rPr>
        <mc:AlternateContent>
          <mc:Choice Requires="wpg">
            <w:drawing>
              <wp:anchor distT="0" distB="0" distL="114300" distR="114300" simplePos="0" relativeHeight="25192140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18367" name="Group 418367"/>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0622" name="Rectangle 40622"/>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64SKSNYNJRFPNN5DLPPAAC3GS | Verificación: https://candelari</w:t>
                              </w:r>
                              <w:r>
                                <w:rPr>
                                  <w:sz w:val="12"/>
                                </w:rPr>
                                <w:t xml:space="preserve">a.sedelectronica.es/ </w:t>
                              </w:r>
                            </w:p>
                          </w:txbxContent>
                        </wps:txbx>
                        <wps:bodyPr horzOverflow="overflow" vert="horz" lIns="0" tIns="0" rIns="0" bIns="0" rtlCol="0">
                          <a:noAutofit/>
                        </wps:bodyPr>
                      </wps:wsp>
                      <wps:wsp>
                        <wps:cNvPr id="40623" name="Rectangle 40623"/>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253 de 298 </w:t>
                              </w:r>
                            </w:p>
                          </w:txbxContent>
                        </wps:txbx>
                        <wps:bodyPr horzOverflow="overflow" vert="horz" lIns="0" tIns="0" rIns="0" bIns="0" rtlCol="0">
                          <a:noAutofit/>
                        </wps:bodyPr>
                      </wps:wsp>
                    </wpg:wgp>
                  </a:graphicData>
                </a:graphic>
              </wp:anchor>
            </w:drawing>
          </mc:Choice>
          <mc:Fallback xmlns:a="http://schemas.openxmlformats.org/drawingml/2006/main">
            <w:pict>
              <v:group id="Group 418367" style="width:12.7031pt;height:278.91pt;position:absolute;mso-position-horizontal-relative:page;mso-position-horizontal:absolute;margin-left:682.278pt;mso-position-vertical-relative:page;margin-top:533.01pt;" coordsize="1613,35421">
                <v:rect id="Rectangle 40622"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0623"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253 de 298 </w:t>
                        </w:r>
                      </w:p>
                    </w:txbxContent>
                  </v:textbox>
                </v:rect>
                <w10:wrap type="square"/>
              </v:group>
            </w:pict>
          </mc:Fallback>
        </mc:AlternateContent>
      </w:r>
      <w:r>
        <w:t>La Policía Local, el departamento competente en materia de urbanismo y Protección Civil, podrán establecer condiciones específicas para el desarrollo de las ocupaciones reguladas en este Capítulo, en orden a garantizar las adecuadas condiciones de segurida</w:t>
      </w:r>
      <w:r>
        <w:t>d para personas y bienes. De esta forma, podrán requerir del solicitante la modificación de las ocupaciones pretendidas, la aportación de documentación técnica, constitución de garantías específicas, y, en general, cualesquiera otras medidas que contribuya</w:t>
      </w:r>
      <w:r>
        <w:t xml:space="preserve">, proporcionadamente, a tal fin. </w:t>
      </w:r>
    </w:p>
    <w:p w:rsidR="00B064CF" w:rsidRDefault="00E32F70">
      <w:pPr>
        <w:numPr>
          <w:ilvl w:val="0"/>
          <w:numId w:val="199"/>
        </w:numPr>
        <w:ind w:left="628" w:right="72" w:hanging="283"/>
      </w:pPr>
      <w:r>
        <w:t>La ocupación del dominio público con los elementos y las actividades reguladas en el presente Capítulo estará sujeta a autorización del Ayuntamiento, sin perjuicio de la obtención de aquellos títulos o informes que sean ne</w:t>
      </w:r>
      <w:r>
        <w:t xml:space="preserve">cesarios por razón de la actividad o su localización, independientemente de que su otorgamiento o emisión pudiera ser competencia del propio Ayuntamiento o de otras Administraciones. </w:t>
      </w:r>
    </w:p>
    <w:p w:rsidR="00B064CF" w:rsidRDefault="00E32F70">
      <w:pPr>
        <w:tabs>
          <w:tab w:val="center" w:pos="917"/>
          <w:tab w:val="center" w:pos="2982"/>
        </w:tabs>
        <w:spacing w:after="11"/>
        <w:ind w:left="0" w:firstLine="0"/>
        <w:jc w:val="left"/>
      </w:pPr>
      <w:r>
        <w:rPr>
          <w:rFonts w:ascii="Calibri" w:eastAsia="Calibri" w:hAnsi="Calibri" w:cs="Calibri"/>
        </w:rPr>
        <w:tab/>
      </w:r>
      <w:r>
        <w:t xml:space="preserve">Artículo 28. </w:t>
      </w:r>
      <w:r>
        <w:tab/>
        <w:t xml:space="preserve">Condiciones particulares </w:t>
      </w:r>
    </w:p>
    <w:p w:rsidR="00B064CF" w:rsidRDefault="00E32F70">
      <w:pPr>
        <w:numPr>
          <w:ilvl w:val="0"/>
          <w:numId w:val="200"/>
        </w:numPr>
        <w:ind w:left="628" w:right="72" w:hanging="283"/>
      </w:pPr>
      <w:r>
        <w:t>Sólo podrán ser ocupadas las ac</w:t>
      </w:r>
      <w:r>
        <w:t xml:space="preserve">eras, plazas, parques o zonas destinadas al uso peatonal, nunca las calzadas destinadas al tráfico rodado ni las zonas de aparcamiento.  </w:t>
      </w:r>
    </w:p>
    <w:p w:rsidR="00B064CF" w:rsidRDefault="00E32F70">
      <w:pPr>
        <w:numPr>
          <w:ilvl w:val="0"/>
          <w:numId w:val="200"/>
        </w:numPr>
        <w:ind w:left="628" w:right="72" w:hanging="283"/>
      </w:pPr>
      <w:r>
        <w:t>No podrán ser instalados en los tramos de acera o espacios de circulación peatonal que presenten una anchura libre inf</w:t>
      </w:r>
      <w:r>
        <w:t xml:space="preserve">erior a cuatro metros (4,00 m).  </w:t>
      </w:r>
    </w:p>
    <w:p w:rsidR="00B064CF" w:rsidRDefault="00E32F70">
      <w:pPr>
        <w:numPr>
          <w:ilvl w:val="0"/>
          <w:numId w:val="200"/>
        </w:numPr>
        <w:ind w:left="628" w:right="72" w:hanging="283"/>
      </w:pPr>
      <w:r>
        <w:t xml:space="preserve">Toda ocupación respetará las condiciones que le sean de aplicación, establecidas en el artículo 22. </w:t>
      </w:r>
    </w:p>
    <w:p w:rsidR="00B064CF" w:rsidRDefault="00E32F70">
      <w:pPr>
        <w:numPr>
          <w:ilvl w:val="0"/>
          <w:numId w:val="200"/>
        </w:numPr>
        <w:ind w:left="628" w:right="72" w:hanging="283"/>
      </w:pPr>
      <w:r>
        <w:t>Todos los elementos accesorios que se empleen en las ocupaciones reguladas en este Capítulo deberán cumplir las siguiente</w:t>
      </w:r>
      <w:r>
        <w:t xml:space="preserve">s condiciones: </w:t>
      </w:r>
    </w:p>
    <w:p w:rsidR="00B064CF" w:rsidRDefault="00E32F70">
      <w:pPr>
        <w:numPr>
          <w:ilvl w:val="1"/>
          <w:numId w:val="200"/>
        </w:numPr>
        <w:ind w:right="72" w:hanging="360"/>
      </w:pPr>
      <w:r>
        <w:t xml:space="preserve">Estarán diseñados y serán instalados de tal forma que su utilización no represente real o potencial peligro para viandantes o usuarios.  </w:t>
      </w:r>
    </w:p>
    <w:p w:rsidR="00B064CF" w:rsidRDefault="00E32F70">
      <w:pPr>
        <w:numPr>
          <w:ilvl w:val="1"/>
          <w:numId w:val="200"/>
        </w:numPr>
        <w:ind w:right="72" w:hanging="360"/>
      </w:pPr>
      <w:r>
        <w:t xml:space="preserve">Serán portátiles o fácilmente desmontables. </w:t>
      </w:r>
    </w:p>
    <w:p w:rsidR="00B064CF" w:rsidRDefault="00E32F70">
      <w:pPr>
        <w:spacing w:after="0" w:line="259" w:lineRule="auto"/>
        <w:ind w:left="360" w:firstLine="0"/>
        <w:jc w:val="left"/>
      </w:pPr>
      <w:r>
        <w:t xml:space="preserve"> </w:t>
      </w:r>
    </w:p>
    <w:p w:rsidR="00B064CF" w:rsidRDefault="00E32F70">
      <w:pPr>
        <w:spacing w:after="11"/>
        <w:ind w:left="355" w:right="72"/>
      </w:pPr>
      <w:r>
        <w:t>Sección 2ª. ACTUACIONES MUSICALES Y OTRAS ACTIVIDADES A</w:t>
      </w:r>
      <w:r>
        <w:t xml:space="preserve">RTÍSTICAS </w:t>
      </w:r>
    </w:p>
    <w:p w:rsidR="00B064CF" w:rsidRDefault="00E32F70">
      <w:pPr>
        <w:tabs>
          <w:tab w:val="center" w:pos="917"/>
          <w:tab w:val="center" w:pos="3390"/>
        </w:tabs>
        <w:spacing w:after="11"/>
        <w:ind w:left="0" w:firstLine="0"/>
        <w:jc w:val="left"/>
      </w:pPr>
      <w:r>
        <w:rPr>
          <w:rFonts w:ascii="Calibri" w:eastAsia="Calibri" w:hAnsi="Calibri" w:cs="Calibri"/>
        </w:rPr>
        <w:tab/>
      </w:r>
      <w:r>
        <w:t xml:space="preserve">Artículo 29. </w:t>
      </w:r>
      <w:r>
        <w:tab/>
        <w:t xml:space="preserve">Supuestos sujetos a autorización </w:t>
      </w:r>
    </w:p>
    <w:p w:rsidR="00B064CF" w:rsidRDefault="00E32F70">
      <w:pPr>
        <w:numPr>
          <w:ilvl w:val="0"/>
          <w:numId w:val="201"/>
        </w:numPr>
        <w:ind w:left="628" w:right="72" w:hanging="283"/>
      </w:pPr>
      <w:r>
        <w:t xml:space="preserve">Las actuaciones </w:t>
      </w:r>
      <w:r>
        <w:t xml:space="preserve">de carácter artístico, tales como mimo, música, teatro, malabares, y otras análogas, que pretendan llevarse a cabo en el dominio público municipal, tanto de forma individualizada como en grupo, estarán sujetas a previa autorización. Igualmente, lo estarán </w:t>
      </w:r>
      <w:r>
        <w:t xml:space="preserve">las de dibujo o pintura con ánimo de lucro. </w:t>
      </w:r>
    </w:p>
    <w:p w:rsidR="00B064CF" w:rsidRDefault="00E32F70">
      <w:pPr>
        <w:numPr>
          <w:ilvl w:val="0"/>
          <w:numId w:val="201"/>
        </w:numPr>
        <w:ind w:left="628" w:right="72" w:hanging="283"/>
      </w:pPr>
      <w:r>
        <w:t xml:space="preserve">Las actividades de carácter artístico o académico y sin ánimo de lucro que se lleven a cabo ocupando el dominio público, no precisarán de autorización, si bien, cuando el número de participantes en la actividad </w:t>
      </w:r>
      <w:r>
        <w:t xml:space="preserve">supere las diez (10) personas, deberá comunicarse al Ayuntamiento, con diez (10) días de antelación a la fecha prevista de ocupación, el día, la hora y la finalidad de la misma. </w:t>
      </w:r>
    </w:p>
    <w:p w:rsidR="00B064CF" w:rsidRDefault="00E32F70">
      <w:pPr>
        <w:numPr>
          <w:ilvl w:val="0"/>
          <w:numId w:val="201"/>
        </w:numPr>
        <w:ind w:left="628" w:right="72" w:hanging="283"/>
      </w:pPr>
      <w:r>
        <w:t>Las actividades desarrolladas por los centros docentes de los niveles no univ</w:t>
      </w:r>
      <w:r>
        <w:t xml:space="preserve">ersitarios, deberán comunicar el inicio de la actividad con al menos diez (10) días de antelación. </w:t>
      </w:r>
    </w:p>
    <w:p w:rsidR="00B064CF" w:rsidRDefault="00E32F70">
      <w:pPr>
        <w:tabs>
          <w:tab w:val="center" w:pos="917"/>
          <w:tab w:val="center" w:pos="3887"/>
        </w:tabs>
        <w:spacing w:after="11"/>
        <w:ind w:left="0" w:firstLine="0"/>
        <w:jc w:val="left"/>
      </w:pPr>
      <w:r>
        <w:rPr>
          <w:rFonts w:ascii="Calibri" w:eastAsia="Calibri" w:hAnsi="Calibri" w:cs="Calibri"/>
        </w:rPr>
        <w:tab/>
      </w:r>
      <w:r>
        <w:t xml:space="preserve">Artículo 30. </w:t>
      </w:r>
      <w:r>
        <w:tab/>
        <w:t xml:space="preserve">Solicitudes, zonas y periodos de ocupación </w:t>
      </w:r>
    </w:p>
    <w:p w:rsidR="00B064CF" w:rsidRDefault="00E32F70">
      <w:pPr>
        <w:numPr>
          <w:ilvl w:val="0"/>
          <w:numId w:val="202"/>
        </w:numPr>
        <w:ind w:right="72" w:hanging="708"/>
      </w:pPr>
      <w:r>
        <w:t>Las autorizaciones para la ocupación del dominio público en los supuestos regulados en la present</w:t>
      </w:r>
      <w:r>
        <w:t xml:space="preserve">e Sección se limitarán a las zonas que fije el Ayuntamiento de manera motivada. </w:t>
      </w:r>
    </w:p>
    <w:p w:rsidR="00B064CF" w:rsidRDefault="00E32F70">
      <w:pPr>
        <w:numPr>
          <w:ilvl w:val="0"/>
          <w:numId w:val="202"/>
        </w:numPr>
        <w:ind w:right="72" w:hanging="708"/>
      </w:pPr>
      <w:r>
        <w:t xml:space="preserve">Las autorizaciones se otorgarán por días naturales. </w:t>
      </w:r>
    </w:p>
    <w:p w:rsidR="00B064CF" w:rsidRDefault="00E32F70">
      <w:pPr>
        <w:numPr>
          <w:ilvl w:val="0"/>
          <w:numId w:val="202"/>
        </w:numPr>
        <w:ind w:right="72" w:hanging="708"/>
      </w:pPr>
      <w:r>
        <w:rPr>
          <w:rFonts w:ascii="Calibri" w:eastAsia="Calibri" w:hAnsi="Calibri" w:cs="Calibri"/>
          <w:noProof/>
        </w:rPr>
        <mc:AlternateContent>
          <mc:Choice Requires="wpg">
            <w:drawing>
              <wp:anchor distT="0" distB="0" distL="114300" distR="114300" simplePos="0" relativeHeight="25192243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18455" name="Group 418455"/>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0746" name="Rectangle 40746"/>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40747" name="Rectangle 40747"/>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Documento firmado e</w:t>
                              </w:r>
                              <w:r>
                                <w:rPr>
                                  <w:sz w:val="12"/>
                                </w:rPr>
                                <w:t xml:space="preserve">lectrónicamente desde la plataforma esPublico Gestiona | Página 254 de 298 </w:t>
                              </w:r>
                            </w:p>
                          </w:txbxContent>
                        </wps:txbx>
                        <wps:bodyPr horzOverflow="overflow" vert="horz" lIns="0" tIns="0" rIns="0" bIns="0" rtlCol="0">
                          <a:noAutofit/>
                        </wps:bodyPr>
                      </wps:wsp>
                    </wpg:wgp>
                  </a:graphicData>
                </a:graphic>
              </wp:anchor>
            </w:drawing>
          </mc:Choice>
          <mc:Fallback xmlns:a="http://schemas.openxmlformats.org/drawingml/2006/main">
            <w:pict>
              <v:group id="Group 418455" style="width:12.7031pt;height:278.91pt;position:absolute;mso-position-horizontal-relative:page;mso-position-horizontal:absolute;margin-left:682.278pt;mso-position-vertical-relative:page;margin-top:533.01pt;" coordsize="1613,35421">
                <v:rect id="Rectangle 40746"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0747"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254 de 298 </w:t>
                        </w:r>
                      </w:p>
                    </w:txbxContent>
                  </v:textbox>
                </v:rect>
                <w10:wrap type="square"/>
              </v:group>
            </w:pict>
          </mc:Fallback>
        </mc:AlternateContent>
      </w:r>
      <w:r>
        <w:t>Las personas interesadas presentarán la solicitud entre los días 1 y 10 del mes inmediatamente anterior a aquél en el que comience el mes para el que se solicite la autorización, d</w:t>
      </w:r>
      <w:r>
        <w:t xml:space="preserve">escribiendo la actividad artística a realizar, con expresa referencia, en su caso, a los elementos sonoros utilizados, y numerando en su solicitud, por orden de preferencia, las zonas que pueden ser objeto de autorización. </w:t>
      </w:r>
    </w:p>
    <w:p w:rsidR="00B064CF" w:rsidRDefault="00E32F70">
      <w:pPr>
        <w:numPr>
          <w:ilvl w:val="0"/>
          <w:numId w:val="202"/>
        </w:numPr>
        <w:ind w:right="72" w:hanging="708"/>
      </w:pPr>
      <w:r>
        <w:t>La autorización municipal que se</w:t>
      </w:r>
      <w:r>
        <w:t xml:space="preserve"> otorgue tendrá validez exclusivamente para realizar la actividad artística en el periodo trimestral solicitado y en una única zona. </w:t>
      </w:r>
    </w:p>
    <w:p w:rsidR="00B064CF" w:rsidRDefault="00E32F70">
      <w:pPr>
        <w:tabs>
          <w:tab w:val="center" w:pos="917"/>
          <w:tab w:val="center" w:pos="3690"/>
        </w:tabs>
        <w:spacing w:after="11"/>
        <w:ind w:left="0" w:firstLine="0"/>
        <w:jc w:val="left"/>
      </w:pPr>
      <w:r>
        <w:rPr>
          <w:rFonts w:ascii="Calibri" w:eastAsia="Calibri" w:hAnsi="Calibri" w:cs="Calibri"/>
        </w:rPr>
        <w:tab/>
      </w:r>
      <w:r>
        <w:t xml:space="preserve">Artículo 31. </w:t>
      </w:r>
      <w:r>
        <w:tab/>
        <w:t xml:space="preserve">Condiciones específicas y obligaciones </w:t>
      </w:r>
    </w:p>
    <w:p w:rsidR="00B064CF" w:rsidRDefault="00E32F70">
      <w:pPr>
        <w:numPr>
          <w:ilvl w:val="0"/>
          <w:numId w:val="202"/>
        </w:numPr>
        <w:ind w:right="72" w:hanging="708"/>
      </w:pPr>
      <w:r>
        <w:t>En la zona autorizada únicamente podrá realizarse la actividad obje</w:t>
      </w:r>
      <w:r>
        <w:t xml:space="preserve">to de autorización y en los términos concretos que vengan especificados en la misma, debiendo ser ejercida exclusivamente por la persona o grupo de personas autorizado. </w:t>
      </w:r>
    </w:p>
    <w:p w:rsidR="00B064CF" w:rsidRDefault="00E32F70">
      <w:pPr>
        <w:numPr>
          <w:ilvl w:val="0"/>
          <w:numId w:val="202"/>
        </w:numPr>
        <w:ind w:right="72" w:hanging="708"/>
      </w:pPr>
      <w:r>
        <w:t>No podrá utilizarse el mobiliario urbano ni el arbolado para el anclaje o como soporte</w:t>
      </w:r>
      <w:r>
        <w:t xml:space="preserve"> de cualquier elemento o instalación empleados en el desarrollo de la actividad autorizada. </w:t>
      </w:r>
    </w:p>
    <w:p w:rsidR="00B064CF" w:rsidRDefault="00E32F70">
      <w:pPr>
        <w:numPr>
          <w:ilvl w:val="0"/>
          <w:numId w:val="202"/>
        </w:numPr>
        <w:ind w:right="72" w:hanging="708"/>
      </w:pPr>
      <w:r>
        <w:t xml:space="preserve">La ocupación se concederá en función de las características de la actuación pretendida, así como de las características de la zona a ocupar. </w:t>
      </w:r>
    </w:p>
    <w:p w:rsidR="00B064CF" w:rsidRDefault="00E32F70">
      <w:pPr>
        <w:numPr>
          <w:ilvl w:val="0"/>
          <w:numId w:val="202"/>
        </w:numPr>
        <w:ind w:right="72" w:hanging="708"/>
      </w:pPr>
      <w:r>
        <w:t>Con carácter general,</w:t>
      </w:r>
      <w:r>
        <w:t xml:space="preserve"> la distancia mínima a la que deberá situarse un artista de otro, así como la distancia a mantener con cualquier otra actividad autorizada, mientras estén llevando a cabo la actividad solicitada en el dominio público, será de veinticinco metros (25,00 m). </w:t>
      </w:r>
      <w:r>
        <w:t xml:space="preserve">En el caso de actuaciones musicales y otras actividades con repercusión sonora, la distancia mínima de separación será de cincuenta metros (50,00 m).  </w:t>
      </w:r>
    </w:p>
    <w:p w:rsidR="00B064CF" w:rsidRDefault="00E32F70">
      <w:pPr>
        <w:numPr>
          <w:ilvl w:val="0"/>
          <w:numId w:val="202"/>
        </w:numPr>
        <w:ind w:right="72" w:hanging="708"/>
      </w:pPr>
      <w:r>
        <w:t xml:space="preserve">Las ocupaciones del dominio público para la realización de las </w:t>
      </w:r>
      <w:r>
        <w:t xml:space="preserve">manifestaciones artísticas reguladas en la presente Sección podrán autorizarse dentro del horario de 10:00 a 20:00 horas, </w:t>
      </w:r>
    </w:p>
    <w:p w:rsidR="00B064CF" w:rsidRDefault="00E32F70">
      <w:pPr>
        <w:ind w:left="654" w:right="72"/>
      </w:pPr>
      <w:r>
        <w:t>a excepción de aquellas que se otorguen para actuaciones musicales y otras actividades con repercusión sonora, que se sujetarán al ho</w:t>
      </w:r>
      <w:r>
        <w:t xml:space="preserve">rario establecido en el número siguiente. </w:t>
      </w:r>
    </w:p>
    <w:p w:rsidR="00B064CF" w:rsidRDefault="00E32F70">
      <w:pPr>
        <w:numPr>
          <w:ilvl w:val="0"/>
          <w:numId w:val="202"/>
        </w:numPr>
        <w:ind w:right="72" w:hanging="708"/>
      </w:pPr>
      <w:r>
        <w:t xml:space="preserve">Las actuaciones musicales u otras actividades artísticas con repercusión sonora en el dominio público deberán cumplir, además de las condiciones anteriores, las siguientes limitaciones: </w:t>
      </w:r>
    </w:p>
    <w:p w:rsidR="00B064CF" w:rsidRDefault="00E32F70">
      <w:pPr>
        <w:numPr>
          <w:ilvl w:val="1"/>
          <w:numId w:val="203"/>
        </w:numPr>
        <w:ind w:right="72" w:hanging="360"/>
      </w:pPr>
      <w:r>
        <w:t>No podrán utilizarse instr</w:t>
      </w:r>
      <w:r>
        <w:t xml:space="preserve">umentos de percusión, ni altavoces o cualquier otro sistema de amplificación del sonido, quedando sometida la autorización, en todo caso, a las limitaciones establecidas en la normativa vigente sobre contaminación acústica. </w:t>
      </w:r>
    </w:p>
    <w:p w:rsidR="00B064CF" w:rsidRDefault="00E32F70">
      <w:pPr>
        <w:numPr>
          <w:ilvl w:val="1"/>
          <w:numId w:val="203"/>
        </w:numPr>
        <w:ind w:right="72" w:hanging="360"/>
      </w:pPr>
      <w:r>
        <w:t>Las actuaciones sólo podrán ten</w:t>
      </w:r>
      <w:r>
        <w:t xml:space="preserve">er lugar en horario de 10:00 a 14:00 horas y de 17:00 a 20:00 horas.  </w:t>
      </w:r>
    </w:p>
    <w:p w:rsidR="00B064CF" w:rsidRDefault="00E32F70">
      <w:pPr>
        <w:numPr>
          <w:ilvl w:val="1"/>
          <w:numId w:val="203"/>
        </w:numPr>
        <w:ind w:right="72" w:hanging="360"/>
      </w:pPr>
      <w:r>
        <w:t>La actuación de la persona autorizada no podrá tener una duración superior a dos horas en el mismo punto dentro de la zona autorizada, debiendo desplazarse para las siguientes actuacion</w:t>
      </w:r>
      <w:r>
        <w:t xml:space="preserve">es a una distancia mínima de veinticinco metros (25,00 m) de la anterior, no pudiendo repetir actuación en el mismo punto y día. </w:t>
      </w:r>
    </w:p>
    <w:p w:rsidR="00B064CF" w:rsidRDefault="00E32F70">
      <w:pPr>
        <w:numPr>
          <w:ilvl w:val="1"/>
          <w:numId w:val="203"/>
        </w:numPr>
        <w:ind w:right="72" w:hanging="360"/>
      </w:pPr>
      <w:r>
        <w:t xml:space="preserve">El espacio ocupado para llevar a cabo la actividad no podrá encontrarse a una distancia inferior a cincuenta metros (50,00 m) </w:t>
      </w:r>
      <w:r>
        <w:t xml:space="preserve">de centros docentes, sanitarios, o asistenciales. </w:t>
      </w:r>
    </w:p>
    <w:p w:rsidR="00B064CF" w:rsidRDefault="00E32F70">
      <w:pPr>
        <w:spacing w:after="11"/>
        <w:ind w:left="355" w:right="72"/>
      </w:pPr>
      <w:r>
        <w:t xml:space="preserve">Sección 3ª. ACTIVIDADES INFORMATIVAS, DE SENSIBILIZACIÓN O PROMOCIONALES </w:t>
      </w:r>
    </w:p>
    <w:p w:rsidR="00B064CF" w:rsidRDefault="00E32F70">
      <w:pPr>
        <w:tabs>
          <w:tab w:val="center" w:pos="917"/>
          <w:tab w:val="center" w:pos="3390"/>
        </w:tabs>
        <w:spacing w:after="11"/>
        <w:ind w:left="0" w:firstLine="0"/>
        <w:jc w:val="left"/>
      </w:pPr>
      <w:r>
        <w:rPr>
          <w:rFonts w:ascii="Calibri" w:eastAsia="Calibri" w:hAnsi="Calibri" w:cs="Calibri"/>
        </w:rPr>
        <w:tab/>
      </w:r>
      <w:r>
        <w:t xml:space="preserve">Artículo 32. </w:t>
      </w:r>
      <w:r>
        <w:tab/>
        <w:t xml:space="preserve">Supuestos sujetos a autorización </w:t>
      </w:r>
    </w:p>
    <w:p w:rsidR="00B064CF" w:rsidRDefault="00E32F70">
      <w:pPr>
        <w:numPr>
          <w:ilvl w:val="0"/>
          <w:numId w:val="204"/>
        </w:numPr>
        <w:ind w:left="628" w:right="72" w:hanging="283"/>
      </w:pPr>
      <w:r>
        <w:rPr>
          <w:rFonts w:ascii="Calibri" w:eastAsia="Calibri" w:hAnsi="Calibri" w:cs="Calibri"/>
          <w:noProof/>
        </w:rPr>
        <mc:AlternateContent>
          <mc:Choice Requires="wpg">
            <w:drawing>
              <wp:anchor distT="0" distB="0" distL="114300" distR="114300" simplePos="0" relativeHeight="25192345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18963" name="Group 418963"/>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0864" name="Rectangle 40864"/>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64SKSNYNJRFPNN5DLPPAAC3GS | Verificación: https://candelaria.s</w:t>
                              </w:r>
                              <w:r>
                                <w:rPr>
                                  <w:sz w:val="12"/>
                                </w:rPr>
                                <w:t xml:space="preserve">edelectronica.es/ </w:t>
                              </w:r>
                            </w:p>
                          </w:txbxContent>
                        </wps:txbx>
                        <wps:bodyPr horzOverflow="overflow" vert="horz" lIns="0" tIns="0" rIns="0" bIns="0" rtlCol="0">
                          <a:noAutofit/>
                        </wps:bodyPr>
                      </wps:wsp>
                      <wps:wsp>
                        <wps:cNvPr id="40865" name="Rectangle 40865"/>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255 de 298 </w:t>
                              </w:r>
                            </w:p>
                          </w:txbxContent>
                        </wps:txbx>
                        <wps:bodyPr horzOverflow="overflow" vert="horz" lIns="0" tIns="0" rIns="0" bIns="0" rtlCol="0">
                          <a:noAutofit/>
                        </wps:bodyPr>
                      </wps:wsp>
                    </wpg:wgp>
                  </a:graphicData>
                </a:graphic>
              </wp:anchor>
            </w:drawing>
          </mc:Choice>
          <mc:Fallback xmlns:a="http://schemas.openxmlformats.org/drawingml/2006/main">
            <w:pict>
              <v:group id="Group 418963" style="width:12.7031pt;height:278.91pt;position:absolute;mso-position-horizontal-relative:page;mso-position-horizontal:absolute;margin-left:682.278pt;mso-position-vertical-relative:page;margin-top:533.01pt;" coordsize="1613,35421">
                <v:rect id="Rectangle 40864"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0865"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255 de 298 </w:t>
                        </w:r>
                      </w:p>
                    </w:txbxContent>
                  </v:textbox>
                </v:rect>
                <w10:wrap type="square"/>
              </v:group>
            </w:pict>
          </mc:Fallback>
        </mc:AlternateContent>
      </w:r>
      <w:r>
        <w:t>La ocupación del dominio público para la realización de actividades de tipo informativo, de sensibilización o promocionales requerirá autori</w:t>
      </w:r>
      <w:r>
        <w:t xml:space="preserve">zación municipal cuando concurra alguno de los siguientes supuestos: </w:t>
      </w:r>
    </w:p>
    <w:p w:rsidR="00B064CF" w:rsidRDefault="00E32F70">
      <w:pPr>
        <w:numPr>
          <w:ilvl w:val="1"/>
          <w:numId w:val="204"/>
        </w:numPr>
        <w:ind w:right="72" w:hanging="360"/>
      </w:pPr>
      <w:r>
        <w:t xml:space="preserve">Se necesite la acotación de una superficie del dominio público para su utilización.  </w:t>
      </w:r>
    </w:p>
    <w:p w:rsidR="00B064CF" w:rsidRDefault="00E32F70">
      <w:pPr>
        <w:numPr>
          <w:ilvl w:val="1"/>
          <w:numId w:val="204"/>
        </w:numPr>
        <w:ind w:right="72" w:hanging="360"/>
      </w:pPr>
      <w:r>
        <w:t xml:space="preserve">Sea necesario, para el desarrollo de la actividad, la utilización de elementos de mobiliario o el empleo de instalaciones especiales. </w:t>
      </w:r>
    </w:p>
    <w:p w:rsidR="00B064CF" w:rsidRDefault="00E32F70">
      <w:pPr>
        <w:numPr>
          <w:ilvl w:val="0"/>
          <w:numId w:val="204"/>
        </w:numPr>
        <w:ind w:left="628" w:right="72" w:hanging="283"/>
      </w:pPr>
      <w:r>
        <w:t>El Ayuntamiento, discrecional y motivadamente, podrá denegar la autorización si considera que el contenido de la activida</w:t>
      </w:r>
      <w:r>
        <w:t xml:space="preserve">d es contrario a las leyes o perjudicial para el interés público o municipal. </w:t>
      </w:r>
    </w:p>
    <w:p w:rsidR="00B064CF" w:rsidRDefault="00E32F70">
      <w:pPr>
        <w:numPr>
          <w:ilvl w:val="0"/>
          <w:numId w:val="204"/>
        </w:numPr>
        <w:ind w:left="628" w:right="72" w:hanging="283"/>
      </w:pPr>
      <w:r>
        <w:t xml:space="preserve">La autorización podrá otorgarse mediante un procedimiento preferente y sumario, salvo que las circunstancias que concurran o la complejidad del supuesto lo desaconseje, en cuyo </w:t>
      </w:r>
      <w:r>
        <w:t xml:space="preserve">caso se tramitará por el procedimiento ordinario. Sin perjuicio de lo expuesto, el procedimiento abreviado sólo se aplicará si la ocupación se limita a una única localización, no requiere la utilización de instalaciones o elementos especiales y no excede, </w:t>
      </w:r>
      <w:r>
        <w:t xml:space="preserve">en plazo de duración, los tres (3) días. </w:t>
      </w:r>
    </w:p>
    <w:p w:rsidR="00B064CF" w:rsidRDefault="00E32F70">
      <w:pPr>
        <w:tabs>
          <w:tab w:val="center" w:pos="917"/>
          <w:tab w:val="center" w:pos="3690"/>
        </w:tabs>
        <w:spacing w:after="11"/>
        <w:ind w:left="0" w:firstLine="0"/>
        <w:jc w:val="left"/>
      </w:pPr>
      <w:r>
        <w:rPr>
          <w:rFonts w:ascii="Calibri" w:eastAsia="Calibri" w:hAnsi="Calibri" w:cs="Calibri"/>
        </w:rPr>
        <w:tab/>
      </w:r>
      <w:r>
        <w:t xml:space="preserve">Artículo 33. </w:t>
      </w:r>
      <w:r>
        <w:tab/>
        <w:t xml:space="preserve">Condiciones específicas y obligaciones </w:t>
      </w:r>
    </w:p>
    <w:p w:rsidR="00B064CF" w:rsidRDefault="00E32F70">
      <w:pPr>
        <w:numPr>
          <w:ilvl w:val="0"/>
          <w:numId w:val="205"/>
        </w:numPr>
        <w:ind w:left="628" w:right="72" w:hanging="283"/>
      </w:pPr>
      <w:r>
        <w:t>La persona o entidad autorizada será la única responsable del contenido de la actividad informativa, de sensibilización o promocional que pretenda llevar a cab</w:t>
      </w:r>
      <w:r>
        <w:t xml:space="preserve">o; y también lo será de organizar, ordenar y vigilar la concentración de personas que pueda generarse, de modo que no se impida la libre circulación de peatones y vehículos. </w:t>
      </w:r>
    </w:p>
    <w:p w:rsidR="00B064CF" w:rsidRDefault="00E32F70">
      <w:pPr>
        <w:numPr>
          <w:ilvl w:val="0"/>
          <w:numId w:val="205"/>
        </w:numPr>
        <w:ind w:left="628" w:right="72" w:hanging="283"/>
      </w:pPr>
      <w:r>
        <w:t>En la zona autorizada únicamente podrá realizarse la actividad objeto de autoriza</w:t>
      </w:r>
      <w:r>
        <w:t xml:space="preserve">ción y en los términos concretos que vengan especificados en la misma, debiendo ser ejercida exclusivamente por la persona o grupo de personas autorizado. </w:t>
      </w:r>
    </w:p>
    <w:p w:rsidR="00B064CF" w:rsidRDefault="00E32F70">
      <w:pPr>
        <w:numPr>
          <w:ilvl w:val="0"/>
          <w:numId w:val="205"/>
        </w:numPr>
        <w:ind w:left="628" w:right="72" w:hanging="283"/>
      </w:pPr>
      <w:r>
        <w:t xml:space="preserve">No podrá utilizarse el mobiliario urbano ni el arbolado para el anclaje o como soporte de cualquier </w:t>
      </w:r>
      <w:r>
        <w:t xml:space="preserve">elemento o instalación empleados en el desarrollo de la actividad autorizada. </w:t>
      </w:r>
    </w:p>
    <w:p w:rsidR="00B064CF" w:rsidRDefault="00E32F70">
      <w:pPr>
        <w:spacing w:after="11"/>
        <w:ind w:left="355" w:right="72"/>
      </w:pPr>
      <w:r>
        <w:t xml:space="preserve">Artículo 34. Características de los elementos </w:t>
      </w:r>
    </w:p>
    <w:p w:rsidR="00B064CF" w:rsidRDefault="00E32F70">
      <w:pPr>
        <w:numPr>
          <w:ilvl w:val="0"/>
          <w:numId w:val="206"/>
        </w:numPr>
        <w:ind w:left="628" w:right="72" w:hanging="283"/>
      </w:pPr>
      <w:r>
        <w:t xml:space="preserve">Todos los elementos que se dispongan en el dominio público estarán diseñados e instalados de tal forma que su utilización no represente real o potencial peligro para viandantes o usuarios. </w:t>
      </w:r>
    </w:p>
    <w:p w:rsidR="00B064CF" w:rsidRDefault="00E32F70">
      <w:pPr>
        <w:numPr>
          <w:ilvl w:val="0"/>
          <w:numId w:val="206"/>
        </w:numPr>
        <w:ind w:left="628" w:right="72" w:hanging="283"/>
      </w:pPr>
      <w:r>
        <w:t>Con carácter general, sin perjuicio de lo dispuesto en el número s</w:t>
      </w:r>
      <w:r>
        <w:t xml:space="preserve">iguiente, los únicos elementos que se podrán utilizar para el desarrollo de las actividades serán exclusivamente mesas, sillas, sombrillas, carpas, y mamparas, quedando prohibido el empleo de cualquier elemento que requiera sistemas de sujeción o anclaje. </w:t>
      </w:r>
      <w:r>
        <w:t xml:space="preserve"> </w:t>
      </w:r>
    </w:p>
    <w:p w:rsidR="00B064CF" w:rsidRDefault="00E32F70">
      <w:pPr>
        <w:numPr>
          <w:ilvl w:val="0"/>
          <w:numId w:val="206"/>
        </w:numPr>
        <w:ind w:left="628" w:right="72" w:hanging="283"/>
      </w:pPr>
      <w:r>
        <w:t xml:space="preserve">En el caso de actividades divulgativas, y siempre que sus especiales características o dimensiones lo justifiquen, se podrá autorizar el empleo de las instalaciones y elementos especiales, en cuyo caso se estará a lo dispuesto en el artículo 11.  </w:t>
      </w:r>
    </w:p>
    <w:p w:rsidR="00B064CF" w:rsidRDefault="00E32F70">
      <w:pPr>
        <w:numPr>
          <w:ilvl w:val="0"/>
          <w:numId w:val="206"/>
        </w:numPr>
        <w:ind w:left="628" w:right="72" w:hanging="283"/>
      </w:pPr>
      <w:r>
        <w:t>Las ca</w:t>
      </w:r>
      <w:r>
        <w:t xml:space="preserve">rpas destinadas a actividades informativas, de sensibilización o promocionales cumplirán las siguientes condiciones:  </w:t>
      </w:r>
    </w:p>
    <w:p w:rsidR="00B064CF" w:rsidRDefault="00E32F70">
      <w:pPr>
        <w:ind w:left="1068" w:right="72" w:hanging="360"/>
      </w:pPr>
      <w:r>
        <w:t xml:space="preserve">a) Se deberán disponer sobre bases y soportes que garanticen su estabilidad y eviten vuelcos o caídas. </w:t>
      </w:r>
    </w:p>
    <w:p w:rsidR="00B064CF" w:rsidRDefault="00E32F70">
      <w:pPr>
        <w:numPr>
          <w:ilvl w:val="1"/>
          <w:numId w:val="207"/>
        </w:numPr>
        <w:ind w:right="72" w:hanging="360"/>
      </w:pPr>
      <w:r>
        <w:rPr>
          <w:rFonts w:ascii="Calibri" w:eastAsia="Calibri" w:hAnsi="Calibri" w:cs="Calibri"/>
          <w:noProof/>
        </w:rPr>
        <mc:AlternateContent>
          <mc:Choice Requires="wpg">
            <w:drawing>
              <wp:anchor distT="0" distB="0" distL="114300" distR="114300" simplePos="0" relativeHeight="25192448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19897" name="Group 419897"/>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0977" name="Rectangle 40977"/>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40978" name="Rectangle 40978"/>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256 de 298 </w:t>
                              </w:r>
                            </w:p>
                          </w:txbxContent>
                        </wps:txbx>
                        <wps:bodyPr horzOverflow="overflow" vert="horz" lIns="0" tIns="0" rIns="0" bIns="0" rtlCol="0">
                          <a:noAutofit/>
                        </wps:bodyPr>
                      </wps:wsp>
                    </wpg:wgp>
                  </a:graphicData>
                </a:graphic>
              </wp:anchor>
            </w:drawing>
          </mc:Choice>
          <mc:Fallback xmlns:a="http://schemas.openxmlformats.org/drawingml/2006/main">
            <w:pict>
              <v:group id="Group 419897" style="width:12.7031pt;height:278.91pt;position:absolute;mso-position-horizontal-relative:page;mso-position-horizontal:absolute;margin-left:682.278pt;mso-position-vertical-relative:page;margin-top:533.01pt;" coordsize="1613,35421">
                <v:rect id="Rectangle 40977"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0978"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256 de 298 </w:t>
                        </w:r>
                      </w:p>
                    </w:txbxContent>
                  </v:textbox>
                </v:rect>
                <w10:wrap type="square"/>
              </v:group>
            </w:pict>
          </mc:Fallback>
        </mc:AlternateContent>
      </w:r>
      <w:r>
        <w:t>Las estructuras serán desmontables, instaladas sin elaboració</w:t>
      </w:r>
      <w:r>
        <w:t xml:space="preserve">n de materiales in situ ni empleo de soldaduras, pudiendo ser desmanteladas sin operaciones de demolición. </w:t>
      </w:r>
    </w:p>
    <w:p w:rsidR="00B064CF" w:rsidRDefault="00E32F70">
      <w:pPr>
        <w:numPr>
          <w:ilvl w:val="1"/>
          <w:numId w:val="207"/>
        </w:numPr>
        <w:ind w:right="72" w:hanging="360"/>
      </w:pPr>
      <w:r>
        <w:t>La altura libre mínima será de dos metros y veinte centímetros (2,20 m), y su altura máxima, como normal general, será de 3,00 m, medidos desde el s</w:t>
      </w:r>
      <w:r>
        <w:t xml:space="preserve">uelo a su parte superior, salvo que las condiciones arquitectónicas específicas de las edificaciones requieran otros condicionantes para su instalación. </w:t>
      </w:r>
    </w:p>
    <w:p w:rsidR="00B064CF" w:rsidRDefault="00E32F70">
      <w:pPr>
        <w:numPr>
          <w:ilvl w:val="1"/>
          <w:numId w:val="207"/>
        </w:numPr>
        <w:ind w:right="72" w:hanging="360"/>
      </w:pPr>
      <w:r>
        <w:t>Como norma general, no podrán ubicarse a menos de dos metros (2,00 m) de distancia de cualquier fachad</w:t>
      </w:r>
      <w:r>
        <w:t xml:space="preserve">a o cuerpo volado, sin perjuicio de que se exija otra distancia mayor, o bien, se aconseje adosarla a linderos o fachada, en la normativa que le sea de aplicación. </w:t>
      </w:r>
    </w:p>
    <w:p w:rsidR="00B064CF" w:rsidRDefault="00E32F70">
      <w:pPr>
        <w:numPr>
          <w:ilvl w:val="1"/>
          <w:numId w:val="207"/>
        </w:numPr>
        <w:ind w:right="72" w:hanging="360"/>
      </w:pPr>
      <w:r>
        <w:t xml:space="preserve">Deberán ser instalados por empresa especializada que garantice su estabilidad y seguridad. </w:t>
      </w:r>
      <w:r>
        <w:t xml:space="preserve"> </w:t>
      </w:r>
    </w:p>
    <w:p w:rsidR="00B064CF" w:rsidRDefault="00E32F70">
      <w:pPr>
        <w:spacing w:after="0" w:line="259" w:lineRule="auto"/>
        <w:ind w:left="360" w:firstLine="0"/>
        <w:jc w:val="left"/>
      </w:pPr>
      <w:r>
        <w:t xml:space="preserve"> </w:t>
      </w:r>
    </w:p>
    <w:p w:rsidR="00B064CF" w:rsidRDefault="00E32F70">
      <w:pPr>
        <w:spacing w:after="0"/>
        <w:ind w:left="355" w:right="72"/>
      </w:pPr>
      <w:r>
        <w:t xml:space="preserve">Sección 4ª. ACTIVIDADES DE CUESTACIÓN, PETITORIAS Y OTRAS SIMILARES CON FINES SOLIDARIOS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Artículo 35. Supuestos sujetos a autorización </w:t>
      </w:r>
    </w:p>
    <w:p w:rsidR="00B064CF" w:rsidRDefault="00E32F70">
      <w:pPr>
        <w:numPr>
          <w:ilvl w:val="0"/>
          <w:numId w:val="208"/>
        </w:numPr>
        <w:ind w:left="628" w:right="72" w:hanging="283"/>
      </w:pPr>
      <w:r>
        <w:t xml:space="preserve">La ocupación del dominio público para la realización de actividades de cuestación, petitorias u otras similares </w:t>
      </w:r>
      <w:r>
        <w:t xml:space="preserve">con fines solidarios requerirá autorización municipal cuando concurra alguno de los siguientes supuestos: </w:t>
      </w:r>
    </w:p>
    <w:p w:rsidR="00B064CF" w:rsidRDefault="00E32F70">
      <w:pPr>
        <w:numPr>
          <w:ilvl w:val="1"/>
          <w:numId w:val="208"/>
        </w:numPr>
        <w:ind w:right="72" w:hanging="360"/>
      </w:pPr>
      <w:r>
        <w:t xml:space="preserve">Se necesite la acotación de una superficie del dominio público para su utilización.  </w:t>
      </w:r>
    </w:p>
    <w:p w:rsidR="00B064CF" w:rsidRDefault="00E32F70">
      <w:pPr>
        <w:numPr>
          <w:ilvl w:val="1"/>
          <w:numId w:val="208"/>
        </w:numPr>
        <w:ind w:right="72" w:hanging="360"/>
      </w:pPr>
      <w:r>
        <w:t>Sea necesario, para el desarrollo de la actividad, la utilizaci</w:t>
      </w:r>
      <w:r>
        <w:t xml:space="preserve">ón de elementos de mobiliario. </w:t>
      </w:r>
    </w:p>
    <w:p w:rsidR="00B064CF" w:rsidRDefault="00E32F70">
      <w:pPr>
        <w:numPr>
          <w:ilvl w:val="0"/>
          <w:numId w:val="208"/>
        </w:numPr>
        <w:ind w:left="628" w:right="72" w:hanging="283"/>
      </w:pPr>
      <w:r>
        <w:t>Las autorizaciones sólo se le otorgarán a organizaciones no gubernamentales, partidos políticos o entidades de carácter social sin ánimo de lucro, sin que puedan utilizarse para la promoción de ideas que puedan ser contraria</w:t>
      </w:r>
      <w:r>
        <w:t xml:space="preserve">s a los principios constitucionales o los derechos fundamentales. </w:t>
      </w:r>
    </w:p>
    <w:p w:rsidR="00B064CF" w:rsidRDefault="00E32F70">
      <w:pPr>
        <w:numPr>
          <w:ilvl w:val="0"/>
          <w:numId w:val="208"/>
        </w:numPr>
        <w:ind w:left="628" w:right="72" w:hanging="283"/>
      </w:pPr>
      <w:r>
        <w:t xml:space="preserve">El Ayuntamiento, discrecional y motivadamente, podrá denegar la autorización si considera que el contenido de la actividad es contrario a las leyes o perjudicial para el interés público o municipal. </w:t>
      </w:r>
    </w:p>
    <w:p w:rsidR="00B064CF" w:rsidRDefault="00E32F70">
      <w:pPr>
        <w:numPr>
          <w:ilvl w:val="0"/>
          <w:numId w:val="208"/>
        </w:numPr>
        <w:ind w:left="628" w:right="72" w:hanging="283"/>
      </w:pPr>
      <w:r>
        <w:t>La autorización podrá otorgarse mediante un procedimient</w:t>
      </w:r>
      <w:r>
        <w:t>o abreviado, salvo que las circunstancias que concurran o la complejidad del supuesto lo desaconseje, en cuyo caso se tramitará por el procedimiento ordinario. Sin perjuicio de lo expuesto, el procedimiento abreviado sólo se aplicará si la ocupación se lim</w:t>
      </w:r>
      <w:r>
        <w:t xml:space="preserve">ita a una única localización, no requiere la utilización de instalaciones o elementos especiales y no excede, en plazo de duración, los tres (3) días. </w:t>
      </w:r>
    </w:p>
    <w:p w:rsidR="00B064CF" w:rsidRDefault="00E32F70">
      <w:pPr>
        <w:spacing w:after="11"/>
        <w:ind w:left="355" w:right="72"/>
      </w:pPr>
      <w:r>
        <w:t xml:space="preserve">Artículo 36. Condiciones específicas y obligaciones </w:t>
      </w:r>
    </w:p>
    <w:p w:rsidR="00B064CF" w:rsidRDefault="00E32F70">
      <w:pPr>
        <w:numPr>
          <w:ilvl w:val="0"/>
          <w:numId w:val="209"/>
        </w:numPr>
        <w:ind w:left="628" w:right="72" w:hanging="283"/>
      </w:pPr>
      <w:r>
        <w:t>La persona o entidad autorizada será la única respo</w:t>
      </w:r>
      <w:r>
        <w:t>nsable del contenido de la actividad de cuestación, petitoria o solidaria que pretenda llevar a cabo; y también lo será de organizar, ordenar y vigilar la concentración de personas que pueda generarse, de modo que no se impida la libre circulación de peato</w:t>
      </w:r>
      <w:r>
        <w:t xml:space="preserve">nes y vehículos. </w:t>
      </w:r>
    </w:p>
    <w:p w:rsidR="00B064CF" w:rsidRDefault="00E32F70">
      <w:pPr>
        <w:numPr>
          <w:ilvl w:val="0"/>
          <w:numId w:val="209"/>
        </w:numPr>
        <w:ind w:left="628" w:right="72" w:hanging="283"/>
      </w:pPr>
      <w:r>
        <w:rPr>
          <w:rFonts w:ascii="Calibri" w:eastAsia="Calibri" w:hAnsi="Calibri" w:cs="Calibri"/>
          <w:noProof/>
        </w:rPr>
        <mc:AlternateContent>
          <mc:Choice Requires="wpg">
            <w:drawing>
              <wp:anchor distT="0" distB="0" distL="114300" distR="114300" simplePos="0" relativeHeight="25192550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20115" name="Group 420115"/>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1091" name="Rectangle 41091"/>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41092" name="Rectangle 41092"/>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257 de 298 </w:t>
                              </w:r>
                            </w:p>
                          </w:txbxContent>
                        </wps:txbx>
                        <wps:bodyPr horzOverflow="overflow" vert="horz" lIns="0" tIns="0" rIns="0" bIns="0" rtlCol="0">
                          <a:noAutofit/>
                        </wps:bodyPr>
                      </wps:wsp>
                    </wpg:wgp>
                  </a:graphicData>
                </a:graphic>
              </wp:anchor>
            </w:drawing>
          </mc:Choice>
          <mc:Fallback xmlns:a="http://schemas.openxmlformats.org/drawingml/2006/main">
            <w:pict>
              <v:group id="Group 420115" style="width:12.7031pt;height:278.91pt;position:absolute;mso-position-horizontal-relative:page;mso-position-horizontal:absolute;margin-left:682.278pt;mso-position-vertical-relative:page;margin-top:533.01pt;" coordsize="1613,35421">
                <v:rect id="Rectangle 41091"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1092"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257 de 298 </w:t>
                        </w:r>
                      </w:p>
                    </w:txbxContent>
                  </v:textbox>
                </v:rect>
                <w10:wrap type="square"/>
              </v:group>
            </w:pict>
          </mc:Fallback>
        </mc:AlternateContent>
      </w:r>
      <w:r>
        <w:t>En la zona autorizada únicamente podrá r</w:t>
      </w:r>
      <w:r>
        <w:t xml:space="preserve">ealizarse la actividad objeto de autorización y en los términos concretos que vengan especificados en la misma, debiendo ser ejercida exclusivamente por la persona o grupo de personas autorizado. </w:t>
      </w:r>
    </w:p>
    <w:p w:rsidR="00B064CF" w:rsidRDefault="00E32F70">
      <w:pPr>
        <w:numPr>
          <w:ilvl w:val="0"/>
          <w:numId w:val="209"/>
        </w:numPr>
        <w:ind w:left="628" w:right="72" w:hanging="283"/>
      </w:pPr>
      <w:r>
        <w:t>No podrá utilizarse el mobiliario urbano ni el arbolado par</w:t>
      </w:r>
      <w:r>
        <w:t xml:space="preserve">a el anclaje o como soporte de cualquier elemento o instalación empleados en el desarrollo de la actividad autorizada. </w:t>
      </w:r>
    </w:p>
    <w:p w:rsidR="00B064CF" w:rsidRDefault="00E32F70">
      <w:pPr>
        <w:spacing w:after="11"/>
        <w:ind w:left="355" w:right="72"/>
      </w:pPr>
      <w:r>
        <w:t xml:space="preserve">Artículo 37. Características de los elementos </w:t>
      </w:r>
    </w:p>
    <w:p w:rsidR="00B064CF" w:rsidRDefault="00E32F70">
      <w:pPr>
        <w:ind w:left="628" w:right="72" w:hanging="283"/>
      </w:pPr>
      <w:r>
        <w:t>3. Todos los elementos que se dispongan en el dominio público estarán diseñados e instala</w:t>
      </w:r>
      <w:r>
        <w:t xml:space="preserve">dos de tal forma que su utilización no represente real o potencial peligro para viandantes o usuarios, debiendo cumplir las condiciones técnicas descritas en el artículo 34, aplicables a cada elemento.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CAPÍTULO 3 OCUPACIONES CON QUIOSCOS </w:t>
      </w:r>
    </w:p>
    <w:p w:rsidR="00B064CF" w:rsidRDefault="00E32F70">
      <w:pPr>
        <w:spacing w:after="11"/>
        <w:ind w:left="355" w:right="72"/>
      </w:pPr>
      <w:r>
        <w:t xml:space="preserve"> Artículo 38. </w:t>
      </w:r>
      <w:r>
        <w:t xml:space="preserve">Ocupaciones permitidas y título habilitante </w:t>
      </w:r>
    </w:p>
    <w:p w:rsidR="00B064CF" w:rsidRDefault="00E32F70">
      <w:pPr>
        <w:numPr>
          <w:ilvl w:val="0"/>
          <w:numId w:val="210"/>
        </w:numPr>
        <w:ind w:left="628" w:right="72" w:hanging="283"/>
      </w:pPr>
      <w:r>
        <w:t>El dominio público podrá ser ocupado con quioscos para: la venta de alimentos envasados, bebidas, prensa, flores, golosina y frutos secos, helados, flores, artesanías y otros productos análogos susceptibles de comercialización. El dominio también podrá ser</w:t>
      </w:r>
      <w:r>
        <w:t xml:space="preserve"> ocupado con quioscos-bar destinados a la prestación de servicios de comidas y/o bebidas; en estos supuestos se podrá permitir la ocupación del dominio público con los elementos accesorios exteriores (mesas, sillas, sombrillas, etc.) que sean necesarios pa</w:t>
      </w:r>
      <w:r>
        <w:t xml:space="preserve">ra la efectiva prestación del servicio. </w:t>
      </w:r>
    </w:p>
    <w:p w:rsidR="00B064CF" w:rsidRDefault="00E32F70">
      <w:pPr>
        <w:numPr>
          <w:ilvl w:val="0"/>
          <w:numId w:val="210"/>
        </w:numPr>
        <w:ind w:left="628" w:right="72" w:hanging="283"/>
      </w:pPr>
      <w:r>
        <w:t xml:space="preserve">La ocupación con quioscos sólo se permitirá en los suelos de dominio público calificados como espacios libres o peatonales, o destinados a tales usos. </w:t>
      </w:r>
    </w:p>
    <w:p w:rsidR="00B064CF" w:rsidRDefault="00E32F70">
      <w:pPr>
        <w:numPr>
          <w:ilvl w:val="0"/>
          <w:numId w:val="210"/>
        </w:numPr>
        <w:ind w:left="628" w:right="72" w:hanging="283"/>
      </w:pPr>
      <w:r>
        <w:t>Toda ocupación relacionada con los elementos o actividades prev</w:t>
      </w:r>
      <w:r>
        <w:t xml:space="preserve">istas en este Capítulo deberá cumplir las condiciones generales, particulares y específicas, que le sean de aplicación, establecidas en la presente Ordenanza. </w:t>
      </w:r>
    </w:p>
    <w:p w:rsidR="00B064CF" w:rsidRDefault="00E32F70">
      <w:pPr>
        <w:numPr>
          <w:ilvl w:val="0"/>
          <w:numId w:val="210"/>
        </w:numPr>
        <w:ind w:left="628" w:right="72" w:hanging="283"/>
      </w:pPr>
      <w:r>
        <w:t>Por razones de coherencia con el entorno e imagen urbana de los quioscos cuya instalación se aut</w:t>
      </w:r>
      <w:r>
        <w:t>orice en el término municipal, los quioscos deberán estar homologados por el Ayuntamiento que decidirá sobre la idoneidad de los modelos propuestos en función de su emplazamiento, a fin de procurar la mayor armonización posible con el entorno, por lo que p</w:t>
      </w:r>
      <w:r>
        <w:t xml:space="preserve">odrá imponer, de forma motivada, la estética, materiales, dimensiones, características y prototipos de los quioscos. </w:t>
      </w:r>
    </w:p>
    <w:p w:rsidR="00B064CF" w:rsidRDefault="00E32F70">
      <w:pPr>
        <w:numPr>
          <w:ilvl w:val="0"/>
          <w:numId w:val="210"/>
        </w:numPr>
        <w:ind w:left="628" w:right="72" w:hanging="283"/>
      </w:pPr>
      <w:r>
        <w:t>La ocupación del dominio público con quiosco se sujeta a concesión administrativa cuyo régimen jurídico será el establecido en cada moment</w:t>
      </w:r>
      <w:r>
        <w:t xml:space="preserve">o por la normativa patrimonial aplicable al municipio. </w:t>
      </w:r>
    </w:p>
    <w:p w:rsidR="00B064CF" w:rsidRDefault="00E32F70">
      <w:pPr>
        <w:numPr>
          <w:ilvl w:val="0"/>
          <w:numId w:val="210"/>
        </w:numPr>
        <w:ind w:left="628" w:right="72" w:hanging="283"/>
      </w:pPr>
      <w:r>
        <w:t>El procedimiento para el otorgamiento de autorización de instalación de un Quiosco podrá iniciarse de oficio o a solicitud de persona interesada. Las autorizaciones de ocupación del dominio público me</w:t>
      </w:r>
      <w:r>
        <w:t xml:space="preserve">diante un quiosco se otorgarán, directamente a los peticionarios que reúnan las condiciones requeridas, salvo si, por cualquier circunstancia, se encontrase limitado su número, en cuyo caso lo serán en régimen de concurrencia. Si esta no fuera procedente, </w:t>
      </w:r>
      <w:r>
        <w:t>por no tener que valorarse condiciones especiales en los solicitantes, las autorizaciones se otorgarán mediante sorteo, si otra cosa no se hubiese establecido en las condiciones por las que se rigen. No serán transmisibles las autorizaciones para cuyo otor</w:t>
      </w:r>
      <w:r>
        <w:t xml:space="preserve">gamiento deban tenerse en cuenta circunstancias personales del autorizado o cuyo número se encuentre limitado, salvo que las condiciones por las que se rigen admitan su transmisión. </w:t>
      </w:r>
    </w:p>
    <w:p w:rsidR="00B064CF" w:rsidRDefault="00E32F70">
      <w:pPr>
        <w:spacing w:after="0"/>
        <w:ind w:left="654" w:right="72"/>
      </w:pPr>
      <w:r>
        <w:rPr>
          <w:rFonts w:ascii="Calibri" w:eastAsia="Calibri" w:hAnsi="Calibri" w:cs="Calibri"/>
          <w:noProof/>
        </w:rPr>
        <mc:AlternateContent>
          <mc:Choice Requires="wpg">
            <w:drawing>
              <wp:anchor distT="0" distB="0" distL="114300" distR="114300" simplePos="0" relativeHeight="25192652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19950" name="Group 419950"/>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1194" name="Rectangle 41194"/>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64SKSNYNJRFPNN5DLPPAAC3GS | Verificación: https://can</w:t>
                              </w:r>
                              <w:r>
                                <w:rPr>
                                  <w:sz w:val="12"/>
                                </w:rPr>
                                <w:t xml:space="preserve">delaria.sedelectronica.es/ </w:t>
                              </w:r>
                            </w:p>
                          </w:txbxContent>
                        </wps:txbx>
                        <wps:bodyPr horzOverflow="overflow" vert="horz" lIns="0" tIns="0" rIns="0" bIns="0" rtlCol="0">
                          <a:noAutofit/>
                        </wps:bodyPr>
                      </wps:wsp>
                      <wps:wsp>
                        <wps:cNvPr id="41195" name="Rectangle 41195"/>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258 de 298 </w:t>
                              </w:r>
                            </w:p>
                          </w:txbxContent>
                        </wps:txbx>
                        <wps:bodyPr horzOverflow="overflow" vert="horz" lIns="0" tIns="0" rIns="0" bIns="0" rtlCol="0">
                          <a:noAutofit/>
                        </wps:bodyPr>
                      </wps:wsp>
                    </wpg:wgp>
                  </a:graphicData>
                </a:graphic>
              </wp:anchor>
            </w:drawing>
          </mc:Choice>
          <mc:Fallback xmlns:a="http://schemas.openxmlformats.org/drawingml/2006/main">
            <w:pict>
              <v:group id="Group 419950" style="width:12.7031pt;height:278.91pt;position:absolute;mso-position-horizontal-relative:page;mso-position-horizontal:absolute;margin-left:682.278pt;mso-position-vertical-relative:page;margin-top:533.01pt;" coordsize="1613,35421">
                <v:rect id="Rectangle 41194"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1195"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258 de 298 </w:t>
                        </w:r>
                      </w:p>
                    </w:txbxContent>
                  </v:textbox>
                </v:rect>
                <w10:wrap type="square"/>
              </v:group>
            </w:pict>
          </mc:Fallback>
        </mc:AlternateContent>
      </w:r>
      <w:r>
        <w:t>En los procedimientos iniciados de oficio a petición de particulares, el Ayuntamiento podrá, por medio de anuncio público, invitar a otros posibles interesados a presentar solicitudes. Si no media este acto de invitación, se dará publicidad a las solicitud</w:t>
      </w:r>
      <w:r>
        <w:t>es que se presenten, a través de su publicación en el BOP de Tenerife, así como en otros medios adicionales de difusión habituales y se abrirá un plazo de 30 días durante el cual podrán presentarse solicitudes alternativas por otros interesados. Para decid</w:t>
      </w:r>
      <w:r>
        <w:t xml:space="preserve">ir sobre el otorgamiento de la concesión para la instalación de un quiosco, se atenderá al mayor interés y utilidad pública. </w:t>
      </w:r>
    </w:p>
    <w:p w:rsidR="00B064CF" w:rsidRDefault="00E32F70">
      <w:pPr>
        <w:numPr>
          <w:ilvl w:val="0"/>
          <w:numId w:val="210"/>
        </w:numPr>
        <w:ind w:left="628" w:right="72" w:hanging="283"/>
      </w:pPr>
      <w:r>
        <w:t>Las autorizaciones habrán de otorgarse por tiempo determinado. Su plazo máximo de duración, será de 75 años, salvo que por la norm</w:t>
      </w:r>
      <w:r>
        <w:t xml:space="preserve">ativa especial se señale otro menor. </w:t>
      </w:r>
    </w:p>
    <w:p w:rsidR="00B064CF" w:rsidRDefault="00E32F70">
      <w:pPr>
        <w:numPr>
          <w:ilvl w:val="0"/>
          <w:numId w:val="210"/>
        </w:numPr>
        <w:ind w:left="628" w:right="72" w:hanging="283"/>
      </w:pPr>
      <w:r>
        <w:t xml:space="preserve">Las autorizaciones podrán ser revocadas en cualquier momento unilateralmente por la Administración concedente, por razones de interés público, sin generar derecho a indemnización, cuando resulten incompatibles con las </w:t>
      </w:r>
      <w:r>
        <w:t xml:space="preserve">condiciones generales probadas con posterioridad, produzcan daños en el dominio público, impidan su utilización para actividades de mayor interés público o menoscaben el uso general. </w:t>
      </w:r>
    </w:p>
    <w:p w:rsidR="00B064CF" w:rsidRDefault="00E32F70">
      <w:pPr>
        <w:spacing w:after="11"/>
        <w:ind w:left="355" w:right="72"/>
      </w:pPr>
      <w:r>
        <w:t xml:space="preserve">Artículo 39. Condiciones específicas y obligaciones </w:t>
      </w:r>
    </w:p>
    <w:p w:rsidR="00B064CF" w:rsidRDefault="00E32F70">
      <w:pPr>
        <w:numPr>
          <w:ilvl w:val="0"/>
          <w:numId w:val="211"/>
        </w:numPr>
        <w:ind w:right="72" w:hanging="708"/>
      </w:pPr>
      <w:r>
        <w:t>La persona o entida</w:t>
      </w:r>
      <w:r>
        <w:t xml:space="preserve">d titular de la concesión para ocupar el dominio público deberá colocar en el quiosco, en un lugar visible, el título habilitante de la ocupación. </w:t>
      </w:r>
    </w:p>
    <w:p w:rsidR="00B064CF" w:rsidRDefault="00E32F70">
      <w:pPr>
        <w:numPr>
          <w:ilvl w:val="0"/>
          <w:numId w:val="211"/>
        </w:numPr>
        <w:ind w:right="72" w:hanging="708"/>
      </w:pPr>
      <w:r>
        <w:t>En ningún caso podrá utilizarse el dominio público como lugar de depósito de productos o mercancías. También</w:t>
      </w:r>
      <w:r>
        <w:t xml:space="preserve"> será considerado como depósito indebido, entre otros, el apilamiento de mobiliario, se produzca éste durante el horario de autorizado o fuera de él. </w:t>
      </w:r>
    </w:p>
    <w:p w:rsidR="00B064CF" w:rsidRDefault="00E32F70">
      <w:pPr>
        <w:numPr>
          <w:ilvl w:val="0"/>
          <w:numId w:val="211"/>
        </w:numPr>
        <w:ind w:right="72" w:hanging="708"/>
      </w:pPr>
      <w:r>
        <w:t>No podrán instalarse en el dominio público, ni en el interior de los quioscos ni fuera de ellos, aparatos</w:t>
      </w:r>
      <w:r>
        <w:t xml:space="preserve"> reproductores de imagen o sonido. </w:t>
      </w:r>
    </w:p>
    <w:p w:rsidR="00B064CF" w:rsidRDefault="00E32F70">
      <w:pPr>
        <w:numPr>
          <w:ilvl w:val="0"/>
          <w:numId w:val="211"/>
        </w:numPr>
        <w:ind w:right="72" w:hanging="708"/>
      </w:pPr>
      <w:r>
        <w:t>Los quioscos sólo podrán ser explotados directamente por las personas físicas o jurídicas que hayan resultado adjudicatarias de las concesiones, sin perjuicio de que puedan contratar trabajadores para colaborar en la exp</w:t>
      </w:r>
      <w:r>
        <w:t xml:space="preserve">lotación. En tal caso, el personal contratado dependerá exclusivamente de la persona o entidad concesionaria, quien ostentará, a todos los efectos, la condición de empresario. </w:t>
      </w:r>
    </w:p>
    <w:p w:rsidR="00B064CF" w:rsidRDefault="00E32F70">
      <w:pPr>
        <w:numPr>
          <w:ilvl w:val="0"/>
          <w:numId w:val="211"/>
        </w:numPr>
        <w:ind w:right="72" w:hanging="708"/>
      </w:pPr>
      <w:r>
        <w:t>La persona o entidad titular de la concesión estará obligada, respecto a los tr</w:t>
      </w:r>
      <w:r>
        <w:t xml:space="preserve">abajadores colaboradores en la explotación, al cumplimiento de las disposiciones vigentes en materia fiscal, laboral y de seguridad social. </w:t>
      </w:r>
    </w:p>
    <w:p w:rsidR="00B064CF" w:rsidRDefault="00E32F70">
      <w:pPr>
        <w:numPr>
          <w:ilvl w:val="0"/>
          <w:numId w:val="211"/>
        </w:numPr>
        <w:ind w:right="72" w:hanging="708"/>
      </w:pPr>
      <w:r>
        <w:t>La persona o entidad titular de la concesión deberá, en su caso, mantener informado al Ayuntamiento de los trabajadores que colaboren con él en la explotación del quiosco, y si se produjera la baja o modificación de la relación laboral existente entre la p</w:t>
      </w:r>
      <w:r>
        <w:t xml:space="preserve">ersona concesionaria y sus trabajadores, deberá ser comunicada al Ayuntamiento en el plazo máximo de quince días desde que se originó dicha variación. </w:t>
      </w:r>
    </w:p>
    <w:p w:rsidR="00B064CF" w:rsidRDefault="00E32F70">
      <w:pPr>
        <w:numPr>
          <w:ilvl w:val="0"/>
          <w:numId w:val="211"/>
        </w:numPr>
        <w:ind w:right="72" w:hanging="708"/>
      </w:pPr>
      <w:r>
        <w:t>El otorgamiento de la concesión no exime a su titular de la obligación de obtener los títulos habilitant</w:t>
      </w:r>
      <w:r>
        <w:t xml:space="preserve">es o para el ejercicio de la actividad comercial o de hostelería de que se trate y, en su caso, para la ejecución de las obras necesarias, todo ello de acuerdo con lo dispuesto en la legislación sectorial que resulte aplicable. </w:t>
      </w:r>
    </w:p>
    <w:p w:rsidR="00B064CF" w:rsidRDefault="00E32F70">
      <w:pPr>
        <w:numPr>
          <w:ilvl w:val="0"/>
          <w:numId w:val="211"/>
        </w:numPr>
        <w:ind w:right="72" w:hanging="708"/>
      </w:pPr>
      <w:r>
        <w:t>No podrá ejercerse activida</w:t>
      </w:r>
      <w:r>
        <w:t xml:space="preserve">d distinta a la específicamente autorizada.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rPr>
          <w:rFonts w:ascii="Calibri" w:eastAsia="Calibri" w:hAnsi="Calibri" w:cs="Calibri"/>
          <w:noProof/>
        </w:rPr>
        <mc:AlternateContent>
          <mc:Choice Requires="wpg">
            <w:drawing>
              <wp:anchor distT="0" distB="0" distL="114300" distR="114300" simplePos="0" relativeHeight="25192755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20027" name="Group 420027"/>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1315" name="Rectangle 41315"/>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41316" name="Rectangle 41316"/>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259 de 298 </w:t>
                              </w:r>
                            </w:p>
                          </w:txbxContent>
                        </wps:txbx>
                        <wps:bodyPr horzOverflow="overflow" vert="horz" lIns="0" tIns="0" rIns="0" bIns="0" rtlCol="0">
                          <a:noAutofit/>
                        </wps:bodyPr>
                      </wps:wsp>
                    </wpg:wgp>
                  </a:graphicData>
                </a:graphic>
              </wp:anchor>
            </w:drawing>
          </mc:Choice>
          <mc:Fallback xmlns:a="http://schemas.openxmlformats.org/drawingml/2006/main">
            <w:pict>
              <v:group id="Group 420027" style="width:12.7031pt;height:278.91pt;position:absolute;mso-position-horizontal-relative:page;mso-position-horizontal:absolute;margin-left:682.278pt;mso-position-vertical-relative:page;margin-top:533.01pt;" coordsize="1613,35421">
                <v:rect id="Rectangle 41315"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1316"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259 de 298 </w:t>
                        </w:r>
                      </w:p>
                    </w:txbxContent>
                  </v:textbox>
                </v:rect>
                <w10:wrap type="square"/>
              </v:group>
            </w:pict>
          </mc:Fallback>
        </mc:AlternateContent>
      </w:r>
      <w:r>
        <w:t xml:space="preserve"> </w:t>
      </w:r>
    </w:p>
    <w:p w:rsidR="00B064CF" w:rsidRDefault="00E32F70">
      <w:pPr>
        <w:spacing w:after="11"/>
        <w:ind w:left="355" w:right="72"/>
      </w:pPr>
      <w:r>
        <w:t xml:space="preserve">Artículo </w:t>
      </w:r>
      <w:r>
        <w:t xml:space="preserve">40. Condiciones de los quioscos-bar </w:t>
      </w:r>
    </w:p>
    <w:p w:rsidR="00B064CF" w:rsidRDefault="00E32F70">
      <w:pPr>
        <w:numPr>
          <w:ilvl w:val="0"/>
          <w:numId w:val="212"/>
        </w:numPr>
        <w:ind w:left="628" w:right="72" w:hanging="283"/>
      </w:pPr>
      <w:r>
        <w:t xml:space="preserve">Además de las señaladas en el artículo anterior, la instalación y explotación de un quiosco- bar se ajustará a las siguientes condiciones y obligaciones: </w:t>
      </w:r>
    </w:p>
    <w:p w:rsidR="00B064CF" w:rsidRDefault="00E32F70">
      <w:pPr>
        <w:numPr>
          <w:ilvl w:val="1"/>
          <w:numId w:val="212"/>
        </w:numPr>
        <w:ind w:right="72" w:hanging="360"/>
      </w:pPr>
      <w:r>
        <w:t xml:space="preserve">Mantener la instalación en perfecto estado de decoro, de manera </w:t>
      </w:r>
      <w:r>
        <w:t xml:space="preserve">que la misma no desentone del entorno y contribuya a embellecer, si fuera posible, el lugar. </w:t>
      </w:r>
    </w:p>
    <w:p w:rsidR="00B064CF" w:rsidRDefault="00E32F70">
      <w:pPr>
        <w:numPr>
          <w:ilvl w:val="1"/>
          <w:numId w:val="212"/>
        </w:numPr>
        <w:ind w:right="72" w:hanging="360"/>
      </w:pPr>
      <w:r>
        <w:t>Garantizar en todo momento la circulación peatonal sin impedir tampoco la visibilidad necesaria para el tráfico, con la obligación de cambiar de ubicación a su co</w:t>
      </w:r>
      <w:r>
        <w:t xml:space="preserve">sta cuando les sea ordenado por el Ayuntamiento y a consecuencia de apertura de establecimientos frente a los que se localicen, u otra causa. </w:t>
      </w:r>
    </w:p>
    <w:p w:rsidR="00B064CF" w:rsidRDefault="00E32F70">
      <w:pPr>
        <w:numPr>
          <w:ilvl w:val="1"/>
          <w:numId w:val="212"/>
        </w:numPr>
        <w:ind w:right="72" w:hanging="360"/>
      </w:pPr>
      <w:r>
        <w:t xml:space="preserve">El Ayuntamiento se reserva la facultad de establecer normas necesarias para tratar de homogeneizar los quioscos, </w:t>
      </w:r>
      <w:r>
        <w:t xml:space="preserve">en cuanto a los materiales empleados, estructura, forma y dimensiones de los mismos.  </w:t>
      </w:r>
    </w:p>
    <w:p w:rsidR="00B064CF" w:rsidRDefault="00E32F70">
      <w:pPr>
        <w:numPr>
          <w:ilvl w:val="1"/>
          <w:numId w:val="212"/>
        </w:numPr>
        <w:ind w:right="72" w:hanging="360"/>
      </w:pPr>
      <w:r>
        <w:t>El quiosco-bar deberá contar con conexión a las redes de agua potable, electricidad y saneamiento, salvo que tales servicios queden garantizados mediante soluciones alte</w:t>
      </w:r>
      <w:r>
        <w:t xml:space="preserve">rnativas. Todas las conducciones y acometidas al quiosco-bar serán necesariamente subterráneas. </w:t>
      </w:r>
    </w:p>
    <w:p w:rsidR="00B064CF" w:rsidRDefault="00E32F70">
      <w:pPr>
        <w:numPr>
          <w:ilvl w:val="1"/>
          <w:numId w:val="212"/>
        </w:numPr>
        <w:ind w:right="72" w:hanging="360"/>
      </w:pPr>
      <w:r>
        <w:t>La actividad que se desarrolle y los productos que se comercialicen deberán ajustarse a lo establecido en su normativa específica, con estricto cumplimiento, e</w:t>
      </w:r>
      <w:r>
        <w:t>n todo caso, de la normativa aplicable en materia de protección de consumidores y usuarios, de condiciones higiénico-sanitarias de los productos alimenticios, de elaboración, distribución y comercio de comidas preparadas, y de los criterios sanitarios de l</w:t>
      </w:r>
      <w:r>
        <w:t xml:space="preserve">a calidad del agua de consumo humano. </w:t>
      </w:r>
    </w:p>
    <w:p w:rsidR="00B064CF" w:rsidRDefault="00E32F70">
      <w:pPr>
        <w:numPr>
          <w:ilvl w:val="1"/>
          <w:numId w:val="212"/>
        </w:numPr>
        <w:ind w:right="72" w:hanging="360"/>
      </w:pPr>
      <w:r>
        <w:t xml:space="preserve">Todo el personal que colabore en la explotación deberá haber realizado cursos de formación higiénico-alimentaria, debiendo quedar tal circunstancia documentalmente acreditada. </w:t>
      </w:r>
    </w:p>
    <w:p w:rsidR="00B064CF" w:rsidRDefault="00E32F70">
      <w:pPr>
        <w:numPr>
          <w:ilvl w:val="1"/>
          <w:numId w:val="212"/>
        </w:numPr>
        <w:ind w:right="72" w:hanging="360"/>
      </w:pPr>
      <w:r>
        <w:t xml:space="preserve">La persona o entidad concesionaria deberá poder acreditar documentalmente, en todo momento y mediante facturas o albaranes de empresa autorizada, la procedencia de los alimentos y bebidas. </w:t>
      </w:r>
    </w:p>
    <w:p w:rsidR="00B064CF" w:rsidRDefault="00E32F70">
      <w:pPr>
        <w:numPr>
          <w:ilvl w:val="1"/>
          <w:numId w:val="212"/>
        </w:numPr>
        <w:ind w:right="72" w:hanging="360"/>
      </w:pPr>
      <w:r>
        <w:t>El horario de funcionamiento de los quioscos-bar será igual al est</w:t>
      </w:r>
      <w:r>
        <w:t xml:space="preserve">ablecido para las ocupaciones del dominio público vinculadas a actividades de hostelería. </w:t>
      </w:r>
    </w:p>
    <w:p w:rsidR="00B064CF" w:rsidRDefault="00E32F70">
      <w:pPr>
        <w:numPr>
          <w:ilvl w:val="0"/>
          <w:numId w:val="212"/>
        </w:numPr>
        <w:ind w:left="628" w:right="72" w:hanging="283"/>
      </w:pPr>
      <w:r>
        <w:t xml:space="preserve">Fuera del quiosco-bar podrán instalarse los elementos accesorios necesarios para la prestación del servicio, que en todo caso cumplirán las siguientes condiciones: </w:t>
      </w:r>
    </w:p>
    <w:p w:rsidR="00B064CF" w:rsidRDefault="00E32F70">
      <w:pPr>
        <w:numPr>
          <w:ilvl w:val="1"/>
          <w:numId w:val="213"/>
        </w:numPr>
        <w:ind w:right="72" w:hanging="360"/>
      </w:pPr>
      <w:r>
        <w:t xml:space="preserve">Sólo podrán instalarse los expresamente autorizados en el acuerdo de la concesión. </w:t>
      </w:r>
    </w:p>
    <w:p w:rsidR="00B064CF" w:rsidRDefault="00E32F70">
      <w:pPr>
        <w:numPr>
          <w:ilvl w:val="1"/>
          <w:numId w:val="213"/>
        </w:numPr>
        <w:ind w:right="72" w:hanging="360"/>
      </w:pPr>
      <w:r>
        <w:t xml:space="preserve">No podrán ser diferentes a los señalados en el número 1 del artículo 18 y cumplirán las condiciones establecidas en el artículo 22.  </w:t>
      </w:r>
    </w:p>
    <w:p w:rsidR="00B064CF" w:rsidRDefault="00E32F70">
      <w:pPr>
        <w:numPr>
          <w:ilvl w:val="1"/>
          <w:numId w:val="213"/>
        </w:numPr>
        <w:ind w:right="72" w:hanging="360"/>
      </w:pPr>
      <w:r>
        <w:t xml:space="preserve">No podrán superar, en subsuelo, suelo </w:t>
      </w:r>
      <w:r>
        <w:t xml:space="preserve">ni vuelo, los límites del espacio autorizado en la concesión, que deberá señalizarse de conformidad con lo dispuesto en el artículo 21. </w:t>
      </w:r>
    </w:p>
    <w:p w:rsidR="00B064CF" w:rsidRDefault="00E32F70">
      <w:pPr>
        <w:numPr>
          <w:ilvl w:val="1"/>
          <w:numId w:val="213"/>
        </w:numPr>
        <w:ind w:right="72" w:hanging="360"/>
      </w:pPr>
      <w:r>
        <w:t>Al finalizar el horario autorizado deberán ser retirados del dominio público todos los elementos de mobiliario no ancla</w:t>
      </w:r>
      <w:r>
        <w:t xml:space="preserve">dos al suelo (sillas, mesas, sombrillas y mamparas,) y deberán plegarse o enrollarse los toldos, si los hubiere. </w:t>
      </w:r>
    </w:p>
    <w:p w:rsidR="00B064CF" w:rsidRDefault="00E32F70">
      <w:pPr>
        <w:numPr>
          <w:ilvl w:val="1"/>
          <w:numId w:val="213"/>
        </w:numPr>
        <w:ind w:right="72" w:hanging="360"/>
      </w:pPr>
      <w:r>
        <w:rPr>
          <w:rFonts w:ascii="Calibri" w:eastAsia="Calibri" w:hAnsi="Calibri" w:cs="Calibri"/>
          <w:noProof/>
        </w:rPr>
        <mc:AlternateContent>
          <mc:Choice Requires="wpg">
            <w:drawing>
              <wp:anchor distT="0" distB="0" distL="114300" distR="114300" simplePos="0" relativeHeight="25192857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20189" name="Group 420189"/>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1436" name="Rectangle 41436"/>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41437" name="Rectangle 41437"/>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Documento firmado electrónicamente desd</w:t>
                              </w:r>
                              <w:r>
                                <w:rPr>
                                  <w:sz w:val="12"/>
                                </w:rPr>
                                <w:t xml:space="preserve">e la plataforma esPublico Gestiona | Página 260 de 298 </w:t>
                              </w:r>
                            </w:p>
                          </w:txbxContent>
                        </wps:txbx>
                        <wps:bodyPr horzOverflow="overflow" vert="horz" lIns="0" tIns="0" rIns="0" bIns="0" rtlCol="0">
                          <a:noAutofit/>
                        </wps:bodyPr>
                      </wps:wsp>
                    </wpg:wgp>
                  </a:graphicData>
                </a:graphic>
              </wp:anchor>
            </w:drawing>
          </mc:Choice>
          <mc:Fallback xmlns:a="http://schemas.openxmlformats.org/drawingml/2006/main">
            <w:pict>
              <v:group id="Group 420189" style="width:12.7031pt;height:278.91pt;position:absolute;mso-position-horizontal-relative:page;mso-position-horizontal:absolute;margin-left:682.278pt;mso-position-vertical-relative:page;margin-top:533.01pt;" coordsize="1613,35421">
                <v:rect id="Rectangle 41436"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1437"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260 de 298 </w:t>
                        </w:r>
                      </w:p>
                    </w:txbxContent>
                  </v:textbox>
                </v:rect>
                <w10:wrap type="square"/>
              </v:group>
            </w:pict>
          </mc:Fallback>
        </mc:AlternateContent>
      </w:r>
      <w:r>
        <w:t>El espacio exterior ocupado deberá dotarse de medidas correctoras similares a las que, en su caso, fueran exigidas para el desarrollo de la actividad en terrazas de uso privado. Dichas medidas serán l</w:t>
      </w:r>
      <w:r>
        <w:t xml:space="preserve">as que determinen los servicios técnicos municipales y quedarán incorporadas a la autorización habilitante como condiciones de la misma. </w:t>
      </w:r>
    </w:p>
    <w:p w:rsidR="00B064CF" w:rsidRDefault="00E32F70">
      <w:pPr>
        <w:spacing w:after="11"/>
        <w:ind w:left="355" w:right="72"/>
      </w:pPr>
      <w:r>
        <w:t xml:space="preserve">Artículo 41. Traslado del quiosco </w:t>
      </w:r>
    </w:p>
    <w:p w:rsidR="00B064CF" w:rsidRDefault="00E32F70">
      <w:pPr>
        <w:numPr>
          <w:ilvl w:val="0"/>
          <w:numId w:val="212"/>
        </w:numPr>
        <w:ind w:left="628" w:right="72" w:hanging="283"/>
      </w:pPr>
      <w:r>
        <w:t>Cuando lo aconsejen circunstancias de urbanización o tráfico, o cuando el interés g</w:t>
      </w:r>
      <w:r>
        <w:t xml:space="preserve">eneral lo sugiera, el Ayuntamiento podrá ordenar motivadamente el traslado del quiosco a un nuevo emplazamiento, sin que ello genere derecho a indemnización al concesionario. </w:t>
      </w:r>
    </w:p>
    <w:p w:rsidR="00B064CF" w:rsidRDefault="00E32F70">
      <w:pPr>
        <w:numPr>
          <w:ilvl w:val="0"/>
          <w:numId w:val="212"/>
        </w:numPr>
        <w:ind w:left="628" w:right="72" w:hanging="283"/>
      </w:pPr>
      <w:r>
        <w:t>En tales supuestos, el Ayuntamiento requerirá a la persona o entidad concesionar</w:t>
      </w:r>
      <w:r>
        <w:t xml:space="preserve">ia para que proceda, en el plazo que se señale, a la retirada del quiosco, así como a ejecutar los trabajos necesarios para reponer la urbanización pública a su estado original y a dar de baja los servicios que pudieran existir. </w:t>
      </w:r>
    </w:p>
    <w:p w:rsidR="00B064CF" w:rsidRDefault="00E32F70">
      <w:pPr>
        <w:numPr>
          <w:ilvl w:val="0"/>
          <w:numId w:val="212"/>
        </w:numPr>
        <w:ind w:left="628" w:right="72" w:hanging="283"/>
      </w:pPr>
      <w:r>
        <w:t>Si el traslado no se efect</w:t>
      </w:r>
      <w:r>
        <w:t xml:space="preserve">uase voluntariamente por la persona concesionaria en el plazo concedido al efecto, el Ayuntamiento podrá hacerlo de forma subsidiaria, corriendo en tal caso los gastos ocasionados por cuenta de la persona titular de la concesión. </w:t>
      </w:r>
    </w:p>
    <w:p w:rsidR="00B064CF" w:rsidRDefault="00E32F70">
      <w:pPr>
        <w:tabs>
          <w:tab w:val="center" w:pos="917"/>
          <w:tab w:val="center" w:pos="3801"/>
        </w:tabs>
        <w:spacing w:after="11"/>
        <w:ind w:left="0" w:firstLine="0"/>
        <w:jc w:val="left"/>
      </w:pPr>
      <w:r>
        <w:rPr>
          <w:rFonts w:ascii="Calibri" w:eastAsia="Calibri" w:hAnsi="Calibri" w:cs="Calibri"/>
        </w:rPr>
        <w:tab/>
      </w:r>
      <w:r>
        <w:t xml:space="preserve">Artículo 42. </w:t>
      </w:r>
      <w:r>
        <w:tab/>
      </w:r>
      <w:r>
        <w:t xml:space="preserve">Suspensión o revocación de la concesión </w:t>
      </w:r>
    </w:p>
    <w:p w:rsidR="00B064CF" w:rsidRDefault="00E32F70">
      <w:pPr>
        <w:numPr>
          <w:ilvl w:val="0"/>
          <w:numId w:val="214"/>
        </w:numPr>
        <w:ind w:left="628" w:right="72" w:hanging="283"/>
      </w:pPr>
      <w:r>
        <w:t>Cuando concurran circunstancias de interés general que impidan temporalmente la efectiva utilización del suelo para el destino autorizado, tales como obras, acontecimientos públicos, situaciones de emergencia o cual</w:t>
      </w:r>
      <w:r>
        <w:t>esquiera otras, y siempre que las mismas no tengan su origen en causas imputables a la persona o entidad concesionaria, el Ayuntamiento podrá decretar la suspensión del plazo concesional hasta que éstas desaparezcan. Dicha suspensión no genera derecho a in</w:t>
      </w:r>
      <w:r>
        <w:t xml:space="preserve">demnización alguna a favor de la persona o entidad concesionaria, sin perjuicio de que se amplíe el plazo concesional por el tiempo que dure la suspensión. </w:t>
      </w:r>
    </w:p>
    <w:p w:rsidR="00B064CF" w:rsidRDefault="00E32F70">
      <w:pPr>
        <w:numPr>
          <w:ilvl w:val="0"/>
          <w:numId w:val="214"/>
        </w:numPr>
        <w:ind w:left="628" w:right="72" w:hanging="283"/>
      </w:pPr>
      <w:r>
        <w:t>En los supuestos previstos en el apartado anterior, el Ayuntamiento levantará acta, que firmará jun</w:t>
      </w:r>
      <w:r>
        <w:t xml:space="preserve">to a la persona o entidad concesionaria, en el plazo máximo de dos días desde el siguiente a aquel en el que se hubiera acordado la suspensión, y en la que se consignarán las circunstancias que la han motivado. </w:t>
      </w:r>
    </w:p>
    <w:p w:rsidR="00B064CF" w:rsidRDefault="00E32F70">
      <w:pPr>
        <w:numPr>
          <w:ilvl w:val="0"/>
          <w:numId w:val="214"/>
        </w:numPr>
        <w:ind w:left="628" w:right="72" w:hanging="283"/>
      </w:pPr>
      <w:r>
        <w:t xml:space="preserve">Además de las causas de extinción previstas </w:t>
      </w:r>
      <w:r>
        <w:t>con carácter general en la legislación patrimonial y de las particulares que consten en las condiciones que rijan la concesión, será causa de revocación de la misma por el Ayuntamiento, sin derecho a indemnización, que el quiosco no se hubiese puesto en fu</w:t>
      </w:r>
      <w:r>
        <w:t>ncionamiento pasados tres meses desde la notificación de la adjudicación definitiva de la concesión o que permanezca cerrado, una vez instalado, durante un periodo continuado de 3 meses, o de 4 con interrupción en el transcurso de 12 meses consecutivos, sa</w:t>
      </w:r>
      <w:r>
        <w:t xml:space="preserve">lvo que concurra causa justificada que deberá ser debidamente acreditada y validada por el Ayuntamiento.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CAPÍTULO 4 OCUPACIONES PARA EL DESARROLLO DE ESPECTÁCULOS Y FESTIVIDADES </w:t>
      </w:r>
    </w:p>
    <w:p w:rsidR="00B064CF" w:rsidRDefault="00E32F70">
      <w:pPr>
        <w:spacing w:after="11"/>
        <w:ind w:left="355" w:right="72"/>
      </w:pPr>
      <w:r>
        <w:t xml:space="preserve">TRADICIONALES </w:t>
      </w:r>
    </w:p>
    <w:p w:rsidR="00B064CF" w:rsidRDefault="00E32F70">
      <w:pPr>
        <w:spacing w:after="11"/>
        <w:ind w:left="355" w:right="72"/>
      </w:pPr>
      <w:r>
        <w:t xml:space="preserve">Artículo 43. Ocupaciones permitidas y título habilitante </w:t>
      </w:r>
    </w:p>
    <w:p w:rsidR="00B064CF" w:rsidRDefault="00E32F70">
      <w:pPr>
        <w:numPr>
          <w:ilvl w:val="0"/>
          <w:numId w:val="215"/>
        </w:numPr>
        <w:ind w:left="628" w:right="72" w:hanging="283"/>
      </w:pPr>
      <w:r>
        <w:rPr>
          <w:rFonts w:ascii="Calibri" w:eastAsia="Calibri" w:hAnsi="Calibri" w:cs="Calibri"/>
          <w:noProof/>
        </w:rPr>
        <mc:AlternateContent>
          <mc:Choice Requires="wpg">
            <w:drawing>
              <wp:anchor distT="0" distB="0" distL="114300" distR="114300" simplePos="0" relativeHeight="25192960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20820" name="Group 420820"/>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1539" name="Rectangle 41539"/>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41540" name="Rectangle 41540"/>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261 de 298 </w:t>
                              </w:r>
                            </w:p>
                          </w:txbxContent>
                        </wps:txbx>
                        <wps:bodyPr horzOverflow="overflow" vert="horz" lIns="0" tIns="0" rIns="0" bIns="0" rtlCol="0">
                          <a:noAutofit/>
                        </wps:bodyPr>
                      </wps:wsp>
                    </wpg:wgp>
                  </a:graphicData>
                </a:graphic>
              </wp:anchor>
            </w:drawing>
          </mc:Choice>
          <mc:Fallback xmlns:a="http://schemas.openxmlformats.org/drawingml/2006/main">
            <w:pict>
              <v:group id="Group 420820" style="width:12.7031pt;height:278.91pt;position:absolute;mso-position-horizontal-relative:page;mso-position-horizontal:absolute;margin-left:682.278pt;mso-position-vertical-relative:page;margin-top:533.01pt;" coordsize="1613,35421">
                <v:rect id="Rectangle 41539"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1540"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261 de 298 </w:t>
                        </w:r>
                      </w:p>
                    </w:txbxContent>
                  </v:textbox>
                </v:rect>
                <w10:wrap type="square"/>
              </v:group>
            </w:pict>
          </mc:Fallback>
        </mc:AlternateContent>
      </w:r>
      <w:r>
        <w:t xml:space="preserve">El dominio público podrá ser ocupado para el desarrollo de </w:t>
      </w:r>
      <w:r>
        <w:t>espectáculos y festividades tradicionales tales como conciertos, verbenas, cabalgatas, procesiones, pasacalles, desfiles, comidas populares, juegos infantiles u otras actividades similares que, de forma temporal, se celebren, una o varias de ellas, en el d</w:t>
      </w:r>
      <w:r>
        <w:t>ominio público municipal con motivo de festividades tradicionales del municipio de Candelaria y de sus barrios, o de otras fechas o acontecimientos de interés general, turístico, social o benéfico, independientemente del carácter civil o religioso de los m</w:t>
      </w:r>
      <w:r>
        <w:t xml:space="preserve">ismos. </w:t>
      </w:r>
    </w:p>
    <w:p w:rsidR="00B064CF" w:rsidRDefault="00E32F70">
      <w:pPr>
        <w:numPr>
          <w:ilvl w:val="0"/>
          <w:numId w:val="215"/>
        </w:numPr>
        <w:ind w:left="628" w:right="72" w:hanging="283"/>
      </w:pPr>
      <w:r>
        <w:t>Toda ocupación relacionada con los elementos o actividades previstas en este Capítulo deberá cumplir las condiciones generales establecidas en el artículo 8, así como las condiciones particulares y las específicas que se establecen en los artículos</w:t>
      </w:r>
      <w:r>
        <w:t xml:space="preserve"> siguientes de este Capítulo. La celebración de espectáculos públicos celebrados en el dominio público deberá cumplir, además, lo dispuesto en la normativa específica sobre los mismos. </w:t>
      </w:r>
    </w:p>
    <w:p w:rsidR="00B064CF" w:rsidRDefault="00E32F70">
      <w:pPr>
        <w:numPr>
          <w:ilvl w:val="0"/>
          <w:numId w:val="215"/>
        </w:numPr>
        <w:ind w:left="628" w:right="72" w:hanging="283"/>
      </w:pPr>
      <w:r>
        <w:t>La celebración en el dominio público de las actividades reguladas en e</w:t>
      </w:r>
      <w:r>
        <w:t>l presente Capítulo estará sujeta a autorización del Ayuntamiento, sin perjuicio de la obtención de aquellos títulos o informes que sean necesarios por razón de la actividad o su localización, independientemente de que su otorgamiento o emisión pudiera ser</w:t>
      </w:r>
      <w:r>
        <w:t xml:space="preserve"> competencia del propio Ayuntamiento o de otras Administraciones. </w:t>
      </w:r>
    </w:p>
    <w:p w:rsidR="00B064CF" w:rsidRDefault="00E32F70">
      <w:pPr>
        <w:numPr>
          <w:ilvl w:val="0"/>
          <w:numId w:val="215"/>
        </w:numPr>
        <w:ind w:left="628" w:right="72" w:hanging="283"/>
      </w:pPr>
      <w:r>
        <w:t xml:space="preserve">El Ayuntamiento podrá denegar la autorización de ocupación para la celebración en el dominio público de los actos previstos en el presente Capítulo cuando, por las previsiones de público asistente, por las características del dominio público o por razones </w:t>
      </w:r>
      <w:r>
        <w:t xml:space="preserve">de interés general, dichos actos puedan poner en peligro la seguridad o bienestar de terceros o puedan afectar de forma grave a la accesibilidad y a los servicios públicos en la zona. Igualmente, podrá denegarse </w:t>
      </w:r>
    </w:p>
    <w:p w:rsidR="00B064CF" w:rsidRDefault="00E32F70">
      <w:pPr>
        <w:ind w:left="654" w:right="72"/>
      </w:pPr>
      <w:r>
        <w:t>la autorización cuando la actividad solicit</w:t>
      </w:r>
      <w:r>
        <w:t>ada se estime incompatible con otros actos programados en los mismos espacios o fechas, y en especial con aquellos organizados o patrocinados por el Ayuntamiento de Candelaria o los organismos de él dependientes. Sin perjuicio de lo anterior, el Ayuntamien</w:t>
      </w:r>
      <w:r>
        <w:t xml:space="preserve">to podrá proponer a la entidad organizadora, si lo estima oportuno, espacios o fechas alternativos en los que pueda celebrarse el acto. </w:t>
      </w:r>
    </w:p>
    <w:p w:rsidR="00B064CF" w:rsidRDefault="00E32F70">
      <w:pPr>
        <w:spacing w:after="11"/>
        <w:ind w:left="355" w:right="72"/>
      </w:pPr>
      <w:r>
        <w:t xml:space="preserve">Artículo 44. Condiciones específicas y obligaciones </w:t>
      </w:r>
    </w:p>
    <w:p w:rsidR="00B064CF" w:rsidRDefault="00E32F70">
      <w:pPr>
        <w:numPr>
          <w:ilvl w:val="0"/>
          <w:numId w:val="216"/>
        </w:numPr>
        <w:ind w:left="628" w:right="72" w:hanging="283"/>
      </w:pPr>
      <w:r>
        <w:t>El periodo autorizado de ocupación deberá incluir, además del plaz</w:t>
      </w:r>
      <w:r>
        <w:t xml:space="preserve">o para el desarrollo del evento, el que adicionalmente se prevea, en su caso, para el total montaje y desmontaje de las instalaciones. </w:t>
      </w:r>
    </w:p>
    <w:p w:rsidR="00B064CF" w:rsidRDefault="00E32F70">
      <w:pPr>
        <w:numPr>
          <w:ilvl w:val="0"/>
          <w:numId w:val="216"/>
        </w:numPr>
        <w:ind w:left="628" w:right="72" w:hanging="283"/>
      </w:pPr>
      <w:r>
        <w:t>La persona o entidad autorizada será la responsable de que el equipo integrante de la organización y preparación del eve</w:t>
      </w:r>
      <w:r>
        <w:t xml:space="preserve">nto se encuentre debidamente acreditado. </w:t>
      </w:r>
    </w:p>
    <w:p w:rsidR="00B064CF" w:rsidRDefault="00E32F70">
      <w:pPr>
        <w:numPr>
          <w:ilvl w:val="0"/>
          <w:numId w:val="216"/>
        </w:numPr>
        <w:ind w:left="628" w:right="72" w:hanging="283"/>
      </w:pPr>
      <w:r>
        <w:t>El titular de la autorización designará a una persona como representante a efectos de mantener con el Ayuntamiento la debida comunicación y coordinación. Dicha persona, que habrá de estar permanentemente localizabl</w:t>
      </w:r>
      <w:r>
        <w:t xml:space="preserve">e y disponible durante el tiempo de ocupación autorizado, será la responsable de llevar a término las instrucciones que la Administración municipal pueda impartir a través de sus empleados o agentes. </w:t>
      </w:r>
    </w:p>
    <w:p w:rsidR="00B064CF" w:rsidRDefault="00E32F70">
      <w:pPr>
        <w:numPr>
          <w:ilvl w:val="0"/>
          <w:numId w:val="216"/>
        </w:numPr>
        <w:ind w:left="628" w:right="72" w:hanging="283"/>
      </w:pPr>
      <w:r>
        <w:t>La entidad o persona organizadora garantizará la presen</w:t>
      </w:r>
      <w:r>
        <w:t xml:space="preserve">cia durante la celebración del evento, de los dispositivos de asistencia médica y de protección civil necesarios para la atención de participantes y público, conforme establezca la legislación sectorial vigente en la materia. </w:t>
      </w:r>
    </w:p>
    <w:p w:rsidR="00B064CF" w:rsidRDefault="00E32F70">
      <w:pPr>
        <w:numPr>
          <w:ilvl w:val="0"/>
          <w:numId w:val="216"/>
        </w:numPr>
        <w:ind w:left="628" w:right="72" w:hanging="283"/>
      </w:pPr>
      <w:r>
        <w:rPr>
          <w:rFonts w:ascii="Calibri" w:eastAsia="Calibri" w:hAnsi="Calibri" w:cs="Calibri"/>
          <w:noProof/>
        </w:rPr>
        <mc:AlternateContent>
          <mc:Choice Requires="wpg">
            <w:drawing>
              <wp:anchor distT="0" distB="0" distL="114300" distR="114300" simplePos="0" relativeHeight="25193062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20522" name="Group 420522"/>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1646" name="Rectangle 41646"/>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w:t>
                              </w:r>
                              <w:r>
                                <w:rPr>
                                  <w:sz w:val="12"/>
                                </w:rPr>
                                <w:t xml:space="preserve">RFPNN5DLPPAAC3GS | Verificación: https://candelaria.sedelectronica.es/ </w:t>
                              </w:r>
                            </w:p>
                          </w:txbxContent>
                        </wps:txbx>
                        <wps:bodyPr horzOverflow="overflow" vert="horz" lIns="0" tIns="0" rIns="0" bIns="0" rtlCol="0">
                          <a:noAutofit/>
                        </wps:bodyPr>
                      </wps:wsp>
                      <wps:wsp>
                        <wps:cNvPr id="41647" name="Rectangle 41647"/>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262 de 298 </w:t>
                              </w:r>
                            </w:p>
                          </w:txbxContent>
                        </wps:txbx>
                        <wps:bodyPr horzOverflow="overflow" vert="horz" lIns="0" tIns="0" rIns="0" bIns="0" rtlCol="0">
                          <a:noAutofit/>
                        </wps:bodyPr>
                      </wps:wsp>
                    </wpg:wgp>
                  </a:graphicData>
                </a:graphic>
              </wp:anchor>
            </w:drawing>
          </mc:Choice>
          <mc:Fallback xmlns:a="http://schemas.openxmlformats.org/drawingml/2006/main">
            <w:pict>
              <v:group id="Group 420522" style="width:12.7031pt;height:278.91pt;position:absolute;mso-position-horizontal-relative:page;mso-position-horizontal:absolute;margin-left:682.278pt;mso-position-vertical-relative:page;margin-top:533.01pt;" coordsize="1613,35421">
                <v:rect id="Rectangle 41646"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1647"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262 de 298 </w:t>
                        </w:r>
                      </w:p>
                    </w:txbxContent>
                  </v:textbox>
                </v:rect>
                <w10:wrap type="square"/>
              </v:group>
            </w:pict>
          </mc:Fallback>
        </mc:AlternateContent>
      </w:r>
      <w:r>
        <w:t>La entidad o persona organizadora se responsabilizará de que, al finalizar el evento au</w:t>
      </w:r>
      <w:r>
        <w:t xml:space="preserve">torizado, el dominio público ocupado y su zona de influencia queden libres de cualquier tipo de instalaciones, anclajes, elementos o residuos derivados de su celebración y en condiciones óptimas para que se reanude su uso normal. </w:t>
      </w:r>
    </w:p>
    <w:p w:rsidR="00B064CF" w:rsidRDefault="00E32F70">
      <w:pPr>
        <w:spacing w:after="11"/>
        <w:ind w:left="355" w:right="72"/>
      </w:pPr>
      <w:r>
        <w:t>Artículo 45. Característi</w:t>
      </w:r>
      <w:r>
        <w:t xml:space="preserve">cas de los elementos y vehículos </w:t>
      </w:r>
    </w:p>
    <w:p w:rsidR="00B064CF" w:rsidRDefault="00E32F70">
      <w:pPr>
        <w:numPr>
          <w:ilvl w:val="0"/>
          <w:numId w:val="217"/>
        </w:numPr>
        <w:ind w:left="628" w:right="72" w:hanging="283"/>
      </w:pPr>
      <w:r>
        <w:t xml:space="preserve">Todos los elementos que se dispongan en el dominio público estarán diseñados e instalados de tal forma que su utilización no represente real o potencial peligro para viandantes o usuarios. </w:t>
      </w:r>
    </w:p>
    <w:p w:rsidR="00B064CF" w:rsidRDefault="00E32F70">
      <w:pPr>
        <w:numPr>
          <w:ilvl w:val="0"/>
          <w:numId w:val="217"/>
        </w:numPr>
        <w:ind w:left="628" w:right="72" w:hanging="283"/>
      </w:pPr>
      <w:r>
        <w:t>En caso de ser necesaria la util</w:t>
      </w:r>
      <w:r>
        <w:t xml:space="preserve">ización de instalaciones o elementos especiales, se estará a lo dispuesto en el artículo 11 de la presente Ordenanza. </w:t>
      </w:r>
    </w:p>
    <w:p w:rsidR="00B064CF" w:rsidRDefault="00E32F70">
      <w:pPr>
        <w:numPr>
          <w:ilvl w:val="0"/>
          <w:numId w:val="217"/>
        </w:numPr>
        <w:ind w:left="628" w:right="72" w:hanging="283"/>
      </w:pPr>
      <w:r>
        <w:t>Si en los actos participasen vehículos a motor, éstos deberán desplazarse a velocidad de paso humano y disponer del correspondiente permi</w:t>
      </w:r>
      <w:r>
        <w:t xml:space="preserve">so para poder circular por las vías públicas, estando debidamente homologados, así como encontrarse al corriente en el cumplimiento de las obligaciones que marque la legislación vigente en materia de Inspecciones Técnicas. </w:t>
      </w:r>
    </w:p>
    <w:p w:rsidR="00B064CF" w:rsidRDefault="00E32F70">
      <w:pPr>
        <w:numPr>
          <w:ilvl w:val="0"/>
          <w:numId w:val="217"/>
        </w:numPr>
        <w:spacing w:line="246" w:lineRule="auto"/>
        <w:ind w:left="628" w:right="72" w:hanging="283"/>
      </w:pPr>
      <w:r>
        <w:t xml:space="preserve">Cuando en el acto participen vehículos a motor a modo de carrozas o elementos similares, la entidad organizadora deberá asignar un número de personas suficiente, y como mínimo una a cada lado, que acompañe a la carroza durante todo el recorrido del evento </w:t>
      </w:r>
      <w:r>
        <w:t xml:space="preserve">para garantizar la seguridad de terceros. </w:t>
      </w:r>
    </w:p>
    <w:p w:rsidR="00B064CF" w:rsidRDefault="00E32F70">
      <w:pPr>
        <w:numPr>
          <w:ilvl w:val="0"/>
          <w:numId w:val="217"/>
        </w:numPr>
        <w:ind w:left="628" w:right="72" w:hanging="283"/>
      </w:pPr>
      <w:r>
        <w:t>Las ocupaciones del dominio público reguladas en el presente Capítulo en las que se prevea una permanencia prolongada de asistentes en el espacio o recinto habilitado para la celebración del evento autorizado, pre</w:t>
      </w:r>
      <w:r>
        <w:t>cisará la instalación de sanitarios portátiles homologados, que no precisarán montaje alguno y que deberán cumplir los requisitos contenidos en la Norma UNE EN 16194:2012, sobre cabinas sanitarias móviles no conectadas al alcantarillado y requisitos de los</w:t>
      </w:r>
      <w:r>
        <w:t xml:space="preserve"> servicios y productos relacionados con el suministro de cabinas y productos sanitarios, o normativa que la desarrolle o sustituya.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CAPÍTULO 5 OCUPACIONES PARA EL DESARROLLO DE EVENTOS DEPORTIVOS </w:t>
      </w:r>
    </w:p>
    <w:p w:rsidR="00B064CF" w:rsidRDefault="00E32F70">
      <w:pPr>
        <w:spacing w:after="11"/>
        <w:ind w:left="355" w:right="72"/>
      </w:pPr>
      <w:r>
        <w:t>Artículo 46. Ocupaciones permitidas y título habilitante</w:t>
      </w:r>
      <w:r>
        <w:t xml:space="preserve"> </w:t>
      </w:r>
    </w:p>
    <w:p w:rsidR="00B064CF" w:rsidRDefault="00E32F70">
      <w:pPr>
        <w:numPr>
          <w:ilvl w:val="0"/>
          <w:numId w:val="218"/>
        </w:numPr>
        <w:ind w:left="628" w:right="72" w:hanging="283"/>
      </w:pPr>
      <w:r>
        <w:t xml:space="preserve">El dominio público podrá ser ocupado para el desarrollo de carreras, marchas ciclistas y ciclo turistas, y otros eventos deportivos de análoga naturaleza que se desarrollen, total parcialmente, en el término municipal de Candelaria. </w:t>
      </w:r>
    </w:p>
    <w:p w:rsidR="00B064CF" w:rsidRDefault="00E32F70">
      <w:pPr>
        <w:numPr>
          <w:ilvl w:val="0"/>
          <w:numId w:val="218"/>
        </w:numPr>
        <w:ind w:left="628" w:right="72" w:hanging="283"/>
      </w:pPr>
      <w:r>
        <w:t>Toda ocupación relac</w:t>
      </w:r>
      <w:r>
        <w:t>ionada con los elementos o actividades previstas en este Capítulo deberá cumplir las condiciones generales establecidas en el artículo 8, así como las condiciones particulares y las específicas que se establecen en los artículos siguientes de este Capítulo</w:t>
      </w:r>
      <w:r>
        <w:t xml:space="preserve">. </w:t>
      </w:r>
    </w:p>
    <w:p w:rsidR="00B064CF" w:rsidRDefault="00E32F70">
      <w:pPr>
        <w:numPr>
          <w:ilvl w:val="0"/>
          <w:numId w:val="218"/>
        </w:numPr>
        <w:ind w:left="628" w:right="72" w:hanging="283"/>
      </w:pPr>
      <w:r>
        <w:t>La celebración en el dominio público de las actividades reguladas en el presente Capítulo estará sujeta a autorización del Ayuntamiento, sin perjuicio de la obtención de aquellos títulos o informes que sean necesarios por razón de la actividad o su loca</w:t>
      </w:r>
      <w:r>
        <w:t xml:space="preserve">lización, independientemente de que su otorgamiento o emisión pudiera ser competencia del propio Ayuntamiento o de otras Administraciones. </w:t>
      </w:r>
    </w:p>
    <w:p w:rsidR="00B064CF" w:rsidRDefault="00E32F70">
      <w:pPr>
        <w:numPr>
          <w:ilvl w:val="0"/>
          <w:numId w:val="218"/>
        </w:numPr>
        <w:ind w:left="628" w:right="72" w:hanging="283"/>
      </w:pPr>
      <w:r>
        <w:rPr>
          <w:rFonts w:ascii="Calibri" w:eastAsia="Calibri" w:hAnsi="Calibri" w:cs="Calibri"/>
          <w:noProof/>
        </w:rPr>
        <mc:AlternateContent>
          <mc:Choice Requires="wpg">
            <w:drawing>
              <wp:anchor distT="0" distB="0" distL="114300" distR="114300" simplePos="0" relativeHeight="25193164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20647" name="Group 420647"/>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1754" name="Rectangle 41754"/>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41755" name="Rectangle 41755"/>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Documento fir</w:t>
                              </w:r>
                              <w:r>
                                <w:rPr>
                                  <w:sz w:val="12"/>
                                </w:rPr>
                                <w:t xml:space="preserve">mado electrónicamente desde la plataforma esPublico Gestiona | Página 263 de 298 </w:t>
                              </w:r>
                            </w:p>
                          </w:txbxContent>
                        </wps:txbx>
                        <wps:bodyPr horzOverflow="overflow" vert="horz" lIns="0" tIns="0" rIns="0" bIns="0" rtlCol="0">
                          <a:noAutofit/>
                        </wps:bodyPr>
                      </wps:wsp>
                    </wpg:wgp>
                  </a:graphicData>
                </a:graphic>
              </wp:anchor>
            </w:drawing>
          </mc:Choice>
          <mc:Fallback xmlns:a="http://schemas.openxmlformats.org/drawingml/2006/main">
            <w:pict>
              <v:group id="Group 420647" style="width:12.7031pt;height:278.91pt;position:absolute;mso-position-horizontal-relative:page;mso-position-horizontal:absolute;margin-left:682.278pt;mso-position-vertical-relative:page;margin-top:533.01pt;" coordsize="1613,35421">
                <v:rect id="Rectangle 41754"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1755"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263 de 298 </w:t>
                        </w:r>
                      </w:p>
                    </w:txbxContent>
                  </v:textbox>
                </v:rect>
                <w10:wrap type="square"/>
              </v:group>
            </w:pict>
          </mc:Fallback>
        </mc:AlternateContent>
      </w:r>
      <w:r>
        <w:t>El Ayuntamiento podrá denegar la autorización de ocupación para la celebración en el dominio público de los eventos deportivos regulados en el presente Capítulo cuando, por las previsiones de público asistente, por las características del dominio público o</w:t>
      </w:r>
      <w:r>
        <w:t xml:space="preserve"> por razones de interés general, dichos eventos puedan poner en peligro la seguridad o bienestar de terceros o puedan afectar de forma grave a la accesibilidad y a los servicios públicos en la zona. Igualmente, podrá denegarse la autorización cuando la act</w:t>
      </w:r>
      <w:r>
        <w:t>ividad solicitada se estime incompatible con otros actos programados en los mismos espacios o fechas, y en especial con aquellos organizados o patrocinados por el Ayuntamiento de Candelaria o los organismos de él dependientes. Sin perjuicio de lo anterior,</w:t>
      </w:r>
      <w:r>
        <w:t xml:space="preserve"> el Ayuntamiento podrá proponer a la entidad organizadora, si lo estima oportuno, espacios o fechas alternativos en los que pueda celebrarse el evento. </w:t>
      </w:r>
    </w:p>
    <w:p w:rsidR="00B064CF" w:rsidRDefault="00E32F70">
      <w:pPr>
        <w:spacing w:after="11"/>
        <w:ind w:left="355" w:right="72"/>
      </w:pPr>
      <w:r>
        <w:t xml:space="preserve">Artículo 47. Condiciones específicas y obligaciones </w:t>
      </w:r>
    </w:p>
    <w:p w:rsidR="00B064CF" w:rsidRDefault="00E32F70">
      <w:pPr>
        <w:numPr>
          <w:ilvl w:val="0"/>
          <w:numId w:val="219"/>
        </w:numPr>
        <w:ind w:left="628" w:right="72" w:hanging="283"/>
      </w:pPr>
      <w:r>
        <w:t xml:space="preserve">El periodo autorizado de ocupación deberá incluir, además del plazo para el desarrollo del evento deportivo, el que adicionalmente se prevea, en su caso, para el total montaje y desmontaje de las instalaciones. </w:t>
      </w:r>
    </w:p>
    <w:p w:rsidR="00B064CF" w:rsidRDefault="00E32F70">
      <w:pPr>
        <w:numPr>
          <w:ilvl w:val="0"/>
          <w:numId w:val="219"/>
        </w:numPr>
        <w:ind w:left="628" w:right="72" w:hanging="283"/>
      </w:pPr>
      <w:r>
        <w:t>La persona o entidad autorizada será la resp</w:t>
      </w:r>
      <w:r>
        <w:t xml:space="preserve">onsable de que el equipo integrante de la organización y preparación del evento deportivo se encuentre debidamente acreditado. </w:t>
      </w:r>
    </w:p>
    <w:p w:rsidR="00B064CF" w:rsidRDefault="00E32F70">
      <w:pPr>
        <w:numPr>
          <w:ilvl w:val="0"/>
          <w:numId w:val="219"/>
        </w:numPr>
        <w:ind w:left="628" w:right="72" w:hanging="283"/>
      </w:pPr>
      <w:r>
        <w:t>El titular de la autorización designará a una persona como representante a efectos de mantener con el Ayuntamiento la debida com</w:t>
      </w:r>
      <w:r>
        <w:t>unicación y coordinación. Dicha persona, que habrá de estar permanentemente localizable y disponible durante el tiempo de ocupación autorizado, será la responsable de llevar a término las instrucciones que la Administración municipal pueda impartir a travé</w:t>
      </w:r>
      <w:r>
        <w:t xml:space="preserve">s de sus empleados o agentes. </w:t>
      </w:r>
    </w:p>
    <w:p w:rsidR="00B064CF" w:rsidRDefault="00E32F70">
      <w:pPr>
        <w:numPr>
          <w:ilvl w:val="0"/>
          <w:numId w:val="219"/>
        </w:numPr>
        <w:ind w:left="628" w:right="72" w:hanging="283"/>
      </w:pPr>
      <w:r>
        <w:t>La entidad o persona organizadora garantizará la presencia durante la celebración del evento, de los dispositivos de asistencia médica y de protección civil necesarios para la atención de participantes y público, conforme est</w:t>
      </w:r>
      <w:r>
        <w:t xml:space="preserve">ablezca la legislación sectorial vigente en la materia. </w:t>
      </w:r>
    </w:p>
    <w:p w:rsidR="00B064CF" w:rsidRDefault="00E32F70">
      <w:pPr>
        <w:numPr>
          <w:ilvl w:val="0"/>
          <w:numId w:val="219"/>
        </w:numPr>
        <w:ind w:left="628" w:right="72" w:hanging="283"/>
      </w:pPr>
      <w:r>
        <w:t>La entidad o persona organizadora se responsabilizará de que, al finalizar el evento autorizado, el dominio público ocupado y su zona de influencia queden libres de cualquier tipo de instalaciones, a</w:t>
      </w:r>
      <w:r>
        <w:t xml:space="preserve">nclajes, elementos o residuos derivados de su celebración y en condiciones óptimas para que se reanude su uso normal. </w:t>
      </w:r>
    </w:p>
    <w:p w:rsidR="00B064CF" w:rsidRDefault="00E32F70">
      <w:pPr>
        <w:numPr>
          <w:ilvl w:val="0"/>
          <w:numId w:val="219"/>
        </w:numPr>
        <w:ind w:left="628" w:right="72" w:hanging="283"/>
      </w:pPr>
      <w:r>
        <w:t>Si fuese necesario acotar el espacio utilizado por los participantes a lo largo del itinerario del evento deportivo, se dispondrá durante</w:t>
      </w:r>
      <w:r>
        <w:t xml:space="preserve"> todo el recorrido de un vehículo de apertura y otro de cierre. </w:t>
      </w:r>
    </w:p>
    <w:p w:rsidR="00B064CF" w:rsidRDefault="00E32F70">
      <w:pPr>
        <w:numPr>
          <w:ilvl w:val="0"/>
          <w:numId w:val="219"/>
        </w:numPr>
        <w:ind w:left="628" w:right="72" w:hanging="283"/>
      </w:pPr>
      <w:r>
        <w:t>La entidad o persona organizadora deberá señalizar aquellas zonas del itinerario autorizado que, el Ayuntamiento o la organización del evento, consideren como puntos de riesgo, responsabilizá</w:t>
      </w:r>
      <w:r>
        <w:t xml:space="preserve">ndose de que las personas participantes reciban, antes del inicio del evento, instrucciones precisas al respecto, pudiéndose ubicarse permanentemente personal de la organización en dichos puntos si se estimara conveniente. </w:t>
      </w:r>
    </w:p>
    <w:p w:rsidR="00B064CF" w:rsidRDefault="00E32F70">
      <w:pPr>
        <w:numPr>
          <w:ilvl w:val="0"/>
          <w:numId w:val="219"/>
        </w:numPr>
        <w:ind w:left="628" w:right="72" w:hanging="283"/>
      </w:pPr>
      <w:r>
        <w:t xml:space="preserve">Las señalizaciones que requiera </w:t>
      </w:r>
      <w:r>
        <w:t xml:space="preserve">la adecuada celebración del evento no podrán colocarse de manera que puedan provocar confusión para la circulación rodada ajena a la actividad deportiva, debiendo ser retiradas o borradas una vez que finalice el evento. </w:t>
      </w:r>
    </w:p>
    <w:p w:rsidR="00B064CF" w:rsidRDefault="00E32F70">
      <w:pPr>
        <w:spacing w:after="11"/>
        <w:ind w:left="355" w:right="72"/>
      </w:pPr>
      <w:r>
        <w:t>Artículo 48. Características de los</w:t>
      </w:r>
      <w:r>
        <w:t xml:space="preserve"> elementos </w:t>
      </w:r>
    </w:p>
    <w:p w:rsidR="00B064CF" w:rsidRDefault="00E32F70">
      <w:pPr>
        <w:numPr>
          <w:ilvl w:val="0"/>
          <w:numId w:val="220"/>
        </w:numPr>
        <w:spacing w:after="163" w:line="250" w:lineRule="auto"/>
        <w:ind w:left="628" w:right="72" w:hanging="283"/>
      </w:pPr>
      <w:r>
        <w:t xml:space="preserve">Todos los elementos que se dispongan en el dominio público estarán diseñados e instalados de tal forma que su utilización no represente real o potencial peligro para viandantes o usuarios. </w:t>
      </w:r>
    </w:p>
    <w:p w:rsidR="00B064CF" w:rsidRDefault="00E32F70">
      <w:pPr>
        <w:numPr>
          <w:ilvl w:val="0"/>
          <w:numId w:val="220"/>
        </w:numPr>
        <w:ind w:left="628" w:right="72" w:hanging="283"/>
      </w:pPr>
      <w:r>
        <w:rPr>
          <w:rFonts w:ascii="Calibri" w:eastAsia="Calibri" w:hAnsi="Calibri" w:cs="Calibri"/>
          <w:noProof/>
        </w:rPr>
        <mc:AlternateContent>
          <mc:Choice Requires="wpg">
            <w:drawing>
              <wp:anchor distT="0" distB="0" distL="114300" distR="114300" simplePos="0" relativeHeight="25193267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20645" name="Group 420645"/>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1861" name="Rectangle 41861"/>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64SKSNYNJRFPNN5DLPPAAC3GS | Verifi</w:t>
                              </w:r>
                              <w:r>
                                <w:rPr>
                                  <w:sz w:val="12"/>
                                </w:rPr>
                                <w:t xml:space="preserve">cación: https://candelaria.sedelectronica.es/ </w:t>
                              </w:r>
                            </w:p>
                          </w:txbxContent>
                        </wps:txbx>
                        <wps:bodyPr horzOverflow="overflow" vert="horz" lIns="0" tIns="0" rIns="0" bIns="0" rtlCol="0">
                          <a:noAutofit/>
                        </wps:bodyPr>
                      </wps:wsp>
                      <wps:wsp>
                        <wps:cNvPr id="41862" name="Rectangle 41862"/>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264 de 298 </w:t>
                              </w:r>
                            </w:p>
                          </w:txbxContent>
                        </wps:txbx>
                        <wps:bodyPr horzOverflow="overflow" vert="horz" lIns="0" tIns="0" rIns="0" bIns="0" rtlCol="0">
                          <a:noAutofit/>
                        </wps:bodyPr>
                      </wps:wsp>
                    </wpg:wgp>
                  </a:graphicData>
                </a:graphic>
              </wp:anchor>
            </w:drawing>
          </mc:Choice>
          <mc:Fallback xmlns:a="http://schemas.openxmlformats.org/drawingml/2006/main">
            <w:pict>
              <v:group id="Group 420645" style="width:12.7031pt;height:278.91pt;position:absolute;mso-position-horizontal-relative:page;mso-position-horizontal:absolute;margin-left:682.278pt;mso-position-vertical-relative:page;margin-top:533.01pt;" coordsize="1613,35421">
                <v:rect id="Rectangle 41861"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1862"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264 de 298 </w:t>
                        </w:r>
                      </w:p>
                    </w:txbxContent>
                  </v:textbox>
                </v:rect>
                <w10:wrap type="square"/>
              </v:group>
            </w:pict>
          </mc:Fallback>
        </mc:AlternateContent>
      </w:r>
      <w:r>
        <w:t xml:space="preserve">En caso de ser necesaria la utilización de instalaciones o elementos especiales, se estará a lo dispuesto en el </w:t>
      </w:r>
      <w:r>
        <w:t xml:space="preserve">artículo 11 de la presente Ordenanza. </w:t>
      </w:r>
    </w:p>
    <w:p w:rsidR="00B064CF" w:rsidRDefault="00E32F70">
      <w:pPr>
        <w:numPr>
          <w:ilvl w:val="0"/>
          <w:numId w:val="220"/>
        </w:numPr>
        <w:ind w:left="628" w:right="72" w:hanging="283"/>
      </w:pPr>
      <w:r>
        <w:t>Las ocupaciones del dominio público reguladas en el presente Capítulo en las que se prevea una permanencia prolongada de asistentes en el espacio o recinto habilitado para la celebración del evento autorizado, precisa</w:t>
      </w:r>
      <w:r>
        <w:t>rá la instalación de sanitarios portátiles homologados, que no precisarán montaje alguno y que deberán cumplir los requisitos contenidos en la Norma UNE EN 16194:2012, sobre cabinas sanitarias móviles no conectadas al alcantarillado y requisitos de los ser</w:t>
      </w:r>
      <w:r>
        <w:t xml:space="preserve">vicios y productos relacionados con el suministro de cabinas y productos sanitarios, o normativa que la desarrolle o sustituya.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CAPÍTULO 6. OTRAS OCUPACIONES </w:t>
      </w:r>
    </w:p>
    <w:p w:rsidR="00B064CF" w:rsidRDefault="00E32F70">
      <w:pPr>
        <w:spacing w:after="11"/>
        <w:ind w:left="355" w:right="72"/>
      </w:pPr>
      <w:r>
        <w:t xml:space="preserve">Artículo 49. Elementos para la protección de las aceras.  </w:t>
      </w:r>
    </w:p>
    <w:p w:rsidR="00B064CF" w:rsidRDefault="00E32F70">
      <w:pPr>
        <w:numPr>
          <w:ilvl w:val="0"/>
          <w:numId w:val="221"/>
        </w:numPr>
        <w:ind w:left="628" w:right="72" w:hanging="283"/>
      </w:pPr>
      <w:r>
        <w:t xml:space="preserve">En el dominio público se podrán instalar elementos de protección de las aceras, que cumplirán la doble función de impedir el acceso indebido de vehículos a las mismas y proteger la libre circulación de peatones por ellas. </w:t>
      </w:r>
    </w:p>
    <w:p w:rsidR="00B064CF" w:rsidRDefault="00E32F70">
      <w:pPr>
        <w:numPr>
          <w:ilvl w:val="0"/>
          <w:numId w:val="221"/>
        </w:numPr>
        <w:ind w:left="628" w:right="72" w:hanging="283"/>
      </w:pPr>
      <w:r>
        <w:t>La instalación de los elementos d</w:t>
      </w:r>
      <w:r>
        <w:t xml:space="preserve">e protección de las aceras públicas se sujetará a autorización del Ayuntamiento, sin perjuicio de la obtención de aquellos títulos o informes que sean necesarios por razón de su localización. </w:t>
      </w:r>
    </w:p>
    <w:p w:rsidR="00B064CF" w:rsidRDefault="00E32F70">
      <w:pPr>
        <w:numPr>
          <w:ilvl w:val="0"/>
          <w:numId w:val="221"/>
        </w:numPr>
        <w:ind w:left="628" w:right="72" w:hanging="283"/>
      </w:pPr>
      <w:r>
        <w:t xml:space="preserve">Los elementos protectores pueden ser vallas, bolardos, pivotes </w:t>
      </w:r>
      <w:r>
        <w:t>o macetones, pudiendo ser el Ayuntamiento quien determine, para cada caso, la conveniencia o no de su instalación, así como el tipo de elemento a instalar, todo ello en atención al entorno urbanístico, a la ubicación y las características del espacio públi</w:t>
      </w:r>
      <w:r>
        <w:t xml:space="preserve">co. El Ayuntamiento podrá exigir que cualquier elemento que se instale se ajuste a un modelo determinado en función del lugar donde se tengan que ubicar, para una mejor armonización con el entorno. </w:t>
      </w:r>
    </w:p>
    <w:p w:rsidR="00B064CF" w:rsidRDefault="00E32F70">
      <w:pPr>
        <w:numPr>
          <w:ilvl w:val="0"/>
          <w:numId w:val="221"/>
        </w:numPr>
        <w:ind w:left="628" w:right="72" w:hanging="283"/>
      </w:pPr>
      <w:r>
        <w:t>Todos los elementos que se dispongan para la protección d</w:t>
      </w:r>
      <w:r>
        <w:t xml:space="preserve">e las aceras estarán diseñados e instalados de tal forma que su utilización no represente real o potencial peligro para viandantes o usuarios, debiendo cumplir las condiciones en materia de accesibilidad que le sean de aplicación. </w:t>
      </w:r>
    </w:p>
    <w:p w:rsidR="00B064CF" w:rsidRDefault="00E32F70">
      <w:pPr>
        <w:numPr>
          <w:ilvl w:val="0"/>
          <w:numId w:val="221"/>
        </w:numPr>
        <w:ind w:left="628" w:right="72" w:hanging="283"/>
      </w:pPr>
      <w:r>
        <w:t>Las vallas tendrán una a</w:t>
      </w:r>
      <w:r>
        <w:t>ltura comprendida entre noventa centímetros (0,90 m) y un metro y veinte centímetros (1,20 m) y serán de PVC o similar. La longitud máxima de cada valla no será superior a tres metros (3,00 m) y la distancia mínima entre dos vallas consecutivas no será inf</w:t>
      </w:r>
      <w:r>
        <w:t xml:space="preserve">erior a un metro y cincuenta centímetros (1,50 m). </w:t>
      </w:r>
    </w:p>
    <w:p w:rsidR="00B064CF" w:rsidRDefault="00E32F70">
      <w:pPr>
        <w:numPr>
          <w:ilvl w:val="0"/>
          <w:numId w:val="221"/>
        </w:numPr>
        <w:ind w:left="628" w:right="72" w:hanging="283"/>
      </w:pPr>
      <w:r>
        <w:t>Los macetones no podrán superar la altura máxima 1,50 metros, incluyendo la especie vegetal plantada. Se separarán entre sí una distancia mínima de un metro y cincuenta centímetros (1,50 m) y se retirarán</w:t>
      </w:r>
      <w:r>
        <w:t xml:space="preserve"> del borde de la acera al menos cuarenta centímetros (0,40 m). Las plantas podrán ser elegidas libremente por la persona o entidad titular de la autorización, siempre que no supongan molestias para los viandantes y no interfieran la visibilidad de los demá</w:t>
      </w:r>
      <w:r>
        <w:t xml:space="preserve">s elementos de la vía pública, corriendo a cargo de aquélla la obligación de cuidado y mantenimiento de las mismas. </w:t>
      </w:r>
    </w:p>
    <w:p w:rsidR="00B064CF" w:rsidRDefault="00E32F70">
      <w:pPr>
        <w:spacing w:after="11"/>
        <w:ind w:left="355" w:right="72"/>
      </w:pPr>
      <w:r>
        <w:t xml:space="preserve">Artículo 50. Espejos de tráfico </w:t>
      </w:r>
    </w:p>
    <w:p w:rsidR="00B064CF" w:rsidRDefault="00E32F70">
      <w:pPr>
        <w:numPr>
          <w:ilvl w:val="0"/>
          <w:numId w:val="222"/>
        </w:numPr>
        <w:ind w:left="628" w:right="72" w:hanging="283"/>
      </w:pPr>
      <w:r>
        <w:rPr>
          <w:rFonts w:ascii="Calibri" w:eastAsia="Calibri" w:hAnsi="Calibri" w:cs="Calibri"/>
          <w:noProof/>
        </w:rPr>
        <mc:AlternateContent>
          <mc:Choice Requires="wpg">
            <w:drawing>
              <wp:anchor distT="0" distB="0" distL="114300" distR="114300" simplePos="0" relativeHeight="25193369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21364" name="Group 421364"/>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1971" name="Rectangle 41971"/>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41972" name="Rectangle 41972"/>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Doc</w:t>
                              </w:r>
                              <w:r>
                                <w:rPr>
                                  <w:sz w:val="12"/>
                                </w:rPr>
                                <w:t xml:space="preserve">umento firmado electrónicamente desde la plataforma esPublico Gestiona | Página 265 de 298 </w:t>
                              </w:r>
                            </w:p>
                          </w:txbxContent>
                        </wps:txbx>
                        <wps:bodyPr horzOverflow="overflow" vert="horz" lIns="0" tIns="0" rIns="0" bIns="0" rtlCol="0">
                          <a:noAutofit/>
                        </wps:bodyPr>
                      </wps:wsp>
                    </wpg:wgp>
                  </a:graphicData>
                </a:graphic>
              </wp:anchor>
            </w:drawing>
          </mc:Choice>
          <mc:Fallback xmlns:a="http://schemas.openxmlformats.org/drawingml/2006/main">
            <w:pict>
              <v:group id="Group 421364" style="width:12.7031pt;height:278.91pt;position:absolute;mso-position-horizontal-relative:page;mso-position-horizontal:absolute;margin-left:682.278pt;mso-position-vertical-relative:page;margin-top:533.01pt;" coordsize="1613,35421">
                <v:rect id="Rectangle 41971"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1972"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265 de 298 </w:t>
                        </w:r>
                      </w:p>
                    </w:txbxContent>
                  </v:textbox>
                </v:rect>
                <w10:wrap type="square"/>
              </v:group>
            </w:pict>
          </mc:Fallback>
        </mc:AlternateContent>
      </w:r>
      <w:r>
        <w:t>En el dominio público se podrán instalar espejos convexos en cruces peligrosos o en la salida de aparcamientos, con la finalidad de facilitar la visión de los condu</w:t>
      </w:r>
      <w:r>
        <w:t xml:space="preserve">ctores y mejorar así las condiciones de seguridad vial. </w:t>
      </w:r>
    </w:p>
    <w:p w:rsidR="00B064CF" w:rsidRDefault="00E32F70">
      <w:pPr>
        <w:numPr>
          <w:ilvl w:val="0"/>
          <w:numId w:val="222"/>
        </w:numPr>
        <w:ind w:left="628" w:right="72" w:hanging="283"/>
      </w:pPr>
      <w:r>
        <w:t>La instalación de espejos de tráfico en el dominio público se sujetará a autorización del Ayuntamiento, sin perjuicio de la obtención de aquellos títulos o informes que sean necesarios por razón de s</w:t>
      </w:r>
      <w:r>
        <w:t xml:space="preserve">u localización. </w:t>
      </w:r>
    </w:p>
    <w:p w:rsidR="00B064CF" w:rsidRDefault="00E32F70">
      <w:pPr>
        <w:numPr>
          <w:ilvl w:val="0"/>
          <w:numId w:val="222"/>
        </w:numPr>
        <w:ind w:left="628" w:right="72" w:hanging="283"/>
      </w:pPr>
      <w:r>
        <w:t xml:space="preserve">La autorización podrá otorgarse mediante un procedimiento abreviado, salvo que las circunstancias que concurran lo desaconseje o cuando la instalación se sujete a otros informes o autorizaciones sectoriales. </w:t>
      </w:r>
    </w:p>
    <w:p w:rsidR="00B064CF" w:rsidRDefault="00E32F70">
      <w:pPr>
        <w:numPr>
          <w:ilvl w:val="0"/>
          <w:numId w:val="222"/>
        </w:numPr>
        <w:ind w:left="628" w:right="72" w:hanging="283"/>
      </w:pPr>
      <w:r>
        <w:t xml:space="preserve">Todo espejo de tráfico que se disponga sobre el dominio público estará diseñado e instalado de tal forma que su utilización no represente real o potencial peligro para viandantes o usuarios. </w:t>
      </w:r>
    </w:p>
    <w:p w:rsidR="00B064CF" w:rsidRDefault="00E32F70">
      <w:pPr>
        <w:numPr>
          <w:ilvl w:val="0"/>
          <w:numId w:val="222"/>
        </w:numPr>
        <w:ind w:left="628" w:right="72" w:hanging="283"/>
      </w:pPr>
      <w:r>
        <w:t>Los espejos se instalarán respetando, en todo caso, una altura l</w:t>
      </w:r>
      <w:r>
        <w:t xml:space="preserve">ibre de al menos dos metros y veinte centímetros (2,20 m), pudiendo anclarse a soportes verticales empotrados al suelo o directamente a la pared o fachada, siendo necesario, en este último supuesto, contar con la autorización del propietario de la misma. </w:t>
      </w:r>
    </w:p>
    <w:p w:rsidR="00B064CF" w:rsidRDefault="00E32F70">
      <w:pPr>
        <w:spacing w:after="11"/>
        <w:ind w:left="355" w:right="72"/>
      </w:pPr>
      <w:r>
        <w:t xml:space="preserve">Artículo 51. Cajeros automáticos y máquinas expendedoras </w:t>
      </w:r>
    </w:p>
    <w:p w:rsidR="00B064CF" w:rsidRDefault="00E32F70">
      <w:pPr>
        <w:numPr>
          <w:ilvl w:val="0"/>
          <w:numId w:val="223"/>
        </w:numPr>
        <w:ind w:left="628" w:right="72" w:hanging="283"/>
      </w:pPr>
      <w:r>
        <w:t xml:space="preserve">Sobre el dominio público municipal no se podrán instalar cajeros automáticos, máquinas expendedoras ni dispositivos similares. </w:t>
      </w:r>
    </w:p>
    <w:p w:rsidR="00B064CF" w:rsidRDefault="00E32F70">
      <w:pPr>
        <w:numPr>
          <w:ilvl w:val="0"/>
          <w:numId w:val="223"/>
        </w:numPr>
        <w:ind w:left="628" w:right="72" w:hanging="283"/>
      </w:pPr>
      <w:r>
        <w:t>La instalación de este tipo de dispositivos en las fachadas de los inm</w:t>
      </w:r>
      <w:r>
        <w:t>uebles de modo que sus servicios sean prestados de forma directa e ininterrumpida a las personas usuarias del dominio público, constituye un aprovechamiento especial del mismo y se sujetará, en consecuencia, a la correspondiente autorización del Ayuntamien</w:t>
      </w:r>
      <w:r>
        <w:t xml:space="preserve">to, sin perjuicio de la obtención de aquellos títulos </w:t>
      </w:r>
    </w:p>
    <w:p w:rsidR="00B064CF" w:rsidRDefault="00E32F70">
      <w:pPr>
        <w:ind w:left="654" w:right="72"/>
      </w:pPr>
      <w:r>
        <w:t>o informes que sean necesarios por razón de la actividad o su localización, independientemente de que su otorgamiento o emisión pudiera ser competencia del propio Ayuntamiento o de otras Administracion</w:t>
      </w:r>
      <w:r>
        <w:t xml:space="preserve">es. No se otorgarán autorizaciones para la ocupación del dominio público si la actividad de expedición no cuenta con el título habilitante correspondiente. </w:t>
      </w:r>
    </w:p>
    <w:p w:rsidR="00B064CF" w:rsidRDefault="00E32F70">
      <w:pPr>
        <w:numPr>
          <w:ilvl w:val="0"/>
          <w:numId w:val="223"/>
        </w:numPr>
        <w:ind w:left="628" w:right="72" w:hanging="283"/>
      </w:pPr>
      <w:r>
        <w:t xml:space="preserve">Las personas o entidades titulares de las máquinas o dispositivos descritos en el número anterior, </w:t>
      </w:r>
      <w:r>
        <w:t>así como quienes sean beneficiarios del aprovechamiento que generen, serán directamente responsables de las mismas y deberán adoptar las medidas necesarias para que la ocupación del dominio público que se genere no impida el uso normal del mismo, obstaculi</w:t>
      </w:r>
      <w:r>
        <w:t xml:space="preserve">ce el tránsito de peatones ni produzca molestias de ningún tipo a los vecinos.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TÍTULO IV INFRACCIONES Y SANCIONES  </w:t>
      </w:r>
    </w:p>
    <w:p w:rsidR="00B064CF" w:rsidRDefault="00E32F70">
      <w:pPr>
        <w:spacing w:after="11"/>
        <w:ind w:left="355" w:right="72"/>
      </w:pPr>
      <w:r>
        <w:t xml:space="preserve">Artículo 52. Sujetos responsables </w:t>
      </w:r>
    </w:p>
    <w:p w:rsidR="00B064CF" w:rsidRDefault="00E32F70">
      <w:pPr>
        <w:spacing w:after="0"/>
        <w:ind w:left="355" w:right="72"/>
      </w:pPr>
      <w:r>
        <w:t xml:space="preserve">Son sujetos responsables de las infracciones cometidas en la materia objeto de la presente Ordenanza: </w:t>
      </w:r>
    </w:p>
    <w:p w:rsidR="00B064CF" w:rsidRDefault="00E32F70">
      <w:pPr>
        <w:numPr>
          <w:ilvl w:val="0"/>
          <w:numId w:val="224"/>
        </w:numPr>
        <w:ind w:left="628" w:right="72" w:hanging="283"/>
      </w:pPr>
      <w:r>
        <w:t>Las personas físicas o jurídicas titulares de la autorización demanial, en caso de incumplimiento de las condiciones previstas en dicho título habilitant</w:t>
      </w:r>
      <w:r>
        <w:t xml:space="preserve">e o en esta Ordenanza. </w:t>
      </w:r>
    </w:p>
    <w:p w:rsidR="00B064CF" w:rsidRDefault="00E32F70">
      <w:pPr>
        <w:numPr>
          <w:ilvl w:val="0"/>
          <w:numId w:val="224"/>
        </w:numPr>
        <w:ind w:left="628" w:right="72" w:hanging="283"/>
      </w:pPr>
      <w:r>
        <w:t xml:space="preserve">Las personas físicas o jurídicas que ocupen el dominio público municipal o espacio privado de uso público y carezcan de título habilitante para ello. </w:t>
      </w:r>
    </w:p>
    <w:p w:rsidR="00B064CF" w:rsidRDefault="00E32F70">
      <w:pPr>
        <w:numPr>
          <w:ilvl w:val="0"/>
          <w:numId w:val="224"/>
        </w:numPr>
        <w:ind w:left="628" w:right="72" w:hanging="283"/>
      </w:pPr>
      <w:r>
        <w:rPr>
          <w:rFonts w:ascii="Calibri" w:eastAsia="Calibri" w:hAnsi="Calibri" w:cs="Calibri"/>
          <w:noProof/>
        </w:rPr>
        <mc:AlternateContent>
          <mc:Choice Requires="wpg">
            <w:drawing>
              <wp:anchor distT="0" distB="0" distL="114300" distR="114300" simplePos="0" relativeHeight="25193472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21454" name="Group 421454"/>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2090" name="Rectangle 42090"/>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42091" name="Rectangle 42091"/>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266 de 298 </w:t>
                              </w:r>
                            </w:p>
                          </w:txbxContent>
                        </wps:txbx>
                        <wps:bodyPr horzOverflow="overflow" vert="horz" lIns="0" tIns="0" rIns="0" bIns="0" rtlCol="0">
                          <a:noAutofit/>
                        </wps:bodyPr>
                      </wps:wsp>
                    </wpg:wgp>
                  </a:graphicData>
                </a:graphic>
              </wp:anchor>
            </w:drawing>
          </mc:Choice>
          <mc:Fallback xmlns:a="http://schemas.openxmlformats.org/drawingml/2006/main">
            <w:pict>
              <v:group id="Group 421454" style="width:12.7031pt;height:278.91pt;position:absolute;mso-position-horizontal-relative:page;mso-position-horizontal:absolute;margin-left:682.278pt;mso-position-vertical-relative:page;margin-top:533.01pt;" coordsize="1613,35421">
                <v:rect id="Rectangle 42090"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2091"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266 de 298 </w:t>
                        </w:r>
                      </w:p>
                    </w:txbxContent>
                  </v:textbox>
                </v:rect>
                <w10:wrap type="square"/>
              </v:group>
            </w:pict>
          </mc:Fallback>
        </mc:AlternateContent>
      </w:r>
      <w:r>
        <w:t>En los supuestos en los que se produzca el cambio de titulari</w:t>
      </w:r>
      <w:r>
        <w:t>dad de una actividad, el arrendamiento de su explotación o la cesión temporal del título habilitante para la apertura del establecimiento, será responsable el nuevo titular de la actividad, la persona arrendataria o la cesionaria, respectivamente, cuando s</w:t>
      </w:r>
      <w:r>
        <w:t xml:space="preserve">iga ocupando el dominio público al amparo de la autorización concedida al anterior titular y no haya obtenido una nueva autorización a su nombre. </w:t>
      </w:r>
    </w:p>
    <w:p w:rsidR="00B064CF" w:rsidRDefault="00E32F70">
      <w:pPr>
        <w:spacing w:after="11"/>
        <w:ind w:left="355" w:right="72"/>
      </w:pPr>
      <w:r>
        <w:t xml:space="preserve">Artículo 53. Tipificación de las infracciones </w:t>
      </w:r>
    </w:p>
    <w:p w:rsidR="00B064CF" w:rsidRDefault="00E32F70">
      <w:pPr>
        <w:spacing w:after="0"/>
        <w:ind w:left="355" w:right="72"/>
      </w:pPr>
      <w:r>
        <w:t>Son infracciones, las acciones u omisiones que contravienen el</w:t>
      </w:r>
      <w:r>
        <w:t xml:space="preserve"> condicionado de la resolución municipal de otorgamiento de la autorización, o que contravienen lo dispuesto en esta Ordenanza. </w:t>
      </w:r>
    </w:p>
    <w:p w:rsidR="00B064CF" w:rsidRDefault="00E32F70">
      <w:pPr>
        <w:ind w:left="355" w:right="72"/>
      </w:pPr>
      <w:r>
        <w:t xml:space="preserve">1. Las infracciones a la presente Ordenanza se clasifican en leves, graves o muy graves. </w:t>
      </w:r>
    </w:p>
    <w:p w:rsidR="00B064CF" w:rsidRDefault="00E32F70">
      <w:pPr>
        <w:tabs>
          <w:tab w:val="center" w:pos="514"/>
          <w:tab w:val="center" w:pos="2897"/>
        </w:tabs>
        <w:ind w:left="0" w:firstLine="0"/>
        <w:jc w:val="left"/>
      </w:pPr>
      <w:r>
        <w:rPr>
          <w:rFonts w:ascii="Calibri" w:eastAsia="Calibri" w:hAnsi="Calibri" w:cs="Calibri"/>
        </w:rPr>
        <w:tab/>
      </w:r>
      <w:r>
        <w:t xml:space="preserve">10. </w:t>
      </w:r>
      <w:r>
        <w:tab/>
        <w:t>Son infracciones leves las sigu</w:t>
      </w:r>
      <w:r>
        <w:t xml:space="preserve">ientes: </w:t>
      </w:r>
    </w:p>
    <w:p w:rsidR="00B064CF" w:rsidRDefault="00E32F70">
      <w:pPr>
        <w:numPr>
          <w:ilvl w:val="0"/>
          <w:numId w:val="225"/>
        </w:numPr>
        <w:ind w:right="72" w:hanging="360"/>
      </w:pPr>
      <w:r>
        <w:t xml:space="preserve">El deterioro leve del mobiliario urbano anejo o colindante con la instalación. </w:t>
      </w:r>
    </w:p>
    <w:p w:rsidR="00B064CF" w:rsidRDefault="00E32F70">
      <w:pPr>
        <w:numPr>
          <w:ilvl w:val="0"/>
          <w:numId w:val="225"/>
        </w:numPr>
        <w:ind w:right="72" w:hanging="360"/>
      </w:pPr>
      <w:r>
        <w:t xml:space="preserve">Depositar acopios, envases o enseres de cualquier clase junto a las instalaciones. </w:t>
      </w:r>
    </w:p>
    <w:p w:rsidR="00B064CF" w:rsidRDefault="00E32F70">
      <w:pPr>
        <w:numPr>
          <w:ilvl w:val="0"/>
          <w:numId w:val="225"/>
        </w:numPr>
        <w:ind w:right="72" w:hanging="360"/>
      </w:pPr>
      <w:r>
        <w:t xml:space="preserve">El apilamiento de mesas y sillas o cualquier otro elemento en la vía pública. </w:t>
      </w:r>
    </w:p>
    <w:p w:rsidR="00B064CF" w:rsidRDefault="00E32F70">
      <w:pPr>
        <w:numPr>
          <w:ilvl w:val="0"/>
          <w:numId w:val="225"/>
        </w:numPr>
        <w:ind w:right="72" w:hanging="360"/>
      </w:pPr>
      <w:r>
        <w:t>La f</w:t>
      </w:r>
      <w:r>
        <w:t xml:space="preserve">alta de ornato y limpieza del aprovechamiento o de la instalación de que se trate. </w:t>
      </w:r>
    </w:p>
    <w:p w:rsidR="00B064CF" w:rsidRDefault="00E32F70">
      <w:pPr>
        <w:numPr>
          <w:ilvl w:val="0"/>
          <w:numId w:val="225"/>
        </w:numPr>
        <w:ind w:right="72" w:hanging="360"/>
      </w:pPr>
      <w:r>
        <w:t xml:space="preserve">Desarrollar en la vía pública cualquier clase de actividad de compraventa de vehículos o de publicidad de la misma. </w:t>
      </w:r>
    </w:p>
    <w:p w:rsidR="00B064CF" w:rsidRDefault="00E32F70">
      <w:pPr>
        <w:numPr>
          <w:ilvl w:val="0"/>
          <w:numId w:val="225"/>
        </w:numPr>
        <w:spacing w:after="163" w:line="250" w:lineRule="auto"/>
        <w:ind w:right="72" w:hanging="360"/>
      </w:pPr>
      <w:r>
        <w:t xml:space="preserve">No señalar correcta y adecuadamente sobre el pavimento </w:t>
      </w:r>
      <w:r>
        <w:t xml:space="preserve">los límites de la ocupación autorizada, cuando ello resulte exigible en virtud de lo dispuesto en la presente Ordenanza. </w:t>
      </w:r>
    </w:p>
    <w:p w:rsidR="00B064CF" w:rsidRDefault="00E32F70">
      <w:pPr>
        <w:numPr>
          <w:ilvl w:val="0"/>
          <w:numId w:val="225"/>
        </w:numPr>
        <w:ind w:right="72" w:hanging="360"/>
      </w:pPr>
      <w:r>
        <w:t xml:space="preserve">La no exposición de la autorización y el plano de la misma en el establecimiento.  </w:t>
      </w:r>
    </w:p>
    <w:p w:rsidR="00B064CF" w:rsidRDefault="00E32F70">
      <w:pPr>
        <w:numPr>
          <w:ilvl w:val="0"/>
          <w:numId w:val="225"/>
        </w:numPr>
        <w:ind w:right="72" w:hanging="360"/>
      </w:pPr>
      <w:r>
        <w:t>Cualquier otro incumplimiento a lo dispuesto en es</w:t>
      </w:r>
      <w:r>
        <w:t xml:space="preserve">ta Ordenanza que no esté calificado como grave o muy grave. </w:t>
      </w:r>
    </w:p>
    <w:p w:rsidR="00B064CF" w:rsidRDefault="00E32F70">
      <w:pPr>
        <w:numPr>
          <w:ilvl w:val="0"/>
          <w:numId w:val="226"/>
        </w:numPr>
        <w:spacing w:after="83" w:line="326" w:lineRule="auto"/>
        <w:ind w:left="592" w:right="744" w:hanging="247"/>
        <w:jc w:val="left"/>
      </w:pPr>
      <w:r>
        <w:t xml:space="preserve">Son infracciones graves las siguientes: mm) </w:t>
      </w:r>
      <w:r>
        <w:tab/>
        <w:t xml:space="preserve">La reiteración en la comisión de cualquier falta leve en un mismo año.  nn) La ocupación de mayor superficie que la autorizada. </w:t>
      </w:r>
    </w:p>
    <w:p w:rsidR="00B064CF" w:rsidRDefault="00E32F70">
      <w:pPr>
        <w:numPr>
          <w:ilvl w:val="1"/>
          <w:numId w:val="226"/>
        </w:numPr>
        <w:ind w:right="72" w:hanging="1068"/>
      </w:pPr>
      <w:r>
        <w:t xml:space="preserve">La producción de molestias a los vecinos o transeúntes, reiteradas y acreditadas, derivadas del funcionamiento de la instalación. </w:t>
      </w:r>
    </w:p>
    <w:p w:rsidR="00B064CF" w:rsidRDefault="00E32F70">
      <w:pPr>
        <w:numPr>
          <w:ilvl w:val="1"/>
          <w:numId w:val="226"/>
        </w:numPr>
        <w:ind w:right="72" w:hanging="1068"/>
      </w:pPr>
      <w:r>
        <w:t>Impedir la circulación peatonal, dificultar la visibilidad necesaria para el tráfico. e) Incumplir las obligaciones, las inst</w:t>
      </w:r>
      <w:r>
        <w:t xml:space="preserve">rucciones o los apercibimientos recibidos. </w:t>
      </w:r>
    </w:p>
    <w:p w:rsidR="00B064CF" w:rsidRDefault="00E32F70">
      <w:pPr>
        <w:numPr>
          <w:ilvl w:val="1"/>
          <w:numId w:val="226"/>
        </w:numPr>
        <w:ind w:right="72" w:hanging="1068"/>
      </w:pPr>
      <w:r>
        <w:t xml:space="preserve">Realizar conexiones eléctricas no autorizadas. </w:t>
      </w:r>
    </w:p>
    <w:p w:rsidR="00B064CF" w:rsidRDefault="00E32F70">
      <w:pPr>
        <w:numPr>
          <w:ilvl w:val="1"/>
          <w:numId w:val="226"/>
        </w:numPr>
        <w:ind w:right="72" w:hanging="1068"/>
      </w:pPr>
      <w:r>
        <w:t>Efectuar instalaciones cuyos elementos constructivos no estén en armonía con las determinaciones específicas en la autorización, o modificarlas sin realizar la comu</w:t>
      </w:r>
      <w:r>
        <w:t xml:space="preserve">nicación preceptiva. </w:t>
      </w:r>
    </w:p>
    <w:p w:rsidR="00B064CF" w:rsidRDefault="00E32F70">
      <w:pPr>
        <w:numPr>
          <w:ilvl w:val="1"/>
          <w:numId w:val="226"/>
        </w:numPr>
        <w:ind w:right="72" w:hanging="1068"/>
      </w:pPr>
      <w:r>
        <w:t xml:space="preserve">La ocultación, manipulación o falsedad de los datos o de la documentación aportada con la intención de obtener la autorización. </w:t>
      </w:r>
    </w:p>
    <w:p w:rsidR="00B064CF" w:rsidRDefault="00E32F70">
      <w:pPr>
        <w:numPr>
          <w:ilvl w:val="1"/>
          <w:numId w:val="226"/>
        </w:numPr>
        <w:ind w:right="72" w:hanging="1068"/>
      </w:pPr>
      <w:r>
        <w:rPr>
          <w:rFonts w:ascii="Calibri" w:eastAsia="Calibri" w:hAnsi="Calibri" w:cs="Calibri"/>
          <w:noProof/>
        </w:rPr>
        <mc:AlternateContent>
          <mc:Choice Requires="wpg">
            <w:drawing>
              <wp:anchor distT="0" distB="0" distL="114300" distR="114300" simplePos="0" relativeHeight="25193574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21583" name="Group 421583"/>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2211" name="Rectangle 42211"/>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42212" name="Rectangle 42212"/>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Do</w:t>
                              </w:r>
                              <w:r>
                                <w:rPr>
                                  <w:sz w:val="12"/>
                                </w:rPr>
                                <w:t xml:space="preserve">cumento firmado electrónicamente desde la plataforma esPublico Gestiona | Página 267 de 298 </w:t>
                              </w:r>
                            </w:p>
                          </w:txbxContent>
                        </wps:txbx>
                        <wps:bodyPr horzOverflow="overflow" vert="horz" lIns="0" tIns="0" rIns="0" bIns="0" rtlCol="0">
                          <a:noAutofit/>
                        </wps:bodyPr>
                      </wps:wsp>
                    </wpg:wgp>
                  </a:graphicData>
                </a:graphic>
              </wp:anchor>
            </w:drawing>
          </mc:Choice>
          <mc:Fallback xmlns:a="http://schemas.openxmlformats.org/drawingml/2006/main">
            <w:pict>
              <v:group id="Group 421583" style="width:12.7031pt;height:278.91pt;position:absolute;mso-position-horizontal-relative:page;mso-position-horizontal:absolute;margin-left:682.278pt;mso-position-vertical-relative:page;margin-top:533.01pt;" coordsize="1613,35421">
                <v:rect id="Rectangle 42211"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2212"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267 de 298 </w:t>
                        </w:r>
                      </w:p>
                    </w:txbxContent>
                  </v:textbox>
                </v:rect>
                <w10:wrap type="square"/>
              </v:group>
            </w:pict>
          </mc:Fallback>
        </mc:AlternateContent>
      </w:r>
      <w:r>
        <w:t xml:space="preserve">El deterioro grave de espacios públicos y de cualquiera de sus instalaciones y/o los elementos del mobiliario urbano anejos o colindantes con la instalación. </w:t>
      </w:r>
    </w:p>
    <w:p w:rsidR="00B064CF" w:rsidRDefault="00E32F70">
      <w:pPr>
        <w:numPr>
          <w:ilvl w:val="1"/>
          <w:numId w:val="226"/>
        </w:numPr>
        <w:ind w:right="72" w:hanging="1068"/>
      </w:pPr>
      <w:r>
        <w:t>La n</w:t>
      </w:r>
      <w:r>
        <w:t xml:space="preserve">o exhibición del documento de la autorización a los agentes de la autoridad que lo requieran, así como cualquier otra obstaculización de la labor inspectora. </w:t>
      </w:r>
    </w:p>
    <w:p w:rsidR="00B064CF" w:rsidRDefault="00E32F70">
      <w:pPr>
        <w:numPr>
          <w:ilvl w:val="1"/>
          <w:numId w:val="226"/>
        </w:numPr>
        <w:ind w:right="72" w:hanging="1068"/>
      </w:pPr>
      <w:r>
        <w:t xml:space="preserve">La instalación de aparatos que puedan suponer un riesgo, sin el preceptivo seguro. </w:t>
      </w:r>
    </w:p>
    <w:p w:rsidR="00B064CF" w:rsidRDefault="00E32F70">
      <w:pPr>
        <w:numPr>
          <w:ilvl w:val="1"/>
          <w:numId w:val="226"/>
        </w:numPr>
        <w:ind w:right="72" w:hanging="1068"/>
      </w:pPr>
      <w:r>
        <w:t>No retirar in</w:t>
      </w:r>
      <w:r>
        <w:t xml:space="preserve">mediatamente los elementos instalados sobre el espacio público, una vez finalizado el horario o período autorizado, cuando ello fuera exigible en cumplimiento de esta Ordenanza o de las condiciones de la autorización. </w:t>
      </w:r>
    </w:p>
    <w:p w:rsidR="00B064CF" w:rsidRDefault="00E32F70">
      <w:pPr>
        <w:numPr>
          <w:ilvl w:val="1"/>
          <w:numId w:val="226"/>
        </w:numPr>
        <w:ind w:right="72" w:hanging="1068"/>
      </w:pPr>
      <w:r>
        <w:t xml:space="preserve">No retirar los restos de embalajes o </w:t>
      </w:r>
      <w:r>
        <w:t xml:space="preserve">envoltorios procedentes de la instalación de los elementos autorizados. </w:t>
      </w:r>
    </w:p>
    <w:p w:rsidR="00B064CF" w:rsidRDefault="00E32F70">
      <w:pPr>
        <w:numPr>
          <w:ilvl w:val="1"/>
          <w:numId w:val="226"/>
        </w:numPr>
        <w:ind w:right="72" w:hanging="1068"/>
      </w:pPr>
      <w:r>
        <w:t xml:space="preserve">El mantenimiento de la instalación en mal estado. </w:t>
      </w:r>
    </w:p>
    <w:p w:rsidR="00B064CF" w:rsidRDefault="00E32F70">
      <w:pPr>
        <w:numPr>
          <w:ilvl w:val="1"/>
          <w:numId w:val="226"/>
        </w:numPr>
        <w:ind w:right="72" w:hanging="1068"/>
      </w:pPr>
      <w:r>
        <w:t xml:space="preserve">La realización en la vía pública de extensiones de actividades no autorizadas. </w:t>
      </w:r>
    </w:p>
    <w:p w:rsidR="00B064CF" w:rsidRDefault="00E32F70">
      <w:pPr>
        <w:numPr>
          <w:ilvl w:val="1"/>
          <w:numId w:val="226"/>
        </w:numPr>
        <w:ind w:right="72" w:hanging="1068"/>
      </w:pPr>
      <w:r>
        <w:t>La ocupación del dominio público con elementos no au</w:t>
      </w:r>
      <w:r>
        <w:t xml:space="preserve">torizados afectos a una actividad hostelera, comercial o de oficina. </w:t>
      </w:r>
    </w:p>
    <w:p w:rsidR="00B064CF" w:rsidRDefault="00E32F70">
      <w:pPr>
        <w:numPr>
          <w:ilvl w:val="1"/>
          <w:numId w:val="226"/>
        </w:numPr>
        <w:ind w:right="72" w:hanging="1068"/>
      </w:pPr>
      <w:r>
        <w:t>La venta y/o exposición de vehículos de motor y ciclomotores efectuadas a título particular por el titular de los mismos, entendiendo por tal a la persona cuya identificación figure en e</w:t>
      </w:r>
      <w:r>
        <w:t xml:space="preserve">l permiso de circulación. </w:t>
      </w:r>
    </w:p>
    <w:p w:rsidR="00B064CF" w:rsidRDefault="00E32F70">
      <w:pPr>
        <w:numPr>
          <w:ilvl w:val="1"/>
          <w:numId w:val="226"/>
        </w:numPr>
        <w:ind w:right="72" w:hanging="1068"/>
      </w:pPr>
      <w:r>
        <w:t xml:space="preserve">La ocupación con elementos, accesorios o instalaciones que no se ajusten a los requisitos que para los mismos se establecen en esta Ordenanza. </w:t>
      </w:r>
    </w:p>
    <w:p w:rsidR="00B064CF" w:rsidRDefault="00E32F70">
      <w:pPr>
        <w:numPr>
          <w:ilvl w:val="1"/>
          <w:numId w:val="226"/>
        </w:numPr>
        <w:ind w:right="72" w:hanging="1068"/>
      </w:pPr>
      <w:r>
        <w:t xml:space="preserve">No señalar sobre el pavimento los límites de la ocupación autorizada, cuando ello resulte exigible en virtud de lo dispuesto en la presente Ordenanza. </w:t>
      </w:r>
    </w:p>
    <w:p w:rsidR="00B064CF" w:rsidRDefault="00E32F70">
      <w:pPr>
        <w:numPr>
          <w:ilvl w:val="1"/>
          <w:numId w:val="226"/>
        </w:numPr>
        <w:ind w:right="72" w:hanging="1068"/>
      </w:pPr>
      <w:r>
        <w:t xml:space="preserve">Incumplir, en menos de una hora, el horario de ocupación autorizado. </w:t>
      </w:r>
    </w:p>
    <w:p w:rsidR="00B064CF" w:rsidRDefault="00E32F70">
      <w:pPr>
        <w:numPr>
          <w:ilvl w:val="0"/>
          <w:numId w:val="226"/>
        </w:numPr>
        <w:spacing w:after="11"/>
        <w:ind w:left="592" w:right="744" w:hanging="247"/>
        <w:jc w:val="left"/>
      </w:pPr>
      <w:r>
        <w:t xml:space="preserve">Serán infracciones muy graves las siguientes: </w:t>
      </w:r>
    </w:p>
    <w:p w:rsidR="00B064CF" w:rsidRDefault="00E32F70">
      <w:pPr>
        <w:numPr>
          <w:ilvl w:val="1"/>
          <w:numId w:val="227"/>
        </w:numPr>
        <w:ind w:right="72" w:hanging="360"/>
      </w:pPr>
      <w:r>
        <w:t xml:space="preserve">La ocupación de los espacios públicos sin la obtención del correspondiente título habilitante, ya sea por no haberlo solicitado o por haber sido denegado. </w:t>
      </w:r>
    </w:p>
    <w:p w:rsidR="00B064CF" w:rsidRDefault="00E32F70">
      <w:pPr>
        <w:numPr>
          <w:ilvl w:val="1"/>
          <w:numId w:val="227"/>
        </w:numPr>
        <w:ind w:right="72" w:hanging="360"/>
      </w:pPr>
      <w:r>
        <w:t>Desobedecer las órdenes emanadas de la Autoridad Muni</w:t>
      </w:r>
      <w:r>
        <w:t xml:space="preserve">cipal competente.  </w:t>
      </w:r>
    </w:p>
    <w:p w:rsidR="00B064CF" w:rsidRDefault="00E32F70">
      <w:pPr>
        <w:numPr>
          <w:ilvl w:val="1"/>
          <w:numId w:val="227"/>
        </w:numPr>
        <w:ind w:right="72" w:hanging="360"/>
      </w:pPr>
      <w:r>
        <w:t xml:space="preserve">Mantener la instalación una vez suspendida o revocada la autorización. </w:t>
      </w:r>
    </w:p>
    <w:p w:rsidR="00B064CF" w:rsidRDefault="00E32F70">
      <w:pPr>
        <w:numPr>
          <w:ilvl w:val="1"/>
          <w:numId w:val="227"/>
        </w:numPr>
        <w:ind w:right="72" w:hanging="360"/>
      </w:pPr>
      <w:r>
        <w:t xml:space="preserve">Mantener la instalación una vez finalizado el plano de vigencia de la autorización sin que ésta se hubiese renovado tácita o expresamente. </w:t>
      </w:r>
    </w:p>
    <w:p w:rsidR="00B064CF" w:rsidRDefault="00E32F70">
      <w:pPr>
        <w:numPr>
          <w:ilvl w:val="1"/>
          <w:numId w:val="227"/>
        </w:numPr>
        <w:ind w:right="72" w:hanging="360"/>
      </w:pPr>
      <w:r>
        <w:t>El incumplimiento de alg</w:t>
      </w:r>
      <w:r>
        <w:t xml:space="preserve">una de las condiciones de la autorización referida a la seguridad de los elementos a instalar. </w:t>
      </w:r>
    </w:p>
    <w:p w:rsidR="00B064CF" w:rsidRDefault="00E32F70">
      <w:pPr>
        <w:numPr>
          <w:ilvl w:val="1"/>
          <w:numId w:val="227"/>
        </w:numPr>
        <w:ind w:right="72" w:hanging="360"/>
      </w:pPr>
      <w:r>
        <w:t>La ocupación material del dominio público sin la cobertura, cuando resulte exigible, del seguro de responsabilidad civil a que se refiere el número 3 del artícu</w:t>
      </w:r>
      <w:r>
        <w:t xml:space="preserve">lo 9, ya fuera por no haberlo contratado o por no renovar el que se hubiera suscrito. </w:t>
      </w:r>
    </w:p>
    <w:p w:rsidR="00B064CF" w:rsidRDefault="00E32F70">
      <w:pPr>
        <w:numPr>
          <w:ilvl w:val="1"/>
          <w:numId w:val="227"/>
        </w:numPr>
        <w:ind w:right="72" w:hanging="360"/>
      </w:pPr>
      <w:r>
        <w:rPr>
          <w:rFonts w:ascii="Calibri" w:eastAsia="Calibri" w:hAnsi="Calibri" w:cs="Calibri"/>
          <w:noProof/>
        </w:rPr>
        <mc:AlternateContent>
          <mc:Choice Requires="wpg">
            <w:drawing>
              <wp:anchor distT="0" distB="0" distL="114300" distR="114300" simplePos="0" relativeHeight="25193676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21737" name="Group 421737"/>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2334" name="Rectangle 42334"/>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42335" name="Rectangle 42335"/>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Documento firmado electrónicamente desde la plataforma esPublico G</w:t>
                              </w:r>
                              <w:r>
                                <w:rPr>
                                  <w:sz w:val="12"/>
                                </w:rPr>
                                <w:t xml:space="preserve">estiona | Página 268 de 298 </w:t>
                              </w:r>
                            </w:p>
                          </w:txbxContent>
                        </wps:txbx>
                        <wps:bodyPr horzOverflow="overflow" vert="horz" lIns="0" tIns="0" rIns="0" bIns="0" rtlCol="0">
                          <a:noAutofit/>
                        </wps:bodyPr>
                      </wps:wsp>
                    </wpg:wgp>
                  </a:graphicData>
                </a:graphic>
              </wp:anchor>
            </w:drawing>
          </mc:Choice>
          <mc:Fallback xmlns:a="http://schemas.openxmlformats.org/drawingml/2006/main">
            <w:pict>
              <v:group id="Group 421737" style="width:12.7031pt;height:278.91pt;position:absolute;mso-position-horizontal-relative:page;mso-position-horizontal:absolute;margin-left:682.278pt;mso-position-vertical-relative:page;margin-top:533.01pt;" coordsize="1613,35421">
                <v:rect id="Rectangle 42334"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2335"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268 de 298 </w:t>
                        </w:r>
                      </w:p>
                    </w:txbxContent>
                  </v:textbox>
                </v:rect>
                <w10:wrap type="square"/>
              </v:group>
            </w:pict>
          </mc:Fallback>
        </mc:AlternateContent>
      </w:r>
      <w:r>
        <w:t xml:space="preserve">La ocupación material del dominio público sin haber constituido previamente la garantía a que se refiere el número 1 del artículo 9, cuando se hubiera impuesto como condición de eficacia de la autorización. </w:t>
      </w:r>
    </w:p>
    <w:p w:rsidR="00B064CF" w:rsidRDefault="00E32F70">
      <w:pPr>
        <w:numPr>
          <w:ilvl w:val="1"/>
          <w:numId w:val="227"/>
        </w:numPr>
        <w:ind w:right="72" w:hanging="360"/>
      </w:pPr>
      <w:r>
        <w:t>La puesta en funcio</w:t>
      </w:r>
      <w:r>
        <w:t xml:space="preserve">namiento de una instalación sin haber presentado ante el Ayuntamiento de Candelaria la documentación acreditativa de la seguridad de la misma. </w:t>
      </w:r>
    </w:p>
    <w:p w:rsidR="00B064CF" w:rsidRDefault="00E32F70">
      <w:pPr>
        <w:numPr>
          <w:ilvl w:val="1"/>
          <w:numId w:val="227"/>
        </w:numPr>
        <w:spacing w:after="79" w:line="329" w:lineRule="auto"/>
        <w:ind w:right="72" w:hanging="360"/>
      </w:pPr>
      <w:r>
        <w:t>La puesta en funcionamiento de una instalación sin estar en posesión del certificado técnico a que se refiere el</w:t>
      </w:r>
      <w:r>
        <w:t xml:space="preserve"> número 4 del artículo 11, cuando fuera exigible. hh) Incumplir, en más de una hora, el horario de ocupación autorizado. </w:t>
      </w:r>
    </w:p>
    <w:p w:rsidR="00B064CF" w:rsidRDefault="00E32F70">
      <w:pPr>
        <w:numPr>
          <w:ilvl w:val="1"/>
          <w:numId w:val="228"/>
        </w:numPr>
        <w:ind w:right="72" w:hanging="360"/>
      </w:pPr>
      <w:r>
        <w:t xml:space="preserve">La producción de molestias graves a los vecinos o transeúntes derivadas del funcionamiento de la actividad llevada a cabo en el dominio público, incumpliendo las condiciones establecidas en esta Ordenanza o en la autorización otorgada. </w:t>
      </w:r>
    </w:p>
    <w:p w:rsidR="00B064CF" w:rsidRDefault="00E32F70">
      <w:pPr>
        <w:numPr>
          <w:ilvl w:val="1"/>
          <w:numId w:val="228"/>
        </w:numPr>
        <w:ind w:right="72" w:hanging="360"/>
      </w:pPr>
      <w:r>
        <w:t>El impedimento o la</w:t>
      </w:r>
      <w:r>
        <w:t xml:space="preserve"> grave y relevante obstrucción al normal funcionamiento de un servicio público.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Artículo 54. Sanciones </w:t>
      </w:r>
    </w:p>
    <w:p w:rsidR="00B064CF" w:rsidRDefault="00E32F70">
      <w:pPr>
        <w:spacing w:line="246" w:lineRule="auto"/>
        <w:ind w:left="628" w:right="58" w:hanging="283"/>
        <w:jc w:val="left"/>
      </w:pPr>
      <w:r>
        <w:t>1. Cualquier infracción a las disposiciones de la presente Ordenanza será sancionada, según proceda, con: un mero apercibimiento y/o la incautación</w:t>
      </w:r>
      <w:r>
        <w:t xml:space="preserve"> de la fianza y/o la suspensión y la revocación de la autorización junto con la retirada de la instalación y/o el precinto de las instalaciones y la imposición de multa conforme al punto 2 del presente. </w:t>
      </w:r>
    </w:p>
    <w:p w:rsidR="00B064CF" w:rsidRDefault="00E32F70">
      <w:pPr>
        <w:numPr>
          <w:ilvl w:val="0"/>
          <w:numId w:val="229"/>
        </w:numPr>
        <w:ind w:right="72" w:hanging="708"/>
      </w:pPr>
      <w:r>
        <w:t>Las infracciones a la presente Ordenanza se sanciona</w:t>
      </w:r>
      <w:r>
        <w:t xml:space="preserve">rán de la siguiente forma: </w:t>
      </w:r>
    </w:p>
    <w:p w:rsidR="00B064CF" w:rsidRDefault="00E32F70">
      <w:pPr>
        <w:numPr>
          <w:ilvl w:val="1"/>
          <w:numId w:val="229"/>
        </w:numPr>
        <w:spacing w:after="198"/>
        <w:ind w:right="72" w:hanging="360"/>
      </w:pPr>
      <w:r>
        <w:t xml:space="preserve">Las infracciones leves, con mero apercibimiento o con multa de doscientos euros (200,00 €) a setecientos cincuenta euros (750,00 €). </w:t>
      </w:r>
    </w:p>
    <w:p w:rsidR="00B064CF" w:rsidRDefault="00E32F70">
      <w:pPr>
        <w:numPr>
          <w:ilvl w:val="1"/>
          <w:numId w:val="229"/>
        </w:numPr>
        <w:spacing w:after="202"/>
        <w:ind w:right="72" w:hanging="360"/>
      </w:pPr>
      <w:r>
        <w:t>Las infracciones graves con multa de setecientos cincuenta y un euros (751,00 €) a mil quinien</w:t>
      </w:r>
      <w:r>
        <w:t xml:space="preserve">tos euros (1.500 €) y/o, con la suspensión y revocación de la autorización junto con la retirada de la instalación o precinto de las instalaciones por un periodo de hasta tres (3) meses </w:t>
      </w:r>
    </w:p>
    <w:p w:rsidR="00B064CF" w:rsidRDefault="00E32F70">
      <w:pPr>
        <w:numPr>
          <w:ilvl w:val="1"/>
          <w:numId w:val="229"/>
        </w:numPr>
        <w:ind w:right="72" w:hanging="360"/>
      </w:pPr>
      <w:r>
        <w:t>Las infracciones muy graves, con multa de mil quinientos un euro (1.5</w:t>
      </w:r>
      <w:r>
        <w:t>01,00 €) hasta tres mil euros (3.000,00 €), suspensión temporal de la autorización por un periodo de hasta seis (6) meses y/o revocación del título. En este último supuesto, el infractor no podrá obtener una nueva autorización para ocupar el dominio públic</w:t>
      </w:r>
      <w:r>
        <w:t xml:space="preserve">o durante el año siguiente al de la firmeza de la resolución por la que se imponga la sanción. </w:t>
      </w:r>
    </w:p>
    <w:p w:rsidR="00B064CF" w:rsidRDefault="00E32F70">
      <w:pPr>
        <w:numPr>
          <w:ilvl w:val="0"/>
          <w:numId w:val="229"/>
        </w:numPr>
        <w:ind w:right="72" w:hanging="708"/>
      </w:pPr>
      <w:r>
        <w:t>La reincidencia en la comisión de actos tipificados como infracción en la presente Ordenanza, conllevará la graduación de la multa en límite máximo, y además, e</w:t>
      </w:r>
      <w:r>
        <w:t xml:space="preserve">n caso de ser grave o muy grave se decretará la suspensión de la autorización junto con la retirada de la instalación de la vía pública o precinto de la instalación. </w:t>
      </w:r>
    </w:p>
    <w:p w:rsidR="00B064CF" w:rsidRDefault="00E32F70">
      <w:pPr>
        <w:numPr>
          <w:ilvl w:val="0"/>
          <w:numId w:val="229"/>
        </w:numPr>
        <w:ind w:right="72" w:hanging="708"/>
      </w:pPr>
      <w:r>
        <w:t>No tendrá carácter de sanción la retirada de elementos regulada en el artículo 10, así co</w:t>
      </w:r>
      <w:r>
        <w:t xml:space="preserve">mo las medidas cautelares impuestas para asegurar el cumplimiento de las sanciones. </w:t>
      </w:r>
    </w:p>
    <w:p w:rsidR="00B064CF" w:rsidRDefault="00E32F70">
      <w:pPr>
        <w:spacing w:after="11"/>
        <w:ind w:left="355" w:right="72"/>
      </w:pPr>
      <w:r>
        <w:t xml:space="preserve">Artículo 55. Graduación de las sanciones: </w:t>
      </w:r>
    </w:p>
    <w:p w:rsidR="00B064CF" w:rsidRDefault="00E32F70">
      <w:pPr>
        <w:spacing w:after="0"/>
        <w:ind w:left="355" w:right="72"/>
      </w:pPr>
      <w:r>
        <w:rPr>
          <w:rFonts w:ascii="Calibri" w:eastAsia="Calibri" w:hAnsi="Calibri" w:cs="Calibri"/>
          <w:noProof/>
        </w:rPr>
        <mc:AlternateContent>
          <mc:Choice Requires="wpg">
            <w:drawing>
              <wp:anchor distT="0" distB="0" distL="114300" distR="114300" simplePos="0" relativeHeight="25193779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21896" name="Group 421896"/>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2453" name="Rectangle 42453"/>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42454" name="Rectangle 42454"/>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269 de 298 </w:t>
                              </w:r>
                            </w:p>
                          </w:txbxContent>
                        </wps:txbx>
                        <wps:bodyPr horzOverflow="overflow" vert="horz" lIns="0" tIns="0" rIns="0" bIns="0" rtlCol="0">
                          <a:noAutofit/>
                        </wps:bodyPr>
                      </wps:wsp>
                    </wpg:wgp>
                  </a:graphicData>
                </a:graphic>
              </wp:anchor>
            </w:drawing>
          </mc:Choice>
          <mc:Fallback xmlns:a="http://schemas.openxmlformats.org/drawingml/2006/main">
            <w:pict>
              <v:group id="Group 421896" style="width:12.7031pt;height:278.91pt;position:absolute;mso-position-horizontal-relative:page;mso-position-horizontal:absolute;margin-left:682.278pt;mso-position-vertical-relative:page;margin-top:533.01pt;" coordsize="1613,35421">
                <v:rect id="Rectangle 42453"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2454"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269 de 298 </w:t>
                        </w:r>
                      </w:p>
                    </w:txbxContent>
                  </v:textbox>
                </v:rect>
                <w10:wrap type="square"/>
              </v:group>
            </w:pict>
          </mc:Fallback>
        </mc:AlternateContent>
      </w:r>
      <w:r>
        <w:t xml:space="preserve">En la imposición de las sanciones, el órgano competente para imponerlas se ajustará a criterios de proporcionalidad, teniendo en cuenta, para graduar la cuantía </w:t>
      </w:r>
      <w:r>
        <w:t xml:space="preserve">de las multas y la imposición de las sanciones accesorias, los siguientes criterios: </w:t>
      </w:r>
    </w:p>
    <w:p w:rsidR="00B064CF" w:rsidRDefault="00E32F70">
      <w:pPr>
        <w:numPr>
          <w:ilvl w:val="1"/>
          <w:numId w:val="229"/>
        </w:numPr>
        <w:ind w:right="72" w:hanging="360"/>
      </w:pPr>
      <w:r>
        <w:t xml:space="preserve">La transcendencia social y el perjuicio causado por la infracción cometida. </w:t>
      </w:r>
    </w:p>
    <w:p w:rsidR="00B064CF" w:rsidRDefault="00E32F70">
      <w:pPr>
        <w:numPr>
          <w:ilvl w:val="1"/>
          <w:numId w:val="229"/>
        </w:numPr>
        <w:ind w:right="72" w:hanging="360"/>
      </w:pPr>
      <w:r>
        <w:t>El ánimo de lucro ilícito y la cuantía del beneficio obtenido en la comisión de la infracción</w:t>
      </w:r>
      <w:r>
        <w:t xml:space="preserve">. </w:t>
      </w:r>
    </w:p>
    <w:p w:rsidR="00B064CF" w:rsidRDefault="00E32F70">
      <w:pPr>
        <w:numPr>
          <w:ilvl w:val="1"/>
          <w:numId w:val="229"/>
        </w:numPr>
        <w:ind w:right="72" w:hanging="360"/>
      </w:pPr>
      <w:r>
        <w:t xml:space="preserve">La reiteración o reincidencia en la comisión de infracciones. </w:t>
      </w:r>
    </w:p>
    <w:p w:rsidR="00B064CF" w:rsidRDefault="00E32F70">
      <w:pPr>
        <w:numPr>
          <w:ilvl w:val="1"/>
          <w:numId w:val="229"/>
        </w:numPr>
        <w:ind w:right="72" w:hanging="360"/>
      </w:pPr>
      <w:r>
        <w:t xml:space="preserve">Grado de culpabilidad e intencionalidad </w:t>
      </w:r>
    </w:p>
    <w:p w:rsidR="00B064CF" w:rsidRDefault="00E32F70">
      <w:pPr>
        <w:numPr>
          <w:ilvl w:val="1"/>
          <w:numId w:val="229"/>
        </w:numPr>
        <w:ind w:right="72" w:hanging="360"/>
      </w:pPr>
      <w:r>
        <w:t xml:space="preserve">Beneficio económico obtenido y capacidad económica del infractor. </w:t>
      </w:r>
    </w:p>
    <w:p w:rsidR="00B064CF" w:rsidRDefault="00E32F70">
      <w:pPr>
        <w:spacing w:after="11"/>
        <w:ind w:left="355" w:right="72"/>
      </w:pPr>
      <w:r>
        <w:t xml:space="preserve">Artículo 56. Responsabilidad e indemnizaciones. </w:t>
      </w:r>
    </w:p>
    <w:p w:rsidR="00B064CF" w:rsidRDefault="00E32F70">
      <w:pPr>
        <w:spacing w:after="0"/>
        <w:ind w:left="355" w:right="72"/>
      </w:pPr>
      <w:r>
        <w:t>La imposición de cualquiera de la</w:t>
      </w:r>
      <w:r>
        <w:t xml:space="preserve">s sanciones establecidas en la presente ordenanza no excluye la responsabilidad civil de la persona sancionada ni la indemnización que se le pueda exigir por daños y perjuicios. </w:t>
      </w:r>
    </w:p>
    <w:p w:rsidR="00B064CF" w:rsidRDefault="00E32F70">
      <w:pPr>
        <w:spacing w:after="0"/>
        <w:ind w:left="355" w:right="72"/>
      </w:pPr>
      <w:r>
        <w:t xml:space="preserve">El abono de las sanciones impuestas no eximirá de la obligación de restaurar </w:t>
      </w:r>
      <w:r>
        <w:t xml:space="preserve">la legalidad infringida, pudiendo el Ayuntamiento de Candelaria a realizar la ejecución subsidiaria a costa del incumplidor, así como las medidas cautelares precisas para asegurar el cumplimiento. </w:t>
      </w:r>
    </w:p>
    <w:p w:rsidR="00B064CF" w:rsidRDefault="00E32F70">
      <w:pPr>
        <w:spacing w:after="11"/>
        <w:ind w:left="355" w:right="72"/>
      </w:pPr>
      <w:r>
        <w:t xml:space="preserve">Artículo 57. Personas responsables </w:t>
      </w:r>
    </w:p>
    <w:p w:rsidR="00B064CF" w:rsidRDefault="00E32F70">
      <w:pPr>
        <w:numPr>
          <w:ilvl w:val="1"/>
          <w:numId w:val="230"/>
        </w:numPr>
        <w:ind w:right="72" w:hanging="360"/>
      </w:pPr>
      <w:r>
        <w:t>Serán responsables dir</w:t>
      </w:r>
      <w:r>
        <w:t xml:space="preserve">ectos de las infracciones a esta Ordenanza sus autores materiales y en todo caso la persona física o jurídica que explote la actividad que dé lugar a la ocupación. </w:t>
      </w:r>
    </w:p>
    <w:p w:rsidR="00B064CF" w:rsidRDefault="00E32F70">
      <w:pPr>
        <w:numPr>
          <w:ilvl w:val="1"/>
          <w:numId w:val="230"/>
        </w:numPr>
        <w:ind w:right="72" w:hanging="360"/>
      </w:pPr>
      <w:r>
        <w:t>Cuando las actuaciones constitutivas de infracción sean cometidas por varias personas, conj</w:t>
      </w:r>
      <w:r>
        <w:t xml:space="preserve">untamente, responderán todas ellas de forma solidaria. </w:t>
      </w:r>
    </w:p>
    <w:p w:rsidR="00B064CF" w:rsidRDefault="00E32F70">
      <w:pPr>
        <w:numPr>
          <w:ilvl w:val="1"/>
          <w:numId w:val="230"/>
        </w:numPr>
        <w:ind w:right="72" w:hanging="360"/>
      </w:pPr>
      <w:r>
        <w:t xml:space="preserve">Los técnicos que suscriban la documentación técnica. </w:t>
      </w:r>
    </w:p>
    <w:p w:rsidR="00B064CF" w:rsidRDefault="00E32F70">
      <w:pPr>
        <w:spacing w:after="11"/>
        <w:ind w:left="355" w:right="72"/>
      </w:pPr>
      <w:r>
        <w:t xml:space="preserve">Artículo 58. Inspección y Control. </w:t>
      </w:r>
    </w:p>
    <w:p w:rsidR="00B064CF" w:rsidRDefault="00E32F70">
      <w:pPr>
        <w:spacing w:after="0"/>
        <w:ind w:left="355" w:right="72"/>
      </w:pPr>
      <w:r>
        <w:t>La inspección y control del cumplimiento derivado de la aplicación de esta Ordenanza corresponde a la Policía Local de Candelaria y al servicio de Inspección de Vía Pública, quienes velarán por el fiel e íntegro cumplimiento de lo dispuesto en esta Ordenan</w:t>
      </w:r>
      <w:r>
        <w:t xml:space="preserve">za, vigilando y denunciando las infracciones en las que puedan incurrir los interesados. </w:t>
      </w:r>
    </w:p>
    <w:p w:rsidR="00B064CF" w:rsidRDefault="00E32F70">
      <w:pPr>
        <w:spacing w:after="0"/>
        <w:ind w:left="355" w:right="72"/>
      </w:pPr>
      <w:r>
        <w:t>Las denuncias formuladas por personas particulares, una vez comprobadas, podrán dar lugar a la adopción de medidas cautelares y a la incoación de un expediente sancio</w:t>
      </w:r>
      <w:r>
        <w:t xml:space="preserve">nador.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Artículo 59. Procedimiento </w:t>
      </w:r>
    </w:p>
    <w:p w:rsidR="00B064CF" w:rsidRDefault="00E32F70">
      <w:pPr>
        <w:spacing w:after="0"/>
        <w:ind w:left="355" w:right="72"/>
      </w:pPr>
      <w:r>
        <w:t xml:space="preserve">La potestad sancionadora se ejercerá observando el procedimiento establecido al efecto por la legislación general del procedimiento administrativo común.  </w:t>
      </w:r>
    </w:p>
    <w:p w:rsidR="00B064CF" w:rsidRDefault="00E32F70">
      <w:pPr>
        <w:spacing w:after="0"/>
        <w:ind w:left="355" w:right="72"/>
      </w:pPr>
      <w:r>
        <w:t xml:space="preserve">En la resolución se adoptarán, en su caso, la disposición cautelar precisa para garantizar su eficacia en tanto no sea ejecutiva. </w:t>
      </w:r>
    </w:p>
    <w:p w:rsidR="00B064CF" w:rsidRDefault="00E32F70">
      <w:pPr>
        <w:spacing w:after="11"/>
        <w:ind w:left="355" w:right="72"/>
      </w:pPr>
      <w:r>
        <w:t xml:space="preserve">Artículo 60. Medidas cautelares. </w:t>
      </w:r>
    </w:p>
    <w:p w:rsidR="00B064CF" w:rsidRDefault="00E32F70">
      <w:pPr>
        <w:numPr>
          <w:ilvl w:val="0"/>
          <w:numId w:val="231"/>
        </w:numPr>
        <w:ind w:right="72" w:hanging="360"/>
      </w:pPr>
      <w:r>
        <w:t>El órgano competente para iniciar el procedimiento sancionador, por propia iniciativa o a p</w:t>
      </w:r>
      <w:r>
        <w:t xml:space="preserve">ropuesta de instructor, podrá adoptar motivadamente las medidas cautelares de carácter provisional que sean necesarias para asegurar la eficacia de la resolución final que pudiera recaer. </w:t>
      </w:r>
    </w:p>
    <w:p w:rsidR="00B064CF" w:rsidRDefault="00E32F70">
      <w:pPr>
        <w:numPr>
          <w:ilvl w:val="0"/>
          <w:numId w:val="231"/>
        </w:numPr>
        <w:ind w:right="72" w:hanging="360"/>
      </w:pPr>
      <w:r>
        <w:rPr>
          <w:rFonts w:ascii="Calibri" w:eastAsia="Calibri" w:hAnsi="Calibri" w:cs="Calibri"/>
          <w:noProof/>
        </w:rPr>
        <mc:AlternateContent>
          <mc:Choice Requires="wpg">
            <w:drawing>
              <wp:anchor distT="0" distB="0" distL="114300" distR="114300" simplePos="0" relativeHeight="25193881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22113" name="Group 422113"/>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2561" name="Rectangle 42561"/>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64SKSNYNJRFPNN5DLPPAAC3GS | Verificación: https</w:t>
                              </w:r>
                              <w:r>
                                <w:rPr>
                                  <w:sz w:val="12"/>
                                </w:rPr>
                                <w:t xml:space="preserve">://candelaria.sedelectronica.es/ </w:t>
                              </w:r>
                            </w:p>
                          </w:txbxContent>
                        </wps:txbx>
                        <wps:bodyPr horzOverflow="overflow" vert="horz" lIns="0" tIns="0" rIns="0" bIns="0" rtlCol="0">
                          <a:noAutofit/>
                        </wps:bodyPr>
                      </wps:wsp>
                      <wps:wsp>
                        <wps:cNvPr id="42562" name="Rectangle 42562"/>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270 de 298 </w:t>
                              </w:r>
                            </w:p>
                          </w:txbxContent>
                        </wps:txbx>
                        <wps:bodyPr horzOverflow="overflow" vert="horz" lIns="0" tIns="0" rIns="0" bIns="0" rtlCol="0">
                          <a:noAutofit/>
                        </wps:bodyPr>
                      </wps:wsp>
                    </wpg:wgp>
                  </a:graphicData>
                </a:graphic>
              </wp:anchor>
            </w:drawing>
          </mc:Choice>
          <mc:Fallback xmlns:a="http://schemas.openxmlformats.org/drawingml/2006/main">
            <w:pict>
              <v:group id="Group 422113" style="width:12.7031pt;height:278.91pt;position:absolute;mso-position-horizontal-relative:page;mso-position-horizontal:absolute;margin-left:682.278pt;mso-position-vertical-relative:page;margin-top:533.01pt;" coordsize="1613,35421">
                <v:rect id="Rectangle 42561"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2562"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270 de 298 </w:t>
                        </w:r>
                      </w:p>
                    </w:txbxContent>
                  </v:textbox>
                </v:rect>
                <w10:wrap type="square"/>
              </v:group>
            </w:pict>
          </mc:Fallback>
        </mc:AlternateContent>
      </w:r>
      <w:r>
        <w:t>Excepcionalmente y motivadamente, los Servicios de Inspección y la Policía Local, por propia autoridad, están habilitados, pa</w:t>
      </w:r>
      <w:r>
        <w:t xml:space="preserve">ra adoptar medidas cautelares que fueran necesarias para garantizar el cumplimiento de la presente ordenanza. </w:t>
      </w:r>
    </w:p>
    <w:p w:rsidR="00B064CF" w:rsidRDefault="00E32F70">
      <w:pPr>
        <w:spacing w:after="11"/>
        <w:ind w:left="355" w:right="72"/>
      </w:pPr>
      <w:r>
        <w:t xml:space="preserve">Artículo 61. Prescripción </w:t>
      </w:r>
    </w:p>
    <w:p w:rsidR="00B064CF" w:rsidRDefault="00E32F70">
      <w:pPr>
        <w:spacing w:after="0"/>
        <w:ind w:left="355" w:right="72"/>
      </w:pPr>
      <w:r>
        <w:t xml:space="preserve">Las infracciones y sanciones muy graves según lo dispuesto en las leyes que las establezcan. Si estas no fijan plazos </w:t>
      </w:r>
      <w:r>
        <w:t xml:space="preserve">de prescripción, las infracciones muy graves prescribirán a los tres años, las graves a los dos años y las leves a los seis meses.  </w:t>
      </w:r>
    </w:p>
    <w:p w:rsidR="00B064CF" w:rsidRDefault="00E32F70">
      <w:pPr>
        <w:spacing w:after="0"/>
        <w:ind w:left="355" w:right="72"/>
      </w:pPr>
      <w:r>
        <w:t>Las sanciones impuestas por infracciones muy graves prescribirán a los tres años, las graves a los dos años y las impuestas</w:t>
      </w:r>
      <w:r>
        <w:t xml:space="preserve"> por infracciones leves al año. </w:t>
      </w:r>
    </w:p>
    <w:p w:rsidR="00B064CF" w:rsidRDefault="00E32F70">
      <w:pPr>
        <w:spacing w:after="0"/>
        <w:ind w:left="355" w:right="72"/>
      </w:pPr>
      <w:r>
        <w:t xml:space="preserve"> El plazo de prescripción de la sanción comenzará a contarse desde el día siguiente a aquél en que adquiera firmeza la resolución por la que se imponga la sanción. </w:t>
      </w:r>
    </w:p>
    <w:p w:rsidR="00B064CF" w:rsidRDefault="00E32F70">
      <w:pPr>
        <w:spacing w:after="0"/>
        <w:ind w:left="355" w:right="72"/>
      </w:pPr>
      <w:r>
        <w:t>El plazo máximo para la resolución y notificación de los p</w:t>
      </w:r>
      <w:r>
        <w:t xml:space="preserve">rocedimientos sancionadores será de seis meses desde su inicio.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DISPOSICIÓN TRANSITORIA ÚNICA </w:t>
      </w:r>
    </w:p>
    <w:p w:rsidR="00B064CF" w:rsidRDefault="00E32F70">
      <w:pPr>
        <w:spacing w:after="0"/>
        <w:ind w:left="355" w:right="72"/>
      </w:pPr>
      <w:r>
        <w:t>Las ocupaciones de dominio público que a la entrada en vigor de la presente Ordenanza incumpliesen la misma, deberán solicitar en el plazo improrrogable de un mes, licencia municipal, y el Ayuntamiento deberá resolver en el plazo improrrogable de tres mese</w:t>
      </w:r>
      <w:r>
        <w:t xml:space="preserve">s la concesión o denegación de la misma, según cumplan o no con dicha Ordenanza, y a tal efecto estos expedientes gozarán de preferencia y sumariedad en la Oficina Técnica municipal. </w:t>
      </w:r>
    </w:p>
    <w:p w:rsidR="00B064CF" w:rsidRDefault="00E32F70">
      <w:pPr>
        <w:spacing w:after="0"/>
        <w:ind w:left="355" w:right="72"/>
      </w:pPr>
      <w:r>
        <w:t xml:space="preserve">Una vez finalizado dicho plazo de un mes sin solicitar la licencia para </w:t>
      </w:r>
      <w:r>
        <w:t xml:space="preserve">la adaptación a la Ordenanza municipal, o en el caso de que, solicitada la licencia, esta fuera denegada, las instalaciones serán retiradas de la vía pública por la Policía Local.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DISPOSICIÓN DEROGATORIA </w:t>
      </w:r>
    </w:p>
    <w:p w:rsidR="00B064CF" w:rsidRDefault="00E32F70">
      <w:pPr>
        <w:spacing w:after="11"/>
        <w:ind w:left="355" w:right="72"/>
      </w:pPr>
      <w:r>
        <w:t xml:space="preserve">Única. Derogación normativa </w:t>
      </w:r>
    </w:p>
    <w:p w:rsidR="00B064CF" w:rsidRDefault="00E32F70">
      <w:pPr>
        <w:spacing w:after="0"/>
        <w:ind w:left="355" w:right="72"/>
      </w:pPr>
      <w:r>
        <w:t>Queda derogadas las</w:t>
      </w:r>
      <w:r>
        <w:t xml:space="preserve"> disposiciones de igual o inferior rango se opongan a lo dispuesto en la presente Ordenanza.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DISPOSICIÓN FINAL ÚNICA </w:t>
      </w:r>
    </w:p>
    <w:p w:rsidR="00B064CF" w:rsidRDefault="00E32F70">
      <w:pPr>
        <w:spacing w:after="11"/>
        <w:ind w:left="355" w:right="72"/>
      </w:pPr>
      <w:r>
        <w:t xml:space="preserve">Publicación y entrada en vigor </w:t>
      </w:r>
    </w:p>
    <w:p w:rsidR="00B064CF" w:rsidRDefault="00E32F70">
      <w:pPr>
        <w:spacing w:after="0"/>
        <w:ind w:left="355" w:right="72"/>
      </w:pPr>
      <w:r>
        <w:t>De conformidad con lo dispuesto en los artículos 56.1, 65.2 y 70.2 de la Ley 7/1985, de 2 de abril, reg</w:t>
      </w:r>
      <w:r>
        <w:t xml:space="preserve">uladora de las Bases del Régimen Local: </w:t>
      </w:r>
    </w:p>
    <w:p w:rsidR="00B064CF" w:rsidRDefault="00E32F70">
      <w:pPr>
        <w:numPr>
          <w:ilvl w:val="0"/>
          <w:numId w:val="232"/>
        </w:numPr>
        <w:spacing w:after="0"/>
        <w:ind w:right="72"/>
      </w:pPr>
      <w:r>
        <w:t xml:space="preserve">El acuerdo de aprobación definitiva de la presente Ordenanza se comunicará a la Administración del Estado y a la Administración de la Comunidad Autónoma de Canarias. </w:t>
      </w:r>
    </w:p>
    <w:p w:rsidR="00B064CF" w:rsidRDefault="00E32F70">
      <w:pPr>
        <w:numPr>
          <w:ilvl w:val="0"/>
          <w:numId w:val="232"/>
        </w:numPr>
        <w:spacing w:after="0"/>
        <w:ind w:right="72"/>
      </w:pPr>
      <w:r>
        <w:t>Transcurrido el plazo de quince días desde la re</w:t>
      </w:r>
      <w:r>
        <w:t xml:space="preserve">cepción de la comunicación, el acuerdo de aprobación definitiva y el contenido de la Ordenanza se publicarán en el Boletín Oficial de la Provincia. </w:t>
      </w:r>
    </w:p>
    <w:p w:rsidR="00B064CF" w:rsidRDefault="00E32F70">
      <w:pPr>
        <w:numPr>
          <w:ilvl w:val="0"/>
          <w:numId w:val="232"/>
        </w:numPr>
        <w:spacing w:after="0"/>
        <w:ind w:right="72"/>
      </w:pPr>
      <w:r>
        <w:t>La Ordenanza entrará en vigor al día siguiente de su publicación íntegra en el Boletín Oficial de la Provin</w:t>
      </w:r>
      <w:r>
        <w:t xml:space="preserve">cia, teniendo en cuenta, en todo caso, el plazo establecido en el artículo 65.2 de la Ley 7/1985, de 2 de abril, Reguladora de las Bases de Régimen Local.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ANEXO I   </w:t>
      </w:r>
    </w:p>
    <w:p w:rsidR="00B064CF" w:rsidRDefault="00E32F70">
      <w:pPr>
        <w:spacing w:after="0"/>
        <w:ind w:left="4411" w:right="771" w:hanging="4066"/>
      </w:pPr>
      <w:r>
        <w:rPr>
          <w:rFonts w:ascii="Calibri" w:eastAsia="Calibri" w:hAnsi="Calibri" w:cs="Calibri"/>
          <w:noProof/>
        </w:rPr>
        <mc:AlternateContent>
          <mc:Choice Requires="wpg">
            <w:drawing>
              <wp:anchor distT="0" distB="0" distL="114300" distR="114300" simplePos="0" relativeHeight="25193984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21804" name="Group 421804"/>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2629" name="Rectangle 42629"/>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42630" name="Rectangle 42630"/>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271 de 298 </w:t>
                              </w:r>
                            </w:p>
                          </w:txbxContent>
                        </wps:txbx>
                        <wps:bodyPr horzOverflow="overflow" vert="horz" lIns="0" tIns="0" rIns="0" bIns="0" rtlCol="0">
                          <a:noAutofit/>
                        </wps:bodyPr>
                      </wps:wsp>
                    </wpg:wgp>
                  </a:graphicData>
                </a:graphic>
              </wp:anchor>
            </w:drawing>
          </mc:Choice>
          <mc:Fallback xmlns:a="http://schemas.openxmlformats.org/drawingml/2006/main">
            <w:pict>
              <v:group id="Group 421804" style="width:12.7031pt;height:278.91pt;position:absolute;mso-position-horizontal-relative:page;mso-position-horizontal:absolute;margin-left:682.278pt;mso-position-vertical-relative:page;margin-top:533.01pt;" coordsize="1613,35421">
                <v:rect id="Rectangle 42629"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2630"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271 de 298 </w:t>
                        </w:r>
                      </w:p>
                    </w:txbxContent>
                  </v:textbox>
                </v:rect>
                <w10:wrap type="square"/>
              </v:group>
            </w:pict>
          </mc:Fallback>
        </mc:AlternateContent>
      </w:r>
      <w:r>
        <w:t>GRÁFICOS OCUPACIONES VINCULADAS A ACTIVIDADES DE HOSTELERIA G</w:t>
      </w:r>
      <w:r>
        <w:t xml:space="preserve">RÁFICO 1.1. </w:t>
      </w:r>
    </w:p>
    <w:p w:rsidR="00B064CF" w:rsidRDefault="00E32F70">
      <w:pPr>
        <w:spacing w:after="0" w:line="259" w:lineRule="auto"/>
        <w:ind w:left="340" w:firstLine="0"/>
        <w:jc w:val="center"/>
      </w:pPr>
      <w:r>
        <w:t xml:space="preserve"> </w:t>
      </w:r>
    </w:p>
    <w:p w:rsidR="00B064CF" w:rsidRDefault="00E32F70">
      <w:pPr>
        <w:spacing w:after="26" w:line="216" w:lineRule="auto"/>
        <w:ind w:left="360" w:right="543" w:firstLine="523"/>
        <w:jc w:val="left"/>
      </w:pPr>
      <w:r>
        <w:rPr>
          <w:noProof/>
        </w:rPr>
        <w:drawing>
          <wp:inline distT="0" distB="0" distL="0" distR="0">
            <wp:extent cx="5401056" cy="2369820"/>
            <wp:effectExtent l="0" t="0" r="0" b="0"/>
            <wp:docPr id="42626" name="Picture 42626"/>
            <wp:cNvGraphicFramePr/>
            <a:graphic xmlns:a="http://schemas.openxmlformats.org/drawingml/2006/main">
              <a:graphicData uri="http://schemas.openxmlformats.org/drawingml/2006/picture">
                <pic:pic xmlns:pic="http://schemas.openxmlformats.org/drawingml/2006/picture">
                  <pic:nvPicPr>
                    <pic:cNvPr id="42626" name="Picture 42626"/>
                    <pic:cNvPicPr/>
                  </pic:nvPicPr>
                  <pic:blipFill>
                    <a:blip r:embed="rId45"/>
                    <a:stretch>
                      <a:fillRect/>
                    </a:stretch>
                  </pic:blipFill>
                  <pic:spPr>
                    <a:xfrm>
                      <a:off x="0" y="0"/>
                      <a:ext cx="5401056" cy="2369820"/>
                    </a:xfrm>
                    <a:prstGeom prst="rect">
                      <a:avLst/>
                    </a:prstGeom>
                  </pic:spPr>
                </pic:pic>
              </a:graphicData>
            </a:graphic>
          </wp:inline>
        </w:drawing>
      </w:r>
      <w:r>
        <w:rPr>
          <w:rFonts w:ascii="Times New Roman" w:eastAsia="Times New Roman" w:hAnsi="Times New Roman" w:cs="Times New Roman"/>
          <w:sz w:val="24"/>
        </w:rPr>
        <w:t xml:space="preserve"> </w:t>
      </w:r>
      <w:r>
        <w:t xml:space="preserve"> </w:t>
      </w:r>
    </w:p>
    <w:p w:rsidR="00B064CF" w:rsidRDefault="00E32F70">
      <w:pPr>
        <w:spacing w:after="13" w:line="250" w:lineRule="auto"/>
        <w:ind w:left="906" w:right="617"/>
        <w:jc w:val="center"/>
      </w:pPr>
      <w:r>
        <w:t xml:space="preserve">GRÁFICO 1.2. </w:t>
      </w:r>
    </w:p>
    <w:p w:rsidR="00B064CF" w:rsidRDefault="00E32F70">
      <w:pPr>
        <w:spacing w:after="78" w:line="259" w:lineRule="auto"/>
        <w:ind w:left="360" w:firstLine="0"/>
        <w:jc w:val="left"/>
      </w:pPr>
      <w:r>
        <w:rPr>
          <w:rFonts w:ascii="Calibri" w:eastAsia="Calibri" w:hAnsi="Calibri" w:cs="Calibri"/>
          <w:noProof/>
        </w:rPr>
        <mc:AlternateContent>
          <mc:Choice Requires="wpg">
            <w:drawing>
              <wp:inline distT="0" distB="0" distL="0" distR="0">
                <wp:extent cx="5751323" cy="4213860"/>
                <wp:effectExtent l="0" t="0" r="0" b="0"/>
                <wp:docPr id="422216" name="Group 422216"/>
                <wp:cNvGraphicFramePr/>
                <a:graphic xmlns:a="http://schemas.openxmlformats.org/drawingml/2006/main">
                  <a:graphicData uri="http://schemas.microsoft.com/office/word/2010/wordprocessingGroup">
                    <wpg:wgp>
                      <wpg:cNvGrpSpPr/>
                      <wpg:grpSpPr>
                        <a:xfrm>
                          <a:off x="0" y="0"/>
                          <a:ext cx="5751323" cy="4213860"/>
                          <a:chOff x="0" y="0"/>
                          <a:chExt cx="5751323" cy="4213860"/>
                        </a:xfrm>
                      </wpg:grpSpPr>
                      <pic:pic xmlns:pic="http://schemas.openxmlformats.org/drawingml/2006/picture">
                        <pic:nvPicPr>
                          <pic:cNvPr id="42652" name="Picture 42652"/>
                          <pic:cNvPicPr/>
                        </pic:nvPicPr>
                        <pic:blipFill>
                          <a:blip r:embed="rId46"/>
                          <a:stretch>
                            <a:fillRect/>
                          </a:stretch>
                        </pic:blipFill>
                        <pic:spPr>
                          <a:xfrm>
                            <a:off x="3392424" y="2414016"/>
                            <a:ext cx="2011680" cy="1799844"/>
                          </a:xfrm>
                          <a:prstGeom prst="rect">
                            <a:avLst/>
                          </a:prstGeom>
                        </pic:spPr>
                      </pic:pic>
                      <wps:wsp>
                        <wps:cNvPr id="42654" name="Rectangle 42654"/>
                        <wps:cNvSpPr/>
                        <wps:spPr>
                          <a:xfrm>
                            <a:off x="359969" y="2335007"/>
                            <a:ext cx="51809" cy="207921"/>
                          </a:xfrm>
                          <a:prstGeom prst="rect">
                            <a:avLst/>
                          </a:prstGeom>
                          <a:ln>
                            <a:noFill/>
                          </a:ln>
                        </wps:spPr>
                        <wps:txbx>
                          <w:txbxContent>
                            <w:p w:rsidR="00B064CF" w:rsidRDefault="00E32F70">
                              <w:pPr>
                                <w:spacing w:after="160" w:line="259" w:lineRule="auto"/>
                                <w:ind w:left="0" w:firstLine="0"/>
                                <w:jc w:val="left"/>
                              </w:pPr>
                              <w:r>
                                <w:t xml:space="preserve"> </w:t>
                              </w:r>
                            </w:p>
                          </w:txbxContent>
                        </wps:txbx>
                        <wps:bodyPr horzOverflow="overflow" vert="horz" lIns="0" tIns="0" rIns="0" bIns="0" rtlCol="0">
                          <a:noAutofit/>
                        </wps:bodyPr>
                      </wps:wsp>
                      <wps:wsp>
                        <wps:cNvPr id="42655" name="Rectangle 42655"/>
                        <wps:cNvSpPr/>
                        <wps:spPr>
                          <a:xfrm>
                            <a:off x="809498" y="2335007"/>
                            <a:ext cx="51809" cy="207921"/>
                          </a:xfrm>
                          <a:prstGeom prst="rect">
                            <a:avLst/>
                          </a:prstGeom>
                          <a:ln>
                            <a:noFill/>
                          </a:ln>
                        </wps:spPr>
                        <wps:txbx>
                          <w:txbxContent>
                            <w:p w:rsidR="00B064CF" w:rsidRDefault="00E32F70">
                              <w:pPr>
                                <w:spacing w:after="160" w:line="259" w:lineRule="auto"/>
                                <w:ind w:left="0" w:firstLine="0"/>
                                <w:jc w:val="left"/>
                              </w:pPr>
                              <w:r>
                                <w:t xml:space="preserve"> </w:t>
                              </w:r>
                            </w:p>
                          </w:txbxContent>
                        </wps:txbx>
                        <wps:bodyPr horzOverflow="overflow" vert="horz" lIns="0" tIns="0" rIns="0" bIns="0" rtlCol="0">
                          <a:noAutofit/>
                        </wps:bodyPr>
                      </wps:wsp>
                      <wps:wsp>
                        <wps:cNvPr id="42656" name="Rectangle 42656"/>
                        <wps:cNvSpPr/>
                        <wps:spPr>
                          <a:xfrm>
                            <a:off x="1259078" y="2335007"/>
                            <a:ext cx="51809" cy="207921"/>
                          </a:xfrm>
                          <a:prstGeom prst="rect">
                            <a:avLst/>
                          </a:prstGeom>
                          <a:ln>
                            <a:noFill/>
                          </a:ln>
                        </wps:spPr>
                        <wps:txbx>
                          <w:txbxContent>
                            <w:p w:rsidR="00B064CF" w:rsidRDefault="00E32F70">
                              <w:pPr>
                                <w:spacing w:after="160" w:line="259" w:lineRule="auto"/>
                                <w:ind w:left="0" w:firstLine="0"/>
                                <w:jc w:val="left"/>
                              </w:pPr>
                              <w:r>
                                <w:t xml:space="preserve"> </w:t>
                              </w:r>
                            </w:p>
                          </w:txbxContent>
                        </wps:txbx>
                        <wps:bodyPr horzOverflow="overflow" vert="horz" lIns="0" tIns="0" rIns="0" bIns="0" rtlCol="0">
                          <a:noAutofit/>
                        </wps:bodyPr>
                      </wps:wsp>
                      <wps:wsp>
                        <wps:cNvPr id="42657" name="Rectangle 42657"/>
                        <wps:cNvSpPr/>
                        <wps:spPr>
                          <a:xfrm>
                            <a:off x="1709039" y="2335007"/>
                            <a:ext cx="51809" cy="207921"/>
                          </a:xfrm>
                          <a:prstGeom prst="rect">
                            <a:avLst/>
                          </a:prstGeom>
                          <a:ln>
                            <a:noFill/>
                          </a:ln>
                        </wps:spPr>
                        <wps:txbx>
                          <w:txbxContent>
                            <w:p w:rsidR="00B064CF" w:rsidRDefault="00E32F70">
                              <w:pPr>
                                <w:spacing w:after="160" w:line="259" w:lineRule="auto"/>
                                <w:ind w:left="0" w:firstLine="0"/>
                                <w:jc w:val="left"/>
                              </w:pPr>
                              <w:r>
                                <w:t xml:space="preserve"> </w:t>
                              </w:r>
                            </w:p>
                          </w:txbxContent>
                        </wps:txbx>
                        <wps:bodyPr horzOverflow="overflow" vert="horz" lIns="0" tIns="0" rIns="0" bIns="0" rtlCol="0">
                          <a:noAutofit/>
                        </wps:bodyPr>
                      </wps:wsp>
                      <wps:wsp>
                        <wps:cNvPr id="42658" name="Rectangle 42658"/>
                        <wps:cNvSpPr/>
                        <wps:spPr>
                          <a:xfrm>
                            <a:off x="2158619" y="2335007"/>
                            <a:ext cx="51809" cy="207921"/>
                          </a:xfrm>
                          <a:prstGeom prst="rect">
                            <a:avLst/>
                          </a:prstGeom>
                          <a:ln>
                            <a:noFill/>
                          </a:ln>
                        </wps:spPr>
                        <wps:txbx>
                          <w:txbxContent>
                            <w:p w:rsidR="00B064CF" w:rsidRDefault="00E32F70">
                              <w:pPr>
                                <w:spacing w:after="160" w:line="259" w:lineRule="auto"/>
                                <w:ind w:left="0" w:firstLine="0"/>
                                <w:jc w:val="left"/>
                              </w:pPr>
                              <w:r>
                                <w:t xml:space="preserve"> </w:t>
                              </w:r>
                            </w:p>
                          </w:txbxContent>
                        </wps:txbx>
                        <wps:bodyPr horzOverflow="overflow" vert="horz" lIns="0" tIns="0" rIns="0" bIns="0" rtlCol="0">
                          <a:noAutofit/>
                        </wps:bodyPr>
                      </wps:wsp>
                      <wps:wsp>
                        <wps:cNvPr id="42659" name="Rectangle 42659"/>
                        <wps:cNvSpPr/>
                        <wps:spPr>
                          <a:xfrm>
                            <a:off x="2608199" y="2335007"/>
                            <a:ext cx="51809" cy="207921"/>
                          </a:xfrm>
                          <a:prstGeom prst="rect">
                            <a:avLst/>
                          </a:prstGeom>
                          <a:ln>
                            <a:noFill/>
                          </a:ln>
                        </wps:spPr>
                        <wps:txbx>
                          <w:txbxContent>
                            <w:p w:rsidR="00B064CF" w:rsidRDefault="00E32F70">
                              <w:pPr>
                                <w:spacing w:after="160" w:line="259" w:lineRule="auto"/>
                                <w:ind w:left="0" w:firstLine="0"/>
                                <w:jc w:val="left"/>
                              </w:pPr>
                              <w:r>
                                <w:t xml:space="preserve"> </w:t>
                              </w:r>
                            </w:p>
                          </w:txbxContent>
                        </wps:txbx>
                        <wps:bodyPr horzOverflow="overflow" vert="horz" lIns="0" tIns="0" rIns="0" bIns="0" rtlCol="0">
                          <a:noAutofit/>
                        </wps:bodyPr>
                      </wps:wsp>
                      <wps:wsp>
                        <wps:cNvPr id="42660" name="Rectangle 42660"/>
                        <wps:cNvSpPr/>
                        <wps:spPr>
                          <a:xfrm>
                            <a:off x="3057779" y="2335007"/>
                            <a:ext cx="51809" cy="207921"/>
                          </a:xfrm>
                          <a:prstGeom prst="rect">
                            <a:avLst/>
                          </a:prstGeom>
                          <a:ln>
                            <a:noFill/>
                          </a:ln>
                        </wps:spPr>
                        <wps:txbx>
                          <w:txbxContent>
                            <w:p w:rsidR="00B064CF" w:rsidRDefault="00E32F70">
                              <w:pPr>
                                <w:spacing w:after="160" w:line="259" w:lineRule="auto"/>
                                <w:ind w:left="0" w:firstLine="0"/>
                                <w:jc w:val="left"/>
                              </w:pPr>
                              <w:r>
                                <w:t xml:space="preserve"> </w:t>
                              </w:r>
                            </w:p>
                          </w:txbxContent>
                        </wps:txbx>
                        <wps:bodyPr horzOverflow="overflow" vert="horz" lIns="0" tIns="0" rIns="0" bIns="0" rtlCol="0">
                          <a:noAutofit/>
                        </wps:bodyPr>
                      </wps:wsp>
                      <wps:wsp>
                        <wps:cNvPr id="42661" name="Rectangle 42661"/>
                        <wps:cNvSpPr/>
                        <wps:spPr>
                          <a:xfrm>
                            <a:off x="3507613" y="2335007"/>
                            <a:ext cx="2931008" cy="207921"/>
                          </a:xfrm>
                          <a:prstGeom prst="rect">
                            <a:avLst/>
                          </a:prstGeom>
                          <a:ln>
                            <a:noFill/>
                          </a:ln>
                        </wps:spPr>
                        <wps:txbx>
                          <w:txbxContent>
                            <w:p w:rsidR="00B064CF" w:rsidRDefault="00E32F70">
                              <w:pPr>
                                <w:spacing w:after="160" w:line="259" w:lineRule="auto"/>
                                <w:ind w:left="0" w:firstLine="0"/>
                                <w:jc w:val="left"/>
                              </w:pPr>
                              <w:r>
                                <w:t>PAVIMENTO TÁCTIL ACANALADO</w:t>
                              </w:r>
                            </w:p>
                          </w:txbxContent>
                        </wps:txbx>
                        <wps:bodyPr horzOverflow="overflow" vert="horz" lIns="0" tIns="0" rIns="0" bIns="0" rtlCol="0">
                          <a:noAutofit/>
                        </wps:bodyPr>
                      </wps:wsp>
                      <wps:wsp>
                        <wps:cNvPr id="42662" name="Rectangle 42662"/>
                        <wps:cNvSpPr/>
                        <wps:spPr>
                          <a:xfrm>
                            <a:off x="5713223" y="2326107"/>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663" name="Rectangle 42663"/>
                        <wps:cNvSpPr/>
                        <wps:spPr>
                          <a:xfrm>
                            <a:off x="305" y="2496550"/>
                            <a:ext cx="51809" cy="207921"/>
                          </a:xfrm>
                          <a:prstGeom prst="rect">
                            <a:avLst/>
                          </a:prstGeom>
                          <a:ln>
                            <a:noFill/>
                          </a:ln>
                        </wps:spPr>
                        <wps:txbx>
                          <w:txbxContent>
                            <w:p w:rsidR="00B064CF" w:rsidRDefault="00E32F70">
                              <w:pPr>
                                <w:spacing w:after="160" w:line="259" w:lineRule="auto"/>
                                <w:ind w:left="0" w:firstLine="0"/>
                                <w:jc w:val="left"/>
                              </w:pPr>
                              <w:r>
                                <w:t xml:space="preserve"> </w:t>
                              </w:r>
                            </w:p>
                          </w:txbxContent>
                        </wps:txbx>
                        <wps:bodyPr horzOverflow="overflow" vert="horz" lIns="0" tIns="0" rIns="0" bIns="0" rtlCol="0">
                          <a:noAutofit/>
                        </wps:bodyPr>
                      </wps:wsp>
                      <wps:wsp>
                        <wps:cNvPr id="42664" name="Rectangle 42664"/>
                        <wps:cNvSpPr/>
                        <wps:spPr>
                          <a:xfrm>
                            <a:off x="305" y="2656571"/>
                            <a:ext cx="51809" cy="207921"/>
                          </a:xfrm>
                          <a:prstGeom prst="rect">
                            <a:avLst/>
                          </a:prstGeom>
                          <a:ln>
                            <a:noFill/>
                          </a:ln>
                        </wps:spPr>
                        <wps:txbx>
                          <w:txbxContent>
                            <w:p w:rsidR="00B064CF" w:rsidRDefault="00E32F70">
                              <w:pPr>
                                <w:spacing w:after="160" w:line="259" w:lineRule="auto"/>
                                <w:ind w:left="0" w:firstLine="0"/>
                                <w:jc w:val="left"/>
                              </w:pPr>
                              <w:r>
                                <w:t xml:space="preserve"> </w:t>
                              </w:r>
                            </w:p>
                          </w:txbxContent>
                        </wps:txbx>
                        <wps:bodyPr horzOverflow="overflow" vert="horz" lIns="0" tIns="0" rIns="0" bIns="0" rtlCol="0">
                          <a:noAutofit/>
                        </wps:bodyPr>
                      </wps:wsp>
                      <wps:wsp>
                        <wps:cNvPr id="42665" name="Rectangle 42665"/>
                        <wps:cNvSpPr/>
                        <wps:spPr>
                          <a:xfrm>
                            <a:off x="305" y="2816591"/>
                            <a:ext cx="51809" cy="207921"/>
                          </a:xfrm>
                          <a:prstGeom prst="rect">
                            <a:avLst/>
                          </a:prstGeom>
                          <a:ln>
                            <a:noFill/>
                          </a:ln>
                        </wps:spPr>
                        <wps:txbx>
                          <w:txbxContent>
                            <w:p w:rsidR="00B064CF" w:rsidRDefault="00E32F70">
                              <w:pPr>
                                <w:spacing w:after="160" w:line="259" w:lineRule="auto"/>
                                <w:ind w:left="0" w:firstLine="0"/>
                                <w:jc w:val="left"/>
                              </w:pPr>
                              <w:r>
                                <w:t xml:space="preserve"> </w:t>
                              </w:r>
                            </w:p>
                          </w:txbxContent>
                        </wps:txbx>
                        <wps:bodyPr horzOverflow="overflow" vert="horz" lIns="0" tIns="0" rIns="0" bIns="0" rtlCol="0">
                          <a:noAutofit/>
                        </wps:bodyPr>
                      </wps:wsp>
                      <wps:wsp>
                        <wps:cNvPr id="42666" name="Rectangle 42666"/>
                        <wps:cNvSpPr/>
                        <wps:spPr>
                          <a:xfrm>
                            <a:off x="305" y="2978135"/>
                            <a:ext cx="51809" cy="207921"/>
                          </a:xfrm>
                          <a:prstGeom prst="rect">
                            <a:avLst/>
                          </a:prstGeom>
                          <a:ln>
                            <a:noFill/>
                          </a:ln>
                        </wps:spPr>
                        <wps:txbx>
                          <w:txbxContent>
                            <w:p w:rsidR="00B064CF" w:rsidRDefault="00E32F70">
                              <w:pPr>
                                <w:spacing w:after="160" w:line="259" w:lineRule="auto"/>
                                <w:ind w:left="0" w:firstLine="0"/>
                                <w:jc w:val="left"/>
                              </w:pPr>
                              <w:r>
                                <w:t xml:space="preserve"> </w:t>
                              </w:r>
                            </w:p>
                          </w:txbxContent>
                        </wps:txbx>
                        <wps:bodyPr horzOverflow="overflow" vert="horz" lIns="0" tIns="0" rIns="0" bIns="0" rtlCol="0">
                          <a:noAutofit/>
                        </wps:bodyPr>
                      </wps:wsp>
                      <wps:wsp>
                        <wps:cNvPr id="42667" name="Rectangle 42667"/>
                        <wps:cNvSpPr/>
                        <wps:spPr>
                          <a:xfrm>
                            <a:off x="305" y="3138155"/>
                            <a:ext cx="51809" cy="207921"/>
                          </a:xfrm>
                          <a:prstGeom prst="rect">
                            <a:avLst/>
                          </a:prstGeom>
                          <a:ln>
                            <a:noFill/>
                          </a:ln>
                        </wps:spPr>
                        <wps:txbx>
                          <w:txbxContent>
                            <w:p w:rsidR="00B064CF" w:rsidRDefault="00E32F70">
                              <w:pPr>
                                <w:spacing w:after="160" w:line="259" w:lineRule="auto"/>
                                <w:ind w:left="0" w:firstLine="0"/>
                                <w:jc w:val="left"/>
                              </w:pPr>
                              <w:r>
                                <w:t xml:space="preserve"> </w:t>
                              </w:r>
                            </w:p>
                          </w:txbxContent>
                        </wps:txbx>
                        <wps:bodyPr horzOverflow="overflow" vert="horz" lIns="0" tIns="0" rIns="0" bIns="0" rtlCol="0">
                          <a:noAutofit/>
                        </wps:bodyPr>
                      </wps:wsp>
                      <wps:wsp>
                        <wps:cNvPr id="42668" name="Rectangle 42668"/>
                        <wps:cNvSpPr/>
                        <wps:spPr>
                          <a:xfrm>
                            <a:off x="305" y="3299953"/>
                            <a:ext cx="51809" cy="207921"/>
                          </a:xfrm>
                          <a:prstGeom prst="rect">
                            <a:avLst/>
                          </a:prstGeom>
                          <a:ln>
                            <a:noFill/>
                          </a:ln>
                        </wps:spPr>
                        <wps:txbx>
                          <w:txbxContent>
                            <w:p w:rsidR="00B064CF" w:rsidRDefault="00E32F70">
                              <w:pPr>
                                <w:spacing w:after="160" w:line="259" w:lineRule="auto"/>
                                <w:ind w:left="0" w:firstLine="0"/>
                                <w:jc w:val="left"/>
                              </w:pPr>
                              <w:r>
                                <w:t xml:space="preserve"> </w:t>
                              </w:r>
                            </w:p>
                          </w:txbxContent>
                        </wps:txbx>
                        <wps:bodyPr horzOverflow="overflow" vert="horz" lIns="0" tIns="0" rIns="0" bIns="0" rtlCol="0">
                          <a:noAutofit/>
                        </wps:bodyPr>
                      </wps:wsp>
                      <wps:wsp>
                        <wps:cNvPr id="42669" name="Rectangle 42669"/>
                        <wps:cNvSpPr/>
                        <wps:spPr>
                          <a:xfrm>
                            <a:off x="305" y="3459973"/>
                            <a:ext cx="51809" cy="207921"/>
                          </a:xfrm>
                          <a:prstGeom prst="rect">
                            <a:avLst/>
                          </a:prstGeom>
                          <a:ln>
                            <a:noFill/>
                          </a:ln>
                        </wps:spPr>
                        <wps:txbx>
                          <w:txbxContent>
                            <w:p w:rsidR="00B064CF" w:rsidRDefault="00E32F70">
                              <w:pPr>
                                <w:spacing w:after="160" w:line="259" w:lineRule="auto"/>
                                <w:ind w:left="0" w:firstLine="0"/>
                                <w:jc w:val="left"/>
                              </w:pPr>
                              <w:r>
                                <w:t xml:space="preserve"> </w:t>
                              </w:r>
                            </w:p>
                          </w:txbxContent>
                        </wps:txbx>
                        <wps:bodyPr horzOverflow="overflow" vert="horz" lIns="0" tIns="0" rIns="0" bIns="0" rtlCol="0">
                          <a:noAutofit/>
                        </wps:bodyPr>
                      </wps:wsp>
                      <wps:wsp>
                        <wps:cNvPr id="42670" name="Rectangle 42670"/>
                        <wps:cNvSpPr/>
                        <wps:spPr>
                          <a:xfrm>
                            <a:off x="2582291" y="3621517"/>
                            <a:ext cx="1208710" cy="207921"/>
                          </a:xfrm>
                          <a:prstGeom prst="rect">
                            <a:avLst/>
                          </a:prstGeom>
                          <a:ln>
                            <a:noFill/>
                          </a:ln>
                        </wps:spPr>
                        <wps:txbx>
                          <w:txbxContent>
                            <w:p w:rsidR="00B064CF" w:rsidRDefault="00E32F70">
                              <w:pPr>
                                <w:spacing w:after="160" w:line="259" w:lineRule="auto"/>
                                <w:ind w:left="0" w:firstLine="0"/>
                                <w:jc w:val="left"/>
                              </w:pPr>
                              <w:r>
                                <w:t>GRÁFICO 1.3.</w:t>
                              </w:r>
                            </w:p>
                          </w:txbxContent>
                        </wps:txbx>
                        <wps:bodyPr horzOverflow="overflow" vert="horz" lIns="0" tIns="0" rIns="0" bIns="0" rtlCol="0">
                          <a:noAutofit/>
                        </wps:bodyPr>
                      </wps:wsp>
                      <wps:wsp>
                        <wps:cNvPr id="42671" name="Rectangle 42671"/>
                        <wps:cNvSpPr/>
                        <wps:spPr>
                          <a:xfrm>
                            <a:off x="3490849" y="3621517"/>
                            <a:ext cx="51809" cy="207921"/>
                          </a:xfrm>
                          <a:prstGeom prst="rect">
                            <a:avLst/>
                          </a:prstGeom>
                          <a:ln>
                            <a:noFill/>
                          </a:ln>
                        </wps:spPr>
                        <wps:txbx>
                          <w:txbxContent>
                            <w:p w:rsidR="00B064CF" w:rsidRDefault="00E32F7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2682" name="Picture 42682"/>
                          <pic:cNvPicPr/>
                        </pic:nvPicPr>
                        <pic:blipFill>
                          <a:blip r:embed="rId47"/>
                          <a:stretch>
                            <a:fillRect/>
                          </a:stretch>
                        </pic:blipFill>
                        <pic:spPr>
                          <a:xfrm>
                            <a:off x="0" y="0"/>
                            <a:ext cx="5401057" cy="2331720"/>
                          </a:xfrm>
                          <a:prstGeom prst="rect">
                            <a:avLst/>
                          </a:prstGeom>
                        </pic:spPr>
                      </pic:pic>
                      <wps:wsp>
                        <wps:cNvPr id="42685" name="Shape 42685"/>
                        <wps:cNvSpPr/>
                        <wps:spPr>
                          <a:xfrm>
                            <a:off x="4829557" y="1668653"/>
                            <a:ext cx="191008" cy="1090803"/>
                          </a:xfrm>
                          <a:custGeom>
                            <a:avLst/>
                            <a:gdLst/>
                            <a:ahLst/>
                            <a:cxnLst/>
                            <a:rect l="0" t="0" r="0" b="0"/>
                            <a:pathLst>
                              <a:path w="191008" h="1090803">
                                <a:moveTo>
                                  <a:pt x="188849" y="0"/>
                                </a:moveTo>
                                <a:lnTo>
                                  <a:pt x="191008" y="12446"/>
                                </a:lnTo>
                                <a:lnTo>
                                  <a:pt x="187418" y="13061"/>
                                </a:lnTo>
                                <a:lnTo>
                                  <a:pt x="184686" y="14508"/>
                                </a:lnTo>
                                <a:lnTo>
                                  <a:pt x="181136" y="17550"/>
                                </a:lnTo>
                                <a:lnTo>
                                  <a:pt x="177038" y="22352"/>
                                </a:lnTo>
                                <a:lnTo>
                                  <a:pt x="177546" y="21844"/>
                                </a:lnTo>
                                <a:lnTo>
                                  <a:pt x="173100" y="28448"/>
                                </a:lnTo>
                                <a:lnTo>
                                  <a:pt x="173355" y="27940"/>
                                </a:lnTo>
                                <a:lnTo>
                                  <a:pt x="169163" y="35814"/>
                                </a:lnTo>
                                <a:lnTo>
                                  <a:pt x="169290" y="35433"/>
                                </a:lnTo>
                                <a:lnTo>
                                  <a:pt x="164973" y="44577"/>
                                </a:lnTo>
                                <a:lnTo>
                                  <a:pt x="165100" y="44323"/>
                                </a:lnTo>
                                <a:lnTo>
                                  <a:pt x="160909" y="54737"/>
                                </a:lnTo>
                                <a:lnTo>
                                  <a:pt x="161036" y="54610"/>
                                </a:lnTo>
                                <a:lnTo>
                                  <a:pt x="156894" y="66030"/>
                                </a:lnTo>
                                <a:lnTo>
                                  <a:pt x="152908" y="78613"/>
                                </a:lnTo>
                                <a:lnTo>
                                  <a:pt x="153035" y="78486"/>
                                </a:lnTo>
                                <a:lnTo>
                                  <a:pt x="148971" y="92329"/>
                                </a:lnTo>
                                <a:lnTo>
                                  <a:pt x="148971" y="92075"/>
                                </a:lnTo>
                                <a:lnTo>
                                  <a:pt x="145161" y="106934"/>
                                </a:lnTo>
                                <a:lnTo>
                                  <a:pt x="145161" y="106807"/>
                                </a:lnTo>
                                <a:lnTo>
                                  <a:pt x="141477" y="122682"/>
                                </a:lnTo>
                                <a:lnTo>
                                  <a:pt x="141477" y="122555"/>
                                </a:lnTo>
                                <a:lnTo>
                                  <a:pt x="137795" y="139319"/>
                                </a:lnTo>
                                <a:lnTo>
                                  <a:pt x="137795" y="139192"/>
                                </a:lnTo>
                                <a:lnTo>
                                  <a:pt x="134238" y="156845"/>
                                </a:lnTo>
                                <a:lnTo>
                                  <a:pt x="134238" y="156718"/>
                                </a:lnTo>
                                <a:lnTo>
                                  <a:pt x="130810" y="175260"/>
                                </a:lnTo>
                                <a:lnTo>
                                  <a:pt x="127635" y="194437"/>
                                </a:lnTo>
                                <a:lnTo>
                                  <a:pt x="124460" y="214376"/>
                                </a:lnTo>
                                <a:lnTo>
                                  <a:pt x="124460" y="214249"/>
                                </a:lnTo>
                                <a:lnTo>
                                  <a:pt x="121538" y="234950"/>
                                </a:lnTo>
                                <a:lnTo>
                                  <a:pt x="121538" y="234823"/>
                                </a:lnTo>
                                <a:lnTo>
                                  <a:pt x="118745" y="256159"/>
                                </a:lnTo>
                                <a:lnTo>
                                  <a:pt x="116077" y="278130"/>
                                </a:lnTo>
                                <a:lnTo>
                                  <a:pt x="116077" y="278003"/>
                                </a:lnTo>
                                <a:lnTo>
                                  <a:pt x="113792" y="300482"/>
                                </a:lnTo>
                                <a:lnTo>
                                  <a:pt x="113792" y="300355"/>
                                </a:lnTo>
                                <a:lnTo>
                                  <a:pt x="109347" y="346710"/>
                                </a:lnTo>
                                <a:lnTo>
                                  <a:pt x="109347" y="346583"/>
                                </a:lnTo>
                                <a:lnTo>
                                  <a:pt x="105918" y="394589"/>
                                </a:lnTo>
                                <a:lnTo>
                                  <a:pt x="105918" y="394462"/>
                                </a:lnTo>
                                <a:lnTo>
                                  <a:pt x="103377" y="443611"/>
                                </a:lnTo>
                                <a:lnTo>
                                  <a:pt x="103377" y="443484"/>
                                </a:lnTo>
                                <a:lnTo>
                                  <a:pt x="101726" y="493395"/>
                                </a:lnTo>
                                <a:lnTo>
                                  <a:pt x="101853" y="493141"/>
                                </a:lnTo>
                                <a:lnTo>
                                  <a:pt x="101346" y="543433"/>
                                </a:lnTo>
                                <a:lnTo>
                                  <a:pt x="100711" y="593852"/>
                                </a:lnTo>
                                <a:lnTo>
                                  <a:pt x="99187" y="643890"/>
                                </a:lnTo>
                                <a:lnTo>
                                  <a:pt x="96647" y="693166"/>
                                </a:lnTo>
                                <a:lnTo>
                                  <a:pt x="93090" y="741172"/>
                                </a:lnTo>
                                <a:lnTo>
                                  <a:pt x="88773" y="787654"/>
                                </a:lnTo>
                                <a:lnTo>
                                  <a:pt x="86360" y="810260"/>
                                </a:lnTo>
                                <a:lnTo>
                                  <a:pt x="83693" y="832231"/>
                                </a:lnTo>
                                <a:lnTo>
                                  <a:pt x="81025" y="853694"/>
                                </a:lnTo>
                                <a:lnTo>
                                  <a:pt x="77977" y="874395"/>
                                </a:lnTo>
                                <a:lnTo>
                                  <a:pt x="74802" y="894461"/>
                                </a:lnTo>
                                <a:lnTo>
                                  <a:pt x="71627" y="913892"/>
                                </a:lnTo>
                                <a:lnTo>
                                  <a:pt x="68199" y="932434"/>
                                </a:lnTo>
                                <a:lnTo>
                                  <a:pt x="64643" y="950214"/>
                                </a:lnTo>
                                <a:lnTo>
                                  <a:pt x="60833" y="967105"/>
                                </a:lnTo>
                                <a:lnTo>
                                  <a:pt x="57150" y="982980"/>
                                </a:lnTo>
                                <a:lnTo>
                                  <a:pt x="53213" y="998093"/>
                                </a:lnTo>
                                <a:lnTo>
                                  <a:pt x="49718" y="1009996"/>
                                </a:lnTo>
                                <a:lnTo>
                                  <a:pt x="57023" y="999617"/>
                                </a:lnTo>
                                <a:cubicBezTo>
                                  <a:pt x="59055" y="996696"/>
                                  <a:pt x="62992" y="996061"/>
                                  <a:pt x="65786" y="998093"/>
                                </a:cubicBezTo>
                                <a:cubicBezTo>
                                  <a:pt x="68707" y="1000125"/>
                                  <a:pt x="69342" y="1004062"/>
                                  <a:pt x="67437" y="1006856"/>
                                </a:cubicBezTo>
                                <a:lnTo>
                                  <a:pt x="31215" y="1058382"/>
                                </a:lnTo>
                                <a:lnTo>
                                  <a:pt x="27559" y="1065276"/>
                                </a:lnTo>
                                <a:lnTo>
                                  <a:pt x="24249" y="1070285"/>
                                </a:lnTo>
                                <a:lnTo>
                                  <a:pt x="99822" y="1077722"/>
                                </a:lnTo>
                                <a:cubicBezTo>
                                  <a:pt x="103377" y="1078103"/>
                                  <a:pt x="105918" y="1081151"/>
                                  <a:pt x="105537" y="1084707"/>
                                </a:cubicBezTo>
                                <a:cubicBezTo>
                                  <a:pt x="105156" y="1088136"/>
                                  <a:pt x="102108" y="1090803"/>
                                  <a:pt x="98551" y="1090422"/>
                                </a:cubicBezTo>
                                <a:lnTo>
                                  <a:pt x="0" y="1080643"/>
                                </a:lnTo>
                                <a:lnTo>
                                  <a:pt x="20609" y="1051359"/>
                                </a:lnTo>
                                <a:lnTo>
                                  <a:pt x="24892" y="1042289"/>
                                </a:lnTo>
                                <a:lnTo>
                                  <a:pt x="24765" y="1042543"/>
                                </a:lnTo>
                                <a:lnTo>
                                  <a:pt x="28956" y="1032129"/>
                                </a:lnTo>
                                <a:lnTo>
                                  <a:pt x="28956" y="1032256"/>
                                </a:lnTo>
                                <a:lnTo>
                                  <a:pt x="33081" y="1020882"/>
                                </a:lnTo>
                                <a:lnTo>
                                  <a:pt x="36957" y="1008253"/>
                                </a:lnTo>
                                <a:lnTo>
                                  <a:pt x="36957" y="1008380"/>
                                </a:lnTo>
                                <a:lnTo>
                                  <a:pt x="40894" y="994537"/>
                                </a:lnTo>
                                <a:lnTo>
                                  <a:pt x="40894" y="994791"/>
                                </a:lnTo>
                                <a:lnTo>
                                  <a:pt x="44831" y="979932"/>
                                </a:lnTo>
                                <a:lnTo>
                                  <a:pt x="44831" y="980059"/>
                                </a:lnTo>
                                <a:lnTo>
                                  <a:pt x="48514" y="964184"/>
                                </a:lnTo>
                                <a:lnTo>
                                  <a:pt x="48514" y="964311"/>
                                </a:lnTo>
                                <a:lnTo>
                                  <a:pt x="52197" y="947547"/>
                                </a:lnTo>
                                <a:lnTo>
                                  <a:pt x="52197" y="947674"/>
                                </a:lnTo>
                                <a:lnTo>
                                  <a:pt x="55625" y="930021"/>
                                </a:lnTo>
                                <a:lnTo>
                                  <a:pt x="55625" y="930148"/>
                                </a:lnTo>
                                <a:lnTo>
                                  <a:pt x="59055" y="911606"/>
                                </a:lnTo>
                                <a:lnTo>
                                  <a:pt x="59055" y="911733"/>
                                </a:lnTo>
                                <a:lnTo>
                                  <a:pt x="62357" y="892429"/>
                                </a:lnTo>
                                <a:lnTo>
                                  <a:pt x="65405" y="872490"/>
                                </a:lnTo>
                                <a:lnTo>
                                  <a:pt x="65405" y="872617"/>
                                </a:lnTo>
                                <a:lnTo>
                                  <a:pt x="68452" y="851916"/>
                                </a:lnTo>
                                <a:lnTo>
                                  <a:pt x="68325" y="852043"/>
                                </a:lnTo>
                                <a:lnTo>
                                  <a:pt x="71120" y="830707"/>
                                </a:lnTo>
                                <a:lnTo>
                                  <a:pt x="73787" y="808736"/>
                                </a:lnTo>
                                <a:lnTo>
                                  <a:pt x="73787" y="808863"/>
                                </a:lnTo>
                                <a:lnTo>
                                  <a:pt x="76200" y="786384"/>
                                </a:lnTo>
                                <a:lnTo>
                                  <a:pt x="76200" y="786511"/>
                                </a:lnTo>
                                <a:lnTo>
                                  <a:pt x="80390" y="740156"/>
                                </a:lnTo>
                                <a:lnTo>
                                  <a:pt x="80390" y="740283"/>
                                </a:lnTo>
                                <a:lnTo>
                                  <a:pt x="83947" y="692277"/>
                                </a:lnTo>
                                <a:lnTo>
                                  <a:pt x="83947" y="692404"/>
                                </a:lnTo>
                                <a:lnTo>
                                  <a:pt x="86487" y="643255"/>
                                </a:lnTo>
                                <a:lnTo>
                                  <a:pt x="86487" y="643382"/>
                                </a:lnTo>
                                <a:lnTo>
                                  <a:pt x="88011" y="593471"/>
                                </a:lnTo>
                                <a:lnTo>
                                  <a:pt x="88011" y="593598"/>
                                </a:lnTo>
                                <a:lnTo>
                                  <a:pt x="88646" y="543433"/>
                                </a:lnTo>
                                <a:lnTo>
                                  <a:pt x="89153" y="493014"/>
                                </a:lnTo>
                                <a:lnTo>
                                  <a:pt x="90677" y="442976"/>
                                </a:lnTo>
                                <a:lnTo>
                                  <a:pt x="93345" y="393700"/>
                                </a:lnTo>
                                <a:lnTo>
                                  <a:pt x="96774" y="345694"/>
                                </a:lnTo>
                                <a:lnTo>
                                  <a:pt x="101092" y="299212"/>
                                </a:lnTo>
                                <a:lnTo>
                                  <a:pt x="103505" y="276606"/>
                                </a:lnTo>
                                <a:lnTo>
                                  <a:pt x="106172" y="254635"/>
                                </a:lnTo>
                                <a:lnTo>
                                  <a:pt x="108965" y="233172"/>
                                </a:lnTo>
                                <a:lnTo>
                                  <a:pt x="111887" y="212471"/>
                                </a:lnTo>
                                <a:lnTo>
                                  <a:pt x="115062" y="192405"/>
                                </a:lnTo>
                                <a:lnTo>
                                  <a:pt x="118363" y="173101"/>
                                </a:lnTo>
                                <a:lnTo>
                                  <a:pt x="121793" y="154432"/>
                                </a:lnTo>
                                <a:lnTo>
                                  <a:pt x="125349" y="136652"/>
                                </a:lnTo>
                                <a:lnTo>
                                  <a:pt x="129032" y="119761"/>
                                </a:lnTo>
                                <a:lnTo>
                                  <a:pt x="132842" y="103886"/>
                                </a:lnTo>
                                <a:lnTo>
                                  <a:pt x="136778" y="88773"/>
                                </a:lnTo>
                                <a:lnTo>
                                  <a:pt x="140843" y="74930"/>
                                </a:lnTo>
                                <a:lnTo>
                                  <a:pt x="144907" y="61849"/>
                                </a:lnTo>
                                <a:lnTo>
                                  <a:pt x="149098" y="50165"/>
                                </a:lnTo>
                                <a:lnTo>
                                  <a:pt x="153415" y="39370"/>
                                </a:lnTo>
                                <a:lnTo>
                                  <a:pt x="157861" y="29972"/>
                                </a:lnTo>
                                <a:lnTo>
                                  <a:pt x="162433" y="21590"/>
                                </a:lnTo>
                                <a:lnTo>
                                  <a:pt x="167132" y="14478"/>
                                </a:lnTo>
                                <a:lnTo>
                                  <a:pt x="172085" y="8636"/>
                                </a:lnTo>
                                <a:lnTo>
                                  <a:pt x="177546" y="3937"/>
                                </a:lnTo>
                                <a:lnTo>
                                  <a:pt x="183388" y="889"/>
                                </a:lnTo>
                                <a:lnTo>
                                  <a:pt x="188849" y="0"/>
                                </a:lnTo>
                                <a:close/>
                              </a:path>
                            </a:pathLst>
                          </a:custGeom>
                          <a:ln w="0" cap="sq">
                            <a:miter lim="127000"/>
                          </a:ln>
                        </wps:spPr>
                        <wps:style>
                          <a:lnRef idx="0">
                            <a:srgbClr val="000000">
                              <a:alpha val="0"/>
                            </a:srgbClr>
                          </a:lnRef>
                          <a:fillRef idx="1">
                            <a:srgbClr val="A5A5A5"/>
                          </a:fillRef>
                          <a:effectRef idx="0">
                            <a:scrgbClr r="0" g="0" b="0"/>
                          </a:effectRef>
                          <a:fontRef idx="none"/>
                        </wps:style>
                        <wps:bodyPr/>
                      </wps:wsp>
                    </wpg:wgp>
                  </a:graphicData>
                </a:graphic>
              </wp:inline>
            </w:drawing>
          </mc:Choice>
          <mc:Fallback xmlns:a="http://schemas.openxmlformats.org/drawingml/2006/main">
            <w:pict>
              <v:group id="Group 422216" style="width:452.86pt;height:331.8pt;mso-position-horizontal-relative:char;mso-position-vertical-relative:line" coordsize="57513,42138">
                <v:shape id="Picture 42652" style="position:absolute;width:20116;height:17998;left:33924;top:24140;" filled="f">
                  <v:imagedata r:id="rId48"/>
                </v:shape>
                <v:rect id="Rectangle 42654" style="position:absolute;width:518;height:2079;left:3599;top:23350;" filled="f" stroked="f">
                  <v:textbox inset="0,0,0,0">
                    <w:txbxContent>
                      <w:p>
                        <w:pPr>
                          <w:spacing w:before="0" w:after="160" w:line="259" w:lineRule="auto"/>
                          <w:ind w:left="0" w:firstLine="0"/>
                          <w:jc w:val="left"/>
                        </w:pPr>
                        <w:r>
                          <w:rPr/>
                          <w:t xml:space="preserve"> </w:t>
                        </w:r>
                      </w:p>
                    </w:txbxContent>
                  </v:textbox>
                </v:rect>
                <v:rect id="Rectangle 42655" style="position:absolute;width:518;height:2079;left:8094;top:23350;" filled="f" stroked="f">
                  <v:textbox inset="0,0,0,0">
                    <w:txbxContent>
                      <w:p>
                        <w:pPr>
                          <w:spacing w:before="0" w:after="160" w:line="259" w:lineRule="auto"/>
                          <w:ind w:left="0" w:firstLine="0"/>
                          <w:jc w:val="left"/>
                        </w:pPr>
                        <w:r>
                          <w:rPr/>
                          <w:t xml:space="preserve"> </w:t>
                        </w:r>
                      </w:p>
                    </w:txbxContent>
                  </v:textbox>
                </v:rect>
                <v:rect id="Rectangle 42656" style="position:absolute;width:518;height:2079;left:12590;top:23350;" filled="f" stroked="f">
                  <v:textbox inset="0,0,0,0">
                    <w:txbxContent>
                      <w:p>
                        <w:pPr>
                          <w:spacing w:before="0" w:after="160" w:line="259" w:lineRule="auto"/>
                          <w:ind w:left="0" w:firstLine="0"/>
                          <w:jc w:val="left"/>
                        </w:pPr>
                        <w:r>
                          <w:rPr/>
                          <w:t xml:space="preserve"> </w:t>
                        </w:r>
                      </w:p>
                    </w:txbxContent>
                  </v:textbox>
                </v:rect>
                <v:rect id="Rectangle 42657" style="position:absolute;width:518;height:2079;left:17090;top:23350;" filled="f" stroked="f">
                  <v:textbox inset="0,0,0,0">
                    <w:txbxContent>
                      <w:p>
                        <w:pPr>
                          <w:spacing w:before="0" w:after="160" w:line="259" w:lineRule="auto"/>
                          <w:ind w:left="0" w:firstLine="0"/>
                          <w:jc w:val="left"/>
                        </w:pPr>
                        <w:r>
                          <w:rPr/>
                          <w:t xml:space="preserve"> </w:t>
                        </w:r>
                      </w:p>
                    </w:txbxContent>
                  </v:textbox>
                </v:rect>
                <v:rect id="Rectangle 42658" style="position:absolute;width:518;height:2079;left:21586;top:23350;" filled="f" stroked="f">
                  <v:textbox inset="0,0,0,0">
                    <w:txbxContent>
                      <w:p>
                        <w:pPr>
                          <w:spacing w:before="0" w:after="160" w:line="259" w:lineRule="auto"/>
                          <w:ind w:left="0" w:firstLine="0"/>
                          <w:jc w:val="left"/>
                        </w:pPr>
                        <w:r>
                          <w:rPr/>
                          <w:t xml:space="preserve"> </w:t>
                        </w:r>
                      </w:p>
                    </w:txbxContent>
                  </v:textbox>
                </v:rect>
                <v:rect id="Rectangle 42659" style="position:absolute;width:518;height:2079;left:26081;top:23350;" filled="f" stroked="f">
                  <v:textbox inset="0,0,0,0">
                    <w:txbxContent>
                      <w:p>
                        <w:pPr>
                          <w:spacing w:before="0" w:after="160" w:line="259" w:lineRule="auto"/>
                          <w:ind w:left="0" w:firstLine="0"/>
                          <w:jc w:val="left"/>
                        </w:pPr>
                        <w:r>
                          <w:rPr/>
                          <w:t xml:space="preserve"> </w:t>
                        </w:r>
                      </w:p>
                    </w:txbxContent>
                  </v:textbox>
                </v:rect>
                <v:rect id="Rectangle 42660" style="position:absolute;width:518;height:2079;left:30577;top:23350;" filled="f" stroked="f">
                  <v:textbox inset="0,0,0,0">
                    <w:txbxContent>
                      <w:p>
                        <w:pPr>
                          <w:spacing w:before="0" w:after="160" w:line="259" w:lineRule="auto"/>
                          <w:ind w:left="0" w:firstLine="0"/>
                          <w:jc w:val="left"/>
                        </w:pPr>
                        <w:r>
                          <w:rPr/>
                          <w:t xml:space="preserve"> </w:t>
                        </w:r>
                      </w:p>
                    </w:txbxContent>
                  </v:textbox>
                </v:rect>
                <v:rect id="Rectangle 42661" style="position:absolute;width:29310;height:2079;left:35076;top:23350;" filled="f" stroked="f">
                  <v:textbox inset="0,0,0,0">
                    <w:txbxContent>
                      <w:p>
                        <w:pPr>
                          <w:spacing w:before="0" w:after="160" w:line="259" w:lineRule="auto"/>
                          <w:ind w:left="0" w:firstLine="0"/>
                          <w:jc w:val="left"/>
                        </w:pPr>
                        <w:r>
                          <w:rPr/>
                          <w:t xml:space="preserve">PAVIMENTO TÁCTIL ACANALADO</w:t>
                        </w:r>
                      </w:p>
                    </w:txbxContent>
                  </v:textbox>
                </v:rect>
                <v:rect id="Rectangle 42662" style="position:absolute;width:506;height:2243;left:57132;top:2326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2663" style="position:absolute;width:518;height:2079;left:3;top:24965;" filled="f" stroked="f">
                  <v:textbox inset="0,0,0,0">
                    <w:txbxContent>
                      <w:p>
                        <w:pPr>
                          <w:spacing w:before="0" w:after="160" w:line="259" w:lineRule="auto"/>
                          <w:ind w:left="0" w:firstLine="0"/>
                          <w:jc w:val="left"/>
                        </w:pPr>
                        <w:r>
                          <w:rPr/>
                          <w:t xml:space="preserve"> </w:t>
                        </w:r>
                      </w:p>
                    </w:txbxContent>
                  </v:textbox>
                </v:rect>
                <v:rect id="Rectangle 42664" style="position:absolute;width:518;height:2079;left:3;top:26565;" filled="f" stroked="f">
                  <v:textbox inset="0,0,0,0">
                    <w:txbxContent>
                      <w:p>
                        <w:pPr>
                          <w:spacing w:before="0" w:after="160" w:line="259" w:lineRule="auto"/>
                          <w:ind w:left="0" w:firstLine="0"/>
                          <w:jc w:val="left"/>
                        </w:pPr>
                        <w:r>
                          <w:rPr/>
                          <w:t xml:space="preserve"> </w:t>
                        </w:r>
                      </w:p>
                    </w:txbxContent>
                  </v:textbox>
                </v:rect>
                <v:rect id="Rectangle 42665" style="position:absolute;width:518;height:2079;left:3;top:28165;" filled="f" stroked="f">
                  <v:textbox inset="0,0,0,0">
                    <w:txbxContent>
                      <w:p>
                        <w:pPr>
                          <w:spacing w:before="0" w:after="160" w:line="259" w:lineRule="auto"/>
                          <w:ind w:left="0" w:firstLine="0"/>
                          <w:jc w:val="left"/>
                        </w:pPr>
                        <w:r>
                          <w:rPr/>
                          <w:t xml:space="preserve"> </w:t>
                        </w:r>
                      </w:p>
                    </w:txbxContent>
                  </v:textbox>
                </v:rect>
                <v:rect id="Rectangle 42666" style="position:absolute;width:518;height:2079;left:3;top:29781;" filled="f" stroked="f">
                  <v:textbox inset="0,0,0,0">
                    <w:txbxContent>
                      <w:p>
                        <w:pPr>
                          <w:spacing w:before="0" w:after="160" w:line="259" w:lineRule="auto"/>
                          <w:ind w:left="0" w:firstLine="0"/>
                          <w:jc w:val="left"/>
                        </w:pPr>
                        <w:r>
                          <w:rPr/>
                          <w:t xml:space="preserve"> </w:t>
                        </w:r>
                      </w:p>
                    </w:txbxContent>
                  </v:textbox>
                </v:rect>
                <v:rect id="Rectangle 42667" style="position:absolute;width:518;height:2079;left:3;top:31381;" filled="f" stroked="f">
                  <v:textbox inset="0,0,0,0">
                    <w:txbxContent>
                      <w:p>
                        <w:pPr>
                          <w:spacing w:before="0" w:after="160" w:line="259" w:lineRule="auto"/>
                          <w:ind w:left="0" w:firstLine="0"/>
                          <w:jc w:val="left"/>
                        </w:pPr>
                        <w:r>
                          <w:rPr/>
                          <w:t xml:space="preserve"> </w:t>
                        </w:r>
                      </w:p>
                    </w:txbxContent>
                  </v:textbox>
                </v:rect>
                <v:rect id="Rectangle 42668" style="position:absolute;width:518;height:2079;left:3;top:32999;" filled="f" stroked="f">
                  <v:textbox inset="0,0,0,0">
                    <w:txbxContent>
                      <w:p>
                        <w:pPr>
                          <w:spacing w:before="0" w:after="160" w:line="259" w:lineRule="auto"/>
                          <w:ind w:left="0" w:firstLine="0"/>
                          <w:jc w:val="left"/>
                        </w:pPr>
                        <w:r>
                          <w:rPr/>
                          <w:t xml:space="preserve"> </w:t>
                        </w:r>
                      </w:p>
                    </w:txbxContent>
                  </v:textbox>
                </v:rect>
                <v:rect id="Rectangle 42669" style="position:absolute;width:518;height:2079;left:3;top:34599;" filled="f" stroked="f">
                  <v:textbox inset="0,0,0,0">
                    <w:txbxContent>
                      <w:p>
                        <w:pPr>
                          <w:spacing w:before="0" w:after="160" w:line="259" w:lineRule="auto"/>
                          <w:ind w:left="0" w:firstLine="0"/>
                          <w:jc w:val="left"/>
                        </w:pPr>
                        <w:r>
                          <w:rPr/>
                          <w:t xml:space="preserve"> </w:t>
                        </w:r>
                      </w:p>
                    </w:txbxContent>
                  </v:textbox>
                </v:rect>
                <v:rect id="Rectangle 42670" style="position:absolute;width:12087;height:2079;left:25822;top:36215;" filled="f" stroked="f">
                  <v:textbox inset="0,0,0,0">
                    <w:txbxContent>
                      <w:p>
                        <w:pPr>
                          <w:spacing w:before="0" w:after="160" w:line="259" w:lineRule="auto"/>
                          <w:ind w:left="0" w:firstLine="0"/>
                          <w:jc w:val="left"/>
                        </w:pPr>
                        <w:r>
                          <w:rPr/>
                          <w:t xml:space="preserve">GRÁFICO 1.3.</w:t>
                        </w:r>
                      </w:p>
                    </w:txbxContent>
                  </v:textbox>
                </v:rect>
                <v:rect id="Rectangle 42671" style="position:absolute;width:518;height:2079;left:34908;top:36215;" filled="f" stroked="f">
                  <v:textbox inset="0,0,0,0">
                    <w:txbxContent>
                      <w:p>
                        <w:pPr>
                          <w:spacing w:before="0" w:after="160" w:line="259" w:lineRule="auto"/>
                          <w:ind w:left="0" w:firstLine="0"/>
                          <w:jc w:val="left"/>
                        </w:pPr>
                        <w:r>
                          <w:rPr/>
                          <w:t xml:space="preserve"> </w:t>
                        </w:r>
                      </w:p>
                    </w:txbxContent>
                  </v:textbox>
                </v:rect>
                <v:shape id="Picture 42682" style="position:absolute;width:54010;height:23317;left:0;top:0;" filled="f">
                  <v:imagedata r:id="rId49"/>
                </v:shape>
                <v:shape id="Shape 42685" style="position:absolute;width:1910;height:10908;left:48295;top:16686;" coordsize="191008,1090803" path="m188849,0l191008,12446l187418,13061l184686,14508l181136,17550l177038,22352l177546,21844l173100,28448l173355,27940l169163,35814l169290,35433l164973,44577l165100,44323l160909,54737l161036,54610l156894,66030l152908,78613l153035,78486l148971,92329l148971,92075l145161,106934l145161,106807l141477,122682l141477,122555l137795,139319l137795,139192l134238,156845l134238,156718l130810,175260l127635,194437l124460,214376l124460,214249l121538,234950l121538,234823l118745,256159l116077,278130l116077,278003l113792,300482l113792,300355l109347,346710l109347,346583l105918,394589l105918,394462l103377,443611l103377,443484l101726,493395l101853,493141l101346,543433l100711,593852l99187,643890l96647,693166l93090,741172l88773,787654l86360,810260l83693,832231l81025,853694l77977,874395l74802,894461l71627,913892l68199,932434l64643,950214l60833,967105l57150,982980l53213,998093l49718,1009996l57023,999617c59055,996696,62992,996061,65786,998093c68707,1000125,69342,1004062,67437,1006856l31215,1058382l27559,1065276l24249,1070285l99822,1077722c103377,1078103,105918,1081151,105537,1084707c105156,1088136,102108,1090803,98551,1090422l0,1080643l20609,1051359l24892,1042289l24765,1042543l28956,1032129l28956,1032256l33081,1020882l36957,1008253l36957,1008380l40894,994537l40894,994791l44831,979932l44831,980059l48514,964184l48514,964311l52197,947547l52197,947674l55625,930021l55625,930148l59055,911606l59055,911733l62357,892429l65405,872490l65405,872617l68452,851916l68325,852043l71120,830707l73787,808736l73787,808863l76200,786384l76200,786511l80390,740156l80390,740283l83947,692277l83947,692404l86487,643255l86487,643382l88011,593471l88011,593598l88646,543433l89153,493014l90677,442976l93345,393700l96774,345694l101092,299212l103505,276606l106172,254635l108965,233172l111887,212471l115062,192405l118363,173101l121793,154432l125349,136652l129032,119761l132842,103886l136778,88773l140843,74930l144907,61849l149098,50165l153415,39370l157861,29972l162433,21590l167132,14478l172085,8636l177546,3937l183388,889l188849,0x">
                  <v:stroke weight="0pt" endcap="square" joinstyle="miter" miterlimit="10" on="false" color="#000000" opacity="0"/>
                  <v:fill on="true" color="#a5a5a5"/>
                </v:shape>
              </v:group>
            </w:pict>
          </mc:Fallback>
        </mc:AlternateContent>
      </w:r>
    </w:p>
    <w:p w:rsidR="00B064CF" w:rsidRDefault="00E32F70">
      <w:pPr>
        <w:spacing w:after="0" w:line="259" w:lineRule="auto"/>
        <w:ind w:left="340" w:firstLine="0"/>
        <w:jc w:val="center"/>
      </w:pPr>
      <w:r>
        <w:t xml:space="preserve"> </w:t>
      </w:r>
    </w:p>
    <w:p w:rsidR="00B064CF" w:rsidRDefault="00E32F70">
      <w:pPr>
        <w:spacing w:after="0" w:line="259" w:lineRule="auto"/>
        <w:ind w:left="340" w:firstLine="0"/>
        <w:jc w:val="center"/>
      </w:pPr>
      <w:r>
        <w:t xml:space="preserve"> </w:t>
      </w:r>
    </w:p>
    <w:p w:rsidR="00B064CF" w:rsidRDefault="00E32F70">
      <w:pPr>
        <w:spacing w:after="0" w:line="259" w:lineRule="auto"/>
        <w:ind w:left="340" w:firstLine="0"/>
        <w:jc w:val="center"/>
      </w:pPr>
      <w:r>
        <w:rPr>
          <w:rFonts w:ascii="Calibri" w:eastAsia="Calibri" w:hAnsi="Calibri" w:cs="Calibri"/>
          <w:noProof/>
        </w:rPr>
        <mc:AlternateContent>
          <mc:Choice Requires="wpg">
            <w:drawing>
              <wp:anchor distT="0" distB="0" distL="114300" distR="114300" simplePos="0" relativeHeight="251940864" behindDoc="0" locked="0" layoutInCell="1" allowOverlap="1">
                <wp:simplePos x="0" y="0"/>
                <wp:positionH relativeFrom="page">
                  <wp:posOffset>8664935</wp:posOffset>
                </wp:positionH>
                <wp:positionV relativeFrom="page">
                  <wp:posOffset>6769227</wp:posOffset>
                </wp:positionV>
                <wp:extent cx="161330" cy="3542157"/>
                <wp:effectExtent l="0" t="0" r="0" b="0"/>
                <wp:wrapTopAndBottom/>
                <wp:docPr id="422221" name="Group 422221"/>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2688" name="Rectangle 42688"/>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42689" name="Rectangle 42689"/>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272 de 298 </w:t>
                              </w:r>
                            </w:p>
                          </w:txbxContent>
                        </wps:txbx>
                        <wps:bodyPr horzOverflow="overflow" vert="horz" lIns="0" tIns="0" rIns="0" bIns="0" rtlCol="0">
                          <a:noAutofit/>
                        </wps:bodyPr>
                      </wps:wsp>
                    </wpg:wgp>
                  </a:graphicData>
                </a:graphic>
              </wp:anchor>
            </w:drawing>
          </mc:Choice>
          <mc:Fallback xmlns:a="http://schemas.openxmlformats.org/drawingml/2006/main">
            <w:pict>
              <v:group id="Group 422221" style="width:12.7031pt;height:278.91pt;position:absolute;mso-position-horizontal-relative:page;mso-position-horizontal:absolute;margin-left:682.278pt;mso-position-vertical-relative:page;margin-top:533.01pt;" coordsize="1613,35421">
                <v:rect id="Rectangle 42688"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2689"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272 de 298 </w:t>
                        </w:r>
                      </w:p>
                    </w:txbxContent>
                  </v:textbox>
                </v:rect>
                <w10:wrap type="topAndBottom"/>
              </v:group>
            </w:pict>
          </mc:Fallback>
        </mc:AlternateContent>
      </w:r>
      <w:r>
        <w:t xml:space="preserve"> </w:t>
      </w:r>
    </w:p>
    <w:p w:rsidR="00B064CF" w:rsidRDefault="00E32F70">
      <w:pPr>
        <w:spacing w:after="23" w:line="216" w:lineRule="auto"/>
        <w:ind w:left="1080" w:right="543" w:hanging="197"/>
      </w:pPr>
      <w:r>
        <w:rPr>
          <w:noProof/>
        </w:rPr>
        <w:drawing>
          <wp:inline distT="0" distB="0" distL="0" distR="0">
            <wp:extent cx="5401056" cy="2644140"/>
            <wp:effectExtent l="0" t="0" r="0" b="0"/>
            <wp:docPr id="42684" name="Picture 42684"/>
            <wp:cNvGraphicFramePr/>
            <a:graphic xmlns:a="http://schemas.openxmlformats.org/drawingml/2006/main">
              <a:graphicData uri="http://schemas.openxmlformats.org/drawingml/2006/picture">
                <pic:pic xmlns:pic="http://schemas.openxmlformats.org/drawingml/2006/picture">
                  <pic:nvPicPr>
                    <pic:cNvPr id="42684" name="Picture 42684"/>
                    <pic:cNvPicPr/>
                  </pic:nvPicPr>
                  <pic:blipFill>
                    <a:blip r:embed="rId50"/>
                    <a:stretch>
                      <a:fillRect/>
                    </a:stretch>
                  </pic:blipFill>
                  <pic:spPr>
                    <a:xfrm>
                      <a:off x="0" y="0"/>
                      <a:ext cx="5401056" cy="2644140"/>
                    </a:xfrm>
                    <a:prstGeom prst="rect">
                      <a:avLst/>
                    </a:prstGeom>
                  </pic:spPr>
                </pic:pic>
              </a:graphicData>
            </a:graphic>
          </wp:inline>
        </w:drawing>
      </w:r>
      <w:r>
        <w:rPr>
          <w:rFonts w:ascii="Times New Roman" w:eastAsia="Times New Roman" w:hAnsi="Times New Roman" w:cs="Times New Roman"/>
          <w:sz w:val="24"/>
        </w:rPr>
        <w:t xml:space="preserve"> </w:t>
      </w:r>
      <w:r>
        <w:t xml:space="preserve"> </w:t>
      </w:r>
    </w:p>
    <w:p w:rsidR="00B064CF" w:rsidRDefault="00E32F70">
      <w:pPr>
        <w:spacing w:after="0" w:line="259" w:lineRule="auto"/>
        <w:ind w:left="340" w:firstLine="0"/>
        <w:jc w:val="center"/>
      </w:pPr>
      <w:r>
        <w:t xml:space="preserve"> </w:t>
      </w:r>
    </w:p>
    <w:p w:rsidR="00B064CF" w:rsidRDefault="00E32F70">
      <w:pPr>
        <w:spacing w:after="13" w:line="250" w:lineRule="auto"/>
        <w:ind w:left="906" w:right="617"/>
        <w:jc w:val="center"/>
      </w:pPr>
      <w:r>
        <w:t xml:space="preserve">GRÁFICO 1.4. </w:t>
      </w:r>
    </w:p>
    <w:p w:rsidR="00B064CF" w:rsidRDefault="00E32F70">
      <w:pPr>
        <w:spacing w:after="0" w:line="259" w:lineRule="auto"/>
        <w:ind w:left="0" w:right="1066" w:firstLine="0"/>
        <w:jc w:val="right"/>
      </w:pPr>
      <w:r>
        <w:rPr>
          <w:noProof/>
        </w:rPr>
        <w:drawing>
          <wp:inline distT="0" distB="0" distL="0" distR="0">
            <wp:extent cx="5401057" cy="2657856"/>
            <wp:effectExtent l="0" t="0" r="0" b="0"/>
            <wp:docPr id="42775" name="Picture 42775"/>
            <wp:cNvGraphicFramePr/>
            <a:graphic xmlns:a="http://schemas.openxmlformats.org/drawingml/2006/main">
              <a:graphicData uri="http://schemas.openxmlformats.org/drawingml/2006/picture">
                <pic:pic xmlns:pic="http://schemas.openxmlformats.org/drawingml/2006/picture">
                  <pic:nvPicPr>
                    <pic:cNvPr id="42775" name="Picture 42775"/>
                    <pic:cNvPicPr/>
                  </pic:nvPicPr>
                  <pic:blipFill>
                    <a:blip r:embed="rId51"/>
                    <a:stretch>
                      <a:fillRect/>
                    </a:stretch>
                  </pic:blipFill>
                  <pic:spPr>
                    <a:xfrm>
                      <a:off x="0" y="0"/>
                      <a:ext cx="5401057" cy="2657856"/>
                    </a:xfrm>
                    <a:prstGeom prst="rect">
                      <a:avLst/>
                    </a:prstGeom>
                  </pic:spPr>
                </pic:pic>
              </a:graphicData>
            </a:graphic>
          </wp:inline>
        </w:drawing>
      </w:r>
      <w:r>
        <w:rPr>
          <w:rFonts w:ascii="Times New Roman" w:eastAsia="Times New Roman" w:hAnsi="Times New Roman" w:cs="Times New Roman"/>
          <w:sz w:val="24"/>
        </w:rPr>
        <w:t xml:space="preserve"> </w:t>
      </w:r>
    </w:p>
    <w:p w:rsidR="00B064CF" w:rsidRDefault="00E32F70">
      <w:pPr>
        <w:spacing w:after="0" w:line="259" w:lineRule="auto"/>
        <w:ind w:left="1060" w:firstLine="0"/>
        <w:jc w:val="center"/>
      </w:pPr>
      <w:r>
        <w:t xml:space="preserve"> </w:t>
      </w:r>
    </w:p>
    <w:p w:rsidR="00B064CF" w:rsidRDefault="00E32F70">
      <w:pPr>
        <w:spacing w:after="0" w:line="259" w:lineRule="auto"/>
        <w:ind w:left="1080" w:firstLine="0"/>
        <w:jc w:val="left"/>
      </w:pPr>
      <w:r>
        <w:t xml:space="preserve"> </w:t>
      </w:r>
    </w:p>
    <w:p w:rsidR="00B064CF" w:rsidRDefault="00E32F70">
      <w:pPr>
        <w:spacing w:after="0" w:line="259" w:lineRule="auto"/>
        <w:ind w:left="1080" w:firstLine="0"/>
        <w:jc w:val="left"/>
      </w:pPr>
      <w:r>
        <w:t xml:space="preserve"> </w:t>
      </w:r>
    </w:p>
    <w:p w:rsidR="00B064CF" w:rsidRDefault="00E32F70">
      <w:pPr>
        <w:spacing w:after="11"/>
        <w:ind w:left="355" w:right="72"/>
      </w:pPr>
      <w:r>
        <w:t xml:space="preserve">ANEXO II  </w:t>
      </w:r>
    </w:p>
    <w:p w:rsidR="00B064CF" w:rsidRDefault="00E32F70">
      <w:pPr>
        <w:spacing w:after="11"/>
        <w:ind w:left="355" w:right="72"/>
      </w:pPr>
      <w:r>
        <w:t xml:space="preserve">MOBILIARIO </w:t>
      </w:r>
    </w:p>
    <w:p w:rsidR="00B064CF" w:rsidRDefault="00E32F70">
      <w:pPr>
        <w:spacing w:after="0"/>
        <w:ind w:left="0" w:right="1518" w:firstLine="360"/>
      </w:pPr>
      <w:r>
        <w:rPr>
          <w:rFonts w:ascii="Calibri" w:eastAsia="Calibri" w:hAnsi="Calibri" w:cs="Calibri"/>
          <w:noProof/>
        </w:rPr>
        <mc:AlternateContent>
          <mc:Choice Requires="wpg">
            <w:drawing>
              <wp:anchor distT="0" distB="0" distL="114300" distR="114300" simplePos="0" relativeHeight="25194188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22527" name="Group 422527"/>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2778" name="Rectangle 42778"/>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42779" name="Rectangle 42779"/>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273 de 298 </w:t>
                              </w:r>
                            </w:p>
                          </w:txbxContent>
                        </wps:txbx>
                        <wps:bodyPr horzOverflow="overflow" vert="horz" lIns="0" tIns="0" rIns="0" bIns="0" rtlCol="0">
                          <a:noAutofit/>
                        </wps:bodyPr>
                      </wps:wsp>
                    </wpg:wgp>
                  </a:graphicData>
                </a:graphic>
              </wp:anchor>
            </w:drawing>
          </mc:Choice>
          <mc:Fallback xmlns:a="http://schemas.openxmlformats.org/drawingml/2006/main">
            <w:pict>
              <v:group id="Group 422527" style="width:12.7031pt;height:278.91pt;position:absolute;mso-position-horizontal-relative:page;mso-position-horizontal:absolute;margin-left:682.278pt;mso-position-vertical-relative:page;margin-top:533.01pt;" coordsize="1613,35421">
                <v:rect id="Rectangle 42778"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2779"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273 de 298 </w:t>
                        </w:r>
                      </w:p>
                    </w:txbxContent>
                  </v:textbox>
                </v:rect>
                <w10:wrap type="square"/>
              </v:group>
            </w:pict>
          </mc:Fallback>
        </mc:AlternateContent>
      </w:r>
      <w:r>
        <w:t xml:space="preserve">II.1. </w:t>
      </w:r>
      <w:r>
        <w:tab/>
        <w:t xml:space="preserve">Características de las mesas, sillas, sombrillas, cenadores, carpas y toldos </w:t>
      </w:r>
      <w:r>
        <w:rPr>
          <w:rFonts w:ascii="Segoe UI Symbol" w:eastAsia="Segoe UI Symbol" w:hAnsi="Segoe UI Symbol" w:cs="Segoe UI Symbol"/>
        </w:rPr>
        <w:t></w:t>
      </w:r>
      <w:r>
        <w:t xml:space="preserve"> </w:t>
      </w:r>
      <w:r>
        <w:tab/>
        <w:t xml:space="preserve">Mesas y sillas: </w:t>
      </w:r>
    </w:p>
    <w:p w:rsidR="00B064CF" w:rsidRDefault="00E32F70">
      <w:pPr>
        <w:spacing w:after="0"/>
        <w:ind w:left="355" w:right="72"/>
      </w:pPr>
      <w:r>
        <w:t>Las mesas deben ser funcionales y estar mantenidas. El es</w:t>
      </w:r>
      <w:r>
        <w:t xml:space="preserve">pacio exterior debe contribuir al esquema general de la imagen en conjunto, con los demás del entorno, en apariencia y calidad. Las mesas no deben estar coloreadas, serán de materiales naturales sin pintar como madera o metal.  </w:t>
      </w:r>
    </w:p>
    <w:p w:rsidR="00B064CF" w:rsidRDefault="00E32F70">
      <w:pPr>
        <w:spacing w:after="0"/>
        <w:ind w:left="355" w:right="72"/>
      </w:pPr>
      <w:r>
        <w:t>Las sillas deben contribuir</w:t>
      </w:r>
      <w:r>
        <w:t xml:space="preserve"> como todo el mobiliario de las terrazas a la imagen homogénea y de calidad de las mismas. </w:t>
      </w:r>
    </w:p>
    <w:p w:rsidR="00B064CF" w:rsidRDefault="00E32F70">
      <w:pPr>
        <w:spacing w:after="0"/>
        <w:ind w:left="355" w:right="72"/>
      </w:pPr>
      <w:r>
        <w:t>Las sillas deben poder resistir los factores ambientales como el sol, la humedad y el salitre y mantenerse en buenas condiciones. Deben de ser de construcción robus</w:t>
      </w:r>
      <w:r>
        <w:t xml:space="preserve">ta y no mostrar signos de deterioro o daño en la estructura y acabados. </w:t>
      </w:r>
    </w:p>
    <w:p w:rsidR="00B064CF" w:rsidRDefault="00E32F70">
      <w:pPr>
        <w:spacing w:after="11"/>
        <w:ind w:left="355" w:right="72"/>
      </w:pPr>
      <w:r>
        <w:t xml:space="preserve">Los colores de las mesas y las sillas están sujetas a la aprobación de la Oficina Técnica. </w:t>
      </w:r>
    </w:p>
    <w:p w:rsidR="00B064CF" w:rsidRDefault="00E32F70">
      <w:pPr>
        <w:spacing w:after="0" w:line="259" w:lineRule="auto"/>
        <w:ind w:left="360" w:firstLine="0"/>
        <w:jc w:val="left"/>
      </w:pPr>
      <w:r>
        <w:t xml:space="preserve"> </w:t>
      </w:r>
    </w:p>
    <w:p w:rsidR="00B064CF" w:rsidRDefault="00E32F70">
      <w:pPr>
        <w:tabs>
          <w:tab w:val="center" w:pos="2280"/>
        </w:tabs>
        <w:spacing w:after="11"/>
        <w:ind w:left="0" w:firstLine="0"/>
        <w:jc w:val="left"/>
      </w:pPr>
      <w:r>
        <w:rPr>
          <w:rFonts w:ascii="Segoe UI Symbol" w:eastAsia="Segoe UI Symbol" w:hAnsi="Segoe UI Symbol" w:cs="Segoe UI Symbol"/>
        </w:rPr>
        <w:t></w:t>
      </w:r>
      <w:r>
        <w:t xml:space="preserve"> </w:t>
      </w:r>
      <w:r>
        <w:tab/>
        <w:t xml:space="preserve">Sombrillas, cenadores, carpas y toldos: </w:t>
      </w:r>
    </w:p>
    <w:p w:rsidR="00B064CF" w:rsidRDefault="00E32F70">
      <w:pPr>
        <w:spacing w:after="0"/>
        <w:ind w:left="355" w:right="72"/>
      </w:pPr>
      <w:r>
        <w:t>Deberán ajustarse a los condicionantes de alt</w:t>
      </w:r>
      <w:r>
        <w:t xml:space="preserve">ura libre, altura máxima y dimensiones, estipuladas en los artículos que les sean de aplicación en la presente Ordenanza. </w:t>
      </w:r>
    </w:p>
    <w:p w:rsidR="00B064CF" w:rsidRDefault="00E32F70">
      <w:pPr>
        <w:spacing w:after="0"/>
        <w:ind w:left="355" w:right="72"/>
      </w:pPr>
      <w:r>
        <w:t>Señalización o texto prohibido: los toldos y sombrillas no deberán contener rotulación de cualquier otra entidad, diferente de la pro</w:t>
      </w:r>
      <w:r>
        <w:t xml:space="preserve">pia actividad, en forma de texto, logotipos, dibujos, representaciones fotográficas o fotográficas, o cualquier otra característica de identificación similar. </w:t>
      </w:r>
    </w:p>
    <w:p w:rsidR="00B064CF" w:rsidRDefault="00E32F70">
      <w:pPr>
        <w:spacing w:after="24"/>
        <w:ind w:left="355" w:right="72"/>
      </w:pPr>
      <w:r>
        <w:t>Los colores de las sombrillas, cenadores, carpas y toldos están sujetas a la aprobación de la Of</w:t>
      </w:r>
      <w:r>
        <w:t xml:space="preserve">icina Técnica.”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4"/>
        <w:ind w:left="355" w:right="68"/>
      </w:pPr>
      <w:r>
        <w:rPr>
          <w:b/>
        </w:rPr>
        <w:t xml:space="preserve">SEGUNDA. - Someter dicha Ordenanza municipal a información pública y audiencia de los interesados, con publicación en el boletín Oficial de la Provincia y tablón de anuncio del </w:t>
      </w:r>
    </w:p>
    <w:p w:rsidR="00B064CF" w:rsidRDefault="00E32F70">
      <w:pPr>
        <w:spacing w:after="4"/>
        <w:ind w:left="355" w:right="68"/>
      </w:pPr>
      <w:r>
        <w:rPr>
          <w:b/>
        </w:rPr>
        <w:t xml:space="preserve">Ayuntamiento, por el plazo de treinta días hábiles, para que puedan presentar reclamaciones </w:t>
      </w:r>
    </w:p>
    <w:p w:rsidR="00B064CF" w:rsidRDefault="00E32F70">
      <w:pPr>
        <w:spacing w:after="4"/>
        <w:ind w:left="355" w:right="68"/>
      </w:pPr>
      <w:r>
        <w:rPr>
          <w:b/>
        </w:rPr>
        <w:t xml:space="preserve">o sugerencias, que serán resueltas por la Corporación. </w:t>
      </w:r>
    </w:p>
    <w:p w:rsidR="00B064CF" w:rsidRDefault="00E32F70">
      <w:pPr>
        <w:spacing w:after="0" w:line="259" w:lineRule="auto"/>
        <w:ind w:left="360" w:firstLine="0"/>
        <w:jc w:val="left"/>
      </w:pPr>
      <w:r>
        <w:rPr>
          <w:b/>
        </w:rPr>
        <w:t xml:space="preserve"> </w:t>
      </w:r>
    </w:p>
    <w:p w:rsidR="00B064CF" w:rsidRDefault="00E32F70">
      <w:pPr>
        <w:spacing w:after="4"/>
        <w:ind w:left="355" w:right="68"/>
      </w:pPr>
      <w:r>
        <w:rPr>
          <w:b/>
        </w:rPr>
        <w:t>Simultáneamente, publicar el texto de la Ordenanza municipal en el portal web del Ayuntamiento (</w:t>
      </w:r>
      <w:r>
        <w:rPr>
          <w:b/>
          <w:color w:val="0000FF"/>
          <w:u w:val="single" w:color="0000FF"/>
        </w:rPr>
        <w:t>https://s</w:t>
      </w:r>
      <w:r>
        <w:rPr>
          <w:b/>
          <w:color w:val="0000FF"/>
          <w:u w:val="single" w:color="0000FF"/>
        </w:rPr>
        <w:t>edeelectronica.candelaria.es/transparencia/participacion/..../</w:t>
      </w:r>
      <w:r>
        <w:rPr>
          <w:b/>
        </w:rPr>
        <w:t>), con el objeto de dar audiencia a los ciudadanos afectados y recabar cuantas aportaciones adicionales puedan hacerse por otras personal o entidades.</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rPr>
          <w:b/>
        </w:rPr>
        <w:t xml:space="preserve"> </w:t>
      </w:r>
    </w:p>
    <w:p w:rsidR="00B064CF" w:rsidRDefault="00E32F70">
      <w:pPr>
        <w:spacing w:after="4"/>
        <w:ind w:left="355" w:right="68"/>
      </w:pPr>
      <w:r>
        <w:rPr>
          <w:b/>
        </w:rPr>
        <w:t>TERCERA. - De no presentarse reclamacion</w:t>
      </w:r>
      <w:r>
        <w:rPr>
          <w:b/>
        </w:rPr>
        <w:t>es o sugerencias en el plazo señalado en la propuesta anterior, se considerará aprobada definitivamente sin necesidad de Acuerdo expreso por el Pleno y el Acuerdo de aprobación definitiva tácita de la ordenanza, con el texto íntegro de la misma, se publica</w:t>
      </w:r>
      <w:r>
        <w:rPr>
          <w:b/>
        </w:rPr>
        <w:t xml:space="preserve">rá para su general conocimiento en el Boletín Oficial de la Provincia y asimismo, estará a disposición de los interesados en la sede electrónica de este Ayuntamiento. </w:t>
      </w:r>
    </w:p>
    <w:p w:rsidR="00B064CF" w:rsidRDefault="00E32F70">
      <w:pPr>
        <w:spacing w:after="4"/>
        <w:ind w:left="355" w:right="68"/>
      </w:pPr>
      <w:r>
        <w:rPr>
          <w:b/>
        </w:rPr>
        <w:t xml:space="preserve">Además, se remitirá a la Administración del Estado y al Departamento correspondiente de </w:t>
      </w:r>
      <w:r>
        <w:rPr>
          <w:b/>
        </w:rPr>
        <w:t xml:space="preserve">la Comunidad Autónoma Canaria, en el plazo de quince días, la certificación que acredite la elevación a definitiva de la aprobación inicial, así como copia íntegra autenticada. </w:t>
      </w:r>
    </w:p>
    <w:p w:rsidR="00B064CF" w:rsidRDefault="00E32F70">
      <w:pPr>
        <w:spacing w:after="0" w:line="259" w:lineRule="auto"/>
        <w:ind w:left="360" w:firstLine="0"/>
        <w:jc w:val="left"/>
      </w:pPr>
      <w:r>
        <w:rPr>
          <w:b/>
        </w:rPr>
        <w:t xml:space="preserve"> </w:t>
      </w:r>
    </w:p>
    <w:p w:rsidR="00B064CF" w:rsidRDefault="00E32F70">
      <w:pPr>
        <w:spacing w:after="4"/>
        <w:ind w:left="355" w:right="68"/>
      </w:pPr>
      <w:r>
        <w:rPr>
          <w:b/>
        </w:rPr>
        <w:t>CUARTA. - Facultar a la Sra. Alcaldesa-Presidenta para suscribir y firmar to</w:t>
      </w:r>
      <w:r>
        <w:rPr>
          <w:b/>
        </w:rPr>
        <w:t xml:space="preserve">da clase de documentos relacionados con este asunto. </w:t>
      </w:r>
    </w:p>
    <w:p w:rsidR="00B064CF" w:rsidRDefault="00E32F70">
      <w:pPr>
        <w:spacing w:after="146" w:line="259" w:lineRule="auto"/>
        <w:ind w:left="360" w:firstLine="0"/>
        <w:jc w:val="left"/>
      </w:pPr>
      <w:r>
        <w:rPr>
          <w:b/>
        </w:rPr>
        <w:t xml:space="preserve"> </w:t>
      </w:r>
    </w:p>
    <w:p w:rsidR="00B064CF" w:rsidRDefault="00E32F70">
      <w:pPr>
        <w:spacing w:after="0" w:line="426" w:lineRule="auto"/>
        <w:ind w:left="360" w:right="9584" w:firstLine="0"/>
        <w:jc w:val="left"/>
      </w:pPr>
      <w:r>
        <w:rPr>
          <w:rFonts w:ascii="Calibri" w:eastAsia="Calibri" w:hAnsi="Calibri" w:cs="Calibri"/>
          <w:noProof/>
        </w:rPr>
        <mc:AlternateContent>
          <mc:Choice Requires="wpg">
            <w:drawing>
              <wp:anchor distT="0" distB="0" distL="114300" distR="114300" simplePos="0" relativeHeight="251942912" behindDoc="0" locked="0" layoutInCell="1" allowOverlap="1">
                <wp:simplePos x="0" y="0"/>
                <wp:positionH relativeFrom="page">
                  <wp:posOffset>8664935</wp:posOffset>
                </wp:positionH>
                <wp:positionV relativeFrom="page">
                  <wp:posOffset>6769227</wp:posOffset>
                </wp:positionV>
                <wp:extent cx="161330" cy="3542157"/>
                <wp:effectExtent l="0" t="0" r="0" b="0"/>
                <wp:wrapTopAndBottom/>
                <wp:docPr id="422434" name="Group 422434"/>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2856" name="Rectangle 42856"/>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42857" name="Rectangle 42857"/>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274 de 298 </w:t>
                              </w:r>
                            </w:p>
                          </w:txbxContent>
                        </wps:txbx>
                        <wps:bodyPr horzOverflow="overflow" vert="horz" lIns="0" tIns="0" rIns="0" bIns="0" rtlCol="0">
                          <a:noAutofit/>
                        </wps:bodyPr>
                      </wps:wsp>
                    </wpg:wgp>
                  </a:graphicData>
                </a:graphic>
              </wp:anchor>
            </w:drawing>
          </mc:Choice>
          <mc:Fallback xmlns:a="http://schemas.openxmlformats.org/drawingml/2006/main">
            <w:pict>
              <v:group id="Group 422434" style="width:12.7031pt;height:278.91pt;position:absolute;mso-position-horizontal-relative:page;mso-position-horizontal:absolute;margin-left:682.278pt;mso-position-vertical-relative:page;margin-top:533.01pt;" coordsize="1613,35421">
                <v:rect id="Rectangle 42856"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2857"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274 de 298 </w:t>
                        </w:r>
                      </w:p>
                    </w:txbxContent>
                  </v:textbox>
                </v:rect>
                <w10:wrap type="topAndBottom"/>
              </v:group>
            </w:pict>
          </mc:Fallback>
        </mc:AlternateContent>
      </w:r>
      <w:r>
        <w:rPr>
          <w:i/>
          <w:color w:val="222222"/>
        </w:rPr>
        <w:t xml:space="preserve">  </w:t>
      </w:r>
      <w:r>
        <w:rPr>
          <w:i/>
          <w:color w:val="222222"/>
        </w:rPr>
        <w:t xml:space="preserve">    </w:t>
      </w:r>
    </w:p>
    <w:p w:rsidR="00B064CF" w:rsidRDefault="00E32F70">
      <w:pPr>
        <w:spacing w:after="178" w:line="259" w:lineRule="auto"/>
        <w:ind w:left="360" w:firstLine="0"/>
        <w:jc w:val="left"/>
      </w:pPr>
      <w:r>
        <w:rPr>
          <w:i/>
          <w:color w:val="222222"/>
        </w:rPr>
        <w:t xml:space="preserve"> </w:t>
      </w:r>
    </w:p>
    <w:p w:rsidR="00B064CF" w:rsidRDefault="00E32F70">
      <w:pPr>
        <w:spacing w:after="175" w:line="259" w:lineRule="auto"/>
        <w:ind w:left="360" w:firstLine="0"/>
        <w:jc w:val="left"/>
      </w:pPr>
      <w:r>
        <w:rPr>
          <w:i/>
          <w:color w:val="222222"/>
        </w:rPr>
        <w:t xml:space="preserve"> </w:t>
      </w:r>
    </w:p>
    <w:p w:rsidR="00B064CF" w:rsidRDefault="00E32F70">
      <w:pPr>
        <w:spacing w:after="177" w:line="259" w:lineRule="auto"/>
        <w:ind w:left="360" w:firstLine="0"/>
        <w:jc w:val="left"/>
      </w:pPr>
      <w:r>
        <w:rPr>
          <w:i/>
          <w:color w:val="222222"/>
        </w:rPr>
        <w:t xml:space="preserve"> </w:t>
      </w:r>
    </w:p>
    <w:p w:rsidR="00B064CF" w:rsidRDefault="00E32F70">
      <w:pPr>
        <w:spacing w:after="175" w:line="259" w:lineRule="auto"/>
        <w:ind w:left="360" w:firstLine="0"/>
        <w:jc w:val="left"/>
      </w:pPr>
      <w:r>
        <w:rPr>
          <w:i/>
          <w:color w:val="222222"/>
        </w:rPr>
        <w:t xml:space="preserve"> </w:t>
      </w:r>
    </w:p>
    <w:p w:rsidR="00B064CF" w:rsidRDefault="00E32F70">
      <w:pPr>
        <w:spacing w:after="177" w:line="259" w:lineRule="auto"/>
        <w:ind w:left="360" w:firstLine="0"/>
        <w:jc w:val="left"/>
      </w:pPr>
      <w:r>
        <w:rPr>
          <w:i/>
          <w:color w:val="222222"/>
        </w:rPr>
        <w:t xml:space="preserve"> </w:t>
      </w:r>
    </w:p>
    <w:p w:rsidR="00B064CF" w:rsidRDefault="00E32F70">
      <w:pPr>
        <w:spacing w:after="175" w:line="259" w:lineRule="auto"/>
        <w:ind w:left="360" w:firstLine="0"/>
        <w:jc w:val="left"/>
      </w:pPr>
      <w:r>
        <w:rPr>
          <w:i/>
          <w:color w:val="222222"/>
        </w:rPr>
        <w:t xml:space="preserve"> </w:t>
      </w:r>
    </w:p>
    <w:p w:rsidR="00B064CF" w:rsidRDefault="00E32F70">
      <w:pPr>
        <w:spacing w:after="177" w:line="259" w:lineRule="auto"/>
        <w:ind w:left="360" w:firstLine="0"/>
        <w:jc w:val="left"/>
      </w:pPr>
      <w:r>
        <w:rPr>
          <w:i/>
          <w:color w:val="222222"/>
        </w:rPr>
        <w:t xml:space="preserve"> </w:t>
      </w:r>
    </w:p>
    <w:p w:rsidR="00B064CF" w:rsidRDefault="00E32F70">
      <w:pPr>
        <w:spacing w:after="175" w:line="259" w:lineRule="auto"/>
        <w:ind w:left="360" w:firstLine="0"/>
        <w:jc w:val="left"/>
      </w:pPr>
      <w:r>
        <w:rPr>
          <w:i/>
          <w:color w:val="222222"/>
        </w:rPr>
        <w:t xml:space="preserve"> </w:t>
      </w:r>
    </w:p>
    <w:p w:rsidR="00B064CF" w:rsidRDefault="00E32F70">
      <w:pPr>
        <w:spacing w:after="148" w:line="259" w:lineRule="auto"/>
        <w:ind w:left="360" w:firstLine="0"/>
        <w:jc w:val="left"/>
      </w:pPr>
      <w:r>
        <w:rPr>
          <w:i/>
          <w:color w:val="222222"/>
        </w:rPr>
        <w:t xml:space="preserve"> </w:t>
      </w:r>
    </w:p>
    <w:p w:rsidR="00B064CF" w:rsidRDefault="00E32F70">
      <w:pPr>
        <w:spacing w:after="0" w:line="259" w:lineRule="auto"/>
        <w:ind w:left="360" w:firstLine="0"/>
        <w:jc w:val="left"/>
      </w:pPr>
      <w:r>
        <w:rPr>
          <w:b/>
          <w:sz w:val="24"/>
        </w:rPr>
        <w:t xml:space="preserve"> </w:t>
      </w:r>
    </w:p>
    <w:p w:rsidR="00B064CF" w:rsidRDefault="00E32F70">
      <w:pPr>
        <w:spacing w:after="98" w:line="259" w:lineRule="auto"/>
        <w:ind w:left="360" w:firstLine="0"/>
        <w:jc w:val="left"/>
      </w:pPr>
      <w:r>
        <w:rPr>
          <w:b/>
          <w:sz w:val="24"/>
        </w:rPr>
        <w:t xml:space="preserve"> </w:t>
      </w:r>
    </w:p>
    <w:p w:rsidR="00B064CF" w:rsidRDefault="00E32F70">
      <w:pPr>
        <w:spacing w:after="120" w:line="240" w:lineRule="auto"/>
        <w:ind w:left="355" w:right="135"/>
      </w:pPr>
      <w:r>
        <w:rPr>
          <w:b/>
          <w:sz w:val="24"/>
        </w:rPr>
        <w:t>7.-</w:t>
      </w:r>
      <w:r>
        <w:rPr>
          <w:sz w:val="24"/>
        </w:rPr>
        <w:t xml:space="preserve"> </w:t>
      </w:r>
      <w:r>
        <w:rPr>
          <w:b/>
          <w:sz w:val="24"/>
        </w:rPr>
        <w:t>Expediente 4405/2021. Propuesta de la Alcaldesa-</w:t>
      </w:r>
      <w:r>
        <w:rPr>
          <w:b/>
          <w:sz w:val="24"/>
        </w:rPr>
        <w:t>Presidenta de 13 de mayo de 2021 al Pleno de solicitud por parte del Ayuntamiento de Candelaria de la condición de miembro asociado de la Asociación de Grupo de Acción Rural de Tenerife- GAR TF.</w:t>
      </w:r>
      <w:r>
        <w:t xml:space="preserve"> </w:t>
      </w:r>
    </w:p>
    <w:p w:rsidR="00B064CF" w:rsidRDefault="00E32F70">
      <w:pPr>
        <w:spacing w:after="98" w:line="259" w:lineRule="auto"/>
        <w:ind w:left="360" w:firstLine="0"/>
        <w:jc w:val="left"/>
      </w:pPr>
      <w:r>
        <w:t xml:space="preserve"> </w:t>
      </w:r>
    </w:p>
    <w:p w:rsidR="00B064CF" w:rsidRDefault="00E32F70">
      <w:pPr>
        <w:spacing w:after="4"/>
        <w:ind w:left="355" w:right="68"/>
      </w:pPr>
      <w:r>
        <w:rPr>
          <w:b/>
        </w:rPr>
        <w:t xml:space="preserve">Consta en el expediente Informe de Intervención emitido por Don Nicolás Rojo Garnica, que desempeña el puesto de trabajo de Interventor Municipal, de 12 de mayo de 2021, del siguiente tenor literal: </w:t>
      </w:r>
    </w:p>
    <w:p w:rsidR="00B064CF" w:rsidRDefault="00E32F70">
      <w:pPr>
        <w:spacing w:after="134" w:line="259" w:lineRule="auto"/>
        <w:ind w:left="360" w:firstLine="0"/>
        <w:jc w:val="left"/>
      </w:pPr>
      <w:r>
        <w:t xml:space="preserve"> </w:t>
      </w:r>
    </w:p>
    <w:p w:rsidR="00B064CF" w:rsidRDefault="00E32F70">
      <w:pPr>
        <w:pStyle w:val="Ttulo2"/>
        <w:ind w:left="290" w:right="3"/>
      </w:pPr>
      <w:r>
        <w:t xml:space="preserve">“INFORME DE INTERVENCIÓN </w:t>
      </w:r>
    </w:p>
    <w:p w:rsidR="00B064CF" w:rsidRDefault="00E32F70">
      <w:pPr>
        <w:spacing w:after="112"/>
        <w:ind w:left="355" w:right="72"/>
      </w:pPr>
      <w:r>
        <w:rPr>
          <w:rFonts w:ascii="Calibri" w:eastAsia="Calibri" w:hAnsi="Calibri" w:cs="Calibri"/>
          <w:noProof/>
        </w:rPr>
        <mc:AlternateContent>
          <mc:Choice Requires="wpg">
            <w:drawing>
              <wp:anchor distT="0" distB="0" distL="114300" distR="114300" simplePos="0" relativeHeight="25194393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23092" name="Group 423092"/>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2978" name="Rectangle 42978"/>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w:t>
                              </w:r>
                              <w:r>
                                <w:rPr>
                                  <w:sz w:val="12"/>
                                </w:rPr>
                                <w:t xml:space="preserve">JRFPNN5DLPPAAC3GS | Verificación: https://candelaria.sedelectronica.es/ </w:t>
                              </w:r>
                            </w:p>
                          </w:txbxContent>
                        </wps:txbx>
                        <wps:bodyPr horzOverflow="overflow" vert="horz" lIns="0" tIns="0" rIns="0" bIns="0" rtlCol="0">
                          <a:noAutofit/>
                        </wps:bodyPr>
                      </wps:wsp>
                      <wps:wsp>
                        <wps:cNvPr id="42979" name="Rectangle 42979"/>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275 de 298 </w:t>
                              </w:r>
                            </w:p>
                          </w:txbxContent>
                        </wps:txbx>
                        <wps:bodyPr horzOverflow="overflow" vert="horz" lIns="0" tIns="0" rIns="0" bIns="0" rtlCol="0">
                          <a:noAutofit/>
                        </wps:bodyPr>
                      </wps:wsp>
                    </wpg:wgp>
                  </a:graphicData>
                </a:graphic>
              </wp:anchor>
            </w:drawing>
          </mc:Choice>
          <mc:Fallback xmlns:a="http://schemas.openxmlformats.org/drawingml/2006/main">
            <w:pict>
              <v:group id="Group 423092" style="width:12.7031pt;height:278.91pt;position:absolute;mso-position-horizontal-relative:page;mso-position-horizontal:absolute;margin-left:682.278pt;mso-position-vertical-relative:page;margin-top:533.01pt;" coordsize="1613,35421">
                <v:rect id="Rectangle 42978"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2979"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275 de 298 </w:t>
                        </w:r>
                      </w:p>
                    </w:txbxContent>
                  </v:textbox>
                </v:rect>
                <w10:wrap type="square"/>
              </v:group>
            </w:pict>
          </mc:Fallback>
        </mc:AlternateContent>
      </w:r>
      <w:r>
        <w:t xml:space="preserve">Visto el </w:t>
      </w:r>
      <w:r>
        <w:rPr>
          <w:color w:val="0070C0"/>
          <w:u w:val="single" w:color="0070C0"/>
        </w:rPr>
        <w:t>Programa de Desarrollo Rural de Canarias 2014-2020</w:t>
      </w:r>
      <w:r>
        <w:t xml:space="preserve"> , presentado a la Comisión</w:t>
      </w:r>
      <w:r>
        <w:t xml:space="preserve"> Europea de conformidad con el procedimiento establecido al efecto, fue aprobado por Decisión C (2015) 6020 final de fecha 25 de agosto de 2015 y modificado en último lugar por la </w:t>
      </w:r>
      <w:r>
        <w:rPr>
          <w:color w:val="0070C0"/>
          <w:u w:val="single" w:color="0070C0"/>
        </w:rPr>
        <w:t>Decisión de Ejecución</w:t>
      </w:r>
      <w:r>
        <w:rPr>
          <w:color w:val="0070C0"/>
        </w:rPr>
        <w:t xml:space="preserve"> </w:t>
      </w:r>
      <w:r>
        <w:rPr>
          <w:color w:val="0070C0"/>
          <w:u w:val="single" w:color="0070C0"/>
        </w:rPr>
        <w:t>C(2016) 5712 de la Comisión, de 1 de septiembre de 201</w:t>
      </w:r>
      <w:r>
        <w:rPr>
          <w:color w:val="0070C0"/>
          <w:u w:val="single" w:color="0070C0"/>
        </w:rPr>
        <w:t>6</w:t>
      </w:r>
      <w:r>
        <w:t xml:space="preserve"> a efectos de la concesión de ayudas del Fondo Europeo Agrícola de Desarrollo Rural (FEADER), tiene como finalidad contribuir al desarrollo del medio rural de forma equilibrada a nivel territorial; lograr la sostenibilidad medioambiental coadyuvando de fo</w:t>
      </w:r>
      <w:r>
        <w:t>rma decisiva a la mitigación del cambio climático y a la reducción de la huella de carbono y mejorando y preservando los ecosistemas relacionados con la agricultura y la silvicultura; incrementando al mismo tiempo los índices de productividad y competitivi</w:t>
      </w:r>
      <w:r>
        <w:t xml:space="preserve">dad de las explotaciones agrarias a través de la incorporación de procesos tecnológicos e innovadores en las mismas que permitan una mejor organización y gestión. </w:t>
      </w:r>
    </w:p>
    <w:p w:rsidR="00B064CF" w:rsidRDefault="00E32F70">
      <w:pPr>
        <w:spacing w:after="100" w:line="259" w:lineRule="auto"/>
        <w:ind w:left="360" w:firstLine="0"/>
        <w:jc w:val="left"/>
      </w:pPr>
      <w:r>
        <w:t xml:space="preserve"> </w:t>
      </w:r>
    </w:p>
    <w:p w:rsidR="00B064CF" w:rsidRDefault="00E32F70">
      <w:pPr>
        <w:spacing w:after="112"/>
        <w:ind w:left="355" w:right="72"/>
      </w:pPr>
      <w:r>
        <w:t xml:space="preserve">Resultando que la obtención, por parte del Ayuntamiento de Candelaria, de la condición de </w:t>
      </w:r>
      <w:r>
        <w:t xml:space="preserve">miembro asociado de GAR-TF, que es una asociación no lucrativa, conforme dispone sus Estatutos Sociales, no supone el desembolso de cuota alguna al no estar contemplada ninguna cuantía económica a aportar por los miembros asociados en los nuevos Estatutos </w:t>
      </w:r>
      <w:r>
        <w:t xml:space="preserve">Sociales aprobados con fecha 29 de enero de 2020, por lo que no procede la consignación presupuestaria con dotación económica alguna. </w:t>
      </w:r>
    </w:p>
    <w:p w:rsidR="00B064CF" w:rsidRDefault="00E32F70">
      <w:pPr>
        <w:spacing w:after="98" w:line="259" w:lineRule="auto"/>
        <w:ind w:left="360" w:firstLine="0"/>
        <w:jc w:val="left"/>
      </w:pPr>
      <w:r>
        <w:t xml:space="preserve"> </w:t>
      </w:r>
    </w:p>
    <w:p w:rsidR="00B064CF" w:rsidRDefault="00E32F70">
      <w:pPr>
        <w:spacing w:after="111"/>
        <w:ind w:left="355" w:right="72"/>
      </w:pPr>
      <w:r>
        <w:t>En este sentido, el artículo 48 de Estatutos Sociales, relativo a los recursos económicos de la Asociación, estarán con</w:t>
      </w:r>
      <w:r>
        <w:t xml:space="preserve">stituidos:  </w:t>
      </w:r>
    </w:p>
    <w:p w:rsidR="00B064CF" w:rsidRDefault="00E32F70">
      <w:pPr>
        <w:spacing w:after="100" w:line="259" w:lineRule="auto"/>
        <w:ind w:left="360" w:firstLine="0"/>
        <w:jc w:val="left"/>
      </w:pPr>
      <w:r>
        <w:t xml:space="preserve">  </w:t>
      </w:r>
    </w:p>
    <w:p w:rsidR="00B064CF" w:rsidRDefault="00E32F70">
      <w:pPr>
        <w:numPr>
          <w:ilvl w:val="0"/>
          <w:numId w:val="233"/>
        </w:numPr>
        <w:spacing w:after="109"/>
        <w:ind w:right="72" w:hanging="257"/>
      </w:pPr>
      <w:r>
        <w:t xml:space="preserve">De las contribuciones de los miembros, periódicas o extraordinarias.  </w:t>
      </w:r>
    </w:p>
    <w:p w:rsidR="00B064CF" w:rsidRDefault="00E32F70">
      <w:pPr>
        <w:numPr>
          <w:ilvl w:val="0"/>
          <w:numId w:val="233"/>
        </w:numPr>
        <w:spacing w:after="109"/>
        <w:ind w:right="72" w:hanging="257"/>
      </w:pPr>
      <w:r>
        <w:t xml:space="preserve">De las subvenciones que les sean concedidas por cualquier entidad pública o privada.  </w:t>
      </w:r>
    </w:p>
    <w:p w:rsidR="00B064CF" w:rsidRDefault="00E32F70">
      <w:pPr>
        <w:numPr>
          <w:ilvl w:val="0"/>
          <w:numId w:val="233"/>
        </w:numPr>
        <w:spacing w:after="111"/>
        <w:ind w:right="72" w:hanging="257"/>
      </w:pPr>
      <w:r>
        <w:t xml:space="preserve">De los donativos o legados que hagan los socios/as o terceras personas.  </w:t>
      </w:r>
    </w:p>
    <w:p w:rsidR="00B064CF" w:rsidRDefault="00E32F70">
      <w:pPr>
        <w:numPr>
          <w:ilvl w:val="0"/>
          <w:numId w:val="233"/>
        </w:numPr>
        <w:spacing w:after="109"/>
        <w:ind w:right="72" w:hanging="257"/>
      </w:pPr>
      <w:r>
        <w:t xml:space="preserve">De los ingresos que obtenga la asociación por realización de actividades   lícitas  </w:t>
      </w:r>
    </w:p>
    <w:p w:rsidR="00B064CF" w:rsidRDefault="00E32F70">
      <w:pPr>
        <w:numPr>
          <w:ilvl w:val="0"/>
          <w:numId w:val="233"/>
        </w:numPr>
        <w:spacing w:after="112"/>
        <w:ind w:right="72" w:hanging="257"/>
      </w:pPr>
      <w:r>
        <w:t xml:space="preserve">De los créditos con entidades financieras.  </w:t>
      </w:r>
    </w:p>
    <w:p w:rsidR="00B064CF" w:rsidRDefault="00E32F70">
      <w:pPr>
        <w:numPr>
          <w:ilvl w:val="0"/>
          <w:numId w:val="233"/>
        </w:numPr>
        <w:spacing w:after="109"/>
        <w:ind w:right="72" w:hanging="257"/>
      </w:pPr>
      <w:r>
        <w:t xml:space="preserve">De cualesquiera otros ingresos permitidos por la legislación </w:t>
      </w:r>
    </w:p>
    <w:p w:rsidR="00B064CF" w:rsidRDefault="00E32F70">
      <w:pPr>
        <w:spacing w:after="0" w:line="259" w:lineRule="auto"/>
        <w:ind w:left="360" w:firstLine="0"/>
        <w:jc w:val="left"/>
      </w:pPr>
      <w:r>
        <w:t xml:space="preserve"> </w:t>
      </w:r>
    </w:p>
    <w:p w:rsidR="00B064CF" w:rsidRDefault="00E32F70">
      <w:pPr>
        <w:spacing w:after="107"/>
        <w:ind w:left="355" w:right="72"/>
      </w:pPr>
      <w:r>
        <w:t xml:space="preserve">      Este Interventor informa favorablemente la condición por</w:t>
      </w:r>
      <w:r>
        <w:t xml:space="preserve"> parte del Ayuntamiento de Candelaria como miembro asociado de la “Asociación Grupo de Acción Rural Tenerife GAR-TF”, del presente expediente.” </w:t>
      </w:r>
    </w:p>
    <w:p w:rsidR="00B064CF" w:rsidRDefault="00E32F70">
      <w:pPr>
        <w:spacing w:after="100" w:line="259" w:lineRule="auto"/>
        <w:ind w:left="360" w:firstLine="0"/>
        <w:jc w:val="left"/>
      </w:pPr>
      <w:r>
        <w:t xml:space="preserve"> </w:t>
      </w:r>
    </w:p>
    <w:p w:rsidR="00B064CF" w:rsidRDefault="00E32F70">
      <w:pPr>
        <w:spacing w:after="98" w:line="259" w:lineRule="auto"/>
        <w:ind w:left="360" w:firstLine="0"/>
        <w:jc w:val="left"/>
      </w:pPr>
      <w:r>
        <w:t xml:space="preserve"> </w:t>
      </w:r>
    </w:p>
    <w:p w:rsidR="00B064CF" w:rsidRDefault="00E32F70">
      <w:pPr>
        <w:spacing w:after="98" w:line="259" w:lineRule="auto"/>
        <w:ind w:left="360" w:firstLine="0"/>
        <w:jc w:val="left"/>
      </w:pPr>
      <w:r>
        <w:t xml:space="preserve"> </w:t>
      </w:r>
    </w:p>
    <w:p w:rsidR="00B064CF" w:rsidRDefault="00E32F70">
      <w:pPr>
        <w:spacing w:after="114"/>
        <w:ind w:left="355" w:right="68"/>
      </w:pPr>
      <w:r>
        <w:rPr>
          <w:b/>
        </w:rPr>
        <w:t>Consta en el expediente Informe Jurídico emitido por Doña Rosa Edelmira González Sabina, que desempeña el</w:t>
      </w:r>
      <w:r>
        <w:rPr>
          <w:b/>
        </w:rPr>
        <w:t xml:space="preserve"> puesto de Jurista, de 13 de mayo de 2021, debidamente conformado por Dª Mª del Pilar Chico Delgado, Técnico de Administración General, de 14 de mayo de 2021, y fiscalizado favorablemente por el Interventor Municipal D. Nicolás Rojo Garnica, del 14 de mayo</w:t>
      </w:r>
      <w:r>
        <w:rPr>
          <w:b/>
        </w:rPr>
        <w:t xml:space="preserve"> de 2021, del siguiente tenor literal:</w:t>
      </w:r>
      <w:r>
        <w:t xml:space="preserve"> </w:t>
      </w:r>
    </w:p>
    <w:p w:rsidR="00B064CF" w:rsidRDefault="00E32F70">
      <w:pPr>
        <w:spacing w:after="0" w:line="259" w:lineRule="auto"/>
        <w:ind w:left="360" w:firstLine="0"/>
        <w:jc w:val="left"/>
      </w:pPr>
      <w:r>
        <w:rPr>
          <w:b/>
        </w:rPr>
        <w:t xml:space="preserve"> </w:t>
      </w:r>
    </w:p>
    <w:p w:rsidR="00B064CF" w:rsidRDefault="00E32F70">
      <w:pPr>
        <w:spacing w:after="136" w:line="259" w:lineRule="auto"/>
        <w:ind w:left="360" w:firstLine="0"/>
        <w:jc w:val="left"/>
      </w:pPr>
      <w:r>
        <w:t xml:space="preserve"> </w:t>
      </w:r>
    </w:p>
    <w:p w:rsidR="00B064CF" w:rsidRDefault="00E32F70">
      <w:pPr>
        <w:pStyle w:val="Ttulo2"/>
        <w:ind w:left="290" w:right="2"/>
      </w:pPr>
      <w:r>
        <w:t xml:space="preserve">“INFORME JURÍDICO </w:t>
      </w:r>
    </w:p>
    <w:p w:rsidR="00B064CF" w:rsidRDefault="00E32F70">
      <w:pPr>
        <w:spacing w:after="100" w:line="259" w:lineRule="auto"/>
        <w:ind w:left="340" w:firstLine="0"/>
        <w:jc w:val="center"/>
      </w:pPr>
      <w:r>
        <w:rPr>
          <w:b/>
        </w:rPr>
        <w:t xml:space="preserve"> </w:t>
      </w:r>
    </w:p>
    <w:p w:rsidR="00B064CF" w:rsidRDefault="00E32F70">
      <w:pPr>
        <w:spacing w:after="111"/>
        <w:ind w:left="355" w:right="72"/>
      </w:pPr>
      <w:r>
        <w:t xml:space="preserve">Visto el expediente referenciado, Doña Rosa Edelmira González Sabina, Técnica jurista, emite el siguiente informe. debidamente conformado por la funcionaria Dña. María del Pilar Chico Delgado, Técnica de Administración General y fiscalizado favorablemente </w:t>
      </w:r>
      <w:r>
        <w:t xml:space="preserve">por el Interventor Municipal D. Nicolás Rojo Garnica: </w:t>
      </w:r>
    </w:p>
    <w:p w:rsidR="00B064CF" w:rsidRDefault="00E32F70">
      <w:pPr>
        <w:spacing w:after="98" w:line="259" w:lineRule="auto"/>
        <w:ind w:left="360" w:firstLine="0"/>
        <w:jc w:val="left"/>
      </w:pPr>
      <w:r>
        <w:rPr>
          <w:rFonts w:ascii="Calibri" w:eastAsia="Calibri" w:hAnsi="Calibri" w:cs="Calibri"/>
          <w:noProof/>
        </w:rPr>
        <mc:AlternateContent>
          <mc:Choice Requires="wpg">
            <w:drawing>
              <wp:anchor distT="0" distB="0" distL="114300" distR="114300" simplePos="0" relativeHeight="25194496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22951" name="Group 422951"/>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3095" name="Rectangle 43095"/>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43096" name="Rectangle 43096"/>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276 de 298 </w:t>
                              </w:r>
                            </w:p>
                          </w:txbxContent>
                        </wps:txbx>
                        <wps:bodyPr horzOverflow="overflow" vert="horz" lIns="0" tIns="0" rIns="0" bIns="0" rtlCol="0">
                          <a:noAutofit/>
                        </wps:bodyPr>
                      </wps:wsp>
                    </wpg:wgp>
                  </a:graphicData>
                </a:graphic>
              </wp:anchor>
            </w:drawing>
          </mc:Choice>
          <mc:Fallback xmlns:a="http://schemas.openxmlformats.org/drawingml/2006/main">
            <w:pict>
              <v:group id="Group 422951" style="width:12.7031pt;height:278.91pt;position:absolute;mso-position-horizontal-relative:page;mso-position-horizontal:absolute;margin-left:682.278pt;mso-position-vertical-relative:page;margin-top:533.01pt;" coordsize="1613,35421">
                <v:rect id="Rectangle 43095"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3096"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276 de 298 </w:t>
                        </w:r>
                      </w:p>
                    </w:txbxContent>
                  </v:textbox>
                </v:rect>
                <w10:wrap type="square"/>
              </v:group>
            </w:pict>
          </mc:Fallback>
        </mc:AlternateContent>
      </w:r>
      <w:r>
        <w:t xml:space="preserve"> </w:t>
      </w:r>
    </w:p>
    <w:p w:rsidR="00B064CF" w:rsidRDefault="00E32F70">
      <w:pPr>
        <w:spacing w:after="100" w:line="259" w:lineRule="auto"/>
        <w:ind w:left="360" w:firstLine="0"/>
        <w:jc w:val="left"/>
      </w:pPr>
      <w:r>
        <w:t xml:space="preserve"> </w:t>
      </w:r>
      <w:r>
        <w:t xml:space="preserve"> </w:t>
      </w:r>
    </w:p>
    <w:p w:rsidR="00B064CF" w:rsidRDefault="00E32F70">
      <w:pPr>
        <w:spacing w:after="95" w:line="259" w:lineRule="auto"/>
        <w:ind w:left="360" w:firstLine="0"/>
        <w:jc w:val="left"/>
      </w:pPr>
      <w:r>
        <w:t xml:space="preserve"> </w:t>
      </w:r>
    </w:p>
    <w:p w:rsidR="00B064CF" w:rsidRDefault="00E32F70">
      <w:pPr>
        <w:pStyle w:val="Ttulo2"/>
        <w:ind w:left="290"/>
      </w:pPr>
      <w:r>
        <w:t xml:space="preserve">Antecedentes de hecho </w:t>
      </w:r>
    </w:p>
    <w:p w:rsidR="00B064CF" w:rsidRDefault="00E32F70">
      <w:pPr>
        <w:spacing w:after="112"/>
        <w:ind w:left="355" w:right="72"/>
      </w:pPr>
      <w:r>
        <w:t xml:space="preserve">Vista la propuesta de la Alcaldesa Presidenta de fecha 13 de mayo de 2021 relativa a la aprobación de la solicitud por parte del Ayuntamiento de Candelaria de la condición de miembro asociado de la Asociación de Grupo de Acción Rural de Tenerife- GAR TF y </w:t>
      </w:r>
      <w:r>
        <w:t>de manifestación de contribuir al logro de los fines asociativos. Visto el informe favorable del Interventor municipal, de fecha 12 de mayo de 2021. Visto que obra en el expediente administrativo los estatutos Sociales de la Asociación Grupo Acción Rural T</w:t>
      </w:r>
      <w:r>
        <w:t xml:space="preserve">enerife- GAR TF, así como el Certificado de modificación de Junta Directiva de fecha 21 de febrero de 2020 </w:t>
      </w:r>
    </w:p>
    <w:p w:rsidR="00B064CF" w:rsidRDefault="00E32F70">
      <w:pPr>
        <w:spacing w:after="98" w:line="259" w:lineRule="auto"/>
        <w:ind w:left="360" w:firstLine="0"/>
        <w:jc w:val="left"/>
      </w:pPr>
      <w:r>
        <w:t xml:space="preserve"> </w:t>
      </w:r>
    </w:p>
    <w:p w:rsidR="00B064CF" w:rsidRDefault="00E32F70">
      <w:pPr>
        <w:pStyle w:val="Ttulo2"/>
        <w:ind w:left="290" w:right="2"/>
      </w:pPr>
      <w:r>
        <w:t xml:space="preserve">Fundamentos de derecho </w:t>
      </w:r>
    </w:p>
    <w:p w:rsidR="00B064CF" w:rsidRDefault="00E32F70">
      <w:pPr>
        <w:spacing w:after="100" w:line="259" w:lineRule="auto"/>
        <w:ind w:left="360" w:firstLine="0"/>
        <w:jc w:val="left"/>
      </w:pPr>
      <w:r>
        <w:t xml:space="preserve"> </w:t>
      </w:r>
    </w:p>
    <w:p w:rsidR="00B064CF" w:rsidRDefault="00E32F70">
      <w:pPr>
        <w:spacing w:after="114"/>
        <w:ind w:left="355" w:right="72"/>
      </w:pPr>
      <w:r>
        <w:t>Primero. - Artículo 22 p) y artículo 47.2 g) de la Ley de 7/1985, de 2 de abril, Reguladora de las Bases del Régimen Loc</w:t>
      </w:r>
      <w:r>
        <w:t xml:space="preserve">al.  </w:t>
      </w:r>
    </w:p>
    <w:p w:rsidR="00B064CF" w:rsidRDefault="00E32F70">
      <w:pPr>
        <w:spacing w:after="112"/>
        <w:ind w:left="355" w:right="72"/>
      </w:pPr>
      <w:r>
        <w:t xml:space="preserve">Segundo. - Ley 39/2015 de 1 de octubre, de Procedimiento Administrativo Común de las Administraciones Públicas  </w:t>
      </w:r>
    </w:p>
    <w:p w:rsidR="00B064CF" w:rsidRDefault="00E32F70">
      <w:pPr>
        <w:spacing w:after="111"/>
        <w:ind w:left="355" w:right="72"/>
      </w:pPr>
      <w:r>
        <w:t xml:space="preserve">Tercero. - Ley Orgánica 1/2002, de 22 de marzo, reguladora del Derecho de Asociación.  </w:t>
      </w:r>
    </w:p>
    <w:p w:rsidR="00B064CF" w:rsidRDefault="00E32F70">
      <w:pPr>
        <w:ind w:left="355" w:right="72"/>
      </w:pPr>
      <w:r>
        <w:t>Cuarto. - Ley 4/2003, de 28 de febrero, de Asocia</w:t>
      </w:r>
      <w:r>
        <w:t xml:space="preserve">ciones de Canarias.  </w:t>
      </w:r>
    </w:p>
    <w:p w:rsidR="00B064CF" w:rsidRDefault="00E32F70">
      <w:pPr>
        <w:spacing w:after="111"/>
        <w:ind w:left="355" w:right="72"/>
      </w:pPr>
      <w:r>
        <w:t xml:space="preserve">Quinto. - DECRETO 12/2007, de 5 de febrero, por el que se aprueba el Reglamento de Asociaciones de Canarias.  </w:t>
      </w:r>
    </w:p>
    <w:p w:rsidR="00B064CF" w:rsidRDefault="00E32F70">
      <w:pPr>
        <w:spacing w:after="114"/>
        <w:ind w:left="355" w:right="72"/>
      </w:pPr>
      <w:r>
        <w:t xml:space="preserve">Sexto. - El artículo 29 de los Estatutos Sociales de la Asociación Grupo Acción Rural Tenerife- GAR TF </w:t>
      </w:r>
    </w:p>
    <w:p w:rsidR="00B064CF" w:rsidRDefault="00E32F70">
      <w:pPr>
        <w:spacing w:after="98" w:line="259" w:lineRule="auto"/>
        <w:ind w:left="360" w:firstLine="0"/>
        <w:jc w:val="left"/>
      </w:pPr>
      <w:r>
        <w:t xml:space="preserve"> </w:t>
      </w:r>
    </w:p>
    <w:p w:rsidR="00B064CF" w:rsidRDefault="00E32F70">
      <w:pPr>
        <w:spacing w:after="111"/>
        <w:ind w:left="355" w:right="72"/>
      </w:pPr>
      <w:r>
        <w:t xml:space="preserve">Sobre la base de </w:t>
      </w:r>
      <w:r>
        <w:t xml:space="preserve">los antecedentes y fundamentos expuestos la Técnico Jurista que suscribe, formula la siguiente, </w:t>
      </w:r>
    </w:p>
    <w:p w:rsidR="00B064CF" w:rsidRDefault="00E32F70">
      <w:pPr>
        <w:spacing w:after="98" w:line="259" w:lineRule="auto"/>
        <w:ind w:left="360" w:firstLine="0"/>
        <w:jc w:val="left"/>
      </w:pPr>
      <w:r>
        <w:t xml:space="preserve"> </w:t>
      </w:r>
    </w:p>
    <w:p w:rsidR="00B064CF" w:rsidRDefault="00E32F70">
      <w:pPr>
        <w:pStyle w:val="Ttulo2"/>
        <w:ind w:left="290" w:right="2"/>
      </w:pPr>
      <w:r>
        <w:t xml:space="preserve">Propuesta de resolución </w:t>
      </w:r>
    </w:p>
    <w:p w:rsidR="00B064CF" w:rsidRDefault="00E32F70">
      <w:pPr>
        <w:spacing w:after="100" w:line="259" w:lineRule="auto"/>
        <w:ind w:left="340" w:firstLine="0"/>
        <w:jc w:val="center"/>
      </w:pPr>
      <w:r>
        <w:rPr>
          <w:b/>
        </w:rPr>
        <w:t xml:space="preserve"> </w:t>
      </w:r>
    </w:p>
    <w:p w:rsidR="00B064CF" w:rsidRDefault="00E32F70">
      <w:pPr>
        <w:spacing w:after="111"/>
        <w:ind w:left="355" w:right="72"/>
      </w:pPr>
      <w:r>
        <w:t xml:space="preserve">Primero. - </w:t>
      </w:r>
      <w:r>
        <w:t>Aprobar la solicitud por parte del Ayuntamiento de Candelaria de la condición de miembro asociado de la Asociación de Grupo de Acción Rural de Tenerife- GAR TF y de manifestación de contribuir al logro de los fines asociativos, conforme a lo dispuesto en e</w:t>
      </w:r>
      <w:r>
        <w:t xml:space="preserve">l artículo 29 de los Estatutos Sociales  </w:t>
      </w:r>
    </w:p>
    <w:p w:rsidR="00B064CF" w:rsidRDefault="00E32F70">
      <w:pPr>
        <w:spacing w:after="112"/>
        <w:ind w:left="355" w:right="72"/>
      </w:pPr>
      <w:r>
        <w:t>Segundo, - Designar a la Sra. Alcaldesa Presidenta, Dña. María Concepción Brito Núñez como representante titular y como persona suplente a la Concejala Delegada de Desarrollo Rural y Pesquero, Medio Ambiente Natura</w:t>
      </w:r>
      <w:r>
        <w:t xml:space="preserve">l y Educación, Dña. Margarita Eva Tendero Barroso.  </w:t>
      </w:r>
    </w:p>
    <w:p w:rsidR="00B064CF" w:rsidRDefault="00E32F70">
      <w:pPr>
        <w:spacing w:after="111"/>
        <w:ind w:left="355" w:right="72"/>
      </w:pPr>
      <w:r>
        <w:t xml:space="preserve">Tercero. - Dar traslado a la A Asociación de Grupo de Acción Rural de Tenerife- GAR TF del acuerdo que se adopte.  </w:t>
      </w:r>
    </w:p>
    <w:p w:rsidR="00B064CF" w:rsidRDefault="00E32F70">
      <w:pPr>
        <w:spacing w:after="130" w:line="259" w:lineRule="auto"/>
        <w:ind w:left="360" w:firstLine="0"/>
        <w:jc w:val="left"/>
      </w:pPr>
      <w:r>
        <w:rPr>
          <w:rFonts w:ascii="Calibri" w:eastAsia="Calibri" w:hAnsi="Calibri" w:cs="Calibri"/>
          <w:noProof/>
        </w:rPr>
        <mc:AlternateContent>
          <mc:Choice Requires="wpg">
            <w:drawing>
              <wp:anchor distT="0" distB="0" distL="114300" distR="114300" simplePos="0" relativeHeight="25194598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23171" name="Group 423171"/>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3222" name="Rectangle 43222"/>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64SKSNYNJRFPNN5DLPPAAC3GS | Verificación: https://candelaria.sedele</w:t>
                              </w:r>
                              <w:r>
                                <w:rPr>
                                  <w:sz w:val="12"/>
                                </w:rPr>
                                <w:t xml:space="preserve">ctronica.es/ </w:t>
                              </w:r>
                            </w:p>
                          </w:txbxContent>
                        </wps:txbx>
                        <wps:bodyPr horzOverflow="overflow" vert="horz" lIns="0" tIns="0" rIns="0" bIns="0" rtlCol="0">
                          <a:noAutofit/>
                        </wps:bodyPr>
                      </wps:wsp>
                      <wps:wsp>
                        <wps:cNvPr id="43223" name="Rectangle 43223"/>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277 de 298 </w:t>
                              </w:r>
                            </w:p>
                          </w:txbxContent>
                        </wps:txbx>
                        <wps:bodyPr horzOverflow="overflow" vert="horz" lIns="0" tIns="0" rIns="0" bIns="0" rtlCol="0">
                          <a:noAutofit/>
                        </wps:bodyPr>
                      </wps:wsp>
                    </wpg:wgp>
                  </a:graphicData>
                </a:graphic>
              </wp:anchor>
            </w:drawing>
          </mc:Choice>
          <mc:Fallback xmlns:a="http://schemas.openxmlformats.org/drawingml/2006/main">
            <w:pict>
              <v:group id="Group 423171" style="width:12.7031pt;height:278.91pt;position:absolute;mso-position-horizontal-relative:page;mso-position-horizontal:absolute;margin-left:682.278pt;mso-position-vertical-relative:page;margin-top:533.01pt;" coordsize="1613,35421">
                <v:rect id="Rectangle 43222"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3223"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277 de 298 </w:t>
                        </w:r>
                      </w:p>
                    </w:txbxContent>
                  </v:textbox>
                </v:rect>
                <w10:wrap type="square"/>
              </v:group>
            </w:pict>
          </mc:Fallback>
        </mc:AlternateContent>
      </w:r>
      <w:r>
        <w:t xml:space="preserve"> </w:t>
      </w:r>
    </w:p>
    <w:p w:rsidR="00B064CF" w:rsidRDefault="00E32F70">
      <w:pPr>
        <w:spacing w:after="111"/>
        <w:ind w:left="355" w:right="72"/>
      </w:pPr>
      <w:r>
        <w:t xml:space="preserve">          No obstante, el Pleno de la Corporación acordará lo más procedente.” </w:t>
      </w:r>
    </w:p>
    <w:p w:rsidR="00B064CF" w:rsidRDefault="00E32F70">
      <w:pPr>
        <w:spacing w:after="95" w:line="259" w:lineRule="auto"/>
        <w:ind w:left="360" w:firstLine="0"/>
        <w:jc w:val="left"/>
      </w:pPr>
      <w:r>
        <w:t xml:space="preserve"> </w:t>
      </w:r>
    </w:p>
    <w:p w:rsidR="00B064CF" w:rsidRDefault="00E32F70">
      <w:pPr>
        <w:spacing w:after="0" w:line="259" w:lineRule="auto"/>
        <w:ind w:left="360" w:firstLine="0"/>
        <w:jc w:val="left"/>
      </w:pPr>
      <w:r>
        <w:rPr>
          <w:b/>
        </w:rPr>
        <w:t xml:space="preserve"> </w:t>
      </w:r>
    </w:p>
    <w:p w:rsidR="00B064CF" w:rsidRDefault="00E32F70">
      <w:pPr>
        <w:spacing w:after="4"/>
        <w:ind w:left="355" w:right="68"/>
      </w:pPr>
      <w:r>
        <w:rPr>
          <w:b/>
        </w:rPr>
        <w:t>Consta en el expediente propuesta de la Alcaldesa-</w:t>
      </w:r>
      <w:r>
        <w:rPr>
          <w:b/>
        </w:rPr>
        <w:t xml:space="preserve">Presidenta, de fecha 13 de mayo de 2021, cuyo tenor literal es el siguiente: </w:t>
      </w:r>
    </w:p>
    <w:p w:rsidR="00B064CF" w:rsidRDefault="00E32F70">
      <w:pPr>
        <w:spacing w:after="0" w:line="259" w:lineRule="auto"/>
        <w:ind w:left="360" w:firstLine="0"/>
        <w:jc w:val="left"/>
      </w:pPr>
      <w:r>
        <w:rPr>
          <w:b/>
        </w:rPr>
        <w:t xml:space="preserve"> </w:t>
      </w:r>
    </w:p>
    <w:p w:rsidR="00B064CF" w:rsidRDefault="00E32F70">
      <w:pPr>
        <w:spacing w:after="6" w:line="259" w:lineRule="auto"/>
        <w:ind w:left="360" w:firstLine="0"/>
        <w:jc w:val="left"/>
      </w:pPr>
      <w:r>
        <w:rPr>
          <w:b/>
        </w:rPr>
        <w:t xml:space="preserve"> </w:t>
      </w:r>
    </w:p>
    <w:p w:rsidR="00B064CF" w:rsidRDefault="00E32F70">
      <w:pPr>
        <w:spacing w:after="0"/>
        <w:ind w:left="355" w:right="72"/>
      </w:pPr>
      <w:r>
        <w:t xml:space="preserve">   “Doña María Concepción Brito Núñez, en calidad de Alcaldesa </w:t>
      </w:r>
      <w:r>
        <w:t xml:space="preserve">Presidenta del Ayuntamiento de Candelaria y al amparo de lo dispuesto en el Reglamento de Organización, Funcionamiento y Régimen Jurídico de las Entidades Locales, así como en la Ley 7/1985, de 2 de abril, Reguladora de las Bases de Régimen Local, formula </w:t>
      </w:r>
      <w:r>
        <w:t xml:space="preserve">al Pleno de la Corporación la siguiente propuesta:  </w:t>
      </w:r>
    </w:p>
    <w:p w:rsidR="00B064CF" w:rsidRDefault="00E32F70">
      <w:pPr>
        <w:spacing w:after="0" w:line="259" w:lineRule="auto"/>
        <w:ind w:left="360" w:firstLine="0"/>
        <w:jc w:val="left"/>
      </w:pPr>
      <w:r>
        <w:t xml:space="preserve"> </w:t>
      </w:r>
    </w:p>
    <w:p w:rsidR="00B064CF" w:rsidRDefault="00E32F70">
      <w:pPr>
        <w:spacing w:after="0" w:line="249" w:lineRule="auto"/>
        <w:ind w:left="290" w:right="176"/>
        <w:jc w:val="center"/>
      </w:pPr>
      <w:r>
        <w:rPr>
          <w:b/>
        </w:rPr>
        <w:t>Aprobación de la solicitud por parte del Ayuntamiento de Candelaria de la condición de miembro asociado de la Asociación de Grupo de Acción Rural de Tenerife- GAR TF y de manifestación de contribuir al</w:t>
      </w:r>
      <w:r>
        <w:rPr>
          <w:b/>
        </w:rPr>
        <w:t xml:space="preserve"> logro de los fines asociativos. </w:t>
      </w:r>
    </w:p>
    <w:p w:rsidR="00B064CF" w:rsidRDefault="00E32F70">
      <w:pPr>
        <w:spacing w:after="0" w:line="259" w:lineRule="auto"/>
        <w:ind w:left="360" w:firstLine="0"/>
        <w:jc w:val="left"/>
      </w:pPr>
      <w:r>
        <w:t xml:space="preserve"> </w:t>
      </w:r>
    </w:p>
    <w:p w:rsidR="00B064CF" w:rsidRDefault="00E32F70">
      <w:pPr>
        <w:spacing w:after="0"/>
        <w:ind w:left="355" w:right="72"/>
      </w:pPr>
      <w:r>
        <w:t xml:space="preserve">    Dada cuenta que el </w:t>
      </w:r>
      <w:r>
        <w:rPr>
          <w:color w:val="0070C0"/>
          <w:u w:val="single" w:color="0070C0"/>
        </w:rPr>
        <w:t>Programa de Desarrollo Rural de Canarias 2014-2020</w:t>
      </w:r>
      <w:r>
        <w:t xml:space="preserve"> , presentado a la Comisión Europea de conformidad con el procedimiento establecido al efecto, fue aprobado por Decisión C (2015) 6020 final de fec</w:t>
      </w:r>
      <w:r>
        <w:t xml:space="preserve">ha 25 de agosto de 2015 y modificado en último lugar por la </w:t>
      </w:r>
      <w:r>
        <w:rPr>
          <w:color w:val="0070C0"/>
          <w:u w:val="single" w:color="0070C0"/>
        </w:rPr>
        <w:t xml:space="preserve">Decisión de Ejecución C(2016) 5712 de la Comisión, de 1 de septiembre de 2016 </w:t>
      </w:r>
      <w:r>
        <w:t>a efectos de la concesión de ayudas del Fondo Europeo Agrícola de Desarrollo Rural (FEADER), tiene como finalidad cont</w:t>
      </w:r>
      <w:r>
        <w:t>ribuir al desarrollo del medio rural de forma equilibrada a nivel territorial; lograr la sostenibilidad medioambiental coadyuvando de forma decisiva a la mitigación del cambio climático y a la reducción de la huella de carbono y mejorando y preservando los</w:t>
      </w:r>
      <w:r>
        <w:t xml:space="preserve"> ecosistemas relacionados con la agricultura y la silvicultura; incrementando al mismo tiempo los índices de productividad y competitividad de las explotaciones agrarias a través de la incorporación de procesos tecnológicos e innovadores en las mismas que </w:t>
      </w:r>
      <w:r>
        <w:t xml:space="preserve">permitan una mejor organización y gestión. </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72"/>
      </w:pPr>
      <w:r>
        <w:t xml:space="preserve">Para ello, se implementan en la Comunidad Autónoma de Canarias, las siguientes líneas de actuación:  </w:t>
      </w:r>
    </w:p>
    <w:p w:rsidR="00B064CF" w:rsidRDefault="00E32F70">
      <w:pPr>
        <w:spacing w:after="9" w:line="259" w:lineRule="auto"/>
        <w:ind w:left="360" w:firstLine="0"/>
        <w:jc w:val="left"/>
      </w:pPr>
      <w:r>
        <w:t xml:space="preserve"> </w:t>
      </w:r>
    </w:p>
    <w:p w:rsidR="00B064CF" w:rsidRDefault="00E32F70">
      <w:pPr>
        <w:numPr>
          <w:ilvl w:val="0"/>
          <w:numId w:val="234"/>
        </w:numPr>
        <w:spacing w:after="0" w:line="259" w:lineRule="auto"/>
        <w:ind w:right="72" w:hanging="360"/>
      </w:pPr>
      <w:r>
        <w:rPr>
          <w:color w:val="0070C0"/>
          <w:u w:val="single" w:color="0070C0"/>
        </w:rPr>
        <w:t>Medida 1 de Acciones de transferencia de conocimientos e información</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rPr>
          <w:color w:val="0070C0"/>
        </w:rPr>
        <w:t xml:space="preserve">  </w:t>
      </w:r>
    </w:p>
    <w:p w:rsidR="00B064CF" w:rsidRDefault="00E32F70">
      <w:pPr>
        <w:spacing w:after="0" w:line="259" w:lineRule="auto"/>
        <w:ind w:left="355"/>
        <w:jc w:val="left"/>
      </w:pPr>
      <w:r>
        <w:rPr>
          <w:rFonts w:ascii="Segoe UI Symbol" w:eastAsia="Segoe UI Symbol" w:hAnsi="Segoe UI Symbol" w:cs="Segoe UI Symbol"/>
          <w:color w:val="0070C0"/>
          <w:u w:val="single" w:color="0070C0"/>
        </w:rPr>
        <w:t></w:t>
      </w:r>
      <w:r>
        <w:rPr>
          <w:color w:val="0070C0"/>
          <w:u w:val="single" w:color="0070C0"/>
        </w:rPr>
        <w:t>Medida 2 de Servicios de asesor</w:t>
      </w:r>
      <w:r>
        <w:rPr>
          <w:color w:val="0070C0"/>
          <w:u w:val="single" w:color="0070C0"/>
        </w:rPr>
        <w:t>amiento, gestión y sustitución destinados a las explotaciones</w:t>
      </w:r>
      <w:r>
        <w:rPr>
          <w:color w:val="0070C0"/>
        </w:rPr>
        <w:t xml:space="preserve"> </w:t>
      </w:r>
      <w:r>
        <w:rPr>
          <w:color w:val="0070C0"/>
          <w:u w:val="single" w:color="0070C0"/>
        </w:rPr>
        <w:t>agrícolas</w:t>
      </w:r>
      <w:r>
        <w:rPr>
          <w:color w:val="0070C0"/>
        </w:rPr>
        <w:t xml:space="preserve"> </w:t>
      </w:r>
      <w:r>
        <w:rPr>
          <w:rFonts w:ascii="Times New Roman" w:eastAsia="Times New Roman" w:hAnsi="Times New Roman" w:cs="Times New Roman"/>
          <w:sz w:val="24"/>
        </w:rPr>
        <w:t xml:space="preserve"> </w:t>
      </w:r>
    </w:p>
    <w:p w:rsidR="00B064CF" w:rsidRDefault="00E32F70">
      <w:pPr>
        <w:spacing w:after="12" w:line="259" w:lineRule="auto"/>
        <w:ind w:left="360" w:firstLine="0"/>
        <w:jc w:val="left"/>
      </w:pPr>
      <w:r>
        <w:rPr>
          <w:color w:val="0070C0"/>
        </w:rPr>
        <w:t xml:space="preserve"> </w:t>
      </w:r>
    </w:p>
    <w:p w:rsidR="00B064CF" w:rsidRDefault="00E32F70">
      <w:pPr>
        <w:spacing w:after="0" w:line="259" w:lineRule="auto"/>
        <w:ind w:left="355"/>
        <w:jc w:val="left"/>
      </w:pPr>
      <w:r>
        <w:rPr>
          <w:rFonts w:ascii="Segoe UI Symbol" w:eastAsia="Segoe UI Symbol" w:hAnsi="Segoe UI Symbol" w:cs="Segoe UI Symbol"/>
          <w:color w:val="0070C0"/>
          <w:u w:val="single" w:color="0070C0"/>
        </w:rPr>
        <w:t></w:t>
      </w:r>
      <w:r>
        <w:rPr>
          <w:color w:val="0070C0"/>
          <w:u w:val="single" w:color="0070C0"/>
        </w:rPr>
        <w:t>Medida 3 de Regímenes de calidad de los productos agrícolas y alimenticios</w:t>
      </w:r>
      <w:r>
        <w:rPr>
          <w:color w:val="0070C0"/>
        </w:rPr>
        <w:t xml:space="preserve"> </w:t>
      </w:r>
      <w:r>
        <w:rPr>
          <w:rFonts w:ascii="Times New Roman" w:eastAsia="Times New Roman" w:hAnsi="Times New Roman" w:cs="Times New Roman"/>
          <w:sz w:val="24"/>
        </w:rPr>
        <w:t xml:space="preserve"> </w:t>
      </w:r>
    </w:p>
    <w:p w:rsidR="00B064CF" w:rsidRDefault="00E32F70">
      <w:pPr>
        <w:spacing w:after="10" w:line="259" w:lineRule="auto"/>
        <w:ind w:left="360" w:firstLine="0"/>
        <w:jc w:val="left"/>
      </w:pPr>
      <w:r>
        <w:rPr>
          <w:color w:val="0070C0"/>
        </w:rPr>
        <w:t xml:space="preserve"> </w:t>
      </w:r>
    </w:p>
    <w:p w:rsidR="00B064CF" w:rsidRDefault="00E32F70">
      <w:pPr>
        <w:spacing w:after="0" w:line="259" w:lineRule="auto"/>
        <w:ind w:left="355"/>
        <w:jc w:val="left"/>
      </w:pPr>
      <w:r>
        <w:rPr>
          <w:rFonts w:ascii="Segoe UI Symbol" w:eastAsia="Segoe UI Symbol" w:hAnsi="Segoe UI Symbol" w:cs="Segoe UI Symbol"/>
          <w:color w:val="0070C0"/>
          <w:u w:val="single" w:color="0070C0"/>
        </w:rPr>
        <w:t></w:t>
      </w:r>
      <w:r>
        <w:rPr>
          <w:color w:val="0070C0"/>
          <w:u w:val="single" w:color="0070C0"/>
        </w:rPr>
        <w:t>Medida 4 de Inversiones en activos físicos</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rPr>
          <w:color w:val="0070C0"/>
        </w:rPr>
        <w:t xml:space="preserve"> </w:t>
      </w:r>
    </w:p>
    <w:p w:rsidR="00B064CF" w:rsidRDefault="00E32F70">
      <w:pPr>
        <w:spacing w:after="0" w:line="259" w:lineRule="auto"/>
        <w:ind w:left="355"/>
        <w:jc w:val="left"/>
      </w:pPr>
      <w:r>
        <w:rPr>
          <w:rFonts w:ascii="Segoe UI Symbol" w:eastAsia="Segoe UI Symbol" w:hAnsi="Segoe UI Symbol" w:cs="Segoe UI Symbol"/>
          <w:color w:val="0070C0"/>
          <w:u w:val="single" w:color="0070C0"/>
        </w:rPr>
        <w:t></w:t>
      </w:r>
      <w:r>
        <w:rPr>
          <w:color w:val="0070C0"/>
          <w:u w:val="single" w:color="0070C0"/>
        </w:rPr>
        <w:t>Medida 5 de Reconstitución del potencial de producción agrícola dañado por desastres naturales</w:t>
      </w:r>
      <w:r>
        <w:rPr>
          <w:color w:val="0070C0"/>
        </w:rPr>
        <w:t xml:space="preserve"> </w:t>
      </w:r>
      <w:r>
        <w:rPr>
          <w:color w:val="0070C0"/>
          <w:u w:val="single" w:color="0070C0"/>
        </w:rPr>
        <w:t>y catástrofes e implantación de medidas preventivas adecuadas</w:t>
      </w:r>
      <w:r>
        <w:rPr>
          <w:color w:val="0070C0"/>
        </w:rPr>
        <w:t xml:space="preserve"> </w:t>
      </w:r>
      <w:r>
        <w:rPr>
          <w:rFonts w:ascii="Times New Roman" w:eastAsia="Times New Roman" w:hAnsi="Times New Roman" w:cs="Times New Roman"/>
          <w:sz w:val="24"/>
        </w:rPr>
        <w:t xml:space="preserve"> </w:t>
      </w:r>
    </w:p>
    <w:p w:rsidR="00B064CF" w:rsidRDefault="00E32F70">
      <w:pPr>
        <w:spacing w:after="9" w:line="259" w:lineRule="auto"/>
        <w:ind w:left="360" w:firstLine="0"/>
        <w:jc w:val="left"/>
      </w:pPr>
      <w:r>
        <w:rPr>
          <w:color w:val="0070C0"/>
        </w:rPr>
        <w:t xml:space="preserve"> </w:t>
      </w:r>
    </w:p>
    <w:p w:rsidR="00B064CF" w:rsidRDefault="00E32F70">
      <w:pPr>
        <w:numPr>
          <w:ilvl w:val="0"/>
          <w:numId w:val="234"/>
        </w:numPr>
        <w:spacing w:after="0" w:line="259" w:lineRule="auto"/>
        <w:ind w:right="72" w:hanging="360"/>
      </w:pPr>
      <w:r>
        <w:rPr>
          <w:color w:val="0070C0"/>
          <w:u w:val="single" w:color="0070C0"/>
        </w:rPr>
        <w:t>Medida 6 de Desarrollo de explotaciones agrícolas y empresariales</w:t>
      </w:r>
      <w:r>
        <w:rPr>
          <w:rFonts w:ascii="Times New Roman" w:eastAsia="Times New Roman" w:hAnsi="Times New Roman" w:cs="Times New Roman"/>
          <w:sz w:val="24"/>
        </w:rPr>
        <w:t xml:space="preserve"> </w:t>
      </w:r>
    </w:p>
    <w:p w:rsidR="00B064CF" w:rsidRDefault="00E32F70">
      <w:pPr>
        <w:spacing w:after="9" w:line="259" w:lineRule="auto"/>
        <w:ind w:left="360" w:firstLine="0"/>
        <w:jc w:val="left"/>
      </w:pPr>
      <w:r>
        <w:rPr>
          <w:color w:val="0070C0"/>
        </w:rPr>
        <w:t xml:space="preserve">  </w:t>
      </w:r>
    </w:p>
    <w:p w:rsidR="00B064CF" w:rsidRDefault="00E32F70">
      <w:pPr>
        <w:numPr>
          <w:ilvl w:val="0"/>
          <w:numId w:val="234"/>
        </w:numPr>
        <w:spacing w:after="0" w:line="259" w:lineRule="auto"/>
        <w:ind w:right="72" w:hanging="360"/>
      </w:pPr>
      <w:r>
        <w:rPr>
          <w:rFonts w:ascii="Calibri" w:eastAsia="Calibri" w:hAnsi="Calibri" w:cs="Calibri"/>
          <w:noProof/>
        </w:rPr>
        <mc:AlternateContent>
          <mc:Choice Requires="wpg">
            <w:drawing>
              <wp:anchor distT="0" distB="0" distL="114300" distR="114300" simplePos="0" relativeHeight="25194700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24022" name="Group 424022"/>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3366" name="Rectangle 43366"/>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w:t>
                              </w:r>
                              <w:r>
                                <w:rPr>
                                  <w:sz w:val="12"/>
                                </w:rPr>
                                <w:t xml:space="preserve">NYNJRFPNN5DLPPAAC3GS | Verificación: https://candelaria.sedelectronica.es/ </w:t>
                              </w:r>
                            </w:p>
                          </w:txbxContent>
                        </wps:txbx>
                        <wps:bodyPr horzOverflow="overflow" vert="horz" lIns="0" tIns="0" rIns="0" bIns="0" rtlCol="0">
                          <a:noAutofit/>
                        </wps:bodyPr>
                      </wps:wsp>
                      <wps:wsp>
                        <wps:cNvPr id="43367" name="Rectangle 43367"/>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278 de 298 </w:t>
                              </w:r>
                            </w:p>
                          </w:txbxContent>
                        </wps:txbx>
                        <wps:bodyPr horzOverflow="overflow" vert="horz" lIns="0" tIns="0" rIns="0" bIns="0" rtlCol="0">
                          <a:noAutofit/>
                        </wps:bodyPr>
                      </wps:wsp>
                    </wpg:wgp>
                  </a:graphicData>
                </a:graphic>
              </wp:anchor>
            </w:drawing>
          </mc:Choice>
          <mc:Fallback xmlns:a="http://schemas.openxmlformats.org/drawingml/2006/main">
            <w:pict>
              <v:group id="Group 424022" style="width:12.7031pt;height:278.91pt;position:absolute;mso-position-horizontal-relative:page;mso-position-horizontal:absolute;margin-left:682.278pt;mso-position-vertical-relative:page;margin-top:533.01pt;" coordsize="1613,35421">
                <v:rect id="Rectangle 43366"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3367"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278 de 298 </w:t>
                        </w:r>
                      </w:p>
                    </w:txbxContent>
                  </v:textbox>
                </v:rect>
                <w10:wrap type="square"/>
              </v:group>
            </w:pict>
          </mc:Fallback>
        </mc:AlternateContent>
      </w:r>
      <w:r>
        <w:rPr>
          <w:color w:val="0070C0"/>
          <w:u w:val="single" w:color="0070C0"/>
        </w:rPr>
        <w:t>Medida 7 de Servicios básicos y renovación de poblaciones en las zonas rurales</w:t>
      </w:r>
      <w:r>
        <w:rPr>
          <w:color w:val="0070C0"/>
        </w:rPr>
        <w:t xml:space="preserve"> </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rPr>
          <w:color w:val="0070C0"/>
        </w:rPr>
        <w:t xml:space="preserve"> </w:t>
      </w:r>
    </w:p>
    <w:p w:rsidR="00B064CF" w:rsidRDefault="00E32F70">
      <w:pPr>
        <w:spacing w:after="0" w:line="259" w:lineRule="auto"/>
        <w:ind w:left="355"/>
        <w:jc w:val="left"/>
      </w:pPr>
      <w:r>
        <w:rPr>
          <w:rFonts w:ascii="Segoe UI Symbol" w:eastAsia="Segoe UI Symbol" w:hAnsi="Segoe UI Symbol" w:cs="Segoe UI Symbol"/>
          <w:color w:val="0070C0"/>
          <w:u w:val="single" w:color="0070C0"/>
        </w:rPr>
        <w:t></w:t>
      </w:r>
      <w:r>
        <w:rPr>
          <w:color w:val="0070C0"/>
          <w:u w:val="single" w:color="0070C0"/>
        </w:rPr>
        <w:t>Medida 8 de Inversiones en el desarrollo de zonas forestales y mejora de la viabilidad de los</w:t>
      </w:r>
      <w:r>
        <w:rPr>
          <w:color w:val="0070C0"/>
        </w:rPr>
        <w:t xml:space="preserve"> </w:t>
      </w:r>
      <w:r>
        <w:rPr>
          <w:color w:val="0070C0"/>
          <w:u w:val="single" w:color="0070C0"/>
        </w:rPr>
        <w:t>bosques</w:t>
      </w:r>
      <w:r>
        <w:rPr>
          <w:color w:val="0070C0"/>
        </w:rPr>
        <w:t xml:space="preserve"> </w:t>
      </w:r>
      <w:r>
        <w:rPr>
          <w:rFonts w:ascii="Times New Roman" w:eastAsia="Times New Roman" w:hAnsi="Times New Roman" w:cs="Times New Roman"/>
          <w:sz w:val="24"/>
        </w:rPr>
        <w:t xml:space="preserve"> </w:t>
      </w:r>
    </w:p>
    <w:p w:rsidR="00B064CF" w:rsidRDefault="00E32F70">
      <w:pPr>
        <w:numPr>
          <w:ilvl w:val="0"/>
          <w:numId w:val="234"/>
        </w:numPr>
        <w:spacing w:after="0" w:line="259" w:lineRule="auto"/>
        <w:ind w:right="72" w:hanging="360"/>
      </w:pPr>
      <w:r>
        <w:rPr>
          <w:color w:val="0070C0"/>
          <w:u w:val="single" w:color="0070C0"/>
        </w:rPr>
        <w:t>Medida 10 de Agroambiente y clima</w:t>
      </w:r>
      <w:r>
        <w:rPr>
          <w:color w:val="0070C0"/>
        </w:rPr>
        <w:t xml:space="preserve"> </w:t>
      </w:r>
      <w:r>
        <w:rPr>
          <w:rFonts w:ascii="Times New Roman" w:eastAsia="Times New Roman" w:hAnsi="Times New Roman" w:cs="Times New Roman"/>
          <w:sz w:val="24"/>
        </w:rPr>
        <w:t xml:space="preserve"> </w:t>
      </w:r>
    </w:p>
    <w:p w:rsidR="00B064CF" w:rsidRDefault="00E32F70">
      <w:pPr>
        <w:spacing w:after="10" w:line="259" w:lineRule="auto"/>
        <w:ind w:left="360" w:firstLine="0"/>
        <w:jc w:val="left"/>
      </w:pPr>
      <w:r>
        <w:rPr>
          <w:color w:val="0070C0"/>
        </w:rPr>
        <w:t xml:space="preserve"> </w:t>
      </w:r>
    </w:p>
    <w:p w:rsidR="00B064CF" w:rsidRDefault="00E32F70">
      <w:pPr>
        <w:numPr>
          <w:ilvl w:val="0"/>
          <w:numId w:val="234"/>
        </w:numPr>
        <w:spacing w:after="0" w:line="259" w:lineRule="auto"/>
        <w:ind w:right="72" w:hanging="360"/>
      </w:pPr>
      <w:r>
        <w:rPr>
          <w:color w:val="0070C0"/>
          <w:u w:val="single" w:color="0070C0"/>
        </w:rPr>
        <w:t>Medida 11 de Agricultura ecológica</w:t>
      </w:r>
      <w:r>
        <w:rPr>
          <w:rFonts w:ascii="Times New Roman" w:eastAsia="Times New Roman" w:hAnsi="Times New Roman" w:cs="Times New Roman"/>
          <w:sz w:val="24"/>
        </w:rPr>
        <w:t xml:space="preserve"> </w:t>
      </w:r>
    </w:p>
    <w:p w:rsidR="00B064CF" w:rsidRDefault="00E32F70">
      <w:pPr>
        <w:spacing w:after="12" w:line="259" w:lineRule="auto"/>
        <w:ind w:left="360" w:firstLine="0"/>
        <w:jc w:val="left"/>
      </w:pPr>
      <w:r>
        <w:rPr>
          <w:color w:val="0070C0"/>
        </w:rPr>
        <w:t xml:space="preserve">  </w:t>
      </w:r>
    </w:p>
    <w:p w:rsidR="00B064CF" w:rsidRDefault="00E32F70">
      <w:pPr>
        <w:numPr>
          <w:ilvl w:val="0"/>
          <w:numId w:val="234"/>
        </w:numPr>
        <w:spacing w:after="0" w:line="259" w:lineRule="auto"/>
        <w:ind w:right="72" w:hanging="360"/>
      </w:pPr>
      <w:r>
        <w:rPr>
          <w:color w:val="0070C0"/>
          <w:u w:val="single" w:color="0070C0"/>
        </w:rPr>
        <w:t>Medida 16 de Cooperación</w:t>
      </w:r>
      <w:r>
        <w:rPr>
          <w:rFonts w:ascii="Times New Roman" w:eastAsia="Times New Roman" w:hAnsi="Times New Roman" w:cs="Times New Roman"/>
          <w:sz w:val="24"/>
        </w:rPr>
        <w:t xml:space="preserve"> </w:t>
      </w:r>
    </w:p>
    <w:p w:rsidR="00B064CF" w:rsidRDefault="00E32F70">
      <w:pPr>
        <w:spacing w:after="11" w:line="259" w:lineRule="auto"/>
        <w:ind w:left="360" w:firstLine="0"/>
        <w:jc w:val="left"/>
      </w:pPr>
      <w:r>
        <w:rPr>
          <w:color w:val="0070C0"/>
        </w:rPr>
        <w:t xml:space="preserve">  </w:t>
      </w:r>
    </w:p>
    <w:p w:rsidR="00B064CF" w:rsidRDefault="00E32F70">
      <w:pPr>
        <w:numPr>
          <w:ilvl w:val="0"/>
          <w:numId w:val="234"/>
        </w:numPr>
        <w:spacing w:after="0" w:line="259" w:lineRule="auto"/>
        <w:ind w:right="72" w:hanging="360"/>
      </w:pPr>
      <w:r>
        <w:rPr>
          <w:color w:val="0070C0"/>
          <w:u w:val="single" w:color="0070C0"/>
        </w:rPr>
        <w:t>Medida 19 de Apoyo para el desarrollo local de LEADER (DLP, Desarrollo Local Participativo)</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rPr>
          <w:color w:val="0070C0"/>
        </w:rPr>
        <w:t xml:space="preserve">  </w:t>
      </w:r>
    </w:p>
    <w:p w:rsidR="00B064CF" w:rsidRDefault="00E32F70">
      <w:pPr>
        <w:numPr>
          <w:ilvl w:val="0"/>
          <w:numId w:val="234"/>
        </w:numPr>
        <w:spacing w:after="0"/>
        <w:ind w:right="72" w:hanging="360"/>
      </w:pPr>
      <w:r>
        <w:t>Medida 21 de Ayuda temporal excepcional destinada a las agricultoras y los agricultores y a las pymes especialmente afectadas/os por la crisis de la COVID-19</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72"/>
      </w:pPr>
      <w:r>
        <w:t>El Desarrollo Local Participativo o Desarrollo Local Leader ha favorecido en convocatorias anteriores (Leader I, Leader II, Leader +…) el desarrollo endógeno de las áreas rurales a través de la participación de la población residente, así como de las agri</w:t>
      </w:r>
      <w:r>
        <w:t xml:space="preserve">cultoras y agricultores, de las ganaderas y ganaderos y de las aportaciones de los diferentes sectores económicos y sociales (empresas de servicios, cooperativas, asociaciones, otros agentes, sector público, etc.) a través de la realización y ejecución de </w:t>
      </w:r>
      <w:r>
        <w:t>proyectos integradores basados en la sostenibilidad del territorio y de los recursos, de la puesta en valor del patrimonio rural y etnográfico a través de su detección y rehabilitación, de la complementariedad de los diferentes sectores económicos, de la r</w:t>
      </w:r>
      <w:r>
        <w:t>ecuperación del paisaje y de las zonas de cultivo, de la cooperación multisectorial así como de la elaboración de una estrategia de desarrollo sostenible e integrado. Este planteamiento metodológico ha permitido que sea la población y la comunidad local or</w:t>
      </w:r>
      <w:r>
        <w:t>ganizada en asociaciones público-privadas denominadas Grupos de Acción Local quienes sean los verdaderos artífices de la planificación, quienes diseñan, elaboran y ejecutan la Estrategia de Desarrollo Local Participativo (EDLP) para un territorio determina</w:t>
      </w:r>
      <w:r>
        <w:t xml:space="preserve">do. Esta es por lo tanto esta la metodología se aplica a la medida 19 de Apoyo para el Desarrollo Local Leader. El Reglamento (UE) nº 1303/2013 en su artículo 2.19) define la Estrategia de Desarrollo Local Participativo (Leader) como conjunto coherente de </w:t>
      </w:r>
      <w:r>
        <w:t xml:space="preserve">operaciones cuyo fin es satisfacer objetivos y necesidades locales, y que contribuyen a la realización de la estrategia de la Unión para un crecimiento inteligente, sostenible e integrador, diseñado y puesto en práctica por un grupo de acción local. Y que </w:t>
      </w:r>
      <w:r>
        <w:t xml:space="preserve">responde a los siguientes principios: </w:t>
      </w:r>
    </w:p>
    <w:p w:rsidR="00B064CF" w:rsidRDefault="00E32F70">
      <w:pPr>
        <w:spacing w:after="10" w:line="259" w:lineRule="auto"/>
        <w:ind w:left="360" w:firstLine="0"/>
        <w:jc w:val="left"/>
      </w:pPr>
      <w:r>
        <w:t xml:space="preserve"> </w:t>
      </w:r>
    </w:p>
    <w:p w:rsidR="00B064CF" w:rsidRDefault="00E32F70">
      <w:pPr>
        <w:numPr>
          <w:ilvl w:val="0"/>
          <w:numId w:val="234"/>
        </w:numPr>
        <w:spacing w:after="11"/>
        <w:ind w:right="72" w:hanging="360"/>
      </w:pPr>
      <w:r>
        <w:t xml:space="preserve">Estrategia territorial de desarrollo </w:t>
      </w:r>
      <w:r>
        <w:rPr>
          <w:rFonts w:ascii="Times New Roman" w:eastAsia="Times New Roman" w:hAnsi="Times New Roman" w:cs="Times New Roman"/>
          <w:sz w:val="24"/>
        </w:rPr>
        <w:t xml:space="preserve"> </w:t>
      </w:r>
    </w:p>
    <w:p w:rsidR="00B064CF" w:rsidRDefault="00E32F70">
      <w:pPr>
        <w:numPr>
          <w:ilvl w:val="0"/>
          <w:numId w:val="234"/>
        </w:numPr>
        <w:spacing w:after="11"/>
        <w:ind w:right="72" w:hanging="360"/>
      </w:pPr>
      <w:r>
        <w:t>Enfoque ascendente</w:t>
      </w:r>
      <w:r>
        <w:rPr>
          <w:rFonts w:ascii="Times New Roman" w:eastAsia="Times New Roman" w:hAnsi="Times New Roman" w:cs="Times New Roman"/>
          <w:sz w:val="24"/>
        </w:rPr>
        <w:t xml:space="preserve"> </w:t>
      </w:r>
    </w:p>
    <w:p w:rsidR="00B064CF" w:rsidRDefault="00E32F70">
      <w:pPr>
        <w:numPr>
          <w:ilvl w:val="0"/>
          <w:numId w:val="234"/>
        </w:numPr>
        <w:spacing w:after="11"/>
        <w:ind w:right="72" w:hanging="360"/>
      </w:pPr>
      <w:r>
        <w:t xml:space="preserve">Principio de colaboración público-privada </w:t>
      </w:r>
      <w:r>
        <w:rPr>
          <w:rFonts w:ascii="Times New Roman" w:eastAsia="Times New Roman" w:hAnsi="Times New Roman" w:cs="Times New Roman"/>
          <w:sz w:val="24"/>
        </w:rPr>
        <w:t xml:space="preserve"> </w:t>
      </w:r>
    </w:p>
    <w:p w:rsidR="00B064CF" w:rsidRDefault="00E32F70">
      <w:pPr>
        <w:numPr>
          <w:ilvl w:val="0"/>
          <w:numId w:val="234"/>
        </w:numPr>
        <w:spacing w:after="11"/>
        <w:ind w:right="72" w:hanging="360"/>
      </w:pPr>
      <w:r>
        <w:t xml:space="preserve">Actuaciones integradas y multisectoriales </w:t>
      </w:r>
      <w:r>
        <w:rPr>
          <w:rFonts w:ascii="Times New Roman" w:eastAsia="Times New Roman" w:hAnsi="Times New Roman" w:cs="Times New Roman"/>
          <w:sz w:val="24"/>
        </w:rPr>
        <w:t xml:space="preserve"> </w:t>
      </w:r>
    </w:p>
    <w:p w:rsidR="00B064CF" w:rsidRDefault="00E32F70">
      <w:pPr>
        <w:numPr>
          <w:ilvl w:val="0"/>
          <w:numId w:val="234"/>
        </w:numPr>
        <w:spacing w:after="11"/>
        <w:ind w:right="72" w:hanging="360"/>
      </w:pPr>
      <w:r>
        <w:t xml:space="preserve">Innovación </w:t>
      </w:r>
      <w:r>
        <w:rPr>
          <w:rFonts w:ascii="Times New Roman" w:eastAsia="Times New Roman" w:hAnsi="Times New Roman" w:cs="Times New Roman"/>
          <w:sz w:val="24"/>
        </w:rPr>
        <w:t xml:space="preserve"> </w:t>
      </w:r>
    </w:p>
    <w:p w:rsidR="00B064CF" w:rsidRDefault="00E32F70">
      <w:pPr>
        <w:numPr>
          <w:ilvl w:val="0"/>
          <w:numId w:val="234"/>
        </w:numPr>
        <w:spacing w:after="11"/>
        <w:ind w:right="72" w:hanging="360"/>
      </w:pPr>
      <w:r>
        <w:t xml:space="preserve">Cooperación </w:t>
      </w:r>
      <w:r>
        <w:rPr>
          <w:rFonts w:ascii="Times New Roman" w:eastAsia="Times New Roman" w:hAnsi="Times New Roman" w:cs="Times New Roman"/>
          <w:sz w:val="24"/>
        </w:rPr>
        <w:t xml:space="preserve"> </w:t>
      </w:r>
    </w:p>
    <w:p w:rsidR="00B064CF" w:rsidRDefault="00E32F70">
      <w:pPr>
        <w:numPr>
          <w:ilvl w:val="0"/>
          <w:numId w:val="234"/>
        </w:numPr>
        <w:spacing w:after="11"/>
        <w:ind w:right="72" w:hanging="360"/>
      </w:pPr>
      <w:r>
        <w:t xml:space="preserve">Conexión en redes. </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4"/>
        <w:ind w:left="355"/>
      </w:pPr>
      <w:r>
        <w:rPr>
          <w:i/>
        </w:rPr>
        <w:t xml:space="preserve">Atendiendo así mismo a lo dispuesto en el Reglamento (UE) nº 1303/2013 en su artículo 32, el desarrollo local participativo deberá:  </w:t>
      </w:r>
    </w:p>
    <w:p w:rsidR="00B064CF" w:rsidRDefault="00E32F70">
      <w:pPr>
        <w:spacing w:after="0" w:line="259" w:lineRule="auto"/>
        <w:ind w:left="360" w:firstLine="0"/>
        <w:jc w:val="left"/>
      </w:pPr>
      <w:r>
        <w:rPr>
          <w:i/>
        </w:rPr>
        <w:t xml:space="preserve"> </w:t>
      </w:r>
    </w:p>
    <w:p w:rsidR="00B064CF" w:rsidRDefault="00E32F70">
      <w:pPr>
        <w:numPr>
          <w:ilvl w:val="0"/>
          <w:numId w:val="234"/>
        </w:numPr>
        <w:spacing w:after="11"/>
        <w:ind w:right="72" w:hanging="360"/>
      </w:pPr>
      <w:r>
        <w:t xml:space="preserve">Centrarse en zonas subregionales concretas;  </w:t>
      </w:r>
    </w:p>
    <w:p w:rsidR="00B064CF" w:rsidRDefault="00E32F70">
      <w:pPr>
        <w:spacing w:after="0" w:line="259" w:lineRule="auto"/>
        <w:ind w:left="360" w:firstLine="0"/>
        <w:jc w:val="left"/>
      </w:pPr>
      <w:r>
        <w:t xml:space="preserve"> </w:t>
      </w:r>
    </w:p>
    <w:p w:rsidR="00B064CF" w:rsidRDefault="00E32F70">
      <w:pPr>
        <w:numPr>
          <w:ilvl w:val="0"/>
          <w:numId w:val="234"/>
        </w:numPr>
        <w:spacing w:after="10" w:line="249" w:lineRule="auto"/>
        <w:ind w:right="72" w:hanging="360"/>
      </w:pPr>
      <w:r>
        <w:rPr>
          <w:rFonts w:ascii="Calibri" w:eastAsia="Calibri" w:hAnsi="Calibri" w:cs="Calibri"/>
          <w:noProof/>
        </w:rPr>
        <mc:AlternateContent>
          <mc:Choice Requires="wpg">
            <w:drawing>
              <wp:anchor distT="0" distB="0" distL="114300" distR="114300" simplePos="0" relativeHeight="25194803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24140" name="Group 424140"/>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3507" name="Rectangle 43507"/>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64SKSNYNJRFPNN5DLPPAAC3GS | Verificación: https://ca</w:t>
                              </w:r>
                              <w:r>
                                <w:rPr>
                                  <w:sz w:val="12"/>
                                </w:rPr>
                                <w:t xml:space="preserve">ndelaria.sedelectronica.es/ </w:t>
                              </w:r>
                            </w:p>
                          </w:txbxContent>
                        </wps:txbx>
                        <wps:bodyPr horzOverflow="overflow" vert="horz" lIns="0" tIns="0" rIns="0" bIns="0" rtlCol="0">
                          <a:noAutofit/>
                        </wps:bodyPr>
                      </wps:wsp>
                      <wps:wsp>
                        <wps:cNvPr id="43508" name="Rectangle 43508"/>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279 de 298 </w:t>
                              </w:r>
                            </w:p>
                          </w:txbxContent>
                        </wps:txbx>
                        <wps:bodyPr horzOverflow="overflow" vert="horz" lIns="0" tIns="0" rIns="0" bIns="0" rtlCol="0">
                          <a:noAutofit/>
                        </wps:bodyPr>
                      </wps:wsp>
                    </wpg:wgp>
                  </a:graphicData>
                </a:graphic>
              </wp:anchor>
            </w:drawing>
          </mc:Choice>
          <mc:Fallback xmlns:a="http://schemas.openxmlformats.org/drawingml/2006/main">
            <w:pict>
              <v:group id="Group 424140" style="width:12.7031pt;height:278.91pt;position:absolute;mso-position-horizontal-relative:page;mso-position-horizontal:absolute;margin-left:682.278pt;mso-position-vertical-relative:page;margin-top:533.01pt;" coordsize="1613,35421">
                <v:rect id="Rectangle 43507"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3508"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279 de 298 </w:t>
                        </w:r>
                      </w:p>
                    </w:txbxContent>
                  </v:textbox>
                </v:rect>
                <w10:wrap type="square"/>
              </v:group>
            </w:pict>
          </mc:Fallback>
        </mc:AlternateContent>
      </w:r>
      <w:r>
        <w:rPr>
          <w:u w:val="single" w:color="000000"/>
        </w:rPr>
        <w:t>Estar gobernado por grupos de acción locales compuestos por representantes de los</w:t>
      </w:r>
      <w:r>
        <w:t xml:space="preserve"> </w:t>
      </w:r>
      <w:r>
        <w:rPr>
          <w:u w:val="single" w:color="000000"/>
        </w:rPr>
        <w:t>intereses socioeconómicos locales públicos y pri</w:t>
      </w:r>
      <w:r>
        <w:rPr>
          <w:u w:val="single" w:color="000000"/>
        </w:rPr>
        <w:t>vados, en los que ni las autoridades</w:t>
      </w:r>
      <w:r>
        <w:t xml:space="preserve"> </w:t>
      </w:r>
      <w:r>
        <w:rPr>
          <w:u w:val="single" w:color="000000"/>
        </w:rPr>
        <w:t>públicas, definidas de conformidad con las normas nacionales, ni ningún grupo de interés</w:t>
      </w:r>
      <w:r>
        <w:t xml:space="preserve"> </w:t>
      </w:r>
      <w:r>
        <w:rPr>
          <w:u w:val="single" w:color="000000"/>
        </w:rPr>
        <w:t>concreto representen más del 49 % de los derechos de</w:t>
      </w:r>
      <w:r>
        <w:t xml:space="preserve">  </w:t>
      </w:r>
    </w:p>
    <w:p w:rsidR="00B064CF" w:rsidRDefault="00E32F70">
      <w:pPr>
        <w:spacing w:after="0" w:line="259" w:lineRule="auto"/>
        <w:ind w:left="1080" w:firstLine="0"/>
        <w:jc w:val="left"/>
      </w:pPr>
      <w:r>
        <w:t xml:space="preserve"> </w:t>
      </w:r>
    </w:p>
    <w:p w:rsidR="00B064CF" w:rsidRDefault="00E32F70">
      <w:pPr>
        <w:numPr>
          <w:ilvl w:val="0"/>
          <w:numId w:val="234"/>
        </w:numPr>
        <w:spacing w:after="10" w:line="249" w:lineRule="auto"/>
        <w:ind w:right="72" w:hanging="360"/>
      </w:pPr>
      <w:r>
        <w:rPr>
          <w:u w:val="single" w:color="000000"/>
        </w:rPr>
        <w:t>voto en la toma de decisiones;</w:t>
      </w:r>
      <w:r>
        <w:t xml:space="preserve"> </w:t>
      </w:r>
    </w:p>
    <w:p w:rsidR="00B064CF" w:rsidRDefault="00E32F70">
      <w:pPr>
        <w:spacing w:after="0" w:line="259" w:lineRule="auto"/>
        <w:ind w:left="360" w:firstLine="0"/>
        <w:jc w:val="left"/>
      </w:pPr>
      <w:r>
        <w:t xml:space="preserve">  </w:t>
      </w:r>
    </w:p>
    <w:p w:rsidR="00B064CF" w:rsidRDefault="00E32F70">
      <w:pPr>
        <w:numPr>
          <w:ilvl w:val="0"/>
          <w:numId w:val="234"/>
        </w:numPr>
        <w:spacing w:after="0"/>
        <w:ind w:right="72" w:hanging="360"/>
      </w:pPr>
      <w:r>
        <w:t xml:space="preserve">Llevarse a cabo a través de estrategias de desarrollo local integradas, multisectoriales y basadas en zonas;  </w:t>
      </w:r>
    </w:p>
    <w:p w:rsidR="00B064CF" w:rsidRDefault="00E32F70">
      <w:pPr>
        <w:spacing w:after="0" w:line="259" w:lineRule="auto"/>
        <w:ind w:left="360" w:firstLine="0"/>
        <w:jc w:val="left"/>
      </w:pPr>
      <w:r>
        <w:t xml:space="preserve"> </w:t>
      </w:r>
    </w:p>
    <w:p w:rsidR="00B064CF" w:rsidRDefault="00E32F70">
      <w:pPr>
        <w:numPr>
          <w:ilvl w:val="0"/>
          <w:numId w:val="234"/>
        </w:numPr>
        <w:spacing w:after="0"/>
        <w:ind w:right="72" w:hanging="360"/>
      </w:pPr>
      <w:r>
        <w:t>Diseñarse tomando en consideración las necesidades y potencial locales e incluir aspectos innovadores en el contexto local, así como el estable</w:t>
      </w:r>
      <w:r>
        <w:t xml:space="preserve">cimiento de redes y, cuando proceda, la cooperación.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0"/>
        <w:ind w:left="355" w:right="72"/>
      </w:pPr>
      <w:r>
        <w:t xml:space="preserve">      Cada isla, por lo tanto, ha diseñado y redactado su Documento Base para la elaboración de EDLP 2014-2020.  </w:t>
      </w:r>
    </w:p>
    <w:p w:rsidR="00B064CF" w:rsidRDefault="00E32F70">
      <w:pPr>
        <w:spacing w:after="0" w:line="259" w:lineRule="auto"/>
        <w:ind w:left="360" w:firstLine="0"/>
        <w:jc w:val="left"/>
      </w:pPr>
      <w:r>
        <w:t xml:space="preserve"> </w:t>
      </w:r>
    </w:p>
    <w:p w:rsidR="00B064CF" w:rsidRDefault="00E32F70">
      <w:pPr>
        <w:spacing w:after="0"/>
        <w:ind w:left="355" w:right="72"/>
      </w:pPr>
      <w:r>
        <w:t xml:space="preserve">      El Programa de Desarrollo Rural de Canarias para el periodo 2014-2020 c</w:t>
      </w:r>
      <w:r>
        <w:t>ontiene la submedida 19.2 “Apoyo para la realización de las operaciones a la estrategia de desarrollo local participativo”, a través de la cual se pretende fomentar la inclusión social, la reducción de la pobreza y el desarrollo económico en las zonas rura</w:t>
      </w:r>
      <w:r>
        <w:t xml:space="preserve">les mediante la promoción del desarrollo local de las zonas rurales.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0"/>
        <w:ind w:left="355" w:right="72"/>
      </w:pPr>
      <w:r>
        <w:t xml:space="preserve">      Desde la Consejería de Agricultura, Ganadería, Pesca y Aguas, se llevó a cabo el procedimiento regulado mediante la ORDEN de 22 de julio de 2016, por la que se convocó el conc</w:t>
      </w:r>
      <w:r>
        <w:t xml:space="preserve">urso para la selección de los grupos de acción local y las estrategias de desarrollo local participativo del Programa de Desarrollo Rural para el periodo 2014-2020 (BOC nº 145 de 28 de julio de 2016). </w:t>
      </w:r>
    </w:p>
    <w:p w:rsidR="00B064CF" w:rsidRDefault="00E32F70">
      <w:pPr>
        <w:spacing w:after="0" w:line="259" w:lineRule="auto"/>
        <w:ind w:left="360" w:firstLine="0"/>
        <w:jc w:val="left"/>
      </w:pPr>
      <w:r>
        <w:rPr>
          <w:b/>
        </w:rPr>
        <w:t xml:space="preserve"> </w:t>
      </w:r>
    </w:p>
    <w:p w:rsidR="00B064CF" w:rsidRDefault="00E32F70">
      <w:pPr>
        <w:spacing w:after="0" w:line="259" w:lineRule="auto"/>
        <w:ind w:left="360" w:firstLine="0"/>
        <w:jc w:val="left"/>
      </w:pPr>
      <w:r>
        <w:rPr>
          <w:b/>
        </w:rPr>
        <w:t xml:space="preserve"> </w:t>
      </w:r>
    </w:p>
    <w:p w:rsidR="00B064CF" w:rsidRDefault="00E32F70">
      <w:pPr>
        <w:spacing w:after="7" w:line="246" w:lineRule="auto"/>
        <w:ind w:left="345" w:right="58" w:firstLine="0"/>
        <w:jc w:val="left"/>
      </w:pPr>
      <w:r>
        <w:t xml:space="preserve">      </w:t>
      </w:r>
      <w:r>
        <w:t>La citada Consejería mediante Orden de 18 de noviembre de 2016, resuelve el concurso de selección de los Grupos de Acción Local y las Estrategias de Desarrollo Local Participativo convocada por la mencionada Orden de 22 de julio, en cuyo Anexo para la isla</w:t>
      </w:r>
      <w:r>
        <w:t xml:space="preserve"> de Tenerife resulta seleccionado el Grupo de Acción Rural GAR-TF, según el siguiente detalle: </w:t>
      </w:r>
    </w:p>
    <w:p w:rsidR="00B064CF" w:rsidRDefault="00E32F70">
      <w:pPr>
        <w:spacing w:after="0" w:line="259" w:lineRule="auto"/>
        <w:ind w:left="360" w:firstLine="0"/>
        <w:jc w:val="left"/>
      </w:pP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rPr>
          <w:rFonts w:ascii="Calibri" w:eastAsia="Calibri" w:hAnsi="Calibri" w:cs="Calibri"/>
          <w:noProof/>
        </w:rPr>
        <mc:AlternateContent>
          <mc:Choice Requires="wpg">
            <w:drawing>
              <wp:anchor distT="0" distB="0" distL="114300" distR="114300" simplePos="0" relativeHeight="25194905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35484" name="Group 435484"/>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3731" name="Rectangle 43731"/>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43732" name="Rectangle 43732"/>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280 de 298 </w:t>
                              </w:r>
                            </w:p>
                          </w:txbxContent>
                        </wps:txbx>
                        <wps:bodyPr horzOverflow="overflow" vert="horz" lIns="0" tIns="0" rIns="0" bIns="0" rtlCol="0">
                          <a:noAutofit/>
                        </wps:bodyPr>
                      </wps:wsp>
                    </wpg:wgp>
                  </a:graphicData>
                </a:graphic>
              </wp:anchor>
            </w:drawing>
          </mc:Choice>
          <mc:Fallback xmlns:a="http://schemas.openxmlformats.org/drawingml/2006/main">
            <w:pict>
              <v:group id="Group 435484" style="width:12.7031pt;height:278.91pt;position:absolute;mso-position-horizontal-relative:page;mso-position-horizontal:absolute;margin-left:682.278pt;mso-position-vertical-relative:page;margin-top:533.01pt;" coordsize="1613,35421">
                <v:rect id="Rectangle 43731"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3732"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280 de 298 </w:t>
                        </w:r>
                      </w:p>
                    </w:txbxContent>
                  </v:textbox>
                </v:rect>
                <w10:wrap type="square"/>
              </v:group>
            </w:pict>
          </mc:Fallback>
        </mc:AlternateContent>
      </w:r>
      <w:r>
        <w:rPr>
          <w:rFonts w:ascii="Times New Roman" w:eastAsia="Times New Roman" w:hAnsi="Times New Roman" w:cs="Times New Roman"/>
          <w:sz w:val="24"/>
        </w:rPr>
        <w:t xml:space="preserve"> </w:t>
      </w:r>
    </w:p>
    <w:tbl>
      <w:tblPr>
        <w:tblStyle w:val="TableGrid"/>
        <w:tblW w:w="9520" w:type="dxa"/>
        <w:tblInd w:w="360" w:type="dxa"/>
        <w:tblCellMar>
          <w:top w:w="6" w:type="dxa"/>
          <w:left w:w="106" w:type="dxa"/>
          <w:bottom w:w="0" w:type="dxa"/>
          <w:right w:w="48" w:type="dxa"/>
        </w:tblCellMar>
        <w:tblLook w:val="04A0" w:firstRow="1" w:lastRow="0" w:firstColumn="1" w:lastColumn="0" w:noHBand="0" w:noVBand="1"/>
      </w:tblPr>
      <w:tblGrid>
        <w:gridCol w:w="914"/>
        <w:gridCol w:w="1054"/>
        <w:gridCol w:w="778"/>
        <w:gridCol w:w="2600"/>
        <w:gridCol w:w="926"/>
        <w:gridCol w:w="929"/>
        <w:gridCol w:w="1357"/>
        <w:gridCol w:w="962"/>
      </w:tblGrid>
      <w:tr w:rsidR="00B064CF">
        <w:trPr>
          <w:trHeight w:val="1858"/>
        </w:trPr>
        <w:tc>
          <w:tcPr>
            <w:tcW w:w="914"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sz w:val="16"/>
              </w:rPr>
              <w:t xml:space="preserve"> </w:t>
            </w:r>
          </w:p>
          <w:p w:rsidR="00B064CF" w:rsidRDefault="00E32F70">
            <w:pPr>
              <w:spacing w:after="0" w:line="259" w:lineRule="auto"/>
              <w:ind w:left="2" w:firstLine="0"/>
              <w:jc w:val="left"/>
            </w:pPr>
            <w:r>
              <w:rPr>
                <w:sz w:val="16"/>
              </w:rPr>
              <w:t xml:space="preserve">GRUPO </w:t>
            </w:r>
          </w:p>
          <w:p w:rsidR="00B064CF" w:rsidRDefault="00E32F70">
            <w:pPr>
              <w:spacing w:after="57" w:line="240" w:lineRule="auto"/>
              <w:ind w:left="2" w:firstLine="0"/>
              <w:jc w:val="left"/>
            </w:pPr>
            <w:r>
              <w:rPr>
                <w:sz w:val="16"/>
              </w:rPr>
              <w:t xml:space="preserve">DE ACCIÓN </w:t>
            </w:r>
          </w:p>
          <w:p w:rsidR="00B064CF" w:rsidRDefault="00E32F70">
            <w:pPr>
              <w:spacing w:after="0" w:line="259" w:lineRule="auto"/>
              <w:ind w:left="2" w:firstLine="0"/>
              <w:jc w:val="left"/>
            </w:pPr>
            <w:r>
              <w:rPr>
                <w:sz w:val="16"/>
              </w:rPr>
              <w:t>LOAL</w:t>
            </w:r>
            <w:r>
              <w:rPr>
                <w:rFonts w:ascii="Times New Roman" w:eastAsia="Times New Roman" w:hAnsi="Times New Roman" w:cs="Times New Roman"/>
                <w:sz w:val="24"/>
              </w:rPr>
              <w:t xml:space="preserve"> </w:t>
            </w:r>
          </w:p>
        </w:tc>
        <w:tc>
          <w:tcPr>
            <w:tcW w:w="1054" w:type="dxa"/>
            <w:tcBorders>
              <w:top w:val="single" w:sz="4" w:space="0" w:color="000000"/>
              <w:left w:val="single" w:sz="4" w:space="0" w:color="000000"/>
              <w:bottom w:val="single" w:sz="4" w:space="0" w:color="000000"/>
              <w:right w:val="single" w:sz="4" w:space="0" w:color="000000"/>
            </w:tcBorders>
          </w:tcPr>
          <w:p w:rsidR="00B064CF" w:rsidRDefault="00E32F70">
            <w:pPr>
              <w:spacing w:after="38" w:line="259" w:lineRule="auto"/>
              <w:ind w:left="2" w:firstLine="0"/>
              <w:jc w:val="left"/>
            </w:pPr>
            <w:r>
              <w:rPr>
                <w:sz w:val="16"/>
              </w:rPr>
              <w:t xml:space="preserve"> </w:t>
            </w:r>
          </w:p>
          <w:p w:rsidR="00B064CF" w:rsidRDefault="00E32F70">
            <w:pPr>
              <w:spacing w:after="0" w:line="259" w:lineRule="auto"/>
              <w:ind w:left="2" w:firstLine="0"/>
              <w:jc w:val="left"/>
            </w:pPr>
            <w:r>
              <w:rPr>
                <w:sz w:val="16"/>
              </w:rPr>
              <w:t>CIF</w:t>
            </w:r>
            <w:r>
              <w:rPr>
                <w:rFonts w:ascii="Times New Roman" w:eastAsia="Times New Roman" w:hAnsi="Times New Roman" w:cs="Times New Roman"/>
                <w:sz w:val="24"/>
              </w:rPr>
              <w:t xml:space="preserve"> </w:t>
            </w:r>
          </w:p>
          <w:p w:rsidR="00B064CF" w:rsidRDefault="00E32F70">
            <w:pPr>
              <w:spacing w:after="0" w:line="259" w:lineRule="auto"/>
              <w:ind w:left="2" w:firstLine="0"/>
              <w:jc w:val="left"/>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B064CF" w:rsidRDefault="00E32F70">
            <w:pPr>
              <w:spacing w:after="44" w:line="259" w:lineRule="auto"/>
              <w:ind w:left="2" w:firstLine="0"/>
              <w:jc w:val="left"/>
            </w:pPr>
            <w:r>
              <w:rPr>
                <w:sz w:val="16"/>
              </w:rPr>
              <w:t xml:space="preserve"> </w:t>
            </w:r>
          </w:p>
          <w:p w:rsidR="00B064CF" w:rsidRDefault="00E32F70">
            <w:pPr>
              <w:spacing w:after="0" w:line="259" w:lineRule="auto"/>
              <w:ind w:left="2" w:firstLine="0"/>
              <w:jc w:val="left"/>
            </w:pPr>
            <w:r>
              <w:rPr>
                <w:sz w:val="16"/>
              </w:rPr>
              <w:t>Baremo</w:t>
            </w:r>
            <w:r>
              <w:rPr>
                <w:rFonts w:ascii="Times New Roman" w:eastAsia="Times New Roman" w:hAnsi="Times New Roman" w:cs="Times New Roman"/>
                <w:sz w:val="24"/>
              </w:rPr>
              <w:t xml:space="preserve"> </w:t>
            </w:r>
          </w:p>
        </w:tc>
        <w:tc>
          <w:tcPr>
            <w:tcW w:w="2600"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sz w:val="16"/>
              </w:rPr>
              <w:t xml:space="preserve"> </w:t>
            </w:r>
          </w:p>
          <w:p w:rsidR="00B064CF" w:rsidRDefault="00E32F70">
            <w:pPr>
              <w:spacing w:after="51" w:line="259" w:lineRule="auto"/>
              <w:ind w:left="2" w:firstLine="0"/>
              <w:jc w:val="left"/>
            </w:pPr>
            <w:r>
              <w:rPr>
                <w:sz w:val="16"/>
              </w:rPr>
              <w:t xml:space="preserve"> </w:t>
            </w:r>
          </w:p>
          <w:p w:rsidR="00B064CF" w:rsidRDefault="00E32F70">
            <w:pPr>
              <w:spacing w:after="0" w:line="259" w:lineRule="auto"/>
              <w:ind w:left="0" w:right="58" w:firstLine="0"/>
              <w:jc w:val="center"/>
            </w:pPr>
            <w:r>
              <w:rPr>
                <w:sz w:val="16"/>
              </w:rPr>
              <w:t>Ámbito de Actuación</w:t>
            </w:r>
            <w:r>
              <w:rPr>
                <w:rFonts w:ascii="Times New Roman" w:eastAsia="Times New Roman" w:hAnsi="Times New Roman" w:cs="Times New Roman"/>
                <w:sz w:val="24"/>
              </w:rPr>
              <w:t xml:space="preserve"> </w:t>
            </w:r>
          </w:p>
        </w:tc>
        <w:tc>
          <w:tcPr>
            <w:tcW w:w="926"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0" w:right="224" w:firstLine="0"/>
              <w:jc w:val="left"/>
            </w:pPr>
            <w:r>
              <w:rPr>
                <w:sz w:val="16"/>
              </w:rPr>
              <w:t xml:space="preserve"> TOTAL </w:t>
            </w:r>
          </w:p>
        </w:tc>
        <w:tc>
          <w:tcPr>
            <w:tcW w:w="929" w:type="dxa"/>
            <w:tcBorders>
              <w:top w:val="single" w:sz="4" w:space="0" w:color="000000"/>
              <w:left w:val="single" w:sz="4" w:space="0" w:color="000000"/>
              <w:bottom w:val="single" w:sz="4" w:space="0" w:color="000000"/>
              <w:right w:val="single" w:sz="4" w:space="0" w:color="000000"/>
            </w:tcBorders>
          </w:tcPr>
          <w:p w:rsidR="00B064CF" w:rsidRDefault="00E32F70">
            <w:pPr>
              <w:spacing w:after="45" w:line="259" w:lineRule="auto"/>
              <w:ind w:left="2" w:firstLine="0"/>
              <w:jc w:val="left"/>
            </w:pPr>
            <w:r>
              <w:rPr>
                <w:sz w:val="16"/>
              </w:rPr>
              <w:t xml:space="preserve"> </w:t>
            </w:r>
          </w:p>
          <w:p w:rsidR="00B064CF" w:rsidRDefault="00E32F70">
            <w:pPr>
              <w:spacing w:after="0" w:line="259" w:lineRule="auto"/>
              <w:ind w:left="2" w:firstLine="0"/>
              <w:jc w:val="left"/>
            </w:pPr>
            <w:r>
              <w:rPr>
                <w:sz w:val="16"/>
              </w:rPr>
              <w:t>Inversión</w:t>
            </w:r>
            <w:r>
              <w:rPr>
                <w:rFonts w:ascii="Times New Roman" w:eastAsia="Times New Roman" w:hAnsi="Times New Roman" w:cs="Times New Roman"/>
                <w:sz w:val="24"/>
              </w:rPr>
              <w:t xml:space="preserve"> </w:t>
            </w:r>
          </w:p>
        </w:tc>
        <w:tc>
          <w:tcPr>
            <w:tcW w:w="1357" w:type="dxa"/>
            <w:tcBorders>
              <w:top w:val="single" w:sz="4" w:space="0" w:color="000000"/>
              <w:left w:val="single" w:sz="4" w:space="0" w:color="000000"/>
              <w:bottom w:val="single" w:sz="4" w:space="0" w:color="000000"/>
              <w:right w:val="single" w:sz="4" w:space="0" w:color="000000"/>
            </w:tcBorders>
          </w:tcPr>
          <w:p w:rsidR="00B064CF" w:rsidRDefault="00E32F70">
            <w:pPr>
              <w:spacing w:after="48" w:line="259" w:lineRule="auto"/>
              <w:ind w:left="2" w:firstLine="0"/>
              <w:jc w:val="left"/>
            </w:pPr>
            <w:r>
              <w:rPr>
                <w:sz w:val="16"/>
              </w:rPr>
              <w:t xml:space="preserve"> </w:t>
            </w:r>
          </w:p>
          <w:p w:rsidR="00B064CF" w:rsidRDefault="00E32F70">
            <w:pPr>
              <w:spacing w:after="0" w:line="259" w:lineRule="auto"/>
              <w:ind w:left="2" w:firstLine="0"/>
              <w:jc w:val="left"/>
            </w:pPr>
            <w:r>
              <w:rPr>
                <w:sz w:val="16"/>
              </w:rPr>
              <w:t>Funcionamiento</w:t>
            </w:r>
            <w:r>
              <w:rPr>
                <w:rFonts w:ascii="Times New Roman" w:eastAsia="Times New Roman" w:hAnsi="Times New Roman" w:cs="Times New Roman"/>
                <w:sz w:val="24"/>
              </w:rPr>
              <w:t xml:space="preserve"> </w:t>
            </w:r>
          </w:p>
        </w:tc>
        <w:tc>
          <w:tcPr>
            <w:tcW w:w="962" w:type="dxa"/>
            <w:tcBorders>
              <w:top w:val="single" w:sz="4" w:space="0" w:color="000000"/>
              <w:left w:val="single" w:sz="4" w:space="0" w:color="000000"/>
              <w:bottom w:val="single" w:sz="4" w:space="0" w:color="000000"/>
              <w:right w:val="single" w:sz="4" w:space="0" w:color="000000"/>
            </w:tcBorders>
          </w:tcPr>
          <w:p w:rsidR="00B064CF" w:rsidRDefault="00E32F70">
            <w:pPr>
              <w:spacing w:after="46" w:line="259" w:lineRule="auto"/>
              <w:ind w:left="0" w:firstLine="0"/>
              <w:jc w:val="left"/>
            </w:pPr>
            <w:r>
              <w:rPr>
                <w:sz w:val="16"/>
              </w:rPr>
              <w:t xml:space="preserve"> </w:t>
            </w:r>
          </w:p>
          <w:p w:rsidR="00B064CF" w:rsidRDefault="00E32F70">
            <w:pPr>
              <w:spacing w:after="0" w:line="259" w:lineRule="auto"/>
              <w:ind w:left="0" w:firstLine="0"/>
              <w:jc w:val="left"/>
            </w:pPr>
            <w:r>
              <w:rPr>
                <w:sz w:val="16"/>
              </w:rPr>
              <w:t>Animación</w:t>
            </w:r>
            <w:r>
              <w:rPr>
                <w:rFonts w:ascii="Times New Roman" w:eastAsia="Times New Roman" w:hAnsi="Times New Roman" w:cs="Times New Roman"/>
                <w:sz w:val="24"/>
              </w:rPr>
              <w:t xml:space="preserve"> </w:t>
            </w:r>
          </w:p>
        </w:tc>
      </w:tr>
      <w:tr w:rsidR="00B064CF">
        <w:trPr>
          <w:trHeight w:val="3507"/>
        </w:trPr>
        <w:tc>
          <w:tcPr>
            <w:tcW w:w="914" w:type="dxa"/>
            <w:tcBorders>
              <w:top w:val="single" w:sz="4" w:space="0" w:color="000000"/>
              <w:left w:val="single" w:sz="4" w:space="0" w:color="000000"/>
              <w:bottom w:val="single" w:sz="4" w:space="0" w:color="000000"/>
              <w:right w:val="single" w:sz="4" w:space="0" w:color="000000"/>
            </w:tcBorders>
          </w:tcPr>
          <w:p w:rsidR="00B064CF" w:rsidRDefault="00E32F70">
            <w:pPr>
              <w:spacing w:after="47" w:line="259" w:lineRule="auto"/>
              <w:ind w:left="2" w:firstLine="0"/>
              <w:jc w:val="left"/>
            </w:pPr>
            <w:r>
              <w:rPr>
                <w:sz w:val="16"/>
              </w:rPr>
              <w:t xml:space="preserve"> </w:t>
            </w:r>
          </w:p>
          <w:p w:rsidR="00B064CF" w:rsidRDefault="00E32F70">
            <w:pPr>
              <w:spacing w:after="0" w:line="259" w:lineRule="auto"/>
              <w:ind w:left="2" w:firstLine="0"/>
              <w:jc w:val="left"/>
            </w:pPr>
            <w:r>
              <w:rPr>
                <w:sz w:val="16"/>
              </w:rPr>
              <w:t>GAR-TF</w:t>
            </w:r>
            <w:r>
              <w:rPr>
                <w:rFonts w:ascii="Times New Roman" w:eastAsia="Times New Roman" w:hAnsi="Times New Roman" w:cs="Times New Roman"/>
                <w:sz w:val="24"/>
              </w:rPr>
              <w:t xml:space="preserve"> </w:t>
            </w:r>
          </w:p>
        </w:tc>
        <w:tc>
          <w:tcPr>
            <w:tcW w:w="1054" w:type="dxa"/>
            <w:tcBorders>
              <w:top w:val="single" w:sz="4" w:space="0" w:color="000000"/>
              <w:left w:val="single" w:sz="4" w:space="0" w:color="000000"/>
              <w:bottom w:val="single" w:sz="4" w:space="0" w:color="000000"/>
              <w:right w:val="single" w:sz="4" w:space="0" w:color="000000"/>
            </w:tcBorders>
          </w:tcPr>
          <w:p w:rsidR="00B064CF" w:rsidRDefault="00E32F70">
            <w:pPr>
              <w:spacing w:after="49" w:line="259" w:lineRule="auto"/>
              <w:ind w:left="2" w:firstLine="0"/>
              <w:jc w:val="left"/>
            </w:pPr>
            <w:r>
              <w:rPr>
                <w:sz w:val="16"/>
              </w:rPr>
              <w:t xml:space="preserve"> </w:t>
            </w:r>
          </w:p>
          <w:p w:rsidR="00B064CF" w:rsidRDefault="00E32F70">
            <w:pPr>
              <w:spacing w:after="0" w:line="259" w:lineRule="auto"/>
              <w:ind w:left="2" w:firstLine="0"/>
              <w:jc w:val="left"/>
            </w:pPr>
            <w:r>
              <w:rPr>
                <w:sz w:val="16"/>
              </w:rPr>
              <w:t>G76687565</w:t>
            </w:r>
            <w:r>
              <w:rPr>
                <w:rFonts w:ascii="Times New Roman" w:eastAsia="Times New Roman" w:hAnsi="Times New Roman" w:cs="Times New Roman"/>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B064CF" w:rsidRDefault="00E32F70">
            <w:pPr>
              <w:spacing w:after="36" w:line="259" w:lineRule="auto"/>
              <w:ind w:left="2" w:firstLine="0"/>
              <w:jc w:val="left"/>
            </w:pPr>
            <w:r>
              <w:rPr>
                <w:sz w:val="16"/>
              </w:rPr>
              <w:t xml:space="preserve"> </w:t>
            </w:r>
          </w:p>
          <w:p w:rsidR="00B064CF" w:rsidRDefault="00E32F70">
            <w:pPr>
              <w:spacing w:after="0" w:line="259" w:lineRule="auto"/>
              <w:ind w:left="2" w:firstLine="0"/>
              <w:jc w:val="left"/>
            </w:pPr>
            <w:r>
              <w:rPr>
                <w:sz w:val="16"/>
              </w:rPr>
              <w:t>52</w:t>
            </w:r>
            <w:r>
              <w:rPr>
                <w:rFonts w:ascii="Times New Roman" w:eastAsia="Times New Roman" w:hAnsi="Times New Roman" w:cs="Times New Roman"/>
                <w:sz w:val="24"/>
              </w:rPr>
              <w:t xml:space="preserve"> </w:t>
            </w:r>
          </w:p>
        </w:tc>
        <w:tc>
          <w:tcPr>
            <w:tcW w:w="2600" w:type="dxa"/>
            <w:tcBorders>
              <w:top w:val="single" w:sz="4" w:space="0" w:color="000000"/>
              <w:left w:val="single" w:sz="4" w:space="0" w:color="000000"/>
              <w:bottom w:val="single" w:sz="4" w:space="0" w:color="000000"/>
              <w:right w:val="single" w:sz="4" w:space="0" w:color="000000"/>
            </w:tcBorders>
          </w:tcPr>
          <w:p w:rsidR="00B064CF" w:rsidRDefault="00E32F70">
            <w:pPr>
              <w:spacing w:after="0" w:line="259" w:lineRule="auto"/>
              <w:ind w:left="2" w:firstLine="0"/>
              <w:jc w:val="left"/>
            </w:pPr>
            <w:r>
              <w:rPr>
                <w:sz w:val="16"/>
              </w:rPr>
              <w:t xml:space="preserve">Las actuaciones se realizarán en </w:t>
            </w:r>
          </w:p>
          <w:p w:rsidR="00B064CF" w:rsidRDefault="00E32F70">
            <w:pPr>
              <w:spacing w:after="0" w:line="259" w:lineRule="auto"/>
              <w:ind w:left="2" w:right="41" w:firstLine="0"/>
              <w:jc w:val="left"/>
            </w:pPr>
            <w:r>
              <w:rPr>
                <w:sz w:val="16"/>
              </w:rPr>
              <w:t>la Isla de Tenerife en las entidades de población con menos de 10.000habitantes que se ubiquen por encima de los 300 metros sobre el nivel del mar, entendiendo que serán beneficiarias en su integridad aquéllas cuyo territo</w:t>
            </w:r>
            <w:r>
              <w:rPr>
                <w:sz w:val="16"/>
              </w:rPr>
              <w:t>rio resulte dividido por dicha cota. Ninguna de estas restricciones será aplicable a los Parques Rurales de Anaga y de Teno, ni en los municipios de Los Silos y Güímar, en los que podrán concederse ayudas en toda su extensión geográfica. Según lo estableci</w:t>
            </w:r>
            <w:r>
              <w:rPr>
                <w:sz w:val="16"/>
              </w:rPr>
              <w:t>do en los apartados a y b dela Base 2ª de la convocatoria</w:t>
            </w:r>
            <w:r>
              <w:rPr>
                <w:rFonts w:ascii="Times New Roman" w:eastAsia="Times New Roman" w:hAnsi="Times New Roman" w:cs="Times New Roman"/>
                <w:sz w:val="24"/>
              </w:rPr>
              <w:t xml:space="preserve"> </w:t>
            </w:r>
          </w:p>
        </w:tc>
        <w:tc>
          <w:tcPr>
            <w:tcW w:w="926" w:type="dxa"/>
            <w:tcBorders>
              <w:top w:val="single" w:sz="4" w:space="0" w:color="000000"/>
              <w:left w:val="single" w:sz="4" w:space="0" w:color="000000"/>
              <w:bottom w:val="single" w:sz="4" w:space="0" w:color="000000"/>
              <w:right w:val="single" w:sz="4" w:space="0" w:color="000000"/>
            </w:tcBorders>
          </w:tcPr>
          <w:p w:rsidR="00B064CF" w:rsidRDefault="00E32F70">
            <w:pPr>
              <w:spacing w:after="48" w:line="259" w:lineRule="auto"/>
              <w:ind w:left="0" w:firstLine="0"/>
              <w:jc w:val="left"/>
            </w:pPr>
            <w:r>
              <w:rPr>
                <w:sz w:val="16"/>
              </w:rPr>
              <w:t xml:space="preserve"> </w:t>
            </w:r>
          </w:p>
          <w:p w:rsidR="00B064CF" w:rsidRDefault="00E32F70">
            <w:pPr>
              <w:spacing w:after="0" w:line="259" w:lineRule="auto"/>
              <w:ind w:left="0" w:firstLine="0"/>
              <w:jc w:val="left"/>
            </w:pPr>
            <w:r>
              <w:rPr>
                <w:sz w:val="16"/>
              </w:rPr>
              <w:t>2.126.232</w:t>
            </w:r>
            <w:r>
              <w:rPr>
                <w:rFonts w:ascii="Times New Roman" w:eastAsia="Times New Roman" w:hAnsi="Times New Roman" w:cs="Times New Roman"/>
                <w:sz w:val="24"/>
              </w:rPr>
              <w:t xml:space="preserve"> </w:t>
            </w:r>
          </w:p>
        </w:tc>
        <w:tc>
          <w:tcPr>
            <w:tcW w:w="929" w:type="dxa"/>
            <w:tcBorders>
              <w:top w:val="single" w:sz="4" w:space="0" w:color="000000"/>
              <w:left w:val="single" w:sz="4" w:space="0" w:color="000000"/>
              <w:bottom w:val="single" w:sz="4" w:space="0" w:color="000000"/>
              <w:right w:val="single" w:sz="4" w:space="0" w:color="000000"/>
            </w:tcBorders>
          </w:tcPr>
          <w:p w:rsidR="00B064CF" w:rsidRDefault="00E32F70">
            <w:pPr>
              <w:spacing w:after="48" w:line="259" w:lineRule="auto"/>
              <w:ind w:left="2" w:firstLine="0"/>
              <w:jc w:val="left"/>
            </w:pPr>
            <w:r>
              <w:rPr>
                <w:sz w:val="16"/>
              </w:rPr>
              <w:t xml:space="preserve"> </w:t>
            </w:r>
          </w:p>
          <w:p w:rsidR="00B064CF" w:rsidRDefault="00E32F70">
            <w:pPr>
              <w:spacing w:after="0" w:line="259" w:lineRule="auto"/>
              <w:ind w:left="2" w:firstLine="0"/>
              <w:jc w:val="left"/>
            </w:pPr>
            <w:r>
              <w:rPr>
                <w:sz w:val="16"/>
              </w:rPr>
              <w:t>1.594.674</w:t>
            </w:r>
            <w:r>
              <w:rPr>
                <w:rFonts w:ascii="Times New Roman" w:eastAsia="Times New Roman" w:hAnsi="Times New Roman" w:cs="Times New Roman"/>
                <w:sz w:val="24"/>
              </w:rPr>
              <w:t xml:space="preserve"> </w:t>
            </w:r>
          </w:p>
        </w:tc>
        <w:tc>
          <w:tcPr>
            <w:tcW w:w="1357" w:type="dxa"/>
            <w:tcBorders>
              <w:top w:val="single" w:sz="4" w:space="0" w:color="000000"/>
              <w:left w:val="single" w:sz="4" w:space="0" w:color="000000"/>
              <w:bottom w:val="single" w:sz="4" w:space="0" w:color="000000"/>
              <w:right w:val="single" w:sz="4" w:space="0" w:color="000000"/>
            </w:tcBorders>
          </w:tcPr>
          <w:p w:rsidR="00B064CF" w:rsidRDefault="00E32F70">
            <w:pPr>
              <w:spacing w:after="47" w:line="259" w:lineRule="auto"/>
              <w:ind w:left="2" w:firstLine="0"/>
              <w:jc w:val="left"/>
            </w:pPr>
            <w:r>
              <w:rPr>
                <w:sz w:val="16"/>
              </w:rPr>
              <w:t xml:space="preserve"> </w:t>
            </w:r>
          </w:p>
          <w:p w:rsidR="00B064CF" w:rsidRDefault="00E32F70">
            <w:pPr>
              <w:spacing w:after="0" w:line="259" w:lineRule="auto"/>
              <w:ind w:left="2" w:firstLine="0"/>
              <w:jc w:val="left"/>
            </w:pPr>
            <w:r>
              <w:rPr>
                <w:sz w:val="16"/>
              </w:rPr>
              <w:t>467.711</w:t>
            </w:r>
            <w:r>
              <w:rPr>
                <w:rFonts w:ascii="Times New Roman" w:eastAsia="Times New Roman" w:hAnsi="Times New Roman" w:cs="Times New Roman"/>
                <w:sz w:val="24"/>
              </w:rPr>
              <w:t xml:space="preserve"> </w:t>
            </w:r>
          </w:p>
        </w:tc>
        <w:tc>
          <w:tcPr>
            <w:tcW w:w="962" w:type="dxa"/>
            <w:tcBorders>
              <w:top w:val="single" w:sz="4" w:space="0" w:color="000000"/>
              <w:left w:val="single" w:sz="4" w:space="0" w:color="000000"/>
              <w:bottom w:val="single" w:sz="4" w:space="0" w:color="000000"/>
              <w:right w:val="single" w:sz="4" w:space="0" w:color="000000"/>
            </w:tcBorders>
          </w:tcPr>
          <w:p w:rsidR="00B064CF" w:rsidRDefault="00E32F70">
            <w:pPr>
              <w:spacing w:after="46" w:line="259" w:lineRule="auto"/>
              <w:ind w:left="0" w:firstLine="0"/>
              <w:jc w:val="left"/>
            </w:pPr>
            <w:r>
              <w:rPr>
                <w:sz w:val="16"/>
              </w:rPr>
              <w:t xml:space="preserve"> </w:t>
            </w:r>
          </w:p>
          <w:p w:rsidR="00B064CF" w:rsidRDefault="00E32F70">
            <w:pPr>
              <w:spacing w:after="0" w:line="259" w:lineRule="auto"/>
              <w:ind w:left="0" w:firstLine="0"/>
              <w:jc w:val="left"/>
            </w:pPr>
            <w:r>
              <w:rPr>
                <w:sz w:val="16"/>
              </w:rPr>
              <w:t>63.787</w:t>
            </w:r>
            <w:r>
              <w:rPr>
                <w:rFonts w:ascii="Times New Roman" w:eastAsia="Times New Roman" w:hAnsi="Times New Roman" w:cs="Times New Roman"/>
                <w:sz w:val="24"/>
              </w:rPr>
              <w:t xml:space="preserve"> </w:t>
            </w:r>
          </w:p>
        </w:tc>
      </w:tr>
    </w:tbl>
    <w:p w:rsidR="00B064CF" w:rsidRDefault="00E32F70">
      <w:pPr>
        <w:spacing w:after="0" w:line="259" w:lineRule="auto"/>
        <w:ind w:left="360" w:firstLine="0"/>
        <w:jc w:val="left"/>
      </w:pPr>
      <w:r>
        <w:rPr>
          <w:rFonts w:ascii="Times New Roman" w:eastAsia="Times New Roman" w:hAnsi="Times New Roman" w:cs="Times New Roman"/>
          <w:b/>
          <w:sz w:val="24"/>
        </w:rPr>
        <w:t xml:space="preserve"> </w:t>
      </w:r>
    </w:p>
    <w:p w:rsidR="00B064CF" w:rsidRDefault="00E32F70">
      <w:pPr>
        <w:spacing w:after="0" w:line="259" w:lineRule="auto"/>
        <w:ind w:left="360" w:firstLine="0"/>
        <w:jc w:val="left"/>
      </w:pPr>
      <w:r>
        <w:rPr>
          <w:rFonts w:ascii="Times New Roman" w:eastAsia="Times New Roman" w:hAnsi="Times New Roman" w:cs="Times New Roman"/>
          <w:b/>
          <w:sz w:val="24"/>
        </w:rPr>
        <w:t xml:space="preserve"> </w:t>
      </w:r>
    </w:p>
    <w:p w:rsidR="00B064CF" w:rsidRDefault="00E32F70">
      <w:pPr>
        <w:spacing w:after="0" w:line="259" w:lineRule="auto"/>
        <w:ind w:left="360" w:firstLine="0"/>
        <w:jc w:val="left"/>
      </w:pPr>
      <w:r>
        <w:rPr>
          <w:rFonts w:ascii="Times New Roman" w:eastAsia="Times New Roman" w:hAnsi="Times New Roman" w:cs="Times New Roman"/>
          <w:b/>
          <w:sz w:val="24"/>
        </w:rPr>
        <w:t xml:space="preserve"> </w:t>
      </w:r>
    </w:p>
    <w:p w:rsidR="00B064CF" w:rsidRDefault="00E32F70">
      <w:pPr>
        <w:spacing w:after="0"/>
        <w:ind w:left="355" w:right="72"/>
      </w:pPr>
      <w:r>
        <w:t xml:space="preserve">      </w:t>
      </w:r>
      <w:r>
        <w:t>Mediante Resolución de la Secretaría General Técnica de fecha 29 de diciembre de 2017 se dispone la publicación del Convenio entre la Consejería de Agricultura, Ganadería, Pesca y Aguas y los Grupos de Acción Local para la implementación de las estrategias</w:t>
      </w:r>
      <w:r>
        <w:t xml:space="preserve"> de desarrollo local previstas en la Medida 19 (LEADR) del Programa de Desarrollo Rural de Canarias 2014-2020 (BOC. Núm. 27 de 7 de febrero de 2018). </w:t>
      </w:r>
    </w:p>
    <w:p w:rsidR="00B064CF" w:rsidRDefault="00E32F70">
      <w:pPr>
        <w:spacing w:after="0" w:line="259" w:lineRule="auto"/>
        <w:ind w:left="360" w:firstLine="0"/>
        <w:jc w:val="left"/>
      </w:pPr>
      <w:r>
        <w:t xml:space="preserve"> </w:t>
      </w:r>
    </w:p>
    <w:p w:rsidR="00B064CF" w:rsidRDefault="00E32F70">
      <w:pPr>
        <w:spacing w:after="0"/>
        <w:ind w:left="355" w:right="72"/>
      </w:pPr>
      <w:r>
        <w:t xml:space="preserve">      Resultando que la Concejalía de Desarrollo Rural y Pesquero, Medio Ambiente Natural y Educación, </w:t>
      </w:r>
      <w:r>
        <w:t>entre otros tiene como objetivos el dotar al medio rural de los recursos, infraestructuras y servicios necesarios para la mejorar la calidad de vida del medio rural y su población; fomentar la participación ciudadana en el ámbito rural; promover la gestión</w:t>
      </w:r>
      <w:r>
        <w:t xml:space="preserve"> sostenible de los recursos en el ámbito rural preservando los ecosistemas y su diversidad biológica; adoptar medidas urgentes de adaptación y de mitigación del cambio climático (rehabilitación de tierras y de suelos degradados, lucha contra la desertifica</w:t>
      </w:r>
      <w:r>
        <w:t>ción y la sequía, erradicación de las especies invasoras, protección de los hábitats naturales, no contaminación ni sobreexplotación de los acuíferos… ), acciones de concienciación y sensibilización para el consumo de productos locales y de agricultura y g</w:t>
      </w:r>
      <w:r>
        <w:t xml:space="preserve">anadería del km 0; potenciación de la educación y la formación en materia de sostenibilidad dirigida a la población y las empresas agrarias, así como puesta en valor de los recursos patrimoniales y etnográficos rurales. </w:t>
      </w:r>
    </w:p>
    <w:p w:rsidR="00B064CF" w:rsidRDefault="00E32F70">
      <w:pPr>
        <w:spacing w:after="0" w:line="259" w:lineRule="auto"/>
        <w:ind w:left="360" w:firstLine="0"/>
        <w:jc w:val="left"/>
      </w:pPr>
      <w:r>
        <w:t xml:space="preserve"> </w:t>
      </w:r>
    </w:p>
    <w:p w:rsidR="00B064CF" w:rsidRDefault="00E32F70">
      <w:pPr>
        <w:spacing w:after="0" w:line="246" w:lineRule="auto"/>
        <w:ind w:left="345" w:right="58" w:firstLine="0"/>
        <w:jc w:val="left"/>
      </w:pPr>
      <w:r>
        <w:rPr>
          <w:rFonts w:ascii="Times New Roman" w:eastAsia="Times New Roman" w:hAnsi="Times New Roman" w:cs="Times New Roman"/>
          <w:sz w:val="24"/>
        </w:rPr>
        <w:t xml:space="preserve">      </w:t>
      </w:r>
      <w:r>
        <w:t>Considerando que la Asociac</w:t>
      </w:r>
      <w:r>
        <w:t>ión Grupo de Acción Rural Tenerife-GAR TF se ha constituido formalmente en una asociación no lucrativa, dotada de personalidad jurídica propia y capacidad de obrar, que se rige por la Ley Orgánica 1/2002, de 22 de marzo, reguladora del Derecho de Asociació</w:t>
      </w:r>
      <w:r>
        <w:t xml:space="preserve">n, la Ley 4/2003, de 28 de febrero, de Asociaciones de Canarias, por el Decreto 112/2007, de 5 de febrero por el que se aprueba el Reglamento de Asociaciones de Canarias, así como por sus Estatutos Sociales. Está inscrita en el Registro de Asociaciones de </w:t>
      </w:r>
      <w:r>
        <w:t>Canarias con el número G1/S1/-21253-15/TF y consta de CIF núm. G-76687565.</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ind w:left="355" w:right="72"/>
      </w:pPr>
      <w:r>
        <w:rPr>
          <w:rFonts w:ascii="Calibri" w:eastAsia="Calibri" w:hAnsi="Calibri" w:cs="Calibri"/>
          <w:noProof/>
        </w:rPr>
        <mc:AlternateContent>
          <mc:Choice Requires="wpg">
            <w:drawing>
              <wp:anchor distT="0" distB="0" distL="114300" distR="114300" simplePos="0" relativeHeight="25195008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24667" name="Group 424667"/>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3866" name="Rectangle 43866"/>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43867" name="Rectangle 43867"/>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281 de 298 </w:t>
                              </w:r>
                            </w:p>
                          </w:txbxContent>
                        </wps:txbx>
                        <wps:bodyPr horzOverflow="overflow" vert="horz" lIns="0" tIns="0" rIns="0" bIns="0" rtlCol="0">
                          <a:noAutofit/>
                        </wps:bodyPr>
                      </wps:wsp>
                    </wpg:wgp>
                  </a:graphicData>
                </a:graphic>
              </wp:anchor>
            </w:drawing>
          </mc:Choice>
          <mc:Fallback xmlns:a="http://schemas.openxmlformats.org/drawingml/2006/main">
            <w:pict>
              <v:group id="Group 424667" style="width:12.7031pt;height:278.91pt;position:absolute;mso-position-horizontal-relative:page;mso-position-horizontal:absolute;margin-left:682.278pt;mso-position-vertical-relative:page;margin-top:533.01pt;" coordsize="1613,35421">
                <v:rect id="Rectangle 43866"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3867"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281 de 298 </w:t>
                        </w:r>
                      </w:p>
                    </w:txbxContent>
                  </v:textbox>
                </v:rect>
                <w10:wrap type="square"/>
              </v:group>
            </w:pict>
          </mc:Fallback>
        </mc:AlternateContent>
      </w:r>
      <w:r>
        <w:t xml:space="preserve">      Resultando que la obtención, por parte del Ayuntamiento de Candelaria, de la condición de miembro asociado de GAR-TF, no supone el desembolso de cuota algu</w:t>
      </w:r>
      <w:r>
        <w:t xml:space="preserve">na al no estar contemplada ninguna cuantía económica a aportar por los miembros asociados en la modificación de los Estatutos Sociales aprobados con fecha 29 de enero de 2020 por la Asamblea General convocada al efecto y registrados según </w:t>
      </w:r>
      <w:r>
        <w:rPr>
          <w:i/>
        </w:rPr>
        <w:t>Resolución núm. 7</w:t>
      </w:r>
      <w:r>
        <w:rPr>
          <w:i/>
        </w:rPr>
        <w:t xml:space="preserve">32/2020 de 21 de mayo de 2020, de la Dirección General de Transparencia y Participación Ciudadana por la que se inscribe en el Registro de Asociaciones de Canarias la modificación de los Estatutos de la entidad relacionada </w:t>
      </w:r>
      <w:r>
        <w:t>por lo que no procede la consigna</w:t>
      </w:r>
      <w:r>
        <w:t xml:space="preserve">ción presupuestaria con dotación económica alguna. </w:t>
      </w:r>
      <w:r>
        <w:rPr>
          <w:sz w:val="24"/>
        </w:rPr>
        <w:t xml:space="preserve">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0"/>
        <w:ind w:left="355" w:right="72"/>
      </w:pPr>
      <w:r>
        <w:t xml:space="preserve">      Obra en el expediente además Informe favorable del Interventor municipal de fecha 12 de mayo de 2021. </w:t>
      </w:r>
    </w:p>
    <w:p w:rsidR="00B064CF" w:rsidRDefault="00E32F70">
      <w:pPr>
        <w:spacing w:after="0" w:line="259" w:lineRule="auto"/>
        <w:ind w:left="360" w:firstLine="0"/>
        <w:jc w:val="left"/>
      </w:pPr>
      <w:r>
        <w:t xml:space="preserve"> </w:t>
      </w:r>
    </w:p>
    <w:p w:rsidR="00B064CF" w:rsidRDefault="00E32F70">
      <w:pPr>
        <w:spacing w:after="0"/>
        <w:ind w:left="355" w:right="72"/>
      </w:pPr>
      <w:r>
        <w:t xml:space="preserve">      En consecuencia, esta Alcaldía propone al Pleno, previo dictamen de la Comisión in</w:t>
      </w:r>
      <w:r>
        <w:t xml:space="preserve">formativa correspondiente, la adopción del siguiente acuerdo: </w:t>
      </w:r>
    </w:p>
    <w:p w:rsidR="00B064CF" w:rsidRDefault="00E32F70">
      <w:pPr>
        <w:spacing w:after="0" w:line="259" w:lineRule="auto"/>
        <w:ind w:left="360" w:firstLine="0"/>
        <w:jc w:val="left"/>
      </w:pPr>
      <w:r>
        <w:t xml:space="preserve"> </w:t>
      </w:r>
    </w:p>
    <w:p w:rsidR="00B064CF" w:rsidRDefault="00E32F70">
      <w:pPr>
        <w:spacing w:after="0"/>
        <w:ind w:left="355" w:right="72"/>
      </w:pPr>
      <w:r>
        <w:t xml:space="preserve">      Primero. - Aprobar la solicitud por parte del Ayuntamiento de Candelaria de la condición de miembro asociado de la Asociación de Grupo de Acción Rural de Tenerife- GAR TF y de manifesta</w:t>
      </w:r>
      <w:r>
        <w:t xml:space="preserve">ción de contribuir al logro de los fines asociativos, conforme a lo dispuesto en el artículo 29 de los Estatutos Sociales </w:t>
      </w:r>
    </w:p>
    <w:p w:rsidR="00B064CF" w:rsidRDefault="00E32F70">
      <w:pPr>
        <w:spacing w:after="0" w:line="259" w:lineRule="auto"/>
        <w:ind w:left="360" w:firstLine="0"/>
        <w:jc w:val="left"/>
      </w:pPr>
      <w:r>
        <w:t xml:space="preserve"> </w:t>
      </w:r>
    </w:p>
    <w:p w:rsidR="00B064CF" w:rsidRDefault="00E32F70">
      <w:pPr>
        <w:spacing w:after="0"/>
        <w:ind w:left="355" w:right="72"/>
      </w:pPr>
      <w:r>
        <w:t xml:space="preserve">      Segundo, - </w:t>
      </w:r>
      <w:r>
        <w:t xml:space="preserve">Designar a la señora Alcaldesa Presidenta, Dña. María Concepción Brito Núñez como representante titular y como persona suplente a la Concejala Delegada de Desarrollo Rural y Pesquero, Medio Ambiente Natural y Educación, Dña. Margarita Eva Tendero Barroso. </w:t>
      </w:r>
    </w:p>
    <w:p w:rsidR="00B064CF" w:rsidRDefault="00E32F70">
      <w:pPr>
        <w:spacing w:after="0" w:line="259" w:lineRule="auto"/>
        <w:ind w:left="360" w:firstLine="0"/>
        <w:jc w:val="left"/>
      </w:pPr>
      <w:r>
        <w:t xml:space="preserve"> </w:t>
      </w:r>
    </w:p>
    <w:p w:rsidR="00B064CF" w:rsidRDefault="00E32F70">
      <w:pPr>
        <w:spacing w:after="25"/>
        <w:ind w:left="355" w:right="72"/>
      </w:pPr>
      <w:r>
        <w:t xml:space="preserve">      Tercero. - Dar traslado a la A Asociación de Grupo de Acción Rural de Tenerife- GAR TF del acuerdo que se adopte.”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11"/>
        <w:ind w:left="355" w:right="72"/>
      </w:pPr>
      <w:r>
        <w:t>No obstante, el Pleno de la Corporación acordará lo más procedente.</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rPr>
          <w:b/>
        </w:rPr>
        <w:t xml:space="preserve"> </w:t>
      </w:r>
    </w:p>
    <w:p w:rsidR="00B064CF" w:rsidRDefault="00E32F70">
      <w:pPr>
        <w:spacing w:after="95" w:line="259" w:lineRule="auto"/>
        <w:ind w:left="360" w:firstLine="0"/>
        <w:jc w:val="left"/>
      </w:pPr>
      <w:r>
        <w:t xml:space="preserve"> </w:t>
      </w:r>
    </w:p>
    <w:p w:rsidR="00B064CF" w:rsidRDefault="00E32F70">
      <w:pPr>
        <w:spacing w:after="0" w:line="259" w:lineRule="auto"/>
        <w:ind w:left="360" w:firstLine="0"/>
        <w:jc w:val="left"/>
      </w:pPr>
      <w:r>
        <w:rPr>
          <w:b/>
        </w:rPr>
        <w:t xml:space="preserve"> </w:t>
      </w:r>
    </w:p>
    <w:p w:rsidR="00B064CF" w:rsidRDefault="00E32F70">
      <w:pPr>
        <w:spacing w:after="4"/>
        <w:ind w:left="355" w:right="68"/>
      </w:pPr>
      <w:r>
        <w:rPr>
          <w:b/>
        </w:rPr>
        <w:t xml:space="preserve">DICTAMEN FAVORABLE DE LA COMISIÓN INFORMATIVA DE P.G. URBANÍSTICA Y AMBIENTAL, OBRAS y SERVICIOS PÚBLICOS DE 24 DE MAYO DE 2021.  </w:t>
      </w:r>
    </w:p>
    <w:p w:rsidR="00B064CF" w:rsidRDefault="00E32F70">
      <w:pPr>
        <w:spacing w:after="0" w:line="259" w:lineRule="auto"/>
        <w:ind w:left="360" w:firstLine="0"/>
        <w:jc w:val="left"/>
      </w:pPr>
      <w:r>
        <w:rPr>
          <w:b/>
        </w:rPr>
        <w:t xml:space="preserve"> </w:t>
      </w:r>
    </w:p>
    <w:p w:rsidR="00B064CF" w:rsidRDefault="00E32F70">
      <w:pPr>
        <w:spacing w:after="11"/>
        <w:ind w:left="355" w:right="72"/>
      </w:pPr>
      <w:r>
        <w:t xml:space="preserve">Votos a favor: 4.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Los 4 concejales del Grupo Socialista: </w:t>
      </w:r>
    </w:p>
    <w:p w:rsidR="00B064CF" w:rsidRDefault="00E32F70">
      <w:pPr>
        <w:spacing w:after="0"/>
        <w:ind w:left="355" w:right="72"/>
      </w:pPr>
      <w:r>
        <w:t xml:space="preserve">Doña Hilaria Cecilia Otazo González, Don Jorge Baute Delgado, </w:t>
      </w:r>
      <w:r>
        <w:t xml:space="preserve">Doña Margarita Eva Tendero Barroso y Doña María del Carmen Clemente Díaz.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Votos en contra: 0.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Abstenciones: 3.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El concejal del Grupo Popular, Don Juan Miguel Olivera González.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La concejal del Grupo Mixto (CC-PNC), Doña Ángela Cruz Perera. </w:t>
      </w:r>
    </w:p>
    <w:p w:rsidR="00B064CF" w:rsidRDefault="00E32F70">
      <w:pPr>
        <w:spacing w:after="0" w:line="259" w:lineRule="auto"/>
        <w:ind w:left="360" w:firstLine="0"/>
        <w:jc w:val="left"/>
      </w:pPr>
      <w:r>
        <w:t xml:space="preserve"> </w:t>
      </w:r>
    </w:p>
    <w:p w:rsidR="00B064CF" w:rsidRDefault="00E32F70">
      <w:pPr>
        <w:spacing w:after="11"/>
        <w:ind w:left="355" w:right="72"/>
      </w:pPr>
      <w:r>
        <w:t>La</w:t>
      </w:r>
      <w:r>
        <w:t xml:space="preserve"> concejal del Grupo Mixto (SSP), Doña Lourdes del Carmen Mondéjar Rondón. </w:t>
      </w:r>
    </w:p>
    <w:p w:rsidR="00B064CF" w:rsidRDefault="00E32F70">
      <w:pPr>
        <w:spacing w:after="0" w:line="259" w:lineRule="auto"/>
        <w:ind w:left="360" w:firstLine="0"/>
        <w:jc w:val="left"/>
      </w:pPr>
      <w:r>
        <w:rPr>
          <w:b/>
        </w:rPr>
        <w:t xml:space="preserve">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rPr>
          <w:rFonts w:ascii="Calibri" w:eastAsia="Calibri" w:hAnsi="Calibri" w:cs="Calibri"/>
          <w:noProof/>
        </w:rPr>
        <mc:AlternateContent>
          <mc:Choice Requires="wpg">
            <w:drawing>
              <wp:anchor distT="0" distB="0" distL="114300" distR="114300" simplePos="0" relativeHeight="25195110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24495" name="Group 424495"/>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3970" name="Rectangle 43970"/>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43971" name="Rectangle 43971"/>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282 de 298 </w:t>
                              </w:r>
                            </w:p>
                          </w:txbxContent>
                        </wps:txbx>
                        <wps:bodyPr horzOverflow="overflow" vert="horz" lIns="0" tIns="0" rIns="0" bIns="0" rtlCol="0">
                          <a:noAutofit/>
                        </wps:bodyPr>
                      </wps:wsp>
                    </wpg:wgp>
                  </a:graphicData>
                </a:graphic>
              </wp:anchor>
            </w:drawing>
          </mc:Choice>
          <mc:Fallback xmlns:a="http://schemas.openxmlformats.org/drawingml/2006/main">
            <w:pict>
              <v:group id="Group 424495" style="width:12.7031pt;height:278.91pt;position:absolute;mso-position-horizontal-relative:page;mso-position-horizontal:absolute;margin-left:682.278pt;mso-position-vertical-relative:page;margin-top:533.01pt;" coordsize="1613,35421">
                <v:rect id="Rectangle 43970"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3971"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282 de 298 </w:t>
                        </w:r>
                      </w:p>
                    </w:txbxContent>
                  </v:textbox>
                </v:rect>
                <w10:wrap type="square"/>
              </v:group>
            </w:pict>
          </mc:Fallback>
        </mc:AlternateContent>
      </w:r>
      <w:r>
        <w:t xml:space="preserve"> </w:t>
      </w:r>
    </w:p>
    <w:p w:rsidR="00B064CF" w:rsidRDefault="00E32F70">
      <w:pPr>
        <w:spacing w:after="4"/>
        <w:ind w:left="355" w:right="68"/>
      </w:pPr>
      <w:r>
        <w:rPr>
          <w:b/>
        </w:rPr>
        <w:t xml:space="preserve">JUNTA DE PORTAVOCES DE 24 DE MAYO DE 2021.  </w:t>
      </w:r>
    </w:p>
    <w:p w:rsidR="00B064CF" w:rsidRDefault="00E32F70">
      <w:pPr>
        <w:spacing w:after="11"/>
        <w:ind w:left="355" w:right="72"/>
      </w:pPr>
      <w:r>
        <w:t xml:space="preserve">Quedó oída.  </w:t>
      </w:r>
    </w:p>
    <w:p w:rsidR="00B064CF" w:rsidRDefault="00E32F70">
      <w:pPr>
        <w:spacing w:after="0" w:line="259" w:lineRule="auto"/>
        <w:ind w:left="360" w:firstLine="0"/>
        <w:jc w:val="left"/>
      </w:pPr>
      <w:r>
        <w:t xml:space="preserve"> </w:t>
      </w:r>
    </w:p>
    <w:p w:rsidR="00B064CF" w:rsidRDefault="00E32F70">
      <w:pPr>
        <w:spacing w:after="111"/>
        <w:ind w:left="355" w:right="3889"/>
      </w:pPr>
      <w:r>
        <w:rPr>
          <w:b/>
        </w:rPr>
        <w:t xml:space="preserve">VOTACIÓN EN EL PLENO DE 27 DE MAYO DE 2021.  </w:t>
      </w:r>
      <w:r>
        <w:t xml:space="preserve">La unanimidad de los 14 concejales presentes: </w:t>
      </w:r>
    </w:p>
    <w:p w:rsidR="00B064CF" w:rsidRDefault="00E32F70">
      <w:pPr>
        <w:spacing w:after="11"/>
        <w:ind w:left="355" w:right="72"/>
      </w:pPr>
      <w:r>
        <w:t>11 con</w:t>
      </w:r>
      <w:r>
        <w:t xml:space="preserve">cejales del Grupo Socialista: Doña María Concepción Brito Núñez, Don Jorge Baute Delgado, </w:t>
      </w:r>
    </w:p>
    <w:p w:rsidR="00B064CF" w:rsidRDefault="00E32F70">
      <w:pPr>
        <w:spacing w:after="111"/>
        <w:ind w:left="355" w:right="72"/>
      </w:pPr>
      <w:r>
        <w:t>Doña Olivia Concepción Pérez Díaz, Don José Francisco Pinto Ramos, Doña Hilaria Cecilia Otazo González, Don Airam Pérez Chinea, Doña Margarita Eva Tendero Barroso, D</w:t>
      </w:r>
      <w:r>
        <w:t xml:space="preserve">on Manuel Alberto González Pestano, Doña María del Carmen Clemente Díaz, Don Olegario Francisco Alonso Bello y Don Reinaldo José Triviño Blanco. </w:t>
      </w:r>
    </w:p>
    <w:p w:rsidR="00B064CF" w:rsidRDefault="00E32F70">
      <w:pPr>
        <w:spacing w:after="109"/>
        <w:ind w:left="355" w:right="72"/>
      </w:pPr>
      <w:r>
        <w:t>3 concejales del Grupo Mixto: Don Antonio Delgado García y Doña Lourdes del Carmen Mondéjar Rondón (SSP) y Doñ</w:t>
      </w:r>
      <w:r>
        <w:t xml:space="preserve">a Ángela Cruz Perera (CC-PNC). </w:t>
      </w:r>
    </w:p>
    <w:p w:rsidR="00B064CF" w:rsidRDefault="00E32F70">
      <w:pPr>
        <w:spacing w:after="0" w:line="259" w:lineRule="auto"/>
        <w:ind w:left="340" w:firstLine="0"/>
        <w:jc w:val="center"/>
      </w:pPr>
      <w:r>
        <w:rPr>
          <w:b/>
        </w:rPr>
        <w:t xml:space="preserve"> </w:t>
      </w:r>
    </w:p>
    <w:p w:rsidR="00B064CF" w:rsidRDefault="00E32F70">
      <w:pPr>
        <w:spacing w:after="0" w:line="259" w:lineRule="auto"/>
        <w:ind w:left="360" w:firstLine="0"/>
        <w:jc w:val="left"/>
      </w:pPr>
      <w:r>
        <w:rPr>
          <w:b/>
        </w:rPr>
        <w:t xml:space="preserve"> </w:t>
      </w:r>
    </w:p>
    <w:p w:rsidR="00B064CF" w:rsidRDefault="00E32F70">
      <w:pPr>
        <w:spacing w:after="0" w:line="259" w:lineRule="auto"/>
        <w:ind w:left="360" w:firstLine="0"/>
        <w:jc w:val="left"/>
      </w:pPr>
      <w:r>
        <w:rPr>
          <w:b/>
        </w:rPr>
        <w:t xml:space="preserve"> </w:t>
      </w:r>
    </w:p>
    <w:p w:rsidR="00B064CF" w:rsidRDefault="00E32F70">
      <w:pPr>
        <w:spacing w:after="0" w:line="259" w:lineRule="auto"/>
        <w:ind w:left="360" w:firstLine="0"/>
        <w:jc w:val="left"/>
      </w:pPr>
      <w:r>
        <w:rPr>
          <w:b/>
        </w:rPr>
        <w:t xml:space="preserve"> </w:t>
      </w:r>
    </w:p>
    <w:p w:rsidR="00B064CF" w:rsidRDefault="00E32F70">
      <w:pPr>
        <w:spacing w:after="0" w:line="259" w:lineRule="auto"/>
        <w:ind w:left="360" w:firstLine="0"/>
        <w:jc w:val="left"/>
      </w:pPr>
      <w:r>
        <w:rPr>
          <w:b/>
        </w:rPr>
        <w:t xml:space="preserve"> </w:t>
      </w:r>
    </w:p>
    <w:p w:rsidR="00B064CF" w:rsidRDefault="00E32F70">
      <w:pPr>
        <w:spacing w:after="0" w:line="259" w:lineRule="auto"/>
        <w:ind w:left="360" w:firstLine="0"/>
        <w:jc w:val="left"/>
      </w:pPr>
      <w:r>
        <w:rPr>
          <w:b/>
        </w:rPr>
        <w:t xml:space="preserve"> </w:t>
      </w:r>
    </w:p>
    <w:p w:rsidR="00B064CF" w:rsidRDefault="00E32F70">
      <w:pPr>
        <w:spacing w:after="0" w:line="259" w:lineRule="auto"/>
        <w:ind w:left="360" w:firstLine="0"/>
        <w:jc w:val="left"/>
      </w:pPr>
      <w:r>
        <w:rPr>
          <w:b/>
        </w:rPr>
        <w:t xml:space="preserve"> </w:t>
      </w:r>
    </w:p>
    <w:p w:rsidR="00B064CF" w:rsidRDefault="00E32F70">
      <w:pPr>
        <w:spacing w:after="0" w:line="259" w:lineRule="auto"/>
        <w:ind w:left="360" w:firstLine="0"/>
        <w:jc w:val="left"/>
      </w:pPr>
      <w:r>
        <w:rPr>
          <w:b/>
        </w:rPr>
        <w:t xml:space="preserve"> </w:t>
      </w:r>
    </w:p>
    <w:p w:rsidR="00B064CF" w:rsidRDefault="00E32F70">
      <w:pPr>
        <w:spacing w:after="0" w:line="259" w:lineRule="auto"/>
        <w:ind w:left="360" w:firstLine="0"/>
        <w:jc w:val="left"/>
      </w:pPr>
      <w:r>
        <w:rPr>
          <w:b/>
        </w:rPr>
        <w:t xml:space="preserve"> </w:t>
      </w:r>
    </w:p>
    <w:p w:rsidR="00B064CF" w:rsidRDefault="00E32F70">
      <w:pPr>
        <w:spacing w:after="0" w:line="259" w:lineRule="auto"/>
        <w:ind w:left="360" w:firstLine="0"/>
        <w:jc w:val="left"/>
      </w:pPr>
      <w:r>
        <w:rPr>
          <w:b/>
        </w:rPr>
        <w:t xml:space="preserve">     </w:t>
      </w:r>
    </w:p>
    <w:p w:rsidR="00B064CF" w:rsidRDefault="00E32F70">
      <w:pPr>
        <w:spacing w:after="0" w:line="259" w:lineRule="auto"/>
        <w:ind w:left="1779" w:firstLine="0"/>
        <w:jc w:val="left"/>
      </w:pPr>
      <w:r>
        <w:rPr>
          <w:b/>
        </w:rPr>
        <w:t xml:space="preserve"> </w:t>
      </w:r>
    </w:p>
    <w:p w:rsidR="00B064CF" w:rsidRDefault="00E32F70">
      <w:pPr>
        <w:spacing w:after="0" w:line="259" w:lineRule="auto"/>
        <w:ind w:left="1779" w:firstLine="0"/>
        <w:jc w:val="left"/>
      </w:pPr>
      <w:r>
        <w:rPr>
          <w:b/>
        </w:rPr>
        <w:t xml:space="preserve"> </w:t>
      </w:r>
    </w:p>
    <w:p w:rsidR="00B064CF" w:rsidRDefault="00E32F70">
      <w:pPr>
        <w:spacing w:after="4"/>
        <w:ind w:left="1789" w:right="68"/>
      </w:pPr>
      <w:r>
        <w:rPr>
          <w:b/>
        </w:rPr>
        <w:t xml:space="preserve">     ACUERDO DEL PLENO DE 27 DE MAYO DE 2021 </w:t>
      </w:r>
    </w:p>
    <w:p w:rsidR="00B064CF" w:rsidRDefault="00E32F70">
      <w:pPr>
        <w:spacing w:after="0" w:line="259" w:lineRule="auto"/>
        <w:ind w:left="360" w:firstLine="0"/>
        <w:jc w:val="left"/>
      </w:pPr>
      <w:r>
        <w:rPr>
          <w:b/>
        </w:rPr>
        <w:t xml:space="preserve"> </w:t>
      </w:r>
    </w:p>
    <w:p w:rsidR="00B064CF" w:rsidRDefault="00E32F70">
      <w:pPr>
        <w:spacing w:after="4"/>
        <w:ind w:left="355" w:right="68"/>
      </w:pPr>
      <w:r>
        <w:rPr>
          <w:b/>
        </w:rPr>
        <w:t xml:space="preserve"> Primero. - </w:t>
      </w:r>
      <w:r>
        <w:rPr>
          <w:b/>
        </w:rPr>
        <w:t>Aprobar la solicitud por parte del Ayuntamiento de Candelaria de la condición de miembro asociado de la Asociación de Grupo de Acción Rural de Tenerife- GAR TF y de manifestación de contribuir al logro de los fines asociativos, conforme a lo dispuesto en e</w:t>
      </w:r>
      <w:r>
        <w:rPr>
          <w:b/>
        </w:rPr>
        <w:t xml:space="preserve">l artículo 29 de los Estatutos Sociales </w:t>
      </w:r>
    </w:p>
    <w:p w:rsidR="00B064CF" w:rsidRDefault="00E32F70">
      <w:pPr>
        <w:spacing w:after="0" w:line="259" w:lineRule="auto"/>
        <w:ind w:left="360" w:firstLine="0"/>
        <w:jc w:val="left"/>
      </w:pPr>
      <w:r>
        <w:rPr>
          <w:b/>
        </w:rPr>
        <w:t xml:space="preserve"> </w:t>
      </w:r>
    </w:p>
    <w:p w:rsidR="00B064CF" w:rsidRDefault="00E32F70">
      <w:pPr>
        <w:spacing w:after="4"/>
        <w:ind w:left="355" w:right="68"/>
      </w:pPr>
      <w:r>
        <w:rPr>
          <w:b/>
        </w:rPr>
        <w:t xml:space="preserve">      Segundo, - Designar a la señora Alcaldesa Presidenta, Dña. María Concepción Brito Núñez como representante titular y como persona suplente a la Concejala Delegada de Desarrollo Rural y Pesquero, Medio Ambien</w:t>
      </w:r>
      <w:r>
        <w:rPr>
          <w:b/>
        </w:rPr>
        <w:t xml:space="preserve">te Natural y Educación, Dña. Margarita Eva Tendero Barroso. </w:t>
      </w:r>
    </w:p>
    <w:p w:rsidR="00B064CF" w:rsidRDefault="00E32F70">
      <w:pPr>
        <w:spacing w:after="0" w:line="259" w:lineRule="auto"/>
        <w:ind w:left="360" w:firstLine="0"/>
        <w:jc w:val="left"/>
      </w:pPr>
      <w:r>
        <w:rPr>
          <w:b/>
        </w:rPr>
        <w:t xml:space="preserve"> </w:t>
      </w:r>
    </w:p>
    <w:p w:rsidR="00B064CF" w:rsidRDefault="00E32F70">
      <w:pPr>
        <w:spacing w:after="42"/>
        <w:ind w:left="355" w:right="68"/>
      </w:pPr>
      <w:r>
        <w:rPr>
          <w:b/>
        </w:rPr>
        <w:t xml:space="preserve">      Tercero. - Dar traslado a la Asociación de Grupo de Acción Rural de Tenerife- GAR TF del acuerdo que se adopte. </w:t>
      </w:r>
    </w:p>
    <w:p w:rsidR="00B064CF" w:rsidRDefault="00E32F70">
      <w:pPr>
        <w:spacing w:after="0" w:line="425" w:lineRule="auto"/>
        <w:ind w:left="360" w:right="9584" w:firstLine="0"/>
        <w:jc w:val="left"/>
      </w:pPr>
      <w:r>
        <w:rPr>
          <w:rFonts w:ascii="Calibri" w:eastAsia="Calibri" w:hAnsi="Calibri" w:cs="Calibri"/>
          <w:noProof/>
        </w:rPr>
        <mc:AlternateContent>
          <mc:Choice Requires="wpg">
            <w:drawing>
              <wp:anchor distT="0" distB="0" distL="114300" distR="114300" simplePos="0" relativeHeight="251952128" behindDoc="0" locked="0" layoutInCell="1" allowOverlap="1">
                <wp:simplePos x="0" y="0"/>
                <wp:positionH relativeFrom="page">
                  <wp:posOffset>8664935</wp:posOffset>
                </wp:positionH>
                <wp:positionV relativeFrom="page">
                  <wp:posOffset>6769227</wp:posOffset>
                </wp:positionV>
                <wp:extent cx="161330" cy="3542157"/>
                <wp:effectExtent l="0" t="0" r="0" b="0"/>
                <wp:wrapTopAndBottom/>
                <wp:docPr id="425158" name="Group 425158"/>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4057" name="Rectangle 44057"/>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44058" name="Rectangle 44058"/>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283 de 298 </w:t>
                              </w:r>
                            </w:p>
                          </w:txbxContent>
                        </wps:txbx>
                        <wps:bodyPr horzOverflow="overflow" vert="horz" lIns="0" tIns="0" rIns="0" bIns="0" rtlCol="0">
                          <a:noAutofit/>
                        </wps:bodyPr>
                      </wps:wsp>
                    </wpg:wgp>
                  </a:graphicData>
                </a:graphic>
              </wp:anchor>
            </w:drawing>
          </mc:Choice>
          <mc:Fallback xmlns:a="http://schemas.openxmlformats.org/drawingml/2006/main">
            <w:pict>
              <v:group id="Group 425158" style="width:12.7031pt;height:278.91pt;position:absolute;mso-position-horizontal-relative:page;mso-position-horizontal:absolute;margin-left:682.278pt;mso-position-vertical-relative:page;margin-top:533.01pt;" coordsize="1613,35421">
                <v:rect id="Rectangle 44057"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4058"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283 de 298 </w:t>
                        </w:r>
                      </w:p>
                    </w:txbxContent>
                  </v:textbox>
                </v:rect>
                <w10:wrap type="topAndBottom"/>
              </v:group>
            </w:pict>
          </mc:Fallback>
        </mc:AlternateContent>
      </w:r>
      <w:r>
        <w:rPr>
          <w:i/>
          <w:color w:val="222222"/>
        </w:rPr>
        <w:t xml:space="preserve">       </w:t>
      </w:r>
    </w:p>
    <w:p w:rsidR="00B064CF" w:rsidRDefault="00E32F70">
      <w:pPr>
        <w:spacing w:after="177" w:line="259" w:lineRule="auto"/>
        <w:ind w:left="360" w:firstLine="0"/>
        <w:jc w:val="left"/>
      </w:pPr>
      <w:r>
        <w:rPr>
          <w:i/>
          <w:color w:val="222222"/>
        </w:rPr>
        <w:t xml:space="preserve"> </w:t>
      </w:r>
    </w:p>
    <w:p w:rsidR="00B064CF" w:rsidRDefault="00E32F70">
      <w:pPr>
        <w:spacing w:after="175" w:line="259" w:lineRule="auto"/>
        <w:ind w:left="360" w:firstLine="0"/>
        <w:jc w:val="left"/>
      </w:pPr>
      <w:r>
        <w:rPr>
          <w:i/>
          <w:color w:val="222222"/>
        </w:rPr>
        <w:t xml:space="preserve"> </w:t>
      </w:r>
    </w:p>
    <w:p w:rsidR="00B064CF" w:rsidRDefault="00E32F70">
      <w:pPr>
        <w:spacing w:after="0" w:line="426" w:lineRule="auto"/>
        <w:ind w:left="360" w:right="9584" w:firstLine="0"/>
        <w:jc w:val="left"/>
      </w:pPr>
      <w:r>
        <w:rPr>
          <w:i/>
          <w:color w:val="222222"/>
        </w:rPr>
        <w:t xml:space="preserve">      </w:t>
      </w:r>
    </w:p>
    <w:p w:rsidR="00B064CF" w:rsidRDefault="00E32F70">
      <w:pPr>
        <w:spacing w:after="148" w:line="259" w:lineRule="auto"/>
        <w:ind w:left="360" w:firstLine="0"/>
        <w:jc w:val="left"/>
      </w:pPr>
      <w:r>
        <w:rPr>
          <w:i/>
          <w:color w:val="222222"/>
        </w:rPr>
        <w:t xml:space="preserve"> </w:t>
      </w:r>
    </w:p>
    <w:p w:rsidR="00B064CF" w:rsidRDefault="00E32F70">
      <w:pPr>
        <w:spacing w:after="98" w:line="259" w:lineRule="auto"/>
        <w:ind w:left="360" w:firstLine="0"/>
        <w:jc w:val="left"/>
      </w:pPr>
      <w:r>
        <w:rPr>
          <w:b/>
          <w:sz w:val="24"/>
        </w:rPr>
        <w:t xml:space="preserve"> </w:t>
      </w:r>
    </w:p>
    <w:p w:rsidR="00B064CF" w:rsidRDefault="00E32F70">
      <w:pPr>
        <w:spacing w:after="98" w:line="259" w:lineRule="auto"/>
        <w:ind w:left="360" w:firstLine="0"/>
        <w:jc w:val="left"/>
      </w:pPr>
      <w:r>
        <w:rPr>
          <w:b/>
          <w:sz w:val="24"/>
        </w:rPr>
        <w:t xml:space="preserve"> </w:t>
      </w:r>
    </w:p>
    <w:p w:rsidR="00B064CF" w:rsidRDefault="00E32F70">
      <w:pPr>
        <w:spacing w:after="0" w:line="259" w:lineRule="auto"/>
        <w:ind w:left="360" w:firstLine="0"/>
        <w:jc w:val="left"/>
      </w:pPr>
      <w:r>
        <w:rPr>
          <w:b/>
          <w:sz w:val="24"/>
        </w:rPr>
        <w:t xml:space="preserve"> </w:t>
      </w:r>
    </w:p>
    <w:p w:rsidR="00B064CF" w:rsidRDefault="00E32F70">
      <w:pPr>
        <w:spacing w:after="98" w:line="259" w:lineRule="auto"/>
        <w:ind w:left="360" w:firstLine="0"/>
        <w:jc w:val="left"/>
      </w:pPr>
      <w:r>
        <w:rPr>
          <w:b/>
          <w:sz w:val="24"/>
        </w:rPr>
        <w:t xml:space="preserve"> </w:t>
      </w:r>
    </w:p>
    <w:p w:rsidR="00B064CF" w:rsidRDefault="00E32F70">
      <w:pPr>
        <w:spacing w:after="98" w:line="259" w:lineRule="auto"/>
        <w:ind w:left="360" w:firstLine="0"/>
        <w:jc w:val="left"/>
      </w:pPr>
      <w:r>
        <w:rPr>
          <w:b/>
          <w:sz w:val="24"/>
        </w:rPr>
        <w:t xml:space="preserve"> </w:t>
      </w:r>
    </w:p>
    <w:p w:rsidR="00B064CF" w:rsidRDefault="00E32F70">
      <w:pPr>
        <w:spacing w:after="120" w:line="240" w:lineRule="auto"/>
        <w:ind w:left="355" w:right="135"/>
      </w:pPr>
      <w:r>
        <w:rPr>
          <w:b/>
          <w:sz w:val="24"/>
        </w:rPr>
        <w:t>8.-</w:t>
      </w:r>
      <w:r>
        <w:rPr>
          <w:sz w:val="24"/>
        </w:rPr>
        <w:t xml:space="preserve"> </w:t>
      </w:r>
      <w:r>
        <w:rPr>
          <w:b/>
          <w:sz w:val="24"/>
        </w:rPr>
        <w:t>Expediente 4744/2021. Moción del Grupo Mixto por RE de 18 de mayo de 2021 para exigir actuaciones de carácter prioritario en la zona BIC "El Camino de Candelaria" en el pueblo de Igueste.</w:t>
      </w:r>
      <w:r>
        <w:t xml:space="preserve"> </w:t>
      </w:r>
    </w:p>
    <w:p w:rsidR="00B064CF" w:rsidRDefault="00E32F70">
      <w:pPr>
        <w:spacing w:after="79" w:line="259" w:lineRule="auto"/>
        <w:ind w:left="360" w:firstLine="0"/>
        <w:jc w:val="left"/>
      </w:pPr>
      <w:r>
        <w:rPr>
          <w:b/>
          <w:sz w:val="24"/>
        </w:rPr>
        <w:t xml:space="preserve"> </w:t>
      </w:r>
    </w:p>
    <w:p w:rsidR="00B064CF" w:rsidRDefault="00E32F70">
      <w:pPr>
        <w:spacing w:after="4"/>
        <w:ind w:left="355" w:right="68"/>
      </w:pPr>
      <w:r>
        <w:rPr>
          <w:b/>
        </w:rPr>
        <w:t xml:space="preserve">Consta en el expediente electrónico la referida moción que se inserta literalmente: </w:t>
      </w:r>
    </w:p>
    <w:p w:rsidR="00B064CF" w:rsidRDefault="00E32F70">
      <w:pPr>
        <w:spacing w:after="0" w:line="259" w:lineRule="auto"/>
        <w:ind w:left="360" w:firstLine="0"/>
        <w:jc w:val="left"/>
      </w:pPr>
      <w:r>
        <w:rPr>
          <w:rFonts w:ascii="Times New Roman" w:eastAsia="Times New Roman" w:hAnsi="Times New Roman" w:cs="Times New Roman"/>
          <w:b/>
          <w:sz w:val="24"/>
        </w:rPr>
        <w:t xml:space="preserve"> </w:t>
      </w:r>
    </w:p>
    <w:p w:rsidR="00B064CF" w:rsidRDefault="00E32F70">
      <w:pPr>
        <w:spacing w:after="0" w:line="259" w:lineRule="auto"/>
        <w:ind w:left="360" w:firstLine="0"/>
        <w:jc w:val="left"/>
      </w:pPr>
      <w:r>
        <w:rPr>
          <w:rFonts w:ascii="Times New Roman" w:eastAsia="Times New Roman" w:hAnsi="Times New Roman" w:cs="Times New Roman"/>
          <w:b/>
          <w:sz w:val="24"/>
        </w:rPr>
        <w:t xml:space="preserve"> </w:t>
      </w:r>
    </w:p>
    <w:p w:rsidR="00B064CF" w:rsidRDefault="00E32F70">
      <w:pPr>
        <w:spacing w:after="0" w:line="259" w:lineRule="auto"/>
        <w:ind w:left="360" w:firstLine="0"/>
        <w:jc w:val="left"/>
      </w:pPr>
      <w:r>
        <w:rPr>
          <w:rFonts w:ascii="Times New Roman" w:eastAsia="Times New Roman" w:hAnsi="Times New Roman" w:cs="Times New Roman"/>
          <w:b/>
          <w:sz w:val="24"/>
        </w:rPr>
        <w:t xml:space="preserve"> </w:t>
      </w:r>
    </w:p>
    <w:p w:rsidR="00B064CF" w:rsidRDefault="00E32F70">
      <w:pPr>
        <w:spacing w:after="0" w:line="259" w:lineRule="auto"/>
        <w:ind w:left="360" w:firstLine="0"/>
        <w:jc w:val="left"/>
      </w:pPr>
      <w:r>
        <w:rPr>
          <w:rFonts w:ascii="Times New Roman" w:eastAsia="Times New Roman" w:hAnsi="Times New Roman" w:cs="Times New Roman"/>
          <w:b/>
          <w:sz w:val="24"/>
        </w:rPr>
        <w:t xml:space="preserve"> </w:t>
      </w:r>
    </w:p>
    <w:p w:rsidR="00B064CF" w:rsidRDefault="00E32F70">
      <w:pPr>
        <w:spacing w:after="0" w:line="259" w:lineRule="auto"/>
        <w:ind w:left="0" w:right="1810" w:firstLine="0"/>
        <w:jc w:val="center"/>
      </w:pPr>
      <w:r>
        <w:rPr>
          <w:noProof/>
        </w:rPr>
        <w:drawing>
          <wp:inline distT="0" distB="0" distL="0" distR="0">
            <wp:extent cx="4691422" cy="714761"/>
            <wp:effectExtent l="0" t="0" r="0" b="0"/>
            <wp:docPr id="44166" name="Picture 44166"/>
            <wp:cNvGraphicFramePr/>
            <a:graphic xmlns:a="http://schemas.openxmlformats.org/drawingml/2006/main">
              <a:graphicData uri="http://schemas.openxmlformats.org/drawingml/2006/picture">
                <pic:pic xmlns:pic="http://schemas.openxmlformats.org/drawingml/2006/picture">
                  <pic:nvPicPr>
                    <pic:cNvPr id="44166" name="Picture 44166"/>
                    <pic:cNvPicPr/>
                  </pic:nvPicPr>
                  <pic:blipFill>
                    <a:blip r:embed="rId64"/>
                    <a:stretch>
                      <a:fillRect/>
                    </a:stretch>
                  </pic:blipFill>
                  <pic:spPr>
                    <a:xfrm>
                      <a:off x="0" y="0"/>
                      <a:ext cx="4691422" cy="714761"/>
                    </a:xfrm>
                    <a:prstGeom prst="rect">
                      <a:avLst/>
                    </a:prstGeom>
                  </pic:spPr>
                </pic:pic>
              </a:graphicData>
            </a:graphic>
          </wp:inline>
        </w:drawing>
      </w:r>
      <w:r>
        <w:rPr>
          <w:rFonts w:ascii="Times New Roman" w:eastAsia="Times New Roman" w:hAnsi="Times New Roman" w:cs="Times New Roman"/>
          <w:sz w:val="24"/>
        </w:rPr>
        <w:t xml:space="preserve"> </w:t>
      </w:r>
    </w:p>
    <w:p w:rsidR="00B064CF" w:rsidRDefault="00E32F70">
      <w:pPr>
        <w:spacing w:after="100" w:line="259" w:lineRule="auto"/>
        <w:ind w:left="360" w:firstLine="0"/>
        <w:jc w:val="left"/>
      </w:pPr>
      <w:r>
        <w:rPr>
          <w:b/>
        </w:rPr>
        <w:t xml:space="preserve"> </w:t>
      </w:r>
    </w:p>
    <w:p w:rsidR="00B064CF" w:rsidRDefault="00E32F70">
      <w:pPr>
        <w:spacing w:after="147" w:line="259" w:lineRule="auto"/>
        <w:ind w:left="360" w:firstLine="0"/>
        <w:jc w:val="left"/>
      </w:pPr>
      <w:r>
        <w:rPr>
          <w:b/>
        </w:rPr>
        <w:t xml:space="preserve"> </w:t>
      </w:r>
    </w:p>
    <w:p w:rsidR="00B064CF" w:rsidRDefault="00E32F70">
      <w:pPr>
        <w:pBdr>
          <w:top w:val="single" w:sz="4" w:space="0" w:color="000000"/>
          <w:left w:val="single" w:sz="4" w:space="0" w:color="000000"/>
          <w:bottom w:val="single" w:sz="4" w:space="0" w:color="000000"/>
          <w:right w:val="single" w:sz="4" w:space="0" w:color="000000"/>
        </w:pBdr>
        <w:spacing w:after="138" w:line="259" w:lineRule="auto"/>
        <w:ind w:left="468"/>
        <w:jc w:val="left"/>
      </w:pPr>
      <w:r>
        <w:rPr>
          <w:b/>
        </w:rPr>
        <w:t xml:space="preserve">Moción para exigir actuaciones de carácter prioritario en la zona BIC “El </w:t>
      </w:r>
    </w:p>
    <w:p w:rsidR="00B064CF" w:rsidRDefault="00E32F70">
      <w:pPr>
        <w:pBdr>
          <w:top w:val="single" w:sz="4" w:space="0" w:color="000000"/>
          <w:left w:val="single" w:sz="4" w:space="0" w:color="000000"/>
          <w:bottom w:val="single" w:sz="4" w:space="0" w:color="000000"/>
          <w:right w:val="single" w:sz="4" w:space="0" w:color="000000"/>
        </w:pBdr>
        <w:spacing w:after="98" w:line="259" w:lineRule="auto"/>
        <w:ind w:left="468"/>
        <w:jc w:val="left"/>
      </w:pPr>
      <w:r>
        <w:rPr>
          <w:b/>
        </w:rPr>
        <w:t xml:space="preserve"> Camino de Candelaria” en el pueblo de Igueste</w:t>
      </w:r>
      <w:r>
        <w:t xml:space="preserve"> </w:t>
      </w:r>
    </w:p>
    <w:p w:rsidR="00B064CF" w:rsidRDefault="00E32F70">
      <w:pPr>
        <w:pBdr>
          <w:top w:val="single" w:sz="4" w:space="0" w:color="000000"/>
          <w:left w:val="single" w:sz="4" w:space="0" w:color="000000"/>
          <w:bottom w:val="single" w:sz="4" w:space="0" w:color="000000"/>
          <w:right w:val="single" w:sz="4" w:space="0" w:color="000000"/>
        </w:pBdr>
        <w:spacing w:after="110" w:line="259" w:lineRule="auto"/>
        <w:ind w:left="458" w:firstLine="0"/>
        <w:jc w:val="left"/>
      </w:pPr>
      <w:r>
        <w:rPr>
          <w:rFonts w:ascii="Calibri" w:eastAsia="Calibri" w:hAnsi="Calibri" w:cs="Calibri"/>
          <w:noProof/>
        </w:rPr>
        <mc:AlternateContent>
          <mc:Choice Requires="wpg">
            <w:drawing>
              <wp:anchor distT="0" distB="0" distL="114300" distR="114300" simplePos="0" relativeHeight="25195315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25762" name="Group 425762"/>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4169" name="Rectangle 44169"/>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44170" name="Rectangle 44170"/>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284 de 298 </w:t>
                              </w:r>
                            </w:p>
                          </w:txbxContent>
                        </wps:txbx>
                        <wps:bodyPr horzOverflow="overflow" vert="horz" lIns="0" tIns="0" rIns="0" bIns="0" rtlCol="0">
                          <a:noAutofit/>
                        </wps:bodyPr>
                      </wps:wsp>
                    </wpg:wgp>
                  </a:graphicData>
                </a:graphic>
              </wp:anchor>
            </w:drawing>
          </mc:Choice>
          <mc:Fallback xmlns:a="http://schemas.openxmlformats.org/drawingml/2006/main">
            <w:pict>
              <v:group id="Group 425762" style="width:12.7031pt;height:278.91pt;position:absolute;mso-position-horizontal-relative:page;mso-position-horizontal:absolute;margin-left:682.278pt;mso-position-vertical-relative:page;margin-top:533.01pt;" coordsize="1613,35421">
                <v:rect id="Rectangle 44169"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4170"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284 de 298 </w:t>
                        </w:r>
                      </w:p>
                    </w:txbxContent>
                  </v:textbox>
                </v:rect>
                <w10:wrap type="square"/>
              </v:group>
            </w:pict>
          </mc:Fallback>
        </mc:AlternateContent>
      </w:r>
      <w:r>
        <w:rPr>
          <w:b/>
        </w:rPr>
        <w:t xml:space="preserve"> </w:t>
      </w:r>
    </w:p>
    <w:p w:rsidR="00B064CF" w:rsidRDefault="00E32F70">
      <w:pPr>
        <w:spacing w:after="100" w:line="259" w:lineRule="auto"/>
        <w:ind w:left="360" w:firstLine="0"/>
        <w:jc w:val="left"/>
      </w:pPr>
      <w:r>
        <w:rPr>
          <w:b/>
        </w:rPr>
        <w:t xml:space="preserve"> </w:t>
      </w:r>
    </w:p>
    <w:p w:rsidR="00B064CF" w:rsidRDefault="00E32F70">
      <w:pPr>
        <w:spacing w:after="112"/>
        <w:ind w:left="355" w:right="72"/>
      </w:pPr>
      <w:r>
        <w:t xml:space="preserve">Lourdes del Carmen Mondéjar Rondón, Concejala y Portavoz del Grupo Municipal Mixto y del Partido </w:t>
      </w:r>
      <w:r>
        <w:rPr>
          <w:i/>
        </w:rPr>
        <w:t xml:space="preserve">Sí se puede </w:t>
      </w:r>
      <w:r>
        <w:t xml:space="preserve">en Candelaria </w:t>
      </w:r>
      <w:r>
        <w:rPr>
          <w:i/>
        </w:rPr>
        <w:t xml:space="preserve">con CIF: </w:t>
      </w:r>
      <w:r>
        <w:t>V ***8314*, en uso de las atribuciones que le confiere el Reglamento Orgánico del Gobierno y de la Administra-ción Municipal</w:t>
      </w:r>
      <w:r>
        <w:t xml:space="preserve">, presenta al Pleno del Ilustre Ayuntamiento de Candelaria la presente MOCIÓN para su debate y aprobación si procede, de acuerdo con la siguiente </w:t>
      </w:r>
    </w:p>
    <w:p w:rsidR="00B064CF" w:rsidRDefault="00E32F70">
      <w:pPr>
        <w:spacing w:after="95" w:line="259" w:lineRule="auto"/>
        <w:ind w:left="360" w:firstLine="0"/>
        <w:jc w:val="left"/>
      </w:pPr>
      <w:r>
        <w:t xml:space="preserve"> </w:t>
      </w:r>
    </w:p>
    <w:p w:rsidR="00B064CF" w:rsidRDefault="00E32F70">
      <w:pPr>
        <w:pStyle w:val="Ttulo2"/>
        <w:ind w:left="290" w:right="2"/>
      </w:pPr>
      <w:r>
        <w:t xml:space="preserve">EXPOSICIÓN DE MOTIVOS </w:t>
      </w:r>
    </w:p>
    <w:p w:rsidR="00B064CF" w:rsidRDefault="00E32F70">
      <w:pPr>
        <w:spacing w:after="0"/>
        <w:ind w:left="355" w:right="72"/>
      </w:pPr>
      <w:r>
        <w:t>El DECRETO 227/2008, de 25 de noviembre, declaró Bien de Interés Cultural, con categ</w:t>
      </w:r>
      <w:r>
        <w:t>oría de Sitio Histórico "El Camino de Candelaria", situado entre los términos mu-nicipales de El Rosario y Candelaria, isla de Tenerife. Que esta declaración se fun-damenta y considera que se trata de uno de los caminos más señeros de la isla y de mayor va</w:t>
      </w:r>
      <w:r>
        <w:t>lor patrimonial teniendo en cuenta su antigüedad constructiva así como las circunstancias históricas, religiosas, etnográficas e ideológicas que lo rodean además de las edificaciones existentes en ambos márgenes del mismo ya que presentan valo-res arquitec</w:t>
      </w:r>
      <w:r>
        <w:t xml:space="preserve">tónicos únicos que representan la arquitectura tradicional canaria, espe-cialmente en el tramo concreto que discurre entre Pasacola, La Jiménez y la Plaza de Igueste.  </w:t>
      </w:r>
    </w:p>
    <w:p w:rsidR="00B064CF" w:rsidRDefault="00E32F70">
      <w:pPr>
        <w:spacing w:after="0" w:line="259" w:lineRule="auto"/>
        <w:ind w:left="360" w:firstLine="0"/>
        <w:jc w:val="left"/>
      </w:pPr>
      <w:r>
        <w:t xml:space="preserve"> </w:t>
      </w:r>
    </w:p>
    <w:p w:rsidR="00B064CF" w:rsidRDefault="00E32F70">
      <w:pPr>
        <w:spacing w:after="0"/>
        <w:ind w:left="355" w:right="72"/>
      </w:pPr>
      <w:r>
        <w:t xml:space="preserve">La Ley 4/1999, de 15 de marzo, de Patrimonio Histórico de Canarias, en sus artículos </w:t>
      </w:r>
      <w:r>
        <w:t>9.1. y 9.2., establece con respecto a las obligaciones de los Ayuntamientos, que tiene las competencias de todos aquellos bienes patrimoniales existentes en su municipio además de tener la obligación de salvaguardar los mismos notificando cualquier inci-de</w:t>
      </w:r>
      <w:r>
        <w:t xml:space="preserve">ncia negativa al Cabildo Insular, tomando las consecuentes medidas cautelares para la preservación de los bienes, además de colaborar con otras Administraciones Públicas en su tutela. También los Ayuntamientos formularán y tramitarán los Planes Especiales </w:t>
      </w:r>
      <w:r>
        <w:t>de Protección de los Conjuntos Históricos, de las Zonas Arqueológicas y de los Sitios Históricos, de oficio o a instancias del Cabildo Insular correspondiente. También formularán y tramitarán, de conformidad con la normativa urbanística aplica-ble, el catá</w:t>
      </w:r>
      <w:r>
        <w:t>logo arquitectónico municipal a fin de tutelar y conservar los edificios y elementos de valor sitos en el término de la entidad. Por último, y fundamental en lo que hoy proponemos, velarán especialmente, a través de sus servicios de disciplina urbanística,</w:t>
      </w:r>
      <w:r>
        <w:t xml:space="preserve"> por que se cumplan estrictamente las disposiciones vigentes respecto a los Conjuntos Históricos y demás bienes protegidos. </w:t>
      </w:r>
    </w:p>
    <w:p w:rsidR="00B064CF" w:rsidRDefault="00E32F70">
      <w:pPr>
        <w:spacing w:after="0" w:line="259" w:lineRule="auto"/>
        <w:ind w:left="360" w:firstLine="0"/>
        <w:jc w:val="left"/>
      </w:pPr>
      <w:r>
        <w:t xml:space="preserve">  </w:t>
      </w:r>
    </w:p>
    <w:p w:rsidR="00B064CF" w:rsidRDefault="00E32F70">
      <w:pPr>
        <w:spacing w:after="111"/>
        <w:ind w:left="355" w:right="72"/>
      </w:pPr>
      <w:r>
        <w:t>Sí se puede, mediante escrito de fecha 11 de Julio de 2011, recordó a la corporación municipal anterior algunas de las encomiend</w:t>
      </w:r>
      <w:r>
        <w:t xml:space="preserve">as existentes en la Ley 4/1999 de 15 de marzo, de Patrimonio Histórico de Canarias en relación a estas y otras obligaciones basadas en las competencias tanto de las Administraciones Públicas como las que atañen al Ayuntamiento. </w:t>
      </w:r>
    </w:p>
    <w:p w:rsidR="00B064CF" w:rsidRDefault="00E32F70">
      <w:pPr>
        <w:spacing w:after="98" w:line="259" w:lineRule="auto"/>
        <w:ind w:left="360" w:firstLine="0"/>
        <w:jc w:val="left"/>
      </w:pPr>
      <w:r>
        <w:t xml:space="preserve"> </w:t>
      </w:r>
    </w:p>
    <w:p w:rsidR="00B064CF" w:rsidRDefault="00E32F70">
      <w:pPr>
        <w:spacing w:after="0"/>
        <w:ind w:left="355" w:right="72"/>
      </w:pPr>
      <w:r>
        <w:t>En Julio de 2015 presenta</w:t>
      </w:r>
      <w:r>
        <w:t xml:space="preserve">mos una moción en este Pleno, que fue rechazada, que recogía los siguientes acuerdos de manera resumida:  </w:t>
      </w:r>
    </w:p>
    <w:p w:rsidR="00B064CF" w:rsidRDefault="00E32F70">
      <w:pPr>
        <w:numPr>
          <w:ilvl w:val="0"/>
          <w:numId w:val="235"/>
        </w:numPr>
        <w:spacing w:after="0"/>
        <w:ind w:right="72"/>
      </w:pPr>
      <w:r>
        <w:t>Que el Ayuntamiento elabore y tramite el Plan Especial de Protección del Sitio Histórico del Camino Viejo de Candelaria como documento que guíe las a</w:t>
      </w:r>
      <w:r>
        <w:t xml:space="preserve">ctuaciones municipales en la próxima década y propiciando su recuperación integral.  </w:t>
      </w:r>
    </w:p>
    <w:p w:rsidR="00B064CF" w:rsidRDefault="00E32F70">
      <w:pPr>
        <w:spacing w:after="0" w:line="259" w:lineRule="auto"/>
        <w:ind w:left="360" w:firstLine="0"/>
        <w:jc w:val="left"/>
      </w:pPr>
      <w:r>
        <w:t xml:space="preserve"> </w:t>
      </w:r>
    </w:p>
    <w:p w:rsidR="00B064CF" w:rsidRDefault="00E32F70">
      <w:pPr>
        <w:numPr>
          <w:ilvl w:val="0"/>
          <w:numId w:val="235"/>
        </w:numPr>
        <w:spacing w:after="0"/>
        <w:ind w:right="72"/>
      </w:pPr>
      <w:r>
        <w:rPr>
          <w:rFonts w:ascii="Calibri" w:eastAsia="Calibri" w:hAnsi="Calibri" w:cs="Calibri"/>
          <w:noProof/>
        </w:rPr>
        <mc:AlternateContent>
          <mc:Choice Requires="wpg">
            <w:drawing>
              <wp:anchor distT="0" distB="0" distL="114300" distR="114300" simplePos="0" relativeHeight="25195417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25136" name="Group 425136"/>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4275" name="Rectangle 44275"/>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44276" name="Rectangle 44276"/>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285 de 298 </w:t>
                              </w:r>
                            </w:p>
                          </w:txbxContent>
                        </wps:txbx>
                        <wps:bodyPr horzOverflow="overflow" vert="horz" lIns="0" tIns="0" rIns="0" bIns="0" rtlCol="0">
                          <a:noAutofit/>
                        </wps:bodyPr>
                      </wps:wsp>
                    </wpg:wgp>
                  </a:graphicData>
                </a:graphic>
              </wp:anchor>
            </w:drawing>
          </mc:Choice>
          <mc:Fallback xmlns:a="http://schemas.openxmlformats.org/drawingml/2006/main">
            <w:pict>
              <v:group id="Group 425136" style="width:12.7031pt;height:278.91pt;position:absolute;mso-position-horizontal-relative:page;mso-position-horizontal:absolute;margin-left:682.278pt;mso-position-vertical-relative:page;margin-top:533.01pt;" coordsize="1613,35421">
                <v:rect id="Rectangle 44275"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4276"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285 de 298 </w:t>
                        </w:r>
                      </w:p>
                    </w:txbxContent>
                  </v:textbox>
                </v:rect>
                <w10:wrap type="square"/>
              </v:group>
            </w:pict>
          </mc:Fallback>
        </mc:AlternateContent>
      </w:r>
      <w:r>
        <w:t>Que el Ayuntamiento realice el inventario y catálogo de los bienes muebles e inmuebles de carácter histórico-artístico y/o etnográfico asociados a este bien cult</w:t>
      </w:r>
      <w:r>
        <w:t xml:space="preserve">ural en el municipio, con especial incidencia en los que se hallan en los enclaves de La Jiménez y Pasacola.  </w:t>
      </w:r>
    </w:p>
    <w:p w:rsidR="00B064CF" w:rsidRDefault="00E32F70">
      <w:pPr>
        <w:spacing w:after="0" w:line="259" w:lineRule="auto"/>
        <w:ind w:left="360" w:firstLine="0"/>
        <w:jc w:val="left"/>
      </w:pPr>
      <w:r>
        <w:t xml:space="preserve"> </w:t>
      </w:r>
    </w:p>
    <w:p w:rsidR="00B064CF" w:rsidRDefault="00E32F70">
      <w:pPr>
        <w:numPr>
          <w:ilvl w:val="0"/>
          <w:numId w:val="235"/>
        </w:numPr>
        <w:spacing w:after="0"/>
        <w:ind w:right="72"/>
      </w:pPr>
      <w:r>
        <w:t>Que con carácter inmediato el Ayuntamiento ejerza la adecuada vigilancia sobre las afecciones negativas que las obras y actuaciones que se real</w:t>
      </w:r>
      <w:r>
        <w:t xml:space="preserve">icen en su entorno provoquen en el Camino.  </w:t>
      </w:r>
    </w:p>
    <w:p w:rsidR="00B064CF" w:rsidRDefault="00E32F70">
      <w:pPr>
        <w:spacing w:after="0" w:line="259" w:lineRule="auto"/>
        <w:ind w:left="360" w:firstLine="0"/>
        <w:jc w:val="left"/>
      </w:pPr>
      <w:r>
        <w:t xml:space="preserve"> </w:t>
      </w:r>
    </w:p>
    <w:p w:rsidR="00B064CF" w:rsidRDefault="00E32F70">
      <w:pPr>
        <w:numPr>
          <w:ilvl w:val="0"/>
          <w:numId w:val="235"/>
        </w:numPr>
        <w:spacing w:after="0" w:line="246" w:lineRule="auto"/>
        <w:ind w:right="72"/>
      </w:pPr>
      <w:r>
        <w:t xml:space="preserve">Que con carácter urgente se elabore un Plan de eliminación de las especies vege-tales exóticas introducidas aplicando los procedimientos correctos, adecuadamente asesorados por personal especializado.  </w:t>
      </w:r>
    </w:p>
    <w:p w:rsidR="00B064CF" w:rsidRDefault="00E32F70">
      <w:pPr>
        <w:spacing w:after="0" w:line="259" w:lineRule="auto"/>
        <w:ind w:left="360" w:firstLine="0"/>
        <w:jc w:val="left"/>
      </w:pPr>
      <w:r>
        <w:t xml:space="preserve"> </w:t>
      </w:r>
    </w:p>
    <w:p w:rsidR="00B064CF" w:rsidRDefault="00E32F70">
      <w:pPr>
        <w:numPr>
          <w:ilvl w:val="0"/>
          <w:numId w:val="235"/>
        </w:numPr>
        <w:spacing w:after="0"/>
        <w:ind w:right="72"/>
      </w:pPr>
      <w:r>
        <w:t xml:space="preserve">Que </w:t>
      </w:r>
      <w:r>
        <w:t xml:space="preserve">se elabore y se ponga en marcha un Plan de formación y empleo municipal en materias profesionales especializadas relacionadas con la rehabilitación y promoción del Patrimonio  </w:t>
      </w:r>
    </w:p>
    <w:p w:rsidR="00B064CF" w:rsidRDefault="00E32F70">
      <w:pPr>
        <w:spacing w:after="0" w:line="259" w:lineRule="auto"/>
        <w:ind w:left="360" w:firstLine="0"/>
        <w:jc w:val="left"/>
      </w:pPr>
      <w:r>
        <w:t xml:space="preserve"> </w:t>
      </w:r>
    </w:p>
    <w:p w:rsidR="00B064CF" w:rsidRDefault="00E32F70">
      <w:pPr>
        <w:numPr>
          <w:ilvl w:val="0"/>
          <w:numId w:val="235"/>
        </w:numPr>
        <w:spacing w:after="0"/>
        <w:ind w:right="72"/>
      </w:pPr>
      <w:r>
        <w:t>Que el Ayuntamiento requiera al Cabildo la continuidad de su apoyo, con dota-</w:t>
      </w:r>
      <w:r>
        <w:t xml:space="preserve">ción de recursos humanos y presupuestaria suficiente, para garantizar la ejecución de las actuaciones propuestas en el Anteproyecto de Recuperación del Camino Viejo de Candelaria y, concretamente, de las que afectan a nuestro Municipio.  </w:t>
      </w:r>
    </w:p>
    <w:p w:rsidR="00B064CF" w:rsidRDefault="00E32F70">
      <w:pPr>
        <w:spacing w:after="11"/>
        <w:ind w:left="355" w:right="72"/>
      </w:pPr>
      <w:r>
        <w:t xml:space="preserve">Desde 2015 hasta </w:t>
      </w:r>
      <w:r>
        <w:t xml:space="preserve">la fecha nada de esto se ha abordado.  </w:t>
      </w:r>
    </w:p>
    <w:p w:rsidR="00B064CF" w:rsidRDefault="00E32F70">
      <w:pPr>
        <w:spacing w:after="0" w:line="259" w:lineRule="auto"/>
        <w:ind w:left="360" w:firstLine="0"/>
        <w:jc w:val="left"/>
      </w:pPr>
      <w:r>
        <w:t xml:space="preserve"> </w:t>
      </w:r>
    </w:p>
    <w:p w:rsidR="00B064CF" w:rsidRDefault="00E32F70">
      <w:pPr>
        <w:spacing w:after="0"/>
        <w:ind w:left="355" w:right="72"/>
      </w:pPr>
      <w:r>
        <w:t xml:space="preserve">En Diciembre de 2018 trasladamos en una a este Pleno denominada </w:t>
      </w:r>
      <w:r>
        <w:rPr>
          <w:b/>
        </w:rPr>
        <w:t xml:space="preserve">Moción para realizar mejoras reclamadas por la ciudadanía en la zona BIC de Igueste de Candelaria </w:t>
      </w:r>
      <w:r>
        <w:t>que fue APROBADA, las siguientes demandas de vecinos</w:t>
      </w:r>
      <w:r>
        <w:t xml:space="preserve"> y vecinas al respecto, así como de numerosas deficiencias que repercutían negativamente en la calidad de vida y la seguridad de este entorno:</w:t>
      </w:r>
      <w:r>
        <w:rPr>
          <w:sz w:val="24"/>
        </w:rPr>
        <w:t xml:space="preserve"> </w:t>
      </w:r>
    </w:p>
    <w:p w:rsidR="00B064CF" w:rsidRDefault="00E32F70">
      <w:pPr>
        <w:spacing w:after="0" w:line="259" w:lineRule="auto"/>
        <w:ind w:left="360" w:firstLine="0"/>
        <w:jc w:val="left"/>
      </w:pPr>
      <w:r>
        <w:t xml:space="preserve">  </w:t>
      </w:r>
    </w:p>
    <w:p w:rsidR="00B064CF" w:rsidRDefault="00E32F70">
      <w:pPr>
        <w:spacing w:after="4"/>
        <w:ind w:left="355" w:right="68"/>
      </w:pPr>
      <w:r>
        <w:rPr>
          <w:b/>
        </w:rPr>
        <w:t>1.- Arrendamiento de algún/algunos terrenos para acondicionarlos como apar-</w:t>
      </w:r>
      <w:r>
        <w:rPr>
          <w:b/>
        </w:rPr>
        <w:t xml:space="preserve">camientos temporales mientras dura la obra del depósito y el tendido de canali-zaciones </w:t>
      </w:r>
    </w:p>
    <w:p w:rsidR="00B064CF" w:rsidRDefault="00E32F70">
      <w:pPr>
        <w:spacing w:after="0" w:line="259" w:lineRule="auto"/>
        <w:ind w:left="360" w:firstLine="0"/>
        <w:jc w:val="left"/>
      </w:pPr>
      <w:r>
        <w:rPr>
          <w:b/>
        </w:rPr>
        <w:t xml:space="preserve"> </w:t>
      </w:r>
      <w:r>
        <w:rPr>
          <w:sz w:val="24"/>
        </w:rPr>
        <w:t xml:space="preserve"> </w:t>
      </w:r>
    </w:p>
    <w:p w:rsidR="00B064CF" w:rsidRDefault="00E32F70">
      <w:pPr>
        <w:spacing w:after="0"/>
        <w:ind w:left="355" w:right="72"/>
      </w:pPr>
      <w:r>
        <w:t>La ejecución de la necesaria obra del depósito ha supuesto hasta el momento, y lo seguirá haciendo hasta su culminación, una complicación muy importante en la circu</w:t>
      </w:r>
      <w:r>
        <w:t>-lación y el aparcamiento en una zona con graves carencias en este sentido y con una estructura viaria antigua, estrecha y muy poco flexible. Esta actuación debía haberse previsto con antelación al inicio de la obra pero, como no ha sido así, se está a tie</w:t>
      </w:r>
      <w:r>
        <w:t xml:space="preserve">mpo de habilitar alguna propuesta para reducir el problema hasta su finalización.  </w:t>
      </w:r>
    </w:p>
    <w:p w:rsidR="00B064CF" w:rsidRDefault="00E32F70">
      <w:pPr>
        <w:spacing w:after="0" w:line="259" w:lineRule="auto"/>
        <w:ind w:left="360" w:firstLine="0"/>
        <w:jc w:val="left"/>
      </w:pPr>
      <w:r>
        <w:t xml:space="preserve"> </w:t>
      </w:r>
    </w:p>
    <w:p w:rsidR="00B064CF" w:rsidRDefault="00E32F70">
      <w:pPr>
        <w:spacing w:after="4"/>
        <w:ind w:left="355" w:right="68"/>
      </w:pPr>
      <w:r>
        <w:rPr>
          <w:b/>
        </w:rPr>
        <w:t>2.- Aprovechar la obra de soterramiento de tuberías de abastecimiento de agua potable, adaptándola a los requerimientos técnicos correspondientes, para re-coger también l</w:t>
      </w:r>
      <w:r>
        <w:rPr>
          <w:b/>
        </w:rPr>
        <w:t xml:space="preserve">a canalización de saneamiento y de aguas pluviales, así como las canalizaciones para el soterramiento de tendidos de fibra óptica, electrici-dad, alumbrado público, y otra que pudieran ser requeridas. </w:t>
      </w:r>
    </w:p>
    <w:p w:rsidR="00B064CF" w:rsidRDefault="00E32F70">
      <w:pPr>
        <w:spacing w:after="0" w:line="259" w:lineRule="auto"/>
        <w:ind w:left="360" w:firstLine="0"/>
        <w:jc w:val="left"/>
      </w:pPr>
      <w:r>
        <w:rPr>
          <w:b/>
        </w:rPr>
        <w:t xml:space="preserve"> </w:t>
      </w:r>
      <w:r>
        <w:rPr>
          <w:sz w:val="24"/>
        </w:rPr>
        <w:t xml:space="preserve"> </w:t>
      </w:r>
    </w:p>
    <w:p w:rsidR="00B064CF" w:rsidRDefault="00E32F70">
      <w:pPr>
        <w:spacing w:after="114"/>
        <w:ind w:left="355" w:right="72"/>
      </w:pPr>
      <w:r>
        <w:t>Esta previsión respondería a la demanda ciudadana a</w:t>
      </w:r>
      <w:r>
        <w:t>ctual que se traduce, incluso, en escritos presentados por registro de entrada; respondería a los criterios de eficiencia exigibles a una obra pública y a la ejecución de gasto público; reduciría las molestias e inconvenientes para los vecinos y vecinas de</w:t>
      </w:r>
      <w:r>
        <w:t xml:space="preserve"> realizar dos veces una obra tan com-pleja dada su ubicación; y favorecería el cumplimiento del PGO así como la protec-ción y embellecimiento de la zona BIC. Estas actuaciones deberían ejecutarse tanto en la vía Reverendo Padre Simón Higuera, como ampliars</w:t>
      </w:r>
      <w:r>
        <w:t xml:space="preserve">e a La Jiménez y a La Esti-la. </w:t>
      </w:r>
    </w:p>
    <w:p w:rsidR="00B064CF" w:rsidRDefault="00E32F70">
      <w:pPr>
        <w:spacing w:after="95" w:line="259" w:lineRule="auto"/>
        <w:ind w:left="360" w:firstLine="0"/>
        <w:jc w:val="left"/>
      </w:pPr>
      <w:r>
        <w:rPr>
          <w:rFonts w:ascii="Calibri" w:eastAsia="Calibri" w:hAnsi="Calibri" w:cs="Calibri"/>
          <w:noProof/>
        </w:rPr>
        <mc:AlternateContent>
          <mc:Choice Requires="wpg">
            <w:drawing>
              <wp:anchor distT="0" distB="0" distL="114300" distR="114300" simplePos="0" relativeHeight="25195520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25083" name="Group 425083"/>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4419" name="Rectangle 44419"/>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44420" name="Rectangle 44420"/>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286 de 298 </w:t>
                              </w:r>
                            </w:p>
                          </w:txbxContent>
                        </wps:txbx>
                        <wps:bodyPr horzOverflow="overflow" vert="horz" lIns="0" tIns="0" rIns="0" bIns="0" rtlCol="0">
                          <a:noAutofit/>
                        </wps:bodyPr>
                      </wps:wsp>
                    </wpg:wgp>
                  </a:graphicData>
                </a:graphic>
              </wp:anchor>
            </w:drawing>
          </mc:Choice>
          <mc:Fallback xmlns:a="http://schemas.openxmlformats.org/drawingml/2006/main">
            <w:pict>
              <v:group id="Group 425083" style="width:12.7031pt;height:278.91pt;position:absolute;mso-position-horizontal-relative:page;mso-position-horizontal:absolute;margin-left:682.278pt;mso-position-vertical-relative:page;margin-top:533.01pt;" coordsize="1613,35421">
                <v:rect id="Rectangle 44419"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4420"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286 de 298 </w:t>
                        </w:r>
                      </w:p>
                    </w:txbxContent>
                  </v:textbox>
                </v:rect>
                <w10:wrap type="square"/>
              </v:group>
            </w:pict>
          </mc:Fallback>
        </mc:AlternateContent>
      </w:r>
      <w:r>
        <w:t xml:space="preserve"> </w:t>
      </w:r>
    </w:p>
    <w:p w:rsidR="00B064CF" w:rsidRDefault="00E32F70">
      <w:pPr>
        <w:spacing w:after="0"/>
        <w:ind w:left="355" w:right="72"/>
      </w:pPr>
      <w:r>
        <w:rPr>
          <w:b/>
        </w:rPr>
        <w:t>3.- Actuaciones de mejor</w:t>
      </w:r>
      <w:r>
        <w:rPr>
          <w:b/>
        </w:rPr>
        <w:t xml:space="preserve">a y seguridad en la calle de la Vera de Igueste. </w:t>
      </w:r>
      <w:r>
        <w:t>En este calle se propone que se proyecten, en consonancia con los criterios del Cabildo de Tenerife al no existir un Plan Especial de Protección del Sitio histórico del Camino Vie-jo de Candelaria, y ejecute</w:t>
      </w:r>
      <w:r>
        <w:t xml:space="preserve">n las siguientes actuaciones (acompañamos fotos): </w:t>
      </w:r>
      <w:r>
        <w:rPr>
          <w:sz w:val="24"/>
        </w:rPr>
        <w:t xml:space="preserve"> </w:t>
      </w:r>
    </w:p>
    <w:p w:rsidR="00B064CF" w:rsidRDefault="00E32F70">
      <w:pPr>
        <w:numPr>
          <w:ilvl w:val="0"/>
          <w:numId w:val="236"/>
        </w:numPr>
        <w:spacing w:after="11"/>
        <w:ind w:right="72" w:hanging="149"/>
      </w:pPr>
      <w:r>
        <w:t xml:space="preserve">Acondicionamiento del firme de la vía actualmente muy deteriorado  </w:t>
      </w:r>
    </w:p>
    <w:p w:rsidR="00B064CF" w:rsidRDefault="00E32F70">
      <w:pPr>
        <w:numPr>
          <w:ilvl w:val="0"/>
          <w:numId w:val="236"/>
        </w:numPr>
        <w:spacing w:after="0"/>
        <w:ind w:right="72" w:hanging="149"/>
      </w:pPr>
      <w:r>
        <w:t>Ejecución de cuneta o murete en el lateral interior que permita recoger los des-</w:t>
      </w:r>
      <w:r>
        <w:t xml:space="preserve">prendimientos que se producen habitualmente y que acaban ocupando la vía así co-mo dificultando el tránsito por la misma, así como canalizar las tuberías existentes.  </w:t>
      </w:r>
    </w:p>
    <w:p w:rsidR="00B064CF" w:rsidRDefault="00E32F70">
      <w:pPr>
        <w:numPr>
          <w:ilvl w:val="0"/>
          <w:numId w:val="236"/>
        </w:numPr>
        <w:spacing w:after="0"/>
        <w:ind w:right="72" w:hanging="149"/>
      </w:pPr>
      <w:r>
        <w:t xml:space="preserve">Colocación de barrera de metal-madera u otra solución que se considere más apropiada en </w:t>
      </w:r>
      <w:r>
        <w:t xml:space="preserve">el margen exterior de la calle para mejorar sus condiciones de seguridad  </w:t>
      </w:r>
    </w:p>
    <w:p w:rsidR="00B064CF" w:rsidRDefault="00E32F70">
      <w:pPr>
        <w:numPr>
          <w:ilvl w:val="0"/>
          <w:numId w:val="236"/>
        </w:numPr>
        <w:spacing w:after="0"/>
        <w:ind w:right="72" w:hanging="149"/>
      </w:pPr>
      <w:r>
        <w:t>Sanear los márgenes laterales e incentivar la reconstrucción de paredes de huertas que hayan caído sobre la vía pública,o susceptibles de hacerlo en un futuro, por parte de sus prop</w:t>
      </w:r>
      <w:r>
        <w:t xml:space="preserve">ietarios/as.  </w:t>
      </w:r>
    </w:p>
    <w:p w:rsidR="00B064CF" w:rsidRDefault="00E32F70">
      <w:pPr>
        <w:numPr>
          <w:ilvl w:val="0"/>
          <w:numId w:val="236"/>
        </w:numPr>
        <w:spacing w:after="11"/>
        <w:ind w:right="72" w:hanging="149"/>
      </w:pPr>
      <w:r>
        <w:t xml:space="preserve">Señalización horizontal de la vía  </w:t>
      </w:r>
    </w:p>
    <w:p w:rsidR="00B064CF" w:rsidRDefault="00E32F70">
      <w:pPr>
        <w:numPr>
          <w:ilvl w:val="0"/>
          <w:numId w:val="236"/>
        </w:numPr>
        <w:spacing w:after="11"/>
        <w:ind w:right="72" w:hanging="149"/>
      </w:pPr>
      <w:r>
        <w:t xml:space="preserve">Instalar algunos puntos de alumbrado público con farolas solares </w:t>
      </w:r>
    </w:p>
    <w:p w:rsidR="00B064CF" w:rsidRDefault="00E32F70">
      <w:pPr>
        <w:spacing w:after="0" w:line="259" w:lineRule="auto"/>
        <w:ind w:left="360" w:firstLine="0"/>
        <w:jc w:val="left"/>
      </w:pPr>
      <w:r>
        <w:t xml:space="preserve">  </w:t>
      </w:r>
    </w:p>
    <w:p w:rsidR="00B064CF" w:rsidRDefault="00E32F70">
      <w:pPr>
        <w:spacing w:after="111"/>
        <w:ind w:left="355" w:right="68"/>
      </w:pPr>
      <w:r>
        <w:rPr>
          <w:b/>
        </w:rPr>
        <w:t>4.- Colocación de 3 espejos para mejorar la seguridad de la circulación. Se in-cluye alguno solicitado que no corresponde al BIC. Se aco</w:t>
      </w:r>
      <w:r>
        <w:rPr>
          <w:b/>
        </w:rPr>
        <w:t xml:space="preserve">mpañan fotos de las localizaciones propuestas. </w:t>
      </w:r>
    </w:p>
    <w:p w:rsidR="00B064CF" w:rsidRDefault="00E32F70">
      <w:pPr>
        <w:spacing w:after="100" w:line="259" w:lineRule="auto"/>
        <w:ind w:left="360" w:firstLine="0"/>
        <w:jc w:val="left"/>
      </w:pPr>
      <w:r>
        <w:rPr>
          <w:b/>
        </w:rPr>
        <w:t xml:space="preserve"> </w:t>
      </w:r>
    </w:p>
    <w:p w:rsidR="00B064CF" w:rsidRDefault="00E32F70">
      <w:pPr>
        <w:spacing w:after="98" w:line="259" w:lineRule="auto"/>
        <w:ind w:left="360" w:firstLine="0"/>
        <w:jc w:val="left"/>
      </w:pPr>
      <w:r>
        <w:rPr>
          <w:b/>
        </w:rPr>
        <w:t xml:space="preserve"> </w:t>
      </w:r>
    </w:p>
    <w:p w:rsidR="00B064CF" w:rsidRDefault="00E32F70">
      <w:pPr>
        <w:spacing w:after="98" w:line="259" w:lineRule="auto"/>
        <w:ind w:left="360" w:firstLine="0"/>
        <w:jc w:val="left"/>
      </w:pPr>
      <w:r>
        <w:rPr>
          <w:b/>
        </w:rPr>
        <w:t xml:space="preserve"> </w:t>
      </w:r>
    </w:p>
    <w:p w:rsidR="00B064CF" w:rsidRDefault="00E32F70">
      <w:pPr>
        <w:pStyle w:val="Ttulo2"/>
        <w:ind w:left="290" w:right="2"/>
      </w:pPr>
      <w:r>
        <w:t xml:space="preserve">ACUERDO </w:t>
      </w:r>
    </w:p>
    <w:p w:rsidR="00B064CF" w:rsidRDefault="00E32F70">
      <w:pPr>
        <w:spacing w:after="26" w:line="239" w:lineRule="auto"/>
        <w:ind w:left="360" w:right="80" w:firstLine="0"/>
      </w:pPr>
      <w:r>
        <w:rPr>
          <w:b/>
          <w:color w:val="2E2E2E"/>
        </w:rPr>
        <w:t xml:space="preserve">Atender las demandas ciudadanas realizadas en la zona BIC de Igueste de Can-delaria, valorando, en aquellos casos que lo requieran, la mejor adecuación de las soluciones propuestas. </w:t>
      </w:r>
    </w:p>
    <w:p w:rsidR="00B064CF" w:rsidRDefault="00E32F70">
      <w:pPr>
        <w:spacing w:after="0" w:line="259" w:lineRule="auto"/>
        <w:ind w:left="360" w:firstLine="0"/>
        <w:jc w:val="left"/>
      </w:pPr>
      <w:r>
        <w:rPr>
          <w:b/>
          <w:color w:val="2E2E2E"/>
        </w:rPr>
        <w:t xml:space="preserve"> </w:t>
      </w:r>
      <w:r>
        <w:rPr>
          <w:sz w:val="24"/>
        </w:rPr>
        <w:t xml:space="preserve"> </w:t>
      </w:r>
    </w:p>
    <w:p w:rsidR="00B064CF" w:rsidRDefault="00E32F70">
      <w:pPr>
        <w:spacing w:after="0"/>
        <w:ind w:left="355" w:right="72"/>
      </w:pPr>
      <w:r>
        <w:t>Transcurridos casi 3 años desde la aprobación de esta moción estas acciones de dife-rente naturaleza, tampoco se han acometido, bien porque se paralizó sine die la obra del depósito y de las canalizaciones así como no se ejecutaron los compromisos de repar</w:t>
      </w:r>
      <w:r>
        <w:t xml:space="preserve">ación de los desperfectos causado por la obra, y el paso del tiempo y la falta de mantenimiento ha agravado en algunos casos, la situación.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0"/>
        <w:ind w:left="355" w:right="72"/>
      </w:pPr>
      <w:r>
        <w:t>Por ello, ante la escasísima gestión municipal en una zona de extrema sensibilidad patrimonial y ambiental, as</w:t>
      </w:r>
      <w:r>
        <w:t xml:space="preserve">í como ante la falta de control sobre los factores que gene-ran deterioro en un entorno que debería contar desde hace muchos años con un Plan Especial de Protección, presentamos una nueva moción.  </w:t>
      </w:r>
    </w:p>
    <w:p w:rsidR="00B064CF" w:rsidRDefault="00E32F70">
      <w:pPr>
        <w:spacing w:after="0" w:line="259" w:lineRule="auto"/>
        <w:ind w:left="360" w:firstLine="0"/>
        <w:jc w:val="left"/>
      </w:pPr>
      <w:r>
        <w:t xml:space="preserve"> </w:t>
      </w:r>
    </w:p>
    <w:p w:rsidR="00B064CF" w:rsidRDefault="00E32F70">
      <w:pPr>
        <w:spacing w:after="111"/>
        <w:ind w:left="355" w:right="72"/>
      </w:pPr>
      <w:r>
        <w:t xml:space="preserve">Por todo lo expuesto, la Concejala de Sí se puede eleva </w:t>
      </w:r>
      <w:r>
        <w:t xml:space="preserve">a la consideración del Pleno la adopción de los siguientes: </w:t>
      </w:r>
    </w:p>
    <w:p w:rsidR="00B064CF" w:rsidRDefault="00E32F70">
      <w:pPr>
        <w:spacing w:after="98" w:line="259" w:lineRule="auto"/>
        <w:ind w:left="360" w:firstLine="0"/>
        <w:jc w:val="left"/>
      </w:pPr>
      <w:r>
        <w:t xml:space="preserve"> </w:t>
      </w:r>
    </w:p>
    <w:p w:rsidR="00B064CF" w:rsidRDefault="00E32F70">
      <w:pPr>
        <w:pStyle w:val="Ttulo2"/>
        <w:ind w:left="290" w:right="979"/>
      </w:pPr>
      <w:r>
        <w:t xml:space="preserve">    ACUERDOS </w:t>
      </w:r>
    </w:p>
    <w:p w:rsidR="00B064CF" w:rsidRDefault="00E32F70">
      <w:pPr>
        <w:numPr>
          <w:ilvl w:val="0"/>
          <w:numId w:val="237"/>
        </w:numPr>
        <w:spacing w:after="4"/>
        <w:ind w:right="68"/>
      </w:pPr>
      <w:r>
        <w:rPr>
          <w:rFonts w:ascii="Calibri" w:eastAsia="Calibri" w:hAnsi="Calibri" w:cs="Calibri"/>
          <w:noProof/>
        </w:rPr>
        <mc:AlternateContent>
          <mc:Choice Requires="wpg">
            <w:drawing>
              <wp:anchor distT="0" distB="0" distL="114300" distR="114300" simplePos="0" relativeHeight="25195622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26337" name="Group 426337"/>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4545" name="Rectangle 44545"/>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44546" name="Rectangle 44546"/>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w:t>
                              </w:r>
                              <w:r>
                                <w:rPr>
                                  <w:sz w:val="12"/>
                                </w:rPr>
                                <w:t xml:space="preserve">Página 287 de 298 </w:t>
                              </w:r>
                            </w:p>
                          </w:txbxContent>
                        </wps:txbx>
                        <wps:bodyPr horzOverflow="overflow" vert="horz" lIns="0" tIns="0" rIns="0" bIns="0" rtlCol="0">
                          <a:noAutofit/>
                        </wps:bodyPr>
                      </wps:wsp>
                    </wpg:wgp>
                  </a:graphicData>
                </a:graphic>
              </wp:anchor>
            </w:drawing>
          </mc:Choice>
          <mc:Fallback xmlns:a="http://schemas.openxmlformats.org/drawingml/2006/main">
            <w:pict>
              <v:group id="Group 426337" style="width:12.7031pt;height:278.91pt;position:absolute;mso-position-horizontal-relative:page;mso-position-horizontal:absolute;margin-left:682.278pt;mso-position-vertical-relative:page;margin-top:533.01pt;" coordsize="1613,35421">
                <v:rect id="Rectangle 44545"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4546"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287 de 298 </w:t>
                        </w:r>
                      </w:p>
                    </w:txbxContent>
                  </v:textbox>
                </v:rect>
                <w10:wrap type="square"/>
              </v:group>
            </w:pict>
          </mc:Fallback>
        </mc:AlternateContent>
      </w:r>
      <w:r>
        <w:rPr>
          <w:b/>
        </w:rPr>
        <w:t>Que el Ayuntamiento elabore y tramite el Plan Especial de Protección del Sitio Histórico del Camino Viejo de Candelaria como documento que guíe las actuaciones municipales en la próxima década y propiciando su recuperación integral.</w:t>
      </w:r>
      <w:r>
        <w:rPr>
          <w:sz w:val="24"/>
        </w:rPr>
        <w:t xml:space="preserve"> </w:t>
      </w:r>
    </w:p>
    <w:p w:rsidR="00B064CF" w:rsidRDefault="00E32F70">
      <w:pPr>
        <w:spacing w:after="0" w:line="259" w:lineRule="auto"/>
        <w:ind w:left="360" w:firstLine="0"/>
        <w:jc w:val="left"/>
      </w:pPr>
      <w:r>
        <w:rPr>
          <w:b/>
        </w:rPr>
        <w:t xml:space="preserve">  </w:t>
      </w:r>
    </w:p>
    <w:p w:rsidR="00B064CF" w:rsidRDefault="00E32F70">
      <w:pPr>
        <w:numPr>
          <w:ilvl w:val="0"/>
          <w:numId w:val="237"/>
        </w:numPr>
        <w:spacing w:after="114"/>
        <w:ind w:right="68"/>
      </w:pPr>
      <w:r>
        <w:rPr>
          <w:b/>
        </w:rPr>
        <w:t>Que el Ayuntamiento realice el inventario y catálogo de los bienes muebles e inmuebles de carácter histórico-artístico y/o etnográficos asociados a este bien cultural en el municipio, con especial incidencia en los que se hallan en los en-claves de La Jimé</w:t>
      </w:r>
      <w:r>
        <w:rPr>
          <w:b/>
        </w:rPr>
        <w:t>nez y Pasacola, dada su singular importancia patrimonial y el de-terioro progresivo especialmente de éste último.</w:t>
      </w:r>
      <w:r>
        <w:t xml:space="preserve"> </w:t>
      </w:r>
    </w:p>
    <w:p w:rsidR="00B064CF" w:rsidRDefault="00E32F70">
      <w:pPr>
        <w:spacing w:after="98" w:line="259" w:lineRule="auto"/>
        <w:ind w:left="360" w:firstLine="0"/>
        <w:jc w:val="left"/>
      </w:pPr>
      <w:r>
        <w:rPr>
          <w:b/>
        </w:rPr>
        <w:t xml:space="preserve"> </w:t>
      </w:r>
    </w:p>
    <w:p w:rsidR="00B064CF" w:rsidRDefault="00E32F70">
      <w:pPr>
        <w:numPr>
          <w:ilvl w:val="0"/>
          <w:numId w:val="237"/>
        </w:numPr>
        <w:spacing w:after="4"/>
        <w:ind w:right="68"/>
      </w:pPr>
      <w:r>
        <w:rPr>
          <w:b/>
        </w:rPr>
        <w:t xml:space="preserve">Que se realice un Proyecto de señalización informativa-interpretativa sobre los valores atesorados por el BIC Camino Viejo de Candelaria y </w:t>
      </w:r>
      <w:r>
        <w:rPr>
          <w:b/>
        </w:rPr>
        <w:t>sus núcleos vinculados.</w:t>
      </w:r>
      <w:r>
        <w:rPr>
          <w:sz w:val="24"/>
        </w:rPr>
        <w:t xml:space="preserve"> </w:t>
      </w:r>
    </w:p>
    <w:p w:rsidR="00B064CF" w:rsidRDefault="00E32F70">
      <w:pPr>
        <w:spacing w:after="0" w:line="259" w:lineRule="auto"/>
        <w:ind w:left="360" w:firstLine="0"/>
        <w:jc w:val="left"/>
      </w:pPr>
      <w:r>
        <w:rPr>
          <w:b/>
        </w:rPr>
        <w:t xml:space="preserve"> </w:t>
      </w:r>
      <w:r>
        <w:rPr>
          <w:sz w:val="24"/>
        </w:rPr>
        <w:t xml:space="preserve"> </w:t>
      </w:r>
    </w:p>
    <w:p w:rsidR="00B064CF" w:rsidRDefault="00E32F70">
      <w:pPr>
        <w:numPr>
          <w:ilvl w:val="0"/>
          <w:numId w:val="237"/>
        </w:numPr>
        <w:spacing w:after="4"/>
        <w:ind w:right="68"/>
      </w:pPr>
      <w:r>
        <w:rPr>
          <w:b/>
        </w:rPr>
        <w:t>Que con carácter inmediato el Ayuntamiento ejerza la adecuada vigilancia so-bre la indisciplina urbanística existente y sobre las afecciones negativas que las obras y actuaciones que se realicen en su entorno provoquen en el BIC</w:t>
      </w:r>
      <w:r>
        <w:rPr>
          <w:b/>
        </w:rPr>
        <w:t xml:space="preserve"> exigien-do a las personas causantes la rehabilitación y reparación de los daños producidos.</w:t>
      </w:r>
      <w:r>
        <w:rPr>
          <w:sz w:val="24"/>
        </w:rPr>
        <w:t xml:space="preserve"> </w:t>
      </w:r>
    </w:p>
    <w:p w:rsidR="00B064CF" w:rsidRDefault="00E32F70">
      <w:pPr>
        <w:spacing w:after="0" w:line="259" w:lineRule="auto"/>
        <w:ind w:left="360" w:firstLine="0"/>
        <w:jc w:val="left"/>
      </w:pPr>
      <w:r>
        <w:rPr>
          <w:b/>
        </w:rPr>
        <w:t xml:space="preserve">  </w:t>
      </w:r>
    </w:p>
    <w:p w:rsidR="00B064CF" w:rsidRDefault="00E32F70">
      <w:pPr>
        <w:numPr>
          <w:ilvl w:val="0"/>
          <w:numId w:val="237"/>
        </w:numPr>
        <w:spacing w:after="4"/>
        <w:ind w:right="68"/>
      </w:pPr>
      <w:r>
        <w:rPr>
          <w:b/>
        </w:rPr>
        <w:t>Que el Ayuntamiento prevea tanto en el Proyecto como en la disponibilidad presupuestaria que la obra de soterramiento de tuberías de abastecimiento de agua pot</w:t>
      </w:r>
      <w:r>
        <w:rPr>
          <w:b/>
        </w:rPr>
        <w:t>able que partirán del futuro Depósito, adaptándola a los requerimientos técnicos correspondientes, recoja también la canalización de saneamiento y de aguas pluviales, así como las canalizaciones para el soterramiento de tendidos de fibra óptica, electricid</w:t>
      </w:r>
      <w:r>
        <w:rPr>
          <w:b/>
        </w:rPr>
        <w:t xml:space="preserve">ad, alumbrado público, y otra que pudieran ser ne-cesarias.  </w:t>
      </w:r>
    </w:p>
    <w:p w:rsidR="00B064CF" w:rsidRDefault="00E32F70">
      <w:pPr>
        <w:spacing w:after="0" w:line="259" w:lineRule="auto"/>
        <w:ind w:left="360" w:firstLine="0"/>
        <w:jc w:val="left"/>
      </w:pPr>
      <w:r>
        <w:rPr>
          <w:b/>
        </w:rPr>
        <w:t xml:space="preserve"> </w:t>
      </w:r>
    </w:p>
    <w:p w:rsidR="00B064CF" w:rsidRDefault="00E32F70">
      <w:pPr>
        <w:numPr>
          <w:ilvl w:val="0"/>
          <w:numId w:val="237"/>
        </w:numPr>
        <w:spacing w:after="4"/>
        <w:ind w:right="68"/>
      </w:pPr>
      <w:r>
        <w:rPr>
          <w:b/>
        </w:rPr>
        <w:t>Que el Ayuntamiento redacte con carácter prioritario un Proyecto de obra pa-ra la mejora y la seguridad en la calle de la Vera de Igueste con los contenidos mínimos que se recogieron en la Moc</w:t>
      </w:r>
      <w:r>
        <w:rPr>
          <w:b/>
        </w:rPr>
        <w:t xml:space="preserve">ión aprobada en Diciembre de 2018 y que se reproducen en la exposición de motivos de la presente moción. </w:t>
      </w:r>
      <w:r>
        <w:rPr>
          <w:sz w:val="24"/>
        </w:rPr>
        <w:t xml:space="preserve"> </w:t>
      </w:r>
    </w:p>
    <w:p w:rsidR="00B064CF" w:rsidRDefault="00E32F70">
      <w:pPr>
        <w:spacing w:after="0" w:line="259" w:lineRule="auto"/>
        <w:ind w:left="360" w:firstLine="0"/>
        <w:jc w:val="left"/>
      </w:pPr>
      <w:r>
        <w:rPr>
          <w:b/>
        </w:rPr>
        <w:t xml:space="preserve"> </w:t>
      </w:r>
    </w:p>
    <w:p w:rsidR="00B064CF" w:rsidRDefault="00E32F70">
      <w:pPr>
        <w:numPr>
          <w:ilvl w:val="0"/>
          <w:numId w:val="237"/>
        </w:numPr>
        <w:spacing w:after="4"/>
        <w:ind w:right="68"/>
      </w:pPr>
      <w:r>
        <w:rPr>
          <w:b/>
        </w:rPr>
        <w:t xml:space="preserve">Que con carácter urgente se elabore un Plan de eliminación de las especies vegetales exóticas introducidas aplicando los procedimientos correctos, </w:t>
      </w:r>
      <w:r>
        <w:rPr>
          <w:b/>
        </w:rPr>
        <w:t>adecuadamente asesorados por personal especializado, que implique también a las personas propietarias de terrenos, para evitar la proliferación de estas especies en el entorno, procediendo a su sustitución por adecuadas especies endémicas u autóctonas, así</w:t>
      </w:r>
      <w:r>
        <w:rPr>
          <w:b/>
        </w:rPr>
        <w:t xml:space="preserve"> como reduzca el riesgo de incendios en entornos próximos a viviendas.</w:t>
      </w:r>
      <w:r>
        <w:rPr>
          <w:sz w:val="24"/>
        </w:rPr>
        <w:t xml:space="preserve"> </w:t>
      </w:r>
    </w:p>
    <w:p w:rsidR="00B064CF" w:rsidRDefault="00E32F70">
      <w:pPr>
        <w:spacing w:after="0" w:line="259" w:lineRule="auto"/>
        <w:ind w:left="360" w:firstLine="0"/>
        <w:jc w:val="left"/>
      </w:pPr>
      <w:r>
        <w:rPr>
          <w:b/>
        </w:rPr>
        <w:t xml:space="preserve">  </w:t>
      </w:r>
    </w:p>
    <w:p w:rsidR="00B064CF" w:rsidRDefault="00E32F70">
      <w:pPr>
        <w:numPr>
          <w:ilvl w:val="0"/>
          <w:numId w:val="237"/>
        </w:numPr>
        <w:spacing w:after="4"/>
        <w:ind w:right="68"/>
      </w:pPr>
      <w:r>
        <w:rPr>
          <w:b/>
        </w:rPr>
        <w:t>Que el Ayuntamiento requiera al Cabildo la continuidad de su apoyo, con do-tación de recursos humanos y presupuestaria suficiente, para garantizar la eje-cución de las actuaciones p</w:t>
      </w:r>
      <w:r>
        <w:rPr>
          <w:b/>
        </w:rPr>
        <w:t xml:space="preserve">ropuestas en el Anteproyecto de Recuperación del Camino Viejo de Candelaria y, concretamente, de las que afectan a nuestro Mu-nicipio. </w:t>
      </w:r>
      <w:r>
        <w:rPr>
          <w:sz w:val="24"/>
        </w:rPr>
        <w:t xml:space="preserve"> </w:t>
      </w:r>
    </w:p>
    <w:p w:rsidR="00B064CF" w:rsidRDefault="00E32F70">
      <w:pPr>
        <w:spacing w:after="0" w:line="259" w:lineRule="auto"/>
        <w:ind w:left="360" w:firstLine="0"/>
        <w:jc w:val="left"/>
      </w:pPr>
      <w:r>
        <w:rPr>
          <w:b/>
        </w:rPr>
        <w:t xml:space="preserve"> </w:t>
      </w:r>
    </w:p>
    <w:p w:rsidR="00B064CF" w:rsidRDefault="00E32F70">
      <w:pPr>
        <w:spacing w:after="0" w:line="259" w:lineRule="auto"/>
        <w:ind w:left="360" w:firstLine="0"/>
        <w:jc w:val="left"/>
      </w:pPr>
      <w:r>
        <w:t xml:space="preserve"> </w:t>
      </w:r>
    </w:p>
    <w:p w:rsidR="00B064CF" w:rsidRDefault="00E32F70">
      <w:pPr>
        <w:spacing w:after="13" w:line="250" w:lineRule="auto"/>
        <w:ind w:left="906" w:right="618"/>
        <w:jc w:val="center"/>
      </w:pPr>
      <w:r>
        <w:t xml:space="preserve">En Candelaria, a 18 de Mayo de 2021 </w:t>
      </w:r>
    </w:p>
    <w:p w:rsidR="00B064CF" w:rsidRDefault="00E32F70">
      <w:pPr>
        <w:spacing w:after="0" w:line="259" w:lineRule="auto"/>
        <w:ind w:left="360" w:firstLine="0"/>
        <w:jc w:val="left"/>
      </w:pPr>
      <w:r>
        <w:t xml:space="preserve"> </w:t>
      </w:r>
    </w:p>
    <w:p w:rsidR="00B064CF" w:rsidRDefault="00E32F70">
      <w:pPr>
        <w:spacing w:after="109"/>
        <w:ind w:left="355" w:right="72"/>
      </w:pPr>
      <w:r>
        <w:t xml:space="preserve">                                       </w:t>
      </w:r>
      <w:r>
        <w:t xml:space="preserve">Fdo: Lourdes del Carmen Mondéjar Rondón. </w:t>
      </w:r>
    </w:p>
    <w:p w:rsidR="00B064CF" w:rsidRDefault="00E32F70">
      <w:pPr>
        <w:spacing w:after="100" w:line="259" w:lineRule="auto"/>
        <w:ind w:left="360" w:firstLine="0"/>
        <w:jc w:val="left"/>
      </w:pPr>
      <w:r>
        <w:rPr>
          <w:b/>
        </w:rPr>
        <w:t xml:space="preserve"> </w:t>
      </w:r>
    </w:p>
    <w:p w:rsidR="00B064CF" w:rsidRDefault="00E32F70">
      <w:pPr>
        <w:spacing w:after="109"/>
        <w:ind w:left="355" w:right="72"/>
      </w:pPr>
      <w:r>
        <w:rPr>
          <w:rFonts w:ascii="Calibri" w:eastAsia="Calibri" w:hAnsi="Calibri" w:cs="Calibri"/>
          <w:noProof/>
        </w:rPr>
        <mc:AlternateContent>
          <mc:Choice Requires="wpg">
            <w:drawing>
              <wp:anchor distT="0" distB="0" distL="114300" distR="114300" simplePos="0" relativeHeight="25195724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25624" name="Group 425624"/>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4664" name="Rectangle 44664"/>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44665" name="Rectangle 44665"/>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288 de 298 </w:t>
                              </w:r>
                            </w:p>
                          </w:txbxContent>
                        </wps:txbx>
                        <wps:bodyPr horzOverflow="overflow" vert="horz" lIns="0" tIns="0" rIns="0" bIns="0" rtlCol="0">
                          <a:noAutofit/>
                        </wps:bodyPr>
                      </wps:wsp>
                    </wpg:wgp>
                  </a:graphicData>
                </a:graphic>
              </wp:anchor>
            </w:drawing>
          </mc:Choice>
          <mc:Fallback xmlns:a="http://schemas.openxmlformats.org/drawingml/2006/main">
            <w:pict>
              <v:group id="Group 425624" style="width:12.7031pt;height:278.91pt;position:absolute;mso-position-horizontal-relative:page;mso-position-horizontal:absolute;margin-left:682.278pt;mso-position-vertical-relative:page;margin-top:533.01pt;" coordsize="1613,35421">
                <v:rect id="Rectangle 44664"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4665"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288 de 298 </w:t>
                        </w:r>
                      </w:p>
                    </w:txbxContent>
                  </v:textbox>
                </v:rect>
                <w10:wrap type="square"/>
              </v:group>
            </w:pict>
          </mc:Fallback>
        </mc:AlternateContent>
      </w:r>
      <w:r>
        <w:t xml:space="preserve">. </w:t>
      </w:r>
    </w:p>
    <w:p w:rsidR="00B064CF" w:rsidRDefault="00E32F70">
      <w:pPr>
        <w:spacing w:after="98" w:line="259" w:lineRule="auto"/>
        <w:ind w:left="360" w:firstLine="0"/>
        <w:jc w:val="left"/>
      </w:pPr>
      <w:r>
        <w:rPr>
          <w:b/>
        </w:rPr>
        <w:t xml:space="preserve"> </w:t>
      </w:r>
    </w:p>
    <w:p w:rsidR="00B064CF" w:rsidRDefault="00E32F70">
      <w:pPr>
        <w:spacing w:after="116"/>
        <w:ind w:left="355" w:right="68"/>
      </w:pPr>
      <w:r>
        <w:rPr>
          <w:b/>
        </w:rPr>
        <w:t xml:space="preserve">DICTAMEN FAVORABLE DE LA COMISIÓN INFORMATIVA DE P. y G. URBANÍSTICA Y AMBIENTAL, OBRAS Y SERVICIOS PUBLICOS DE 24 DE MAYO DE 2021. </w:t>
      </w:r>
    </w:p>
    <w:p w:rsidR="00B064CF" w:rsidRDefault="00E32F70">
      <w:pPr>
        <w:spacing w:after="11"/>
        <w:ind w:left="355" w:right="72"/>
      </w:pPr>
      <w:r>
        <w:t xml:space="preserve">Votos a favor: 1. </w:t>
      </w:r>
    </w:p>
    <w:p w:rsidR="00B064CF" w:rsidRDefault="00E32F70">
      <w:pPr>
        <w:spacing w:after="11"/>
        <w:ind w:left="355" w:right="72"/>
      </w:pPr>
      <w:r>
        <w:t xml:space="preserve">La concejal del Grupo Mixto (SSP), Doña Lourdes del Carmen Mondéjar Rondón.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Votos en contra: 0. </w:t>
      </w:r>
    </w:p>
    <w:p w:rsidR="00B064CF" w:rsidRDefault="00E32F70">
      <w:pPr>
        <w:spacing w:after="0" w:line="259" w:lineRule="auto"/>
        <w:ind w:left="360" w:firstLine="0"/>
        <w:jc w:val="left"/>
      </w:pPr>
      <w:r>
        <w:t xml:space="preserve"> </w:t>
      </w:r>
    </w:p>
    <w:p w:rsidR="00B064CF" w:rsidRDefault="00E32F70">
      <w:pPr>
        <w:spacing w:after="11"/>
        <w:ind w:left="355" w:right="72"/>
      </w:pPr>
      <w:r>
        <w:t>Ab</w:t>
      </w:r>
      <w:r>
        <w:t xml:space="preserve">stenciones: 6. </w:t>
      </w:r>
    </w:p>
    <w:p w:rsidR="00B064CF" w:rsidRDefault="00E32F70">
      <w:pPr>
        <w:spacing w:after="0"/>
        <w:ind w:left="355" w:right="72"/>
      </w:pPr>
      <w:r>
        <w:t xml:space="preserve">Los 4 concejales del Grupo Socialista: Doña Hilaria Cecilia Otazo González, Don Jorge Baute Delgado, Doña Margarita Eva Tendero Barroso y Doña María del Carmen Clemente Díaz.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El concejal del Grupo Popular, Don Juan Miguel Olivera González.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La concejal del Grupo Mixto (CC-PNC), Doña Ángela Cruz Perera.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111"/>
        <w:ind w:left="355" w:right="68"/>
      </w:pPr>
      <w:r>
        <w:rPr>
          <w:b/>
        </w:rPr>
        <w:t xml:space="preserve">JUNTA DE PORTAVOCES DE FECHA 24 DE MAYO DE 2021. </w:t>
      </w:r>
    </w:p>
    <w:p w:rsidR="00B064CF" w:rsidRDefault="00E32F70">
      <w:pPr>
        <w:spacing w:after="107"/>
        <w:ind w:left="355" w:right="72"/>
      </w:pPr>
      <w:r>
        <w:t xml:space="preserve">Quedó oída. </w:t>
      </w:r>
    </w:p>
    <w:p w:rsidR="00B064CF" w:rsidRDefault="00E32F70">
      <w:pPr>
        <w:spacing w:after="100" w:line="259" w:lineRule="auto"/>
        <w:ind w:left="360" w:firstLine="0"/>
        <w:jc w:val="left"/>
      </w:pPr>
      <w:r>
        <w:rPr>
          <w:b/>
        </w:rPr>
        <w:t xml:space="preserve"> </w:t>
      </w:r>
    </w:p>
    <w:p w:rsidR="00B064CF" w:rsidRDefault="00E32F70">
      <w:pPr>
        <w:spacing w:after="4"/>
        <w:ind w:left="355" w:right="68"/>
      </w:pPr>
      <w:r>
        <w:rPr>
          <w:b/>
        </w:rPr>
        <w:t>ENMIENDA DEL GRUPO SOCIALISTA EN EL PLENO DE FECHA 27 D</w:t>
      </w:r>
      <w:r>
        <w:rPr>
          <w:b/>
        </w:rPr>
        <w:t xml:space="preserve">E MAYO DE 2021. </w:t>
      </w:r>
    </w:p>
    <w:p w:rsidR="00B064CF" w:rsidRDefault="00E32F70">
      <w:pPr>
        <w:spacing w:after="103" w:line="259" w:lineRule="auto"/>
        <w:ind w:left="360" w:firstLine="0"/>
        <w:jc w:val="left"/>
      </w:pPr>
      <w:r>
        <w:rPr>
          <w:b/>
        </w:rPr>
        <w:t xml:space="preserve"> </w:t>
      </w:r>
    </w:p>
    <w:p w:rsidR="00B064CF" w:rsidRDefault="00E32F70">
      <w:pPr>
        <w:tabs>
          <w:tab w:val="center" w:pos="360"/>
          <w:tab w:val="center" w:pos="2076"/>
          <w:tab w:val="center" w:pos="2484"/>
          <w:tab w:val="center" w:pos="3193"/>
          <w:tab w:val="center" w:pos="4397"/>
        </w:tabs>
        <w:spacing w:after="116"/>
        <w:ind w:left="0" w:firstLine="0"/>
        <w:jc w:val="left"/>
      </w:pPr>
      <w:r>
        <w:rPr>
          <w:rFonts w:ascii="Calibri" w:eastAsia="Calibri" w:hAnsi="Calibri" w:cs="Calibri"/>
        </w:rPr>
        <w:tab/>
      </w:r>
      <w:r>
        <w:t xml:space="preserve"> </w:t>
      </w:r>
      <w:r>
        <w:tab/>
        <w:t xml:space="preserve"> </w:t>
      </w:r>
      <w:r>
        <w:tab/>
        <w:t xml:space="preserve"> </w:t>
      </w:r>
      <w:r>
        <w:tab/>
        <w:t xml:space="preserve"> </w:t>
      </w:r>
      <w:r>
        <w:tab/>
        <w:t xml:space="preserve">Acuerdos: </w:t>
      </w:r>
    </w:p>
    <w:p w:rsidR="00B064CF" w:rsidRDefault="00E32F70">
      <w:pPr>
        <w:spacing w:after="112"/>
        <w:ind w:left="355" w:right="72"/>
      </w:pPr>
      <w:r>
        <w:t xml:space="preserve">1.- Que el Ayuntamiento elabore y tramite el Plan Especial de Protección del Sitio Histórico del Camino Viejo de Candelaria, como documento que guíe las actuaciones municipales, propiciando su recuperación integral. </w:t>
      </w:r>
    </w:p>
    <w:p w:rsidR="00B064CF" w:rsidRDefault="00E32F70">
      <w:pPr>
        <w:spacing w:after="109"/>
        <w:ind w:left="355" w:right="72"/>
      </w:pPr>
      <w:r>
        <w:t xml:space="preserve">2.- Que el Ayuntamiento solicite tanto al Cabildo como al Gobierno de Canarias la financiación necesaria para desarrollar los distintos proyectos asociados a tal recuperación. </w:t>
      </w:r>
    </w:p>
    <w:p w:rsidR="00B064CF" w:rsidRDefault="00E32F70">
      <w:pPr>
        <w:spacing w:after="114"/>
        <w:ind w:left="355" w:right="68"/>
      </w:pPr>
      <w:r>
        <w:rPr>
          <w:b/>
        </w:rPr>
        <w:t>VOTACIÓN DE LA ENMIENDA DEL GRUPO SOCIALISTA EN EL PLENO DE FECHA 27 DE MAYO DE</w:t>
      </w:r>
      <w:r>
        <w:rPr>
          <w:b/>
        </w:rPr>
        <w:t xml:space="preserve"> 2021. </w:t>
      </w:r>
    </w:p>
    <w:p w:rsidR="00B064CF" w:rsidRDefault="00E32F70">
      <w:pPr>
        <w:spacing w:after="11"/>
        <w:ind w:left="355" w:right="72"/>
      </w:pPr>
      <w:r>
        <w:t xml:space="preserve">La unanimidad de los 14 concejales presentes: </w:t>
      </w:r>
    </w:p>
    <w:p w:rsidR="00B064CF" w:rsidRDefault="00E32F70">
      <w:pPr>
        <w:spacing w:after="11"/>
        <w:ind w:left="355" w:right="72"/>
      </w:pPr>
      <w:r>
        <w:t xml:space="preserve">11 concejales del Grupo Socialista: Doña María Concepción Brito Núñez, Don Jorge Baute Delgado, </w:t>
      </w:r>
    </w:p>
    <w:p w:rsidR="00B064CF" w:rsidRDefault="00E32F70">
      <w:pPr>
        <w:spacing w:after="112"/>
        <w:ind w:left="355" w:right="72"/>
      </w:pPr>
      <w:r>
        <w:t xml:space="preserve">Doña Olivia Concepción Pérez Díaz, Don José Francisco Pinto Ramos, Doña Hilaria Cecilia Otazo González, </w:t>
      </w:r>
      <w:r>
        <w:t xml:space="preserve">Don Airam Pérez Chinea, Doña Margarita Eva Tendero Barroso, Don Manuel Alberto González Pestano, Doña María del Carmen Clemente Díaz, Don Olegario Francisco Alonso Bello y Don Reinaldo José Triviño Blanco. </w:t>
      </w:r>
    </w:p>
    <w:p w:rsidR="00B064CF" w:rsidRDefault="00E32F70">
      <w:pPr>
        <w:spacing w:after="109"/>
        <w:ind w:left="355" w:right="72"/>
      </w:pPr>
      <w:r>
        <w:t>3 concejales del Grupo Mixto: Don Antonio Delgado</w:t>
      </w:r>
      <w:r>
        <w:t xml:space="preserve"> García y Doña Lourdes del Carmen Mondéjar Rondón (SSP) y Doña Ángela Cruz Perera (CC-PNC). </w:t>
      </w:r>
    </w:p>
    <w:p w:rsidR="00B064CF" w:rsidRDefault="00E32F70">
      <w:pPr>
        <w:spacing w:after="0" w:line="259" w:lineRule="auto"/>
        <w:ind w:left="360" w:firstLine="0"/>
        <w:jc w:val="left"/>
      </w:pPr>
      <w:r>
        <w:rPr>
          <w:b/>
        </w:rPr>
        <w:t xml:space="preserve"> </w:t>
      </w:r>
    </w:p>
    <w:p w:rsidR="00B064CF" w:rsidRDefault="00E32F70">
      <w:pPr>
        <w:spacing w:after="4"/>
        <w:ind w:left="355" w:right="68"/>
      </w:pPr>
      <w:r>
        <w:rPr>
          <w:b/>
        </w:rPr>
        <w:t xml:space="preserve">VOTACIÓN DE LA MOCIÓN DEL GRUPO MIXTO EN EL PLENO DE FECHA 27 DE MAYO DE </w:t>
      </w:r>
    </w:p>
    <w:p w:rsidR="00B064CF" w:rsidRDefault="00E32F70">
      <w:pPr>
        <w:spacing w:after="4"/>
        <w:ind w:left="355" w:right="68"/>
      </w:pPr>
      <w:r>
        <w:rPr>
          <w:b/>
        </w:rPr>
        <w:t xml:space="preserve">2021. </w:t>
      </w:r>
    </w:p>
    <w:p w:rsidR="00B064CF" w:rsidRDefault="00E32F70">
      <w:pPr>
        <w:spacing w:after="111"/>
        <w:ind w:left="355" w:right="72"/>
      </w:pPr>
      <w:r>
        <w:rPr>
          <w:rFonts w:ascii="Calibri" w:eastAsia="Calibri" w:hAnsi="Calibri" w:cs="Calibri"/>
          <w:noProof/>
        </w:rPr>
        <mc:AlternateContent>
          <mc:Choice Requires="wpg">
            <w:drawing>
              <wp:anchor distT="0" distB="0" distL="114300" distR="114300" simplePos="0" relativeHeight="25195827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25826" name="Group 425826"/>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4798" name="Rectangle 44798"/>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44799" name="Rectangle 44799"/>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289 de 298 </w:t>
                              </w:r>
                            </w:p>
                          </w:txbxContent>
                        </wps:txbx>
                        <wps:bodyPr horzOverflow="overflow" vert="horz" lIns="0" tIns="0" rIns="0" bIns="0" rtlCol="0">
                          <a:noAutofit/>
                        </wps:bodyPr>
                      </wps:wsp>
                    </wpg:wgp>
                  </a:graphicData>
                </a:graphic>
              </wp:anchor>
            </w:drawing>
          </mc:Choice>
          <mc:Fallback xmlns:a="http://schemas.openxmlformats.org/drawingml/2006/main">
            <w:pict>
              <v:group id="Group 425826" style="width:12.7031pt;height:278.91pt;position:absolute;mso-position-horizontal-relative:page;mso-position-horizontal:absolute;margin-left:682.278pt;mso-position-vertical-relative:page;margin-top:533.01pt;" coordsize="1613,35421">
                <v:rect id="Rectangle 44798"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4799"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289 de 298 </w:t>
                        </w:r>
                      </w:p>
                    </w:txbxContent>
                  </v:textbox>
                </v:rect>
                <w10:wrap type="square"/>
              </v:group>
            </w:pict>
          </mc:Fallback>
        </mc:AlternateContent>
      </w:r>
      <w:r>
        <w:t xml:space="preserve">Votos a favor: 3. </w:t>
      </w:r>
    </w:p>
    <w:p w:rsidR="00B064CF" w:rsidRDefault="00E32F70">
      <w:pPr>
        <w:spacing w:after="114"/>
        <w:ind w:left="355" w:right="72"/>
      </w:pPr>
      <w:r>
        <w:t xml:space="preserve">Don Antonio Delgado García y Doña Lourdes del Carmen Mondéjar Rondón (SSP) y Doña Ángela Cruz Perera (CC-PNC). </w:t>
      </w:r>
    </w:p>
    <w:p w:rsidR="00B064CF" w:rsidRDefault="00E32F70">
      <w:pPr>
        <w:spacing w:after="109"/>
        <w:ind w:left="355" w:right="72"/>
      </w:pPr>
      <w:r>
        <w:t xml:space="preserve">Votos en contra: 11. </w:t>
      </w:r>
    </w:p>
    <w:p w:rsidR="00B064CF" w:rsidRDefault="00E32F70">
      <w:pPr>
        <w:spacing w:after="11"/>
        <w:ind w:left="355" w:right="72"/>
      </w:pPr>
      <w:r>
        <w:t xml:space="preserve">11 concejales del Grupo Socialista: Doña María Concepción Brito Núñez, Don Jorge Baute Delgado, </w:t>
      </w:r>
    </w:p>
    <w:p w:rsidR="00B064CF" w:rsidRDefault="00E32F70">
      <w:pPr>
        <w:spacing w:after="111"/>
        <w:ind w:left="355" w:right="72"/>
      </w:pPr>
      <w:r>
        <w:t>Doña Olivia Concepción Pé</w:t>
      </w:r>
      <w:r>
        <w:t>rez Díaz, Don José Francisco Pinto Ramos, Doña Hilaria Cecilia Otazo González, Don Airam Pérez Chinea, Doña Margarita Eva Tendero Barroso, Don Manuel Alberto González Pestano, Doña María del Carmen Clemente Díaz, Don Olegario Francisco Alonso Bello y Don R</w:t>
      </w:r>
      <w:r>
        <w:t xml:space="preserve">einaldo José Triviño Blanco. </w:t>
      </w:r>
    </w:p>
    <w:p w:rsidR="00B064CF" w:rsidRDefault="00E32F70">
      <w:pPr>
        <w:spacing w:after="109"/>
        <w:ind w:left="355" w:right="72"/>
      </w:pPr>
      <w:r>
        <w:t xml:space="preserve">Abstenciones: 0. </w:t>
      </w:r>
    </w:p>
    <w:p w:rsidR="00B064CF" w:rsidRDefault="00E32F70">
      <w:pPr>
        <w:spacing w:after="100" w:line="259" w:lineRule="auto"/>
        <w:ind w:left="360" w:firstLine="0"/>
        <w:jc w:val="left"/>
      </w:pPr>
      <w:r>
        <w:t xml:space="preserve"> </w:t>
      </w:r>
    </w:p>
    <w:p w:rsidR="00B064CF" w:rsidRDefault="00E32F70">
      <w:pPr>
        <w:spacing w:after="95" w:line="259" w:lineRule="auto"/>
        <w:ind w:left="360" w:firstLine="0"/>
        <w:jc w:val="left"/>
      </w:pPr>
      <w:r>
        <w:t xml:space="preserve"> </w:t>
      </w:r>
    </w:p>
    <w:p w:rsidR="00B064CF" w:rsidRDefault="00E32F70">
      <w:pPr>
        <w:spacing w:after="4"/>
        <w:ind w:left="1078" w:right="68"/>
      </w:pPr>
      <w:r>
        <w:rPr>
          <w:b/>
        </w:rPr>
        <w:t xml:space="preserve">     ACUERDO DEL PLENO DE FECHA 27 DE MAYO DE 2021. </w:t>
      </w:r>
    </w:p>
    <w:p w:rsidR="00B064CF" w:rsidRDefault="00E32F70">
      <w:pPr>
        <w:spacing w:after="0" w:line="259" w:lineRule="auto"/>
        <w:ind w:left="360" w:firstLine="0"/>
        <w:jc w:val="left"/>
      </w:pPr>
      <w:r>
        <w:rPr>
          <w:b/>
        </w:rPr>
        <w:t xml:space="preserve"> </w:t>
      </w:r>
    </w:p>
    <w:p w:rsidR="00B064CF" w:rsidRDefault="00E32F70">
      <w:pPr>
        <w:spacing w:after="112"/>
        <w:ind w:left="355" w:right="68"/>
      </w:pPr>
      <w:r>
        <w:rPr>
          <w:b/>
        </w:rPr>
        <w:t xml:space="preserve">1.- Que el Ayuntamiento elabore y tramite el Plan Especial de Protección del Sitio Histórico del Camino Viejo de Candelaria, como documento que guíe </w:t>
      </w:r>
      <w:r>
        <w:rPr>
          <w:b/>
        </w:rPr>
        <w:t xml:space="preserve">las actuaciones municipales, propiciando su recuperación integral. </w:t>
      </w:r>
    </w:p>
    <w:p w:rsidR="00B064CF" w:rsidRDefault="00E32F70">
      <w:pPr>
        <w:spacing w:after="160"/>
        <w:ind w:left="355" w:right="68"/>
      </w:pPr>
      <w:r>
        <w:rPr>
          <w:b/>
        </w:rPr>
        <w:t xml:space="preserve">2.- Que el Ayuntamiento solicite tanto al Cabildo como al Gobierno de Canarias la financiación necesaria para desarrollar los distintos proyectos asociados a tal recuperación. </w:t>
      </w:r>
    </w:p>
    <w:p w:rsidR="00B064CF" w:rsidRDefault="00E32F70">
      <w:pPr>
        <w:spacing w:after="0" w:line="259" w:lineRule="auto"/>
        <w:ind w:left="360" w:firstLine="0"/>
        <w:jc w:val="left"/>
      </w:pPr>
      <w:r>
        <w:rPr>
          <w:i/>
          <w:color w:val="222222"/>
        </w:rPr>
        <w:t xml:space="preserve"> </w:t>
      </w:r>
    </w:p>
    <w:p w:rsidR="00B064CF" w:rsidRDefault="00E32F70">
      <w:pPr>
        <w:spacing w:after="120" w:line="240" w:lineRule="auto"/>
        <w:ind w:left="355"/>
      </w:pPr>
      <w:r>
        <w:rPr>
          <w:b/>
          <w:sz w:val="24"/>
        </w:rPr>
        <w:t>9.-</w:t>
      </w:r>
      <w:r>
        <w:rPr>
          <w:sz w:val="24"/>
        </w:rPr>
        <w:t xml:space="preserve"> </w:t>
      </w:r>
      <w:r>
        <w:rPr>
          <w:b/>
          <w:sz w:val="24"/>
        </w:rPr>
        <w:t>Expediente 4617/2021. Moción de Grupo Mixto con nº de registro (2021-E-RE-1641) de 14 de mayo de 2021 en defensa del servicio público de correos.</w:t>
      </w:r>
      <w:r>
        <w:t xml:space="preserve"> </w:t>
      </w:r>
    </w:p>
    <w:p w:rsidR="00B064CF" w:rsidRDefault="00E32F70">
      <w:pPr>
        <w:spacing w:after="0" w:line="259" w:lineRule="auto"/>
        <w:ind w:left="360" w:firstLine="0"/>
        <w:jc w:val="left"/>
      </w:pPr>
      <w:r>
        <w:rPr>
          <w:rFonts w:ascii="Times New Roman" w:eastAsia="Times New Roman" w:hAnsi="Times New Roman" w:cs="Times New Roman"/>
          <w:b/>
          <w:sz w:val="24"/>
        </w:rPr>
        <w:t xml:space="preserve"> </w:t>
      </w:r>
    </w:p>
    <w:p w:rsidR="00B064CF" w:rsidRDefault="00E32F70">
      <w:pPr>
        <w:spacing w:after="4"/>
        <w:ind w:left="345" w:right="68" w:firstLine="708"/>
      </w:pPr>
      <w:r>
        <w:rPr>
          <w:b/>
        </w:rPr>
        <w:t>Consta en el expediente electrónico la referida moción que se inserta literalmente (corregida en cuanto a l</w:t>
      </w:r>
      <w:r>
        <w:rPr>
          <w:b/>
        </w:rPr>
        <w:t xml:space="preserve">os destinatarios en el Pleno de 27 de mayo de 2021). </w:t>
      </w:r>
    </w:p>
    <w:p w:rsidR="00B064CF" w:rsidRDefault="00E32F70">
      <w:pPr>
        <w:spacing w:after="96" w:line="259" w:lineRule="auto"/>
        <w:ind w:left="360" w:firstLine="0"/>
        <w:jc w:val="left"/>
      </w:pPr>
      <w:r>
        <w:rPr>
          <w:b/>
        </w:rPr>
        <w:t xml:space="preserve"> </w:t>
      </w:r>
    </w:p>
    <w:p w:rsidR="00B064CF" w:rsidRDefault="00E32F70">
      <w:pPr>
        <w:spacing w:after="47" w:line="259" w:lineRule="auto"/>
        <w:ind w:left="360" w:firstLine="0"/>
        <w:jc w:val="left"/>
      </w:pPr>
      <w:r>
        <w:rPr>
          <w:noProof/>
        </w:rPr>
        <w:drawing>
          <wp:inline distT="0" distB="0" distL="0" distR="0">
            <wp:extent cx="1234427" cy="1066790"/>
            <wp:effectExtent l="0" t="0" r="0" b="0"/>
            <wp:docPr id="44906" name="Picture 44906"/>
            <wp:cNvGraphicFramePr/>
            <a:graphic xmlns:a="http://schemas.openxmlformats.org/drawingml/2006/main">
              <a:graphicData uri="http://schemas.openxmlformats.org/drawingml/2006/picture">
                <pic:pic xmlns:pic="http://schemas.openxmlformats.org/drawingml/2006/picture">
                  <pic:nvPicPr>
                    <pic:cNvPr id="44906" name="Picture 44906"/>
                    <pic:cNvPicPr/>
                  </pic:nvPicPr>
                  <pic:blipFill>
                    <a:blip r:embed="rId65"/>
                    <a:stretch>
                      <a:fillRect/>
                    </a:stretch>
                  </pic:blipFill>
                  <pic:spPr>
                    <a:xfrm>
                      <a:off x="0" y="0"/>
                      <a:ext cx="1234427" cy="1066790"/>
                    </a:xfrm>
                    <a:prstGeom prst="rect">
                      <a:avLst/>
                    </a:prstGeom>
                  </pic:spPr>
                </pic:pic>
              </a:graphicData>
            </a:graphic>
          </wp:inline>
        </w:drawing>
      </w:r>
      <w:r>
        <w:t xml:space="preserve"> </w:t>
      </w:r>
    </w:p>
    <w:p w:rsidR="00B064CF" w:rsidRDefault="00E32F70">
      <w:pPr>
        <w:spacing w:after="111"/>
        <w:ind w:left="355" w:right="68"/>
      </w:pPr>
      <w:r>
        <w:rPr>
          <w:b/>
        </w:rPr>
        <w:t xml:space="preserve">CANDELARIA </w:t>
      </w:r>
    </w:p>
    <w:p w:rsidR="00B064CF" w:rsidRDefault="00E32F70">
      <w:pPr>
        <w:spacing w:after="98" w:line="259" w:lineRule="auto"/>
        <w:ind w:left="360" w:firstLine="0"/>
        <w:jc w:val="left"/>
      </w:pPr>
      <w:r>
        <w:rPr>
          <w:b/>
        </w:rPr>
        <w:t xml:space="preserve"> </w:t>
      </w:r>
    </w:p>
    <w:p w:rsidR="00B064CF" w:rsidRDefault="00E32F70">
      <w:pPr>
        <w:spacing w:after="100" w:line="259" w:lineRule="auto"/>
        <w:ind w:left="360" w:firstLine="0"/>
        <w:jc w:val="left"/>
      </w:pPr>
      <w:r>
        <w:rPr>
          <w:b/>
        </w:rPr>
        <w:t xml:space="preserve"> </w:t>
      </w:r>
    </w:p>
    <w:p w:rsidR="00B064CF" w:rsidRDefault="00E32F70">
      <w:pPr>
        <w:spacing w:after="0" w:line="259" w:lineRule="auto"/>
        <w:ind w:left="283" w:firstLine="0"/>
        <w:jc w:val="center"/>
      </w:pPr>
      <w:r>
        <w:rPr>
          <w:b/>
          <w:color w:val="212121"/>
        </w:rPr>
        <w:t xml:space="preserve">MOCIÓN </w:t>
      </w:r>
    </w:p>
    <w:p w:rsidR="00B064CF" w:rsidRDefault="00E32F70">
      <w:pPr>
        <w:spacing w:after="0" w:line="259" w:lineRule="auto"/>
        <w:ind w:left="340" w:firstLine="0"/>
        <w:jc w:val="center"/>
      </w:pPr>
      <w:r>
        <w:rPr>
          <w:color w:val="212121"/>
        </w:rPr>
        <w:t xml:space="preserve"> </w:t>
      </w:r>
    </w:p>
    <w:p w:rsidR="00B064CF" w:rsidRDefault="00E32F70">
      <w:pPr>
        <w:spacing w:after="112"/>
        <w:ind w:left="355" w:right="72"/>
      </w:pPr>
      <w:r>
        <w:rPr>
          <w:rFonts w:ascii="Calibri" w:eastAsia="Calibri" w:hAnsi="Calibri" w:cs="Calibri"/>
          <w:noProof/>
        </w:rPr>
        <mc:AlternateContent>
          <mc:Choice Requires="wpg">
            <w:drawing>
              <wp:anchor distT="0" distB="0" distL="114300" distR="114300" simplePos="0" relativeHeight="25195929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26642" name="Group 426642"/>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4909" name="Rectangle 44909"/>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44910" name="Rectangle 44910"/>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290 de 298 </w:t>
                              </w:r>
                            </w:p>
                          </w:txbxContent>
                        </wps:txbx>
                        <wps:bodyPr horzOverflow="overflow" vert="horz" lIns="0" tIns="0" rIns="0" bIns="0" rtlCol="0">
                          <a:noAutofit/>
                        </wps:bodyPr>
                      </wps:wsp>
                    </wpg:wgp>
                  </a:graphicData>
                </a:graphic>
              </wp:anchor>
            </w:drawing>
          </mc:Choice>
          <mc:Fallback xmlns:a="http://schemas.openxmlformats.org/drawingml/2006/main">
            <w:pict>
              <v:group id="Group 426642" style="width:12.7031pt;height:278.91pt;position:absolute;mso-position-horizontal-relative:page;mso-position-horizontal:absolute;margin-left:682.278pt;mso-position-vertical-relative:page;margin-top:533.01pt;" coordsize="1613,35421">
                <v:rect id="Rectangle 44909"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4910"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290 de 298 </w:t>
                        </w:r>
                      </w:p>
                    </w:txbxContent>
                  </v:textbox>
                </v:rect>
                <w10:wrap type="square"/>
              </v:group>
            </w:pict>
          </mc:Fallback>
        </mc:AlternateContent>
      </w:r>
      <w:r>
        <w:t xml:space="preserve">Dña. Ángela Cruz Perera, con DNI ***4786**, en calidad de portavoz del </w:t>
      </w:r>
      <w:r>
        <w:rPr>
          <w:b/>
        </w:rPr>
        <w:t>Grupo Municipal Coalición Canaria (CC-PNC)</w:t>
      </w:r>
      <w:r>
        <w:t>, conforme establece el artículo 97.3 del Reglam</w:t>
      </w:r>
      <w:r>
        <w:t>ento de Organización, Funcionamiento y Régimen Jurídico de las Entidades Locales, aprobado por R.D. 2568/1986, de 28 de noviembre, y los artículos 19.1b y 80 del Reglamento Orgánico y de la Administración del Ayuntamiento de Candelaria, presenta la siguien</w:t>
      </w:r>
      <w:r>
        <w:t xml:space="preserve">te </w:t>
      </w:r>
      <w:r>
        <w:rPr>
          <w:b/>
        </w:rPr>
        <w:t xml:space="preserve">MOCIÓN </w:t>
      </w:r>
      <w:r>
        <w:t xml:space="preserve">para su debate y aprobación </w:t>
      </w:r>
      <w:r>
        <w:rPr>
          <w:b/>
        </w:rPr>
        <w:t>EN DEFENSA DEL SERVICIO PÚBLICO DE CORREOS.</w:t>
      </w:r>
      <w:r>
        <w:t xml:space="preserve"> </w:t>
      </w:r>
    </w:p>
    <w:p w:rsidR="00B064CF" w:rsidRDefault="00E32F70">
      <w:pPr>
        <w:spacing w:after="98" w:line="259" w:lineRule="auto"/>
        <w:ind w:left="360" w:firstLine="0"/>
        <w:jc w:val="left"/>
      </w:pPr>
      <w:r>
        <w:rPr>
          <w:b/>
        </w:rPr>
        <w:t xml:space="preserve"> </w:t>
      </w:r>
    </w:p>
    <w:p w:rsidR="00B064CF" w:rsidRDefault="00E32F70">
      <w:pPr>
        <w:pStyle w:val="Ttulo2"/>
        <w:spacing w:after="9"/>
        <w:ind w:left="290" w:right="2"/>
      </w:pPr>
      <w:r>
        <w:t xml:space="preserve">EXPOSICIÓN DE MOTIVOS </w:t>
      </w:r>
    </w:p>
    <w:p w:rsidR="00B064CF" w:rsidRDefault="00E32F70">
      <w:pPr>
        <w:spacing w:after="0" w:line="259" w:lineRule="auto"/>
        <w:ind w:left="360" w:firstLine="0"/>
        <w:jc w:val="left"/>
      </w:pPr>
      <w:r>
        <w:t xml:space="preserve"> </w:t>
      </w:r>
    </w:p>
    <w:p w:rsidR="00B064CF" w:rsidRDefault="00E32F70">
      <w:pPr>
        <w:spacing w:after="0"/>
        <w:ind w:left="355" w:right="72"/>
      </w:pPr>
      <w:r>
        <w:t xml:space="preserve">En un contexto como el actual, el servicio postal prestado por Correos juega un indudable papel para contribuir a la cohesión social, territorial </w:t>
      </w:r>
      <w:r>
        <w:t>y económica del país, tanto a nivel estatal, como autonómico y especialmente en el ámbito municipal, recorriendo y atendiendo diariamente todas las localidades y municipios del Estado, garantizando la prestación de un servicio público a la ciudadanía, empr</w:t>
      </w:r>
      <w:r>
        <w:t xml:space="preserve">esas y administraciones en la totalidad de los núcleos de población, al margen de su rentabilidad económica. </w:t>
      </w:r>
    </w:p>
    <w:p w:rsidR="00B064CF" w:rsidRDefault="00E32F70">
      <w:pPr>
        <w:spacing w:after="0" w:line="259" w:lineRule="auto"/>
        <w:ind w:left="360" w:firstLine="0"/>
        <w:jc w:val="left"/>
      </w:pPr>
      <w:r>
        <w:t xml:space="preserve">  </w:t>
      </w:r>
    </w:p>
    <w:p w:rsidR="00B064CF" w:rsidRDefault="00E32F70">
      <w:pPr>
        <w:spacing w:after="0"/>
        <w:ind w:left="355" w:right="72"/>
      </w:pPr>
      <w:r>
        <w:t>Los datos lo ponen en valor: más de 8.000 municipios atendidos, 16 millones de hogares, 3,2 millones de empresas (más del 99% son pymes) y un t</w:t>
      </w:r>
      <w:r>
        <w:t xml:space="preserve">otal de 7.100 puntos de atención en el ámbito rural (carteros/as rurales y oficinas) y más de 100.000 kilómetros diarios. </w:t>
      </w:r>
    </w:p>
    <w:p w:rsidR="00B064CF" w:rsidRDefault="00E32F70">
      <w:pPr>
        <w:spacing w:after="0" w:line="259" w:lineRule="auto"/>
        <w:ind w:left="360" w:firstLine="0"/>
        <w:jc w:val="left"/>
      </w:pPr>
      <w:r>
        <w:t xml:space="preserve">  </w:t>
      </w:r>
    </w:p>
    <w:p w:rsidR="00B064CF" w:rsidRDefault="00E32F70">
      <w:pPr>
        <w:spacing w:after="0"/>
        <w:ind w:left="355" w:right="72"/>
      </w:pPr>
      <w:r>
        <w:t>Los Servicios Postales, declarados durante el estado de alarma como servicios esenciales y reconocidos como un elemento de vertebr</w:t>
      </w:r>
      <w:r>
        <w:t>ación y cohesión territorial, son un valor arraigado en la vida social de los municipios desde la prestación de un Servicio Público, contribuyendo al desarrollo económico de los mismos, facilitando y dando accesibilidad al derecho de ciudadanos/as, comerci</w:t>
      </w:r>
      <w:r>
        <w:t xml:space="preserve">os, empresas y administraciones a disponer de un servicio postal a precio asequible y de calidad. Pero con las actuales políticas estratégicas y de gestión de la Dirección de Correos este derecho se está limitando.  </w:t>
      </w:r>
    </w:p>
    <w:p w:rsidR="00B064CF" w:rsidRDefault="00E32F70">
      <w:pPr>
        <w:spacing w:after="0" w:line="259" w:lineRule="auto"/>
        <w:ind w:left="360" w:firstLine="0"/>
        <w:jc w:val="left"/>
      </w:pPr>
      <w:r>
        <w:t xml:space="preserve"> </w:t>
      </w:r>
    </w:p>
    <w:p w:rsidR="00B064CF" w:rsidRDefault="00E32F70">
      <w:pPr>
        <w:spacing w:after="114"/>
        <w:ind w:left="355" w:right="72"/>
      </w:pPr>
      <w:r>
        <w:t>Concretamente en la localidad de Candelaria, la empresa SAE Correos y Telégrafos S.A., S.M.E. continúa desde hace años sin cubrir puestos de trabajo esenciales de personal jubilado. Asimismo, hemos tenido conocimiento que la empresa pública está llevando a</w:t>
      </w:r>
      <w:r>
        <w:t xml:space="preserve"> cabo un recorte en la contratación que está dejando sin cubrir el empleo estructural, así como los permisos y cualquier tipo de ausencia de los trabajadores y trabajadoras. </w:t>
      </w:r>
    </w:p>
    <w:p w:rsidR="00B064CF" w:rsidRDefault="00E32F70">
      <w:pPr>
        <w:spacing w:after="0"/>
        <w:ind w:left="355" w:right="72"/>
      </w:pPr>
      <w:r>
        <w:t>A consecuencia de esta decisión, con toda seguridad, los servicios de distribució</w:t>
      </w:r>
      <w:r>
        <w:t xml:space="preserve">n postal prestados hasta ahora en estas unidades de reparto bajarán su calidad drásticamente, con el consiguiente perjuicio para los ciudadanos/as y empresarios/as de Candelaria.  </w:t>
      </w:r>
    </w:p>
    <w:p w:rsidR="00B064CF" w:rsidRDefault="00E32F70">
      <w:pPr>
        <w:spacing w:after="0"/>
        <w:ind w:left="355" w:right="72"/>
      </w:pPr>
      <w:r>
        <w:t>Igualmente manifestamos que esta decisión se adopta sin que, previamente, s</w:t>
      </w:r>
      <w:r>
        <w:t>e haya consultado o informado por vía alguna a la Administración Local de este municipio, por lo que desconocemos los motivos por los que se adopta, y además no se le ha dado ocasión de poder ser escuchada a pesar de afectar directamente a los intereses de</w:t>
      </w:r>
      <w:r>
        <w:t xml:space="preserve"> los ciudadanos/as a los que legítimamente representamos.  </w:t>
      </w:r>
    </w:p>
    <w:p w:rsidR="00B064CF" w:rsidRDefault="00E32F70">
      <w:pPr>
        <w:spacing w:after="11"/>
        <w:ind w:left="355" w:right="72"/>
      </w:pPr>
      <w:r>
        <w:t xml:space="preserve">La actual Ley Postal y otras normas dependientes reconocen sin lugar a duda que:  </w:t>
      </w:r>
    </w:p>
    <w:p w:rsidR="00B064CF" w:rsidRDefault="00E32F70">
      <w:pPr>
        <w:spacing w:after="0" w:line="259" w:lineRule="auto"/>
        <w:ind w:left="360" w:firstLine="0"/>
        <w:jc w:val="left"/>
      </w:pPr>
      <w:r>
        <w:t xml:space="preserve"> </w:t>
      </w:r>
    </w:p>
    <w:p w:rsidR="00B064CF" w:rsidRDefault="00E32F70">
      <w:pPr>
        <w:spacing w:after="0" w:line="238" w:lineRule="auto"/>
        <w:ind w:left="345" w:right="62" w:firstLine="156"/>
      </w:pPr>
      <w:r>
        <w:rPr>
          <w:noProof/>
        </w:rPr>
        <w:drawing>
          <wp:anchor distT="0" distB="0" distL="114300" distR="114300" simplePos="0" relativeHeight="251960320" behindDoc="1" locked="0" layoutInCell="1" allowOverlap="0">
            <wp:simplePos x="0" y="0"/>
            <wp:positionH relativeFrom="column">
              <wp:posOffset>228905</wp:posOffset>
            </wp:positionH>
            <wp:positionV relativeFrom="paragraph">
              <wp:posOffset>397</wp:posOffset>
            </wp:positionV>
            <wp:extent cx="210312" cy="156972"/>
            <wp:effectExtent l="0" t="0" r="0" b="0"/>
            <wp:wrapNone/>
            <wp:docPr id="44963" name="Picture 44963"/>
            <wp:cNvGraphicFramePr/>
            <a:graphic xmlns:a="http://schemas.openxmlformats.org/drawingml/2006/main">
              <a:graphicData uri="http://schemas.openxmlformats.org/drawingml/2006/picture">
                <pic:pic xmlns:pic="http://schemas.openxmlformats.org/drawingml/2006/picture">
                  <pic:nvPicPr>
                    <pic:cNvPr id="44963" name="Picture 44963"/>
                    <pic:cNvPicPr/>
                  </pic:nvPicPr>
                  <pic:blipFill>
                    <a:blip r:embed="rId66"/>
                    <a:stretch>
                      <a:fillRect/>
                    </a:stretch>
                  </pic:blipFill>
                  <pic:spPr>
                    <a:xfrm>
                      <a:off x="0" y="0"/>
                      <a:ext cx="210312" cy="156972"/>
                    </a:xfrm>
                    <a:prstGeom prst="rect">
                      <a:avLst/>
                    </a:prstGeom>
                  </pic:spPr>
                </pic:pic>
              </a:graphicData>
            </a:graphic>
          </wp:anchor>
        </w:drawing>
      </w:r>
      <w:r>
        <w:rPr>
          <w:color w:val="212121"/>
        </w:rPr>
        <w:t xml:space="preserve"> Todos los/as usuarios/as, remitentes o destinatarios de envíos postales tienen derecho a un servicio postal u</w:t>
      </w:r>
      <w:r>
        <w:rPr>
          <w:color w:val="212121"/>
        </w:rPr>
        <w:t xml:space="preserve">niversal de calidad prestado de forma permanente, en todo el territorio nacional y a precios asequibles, al menos cinco días a la semana, conforme a la normativa europea y nacional de aplicación.  </w:t>
      </w:r>
    </w:p>
    <w:p w:rsidR="00B064CF" w:rsidRDefault="00E32F70">
      <w:pPr>
        <w:spacing w:after="0" w:line="259" w:lineRule="auto"/>
        <w:ind w:left="360" w:firstLine="0"/>
        <w:jc w:val="left"/>
      </w:pPr>
      <w:r>
        <w:rPr>
          <w:color w:val="212121"/>
        </w:rPr>
        <w:t xml:space="preserve"> </w:t>
      </w:r>
    </w:p>
    <w:p w:rsidR="00B064CF" w:rsidRDefault="00E32F70">
      <w:pPr>
        <w:spacing w:after="0" w:line="259" w:lineRule="auto"/>
        <w:ind w:left="360" w:firstLine="0"/>
        <w:jc w:val="left"/>
      </w:pPr>
      <w:r>
        <w:rPr>
          <w:color w:val="212121"/>
        </w:rPr>
        <w:t xml:space="preserve"> </w:t>
      </w:r>
    </w:p>
    <w:p w:rsidR="00B064CF" w:rsidRDefault="00E32F70">
      <w:pPr>
        <w:spacing w:after="0" w:line="259" w:lineRule="auto"/>
        <w:ind w:left="360" w:firstLine="0"/>
        <w:jc w:val="left"/>
      </w:pPr>
      <w:r>
        <w:rPr>
          <w:color w:val="212121"/>
        </w:rPr>
        <w:t xml:space="preserve"> </w:t>
      </w:r>
    </w:p>
    <w:p w:rsidR="00B064CF" w:rsidRDefault="00E32F70">
      <w:pPr>
        <w:spacing w:after="0" w:line="238" w:lineRule="auto"/>
        <w:ind w:left="345" w:right="62" w:firstLine="156"/>
      </w:pPr>
      <w:r>
        <w:rPr>
          <w:noProof/>
        </w:rPr>
        <w:drawing>
          <wp:anchor distT="0" distB="0" distL="114300" distR="114300" simplePos="0" relativeHeight="251961344" behindDoc="1" locked="0" layoutInCell="1" allowOverlap="0">
            <wp:simplePos x="0" y="0"/>
            <wp:positionH relativeFrom="column">
              <wp:posOffset>228905</wp:posOffset>
            </wp:positionH>
            <wp:positionV relativeFrom="paragraph">
              <wp:posOffset>396</wp:posOffset>
            </wp:positionV>
            <wp:extent cx="210312" cy="156972"/>
            <wp:effectExtent l="0" t="0" r="0" b="0"/>
            <wp:wrapNone/>
            <wp:docPr id="44975" name="Picture 44975"/>
            <wp:cNvGraphicFramePr/>
            <a:graphic xmlns:a="http://schemas.openxmlformats.org/drawingml/2006/main">
              <a:graphicData uri="http://schemas.openxmlformats.org/drawingml/2006/picture">
                <pic:pic xmlns:pic="http://schemas.openxmlformats.org/drawingml/2006/picture">
                  <pic:nvPicPr>
                    <pic:cNvPr id="44975" name="Picture 44975"/>
                    <pic:cNvPicPr/>
                  </pic:nvPicPr>
                  <pic:blipFill>
                    <a:blip r:embed="rId66"/>
                    <a:stretch>
                      <a:fillRect/>
                    </a:stretch>
                  </pic:blipFill>
                  <pic:spPr>
                    <a:xfrm>
                      <a:off x="0" y="0"/>
                      <a:ext cx="210312" cy="156972"/>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96236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26888" name="Group 426888"/>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5030" name="Rectangle 45030"/>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64SKSNYNJRFPNN5DLPPAAC3GS | Ver</w:t>
                              </w:r>
                              <w:r>
                                <w:rPr>
                                  <w:sz w:val="12"/>
                                </w:rPr>
                                <w:t xml:space="preserve">ificación: https://candelaria.sedelectronica.es/ </w:t>
                              </w:r>
                            </w:p>
                          </w:txbxContent>
                        </wps:txbx>
                        <wps:bodyPr horzOverflow="overflow" vert="horz" lIns="0" tIns="0" rIns="0" bIns="0" rtlCol="0">
                          <a:noAutofit/>
                        </wps:bodyPr>
                      </wps:wsp>
                      <wps:wsp>
                        <wps:cNvPr id="45031" name="Rectangle 45031"/>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291 de 298 </w:t>
                              </w:r>
                            </w:p>
                          </w:txbxContent>
                        </wps:txbx>
                        <wps:bodyPr horzOverflow="overflow" vert="horz" lIns="0" tIns="0" rIns="0" bIns="0" rtlCol="0">
                          <a:noAutofit/>
                        </wps:bodyPr>
                      </wps:wsp>
                    </wpg:wgp>
                  </a:graphicData>
                </a:graphic>
              </wp:anchor>
            </w:drawing>
          </mc:Choice>
          <mc:Fallback xmlns:a="http://schemas.openxmlformats.org/drawingml/2006/main">
            <w:pict>
              <v:group id="Group 426888" style="width:12.7031pt;height:278.91pt;position:absolute;mso-position-horizontal-relative:page;mso-position-horizontal:absolute;margin-left:682.278pt;mso-position-vertical-relative:page;margin-top:533.01pt;" coordsize="1613,35421">
                <v:rect id="Rectangle 45030"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5031"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291 de 298 </w:t>
                        </w:r>
                      </w:p>
                    </w:txbxContent>
                  </v:textbox>
                </v:rect>
                <w10:wrap type="square"/>
              </v:group>
            </w:pict>
          </mc:Fallback>
        </mc:AlternateContent>
      </w:r>
      <w:r>
        <w:rPr>
          <w:color w:val="212121"/>
        </w:rPr>
        <w:t xml:space="preserve"> El alcance y la prestación efectiva del servicio postal universal deberán responder a los principios de cohe</w:t>
      </w:r>
      <w:r>
        <w:rPr>
          <w:color w:val="212121"/>
        </w:rPr>
        <w:t xml:space="preserve">sión social y territorial, no discriminación por razón de cualquier circunstancia o condición personal, social o geográfica, continuidad, eficacia y eficiencia en el servicio, y </w:t>
      </w:r>
      <w:r>
        <w:rPr>
          <w:b/>
          <w:color w:val="212121"/>
        </w:rPr>
        <w:t>deberá adecuarse permanentemente a las condiciones técnicas, económicas, socia</w:t>
      </w:r>
      <w:r>
        <w:rPr>
          <w:b/>
          <w:color w:val="212121"/>
        </w:rPr>
        <w:t xml:space="preserve">les y territoriales y a las necesidades de los usuarios, en particular en materia de densidad de puntos de acceso y de accesibilidad a los mismos, sin menoscabo de su calidad. </w:t>
      </w:r>
      <w:r>
        <w:rPr>
          <w:sz w:val="24"/>
        </w:rPr>
        <w:t xml:space="preserve"> </w:t>
      </w:r>
    </w:p>
    <w:p w:rsidR="00B064CF" w:rsidRDefault="00E32F70">
      <w:pPr>
        <w:spacing w:after="0" w:line="259" w:lineRule="auto"/>
        <w:ind w:left="360" w:firstLine="0"/>
        <w:jc w:val="left"/>
      </w:pPr>
      <w:r>
        <w:rPr>
          <w:color w:val="212121"/>
        </w:rPr>
        <w:t xml:space="preserve"> </w:t>
      </w:r>
    </w:p>
    <w:p w:rsidR="00B064CF" w:rsidRDefault="00E32F70">
      <w:pPr>
        <w:spacing w:after="4"/>
        <w:ind w:left="355" w:right="68"/>
      </w:pPr>
      <w:r>
        <w:t xml:space="preserve">Por lo expuesto, el </w:t>
      </w:r>
      <w:r>
        <w:rPr>
          <w:b/>
        </w:rPr>
        <w:t>Pleno del Ayuntamiento de Candelaria</w:t>
      </w:r>
      <w:r>
        <w:t xml:space="preserve">, a través de esta </w:t>
      </w:r>
      <w:r>
        <w:rPr>
          <w:b/>
        </w:rPr>
        <w:t xml:space="preserve">MOCIÓN, REQUIERE A: </w:t>
      </w:r>
      <w:r>
        <w:rPr>
          <w:sz w:val="24"/>
        </w:rPr>
        <w:t xml:space="preserve"> </w:t>
      </w:r>
    </w:p>
    <w:p w:rsidR="00B064CF" w:rsidRDefault="00E32F70">
      <w:pPr>
        <w:spacing w:after="0" w:line="259" w:lineRule="auto"/>
        <w:ind w:left="360" w:firstLine="0"/>
        <w:jc w:val="left"/>
      </w:pPr>
      <w:r>
        <w:t xml:space="preserve"> </w:t>
      </w:r>
    </w:p>
    <w:p w:rsidR="00B064CF" w:rsidRDefault="00E32F70">
      <w:pPr>
        <w:spacing w:after="11"/>
        <w:ind w:left="536" w:right="72"/>
      </w:pPr>
      <w:r>
        <w:rPr>
          <w:noProof/>
        </w:rPr>
        <w:drawing>
          <wp:anchor distT="0" distB="0" distL="114300" distR="114300" simplePos="0" relativeHeight="251963392" behindDoc="1" locked="0" layoutInCell="1" allowOverlap="0">
            <wp:simplePos x="0" y="0"/>
            <wp:positionH relativeFrom="column">
              <wp:posOffset>228905</wp:posOffset>
            </wp:positionH>
            <wp:positionV relativeFrom="paragraph">
              <wp:posOffset>396</wp:posOffset>
            </wp:positionV>
            <wp:extent cx="210312" cy="156972"/>
            <wp:effectExtent l="0" t="0" r="0" b="0"/>
            <wp:wrapNone/>
            <wp:docPr id="44996" name="Picture 44996"/>
            <wp:cNvGraphicFramePr/>
            <a:graphic xmlns:a="http://schemas.openxmlformats.org/drawingml/2006/main">
              <a:graphicData uri="http://schemas.openxmlformats.org/drawingml/2006/picture">
                <pic:pic xmlns:pic="http://schemas.openxmlformats.org/drawingml/2006/picture">
                  <pic:nvPicPr>
                    <pic:cNvPr id="44996" name="Picture 44996"/>
                    <pic:cNvPicPr/>
                  </pic:nvPicPr>
                  <pic:blipFill>
                    <a:blip r:embed="rId67"/>
                    <a:stretch>
                      <a:fillRect/>
                    </a:stretch>
                  </pic:blipFill>
                  <pic:spPr>
                    <a:xfrm>
                      <a:off x="0" y="0"/>
                      <a:ext cx="210312" cy="156972"/>
                    </a:xfrm>
                    <a:prstGeom prst="rect">
                      <a:avLst/>
                    </a:prstGeom>
                  </pic:spPr>
                </pic:pic>
              </a:graphicData>
            </a:graphic>
          </wp:anchor>
        </w:drawing>
      </w:r>
      <w:r>
        <w:t xml:space="preserve"> LA SAE CORREOS Y TELEGRAFOS, S.M.E.  </w:t>
      </w:r>
    </w:p>
    <w:p w:rsidR="00B064CF" w:rsidRDefault="00E32F70">
      <w:pPr>
        <w:spacing w:after="0" w:line="259" w:lineRule="auto"/>
        <w:ind w:left="360" w:firstLine="0"/>
        <w:jc w:val="left"/>
      </w:pPr>
      <w:r>
        <w:t xml:space="preserve"> </w:t>
      </w:r>
    </w:p>
    <w:p w:rsidR="00B064CF" w:rsidRDefault="00E32F70">
      <w:pPr>
        <w:spacing w:after="11"/>
        <w:ind w:left="536" w:right="72"/>
      </w:pPr>
      <w:r>
        <w:rPr>
          <w:noProof/>
        </w:rPr>
        <w:drawing>
          <wp:anchor distT="0" distB="0" distL="114300" distR="114300" simplePos="0" relativeHeight="251964416" behindDoc="1" locked="0" layoutInCell="1" allowOverlap="0">
            <wp:simplePos x="0" y="0"/>
            <wp:positionH relativeFrom="column">
              <wp:posOffset>228905</wp:posOffset>
            </wp:positionH>
            <wp:positionV relativeFrom="paragraph">
              <wp:posOffset>396</wp:posOffset>
            </wp:positionV>
            <wp:extent cx="210312" cy="156972"/>
            <wp:effectExtent l="0" t="0" r="0" b="0"/>
            <wp:wrapNone/>
            <wp:docPr id="45002" name="Picture 45002"/>
            <wp:cNvGraphicFramePr/>
            <a:graphic xmlns:a="http://schemas.openxmlformats.org/drawingml/2006/main">
              <a:graphicData uri="http://schemas.openxmlformats.org/drawingml/2006/picture">
                <pic:pic xmlns:pic="http://schemas.openxmlformats.org/drawingml/2006/picture">
                  <pic:nvPicPr>
                    <pic:cNvPr id="45002" name="Picture 45002"/>
                    <pic:cNvPicPr/>
                  </pic:nvPicPr>
                  <pic:blipFill>
                    <a:blip r:embed="rId67"/>
                    <a:stretch>
                      <a:fillRect/>
                    </a:stretch>
                  </pic:blipFill>
                  <pic:spPr>
                    <a:xfrm>
                      <a:off x="0" y="0"/>
                      <a:ext cx="210312" cy="156972"/>
                    </a:xfrm>
                    <a:prstGeom prst="rect">
                      <a:avLst/>
                    </a:prstGeom>
                  </pic:spPr>
                </pic:pic>
              </a:graphicData>
            </a:graphic>
          </wp:anchor>
        </w:drawing>
      </w:r>
      <w:r>
        <w:t xml:space="preserve"> A LA SOCIEDAD ESTATAL DE PARTICIPACIONES INDUSTRIALES (SEPI)  </w:t>
      </w:r>
    </w:p>
    <w:p w:rsidR="00B064CF" w:rsidRDefault="00E32F70">
      <w:pPr>
        <w:spacing w:after="0" w:line="259" w:lineRule="auto"/>
        <w:ind w:left="360" w:firstLine="0"/>
        <w:jc w:val="left"/>
      </w:pPr>
      <w:r>
        <w:t xml:space="preserve"> </w:t>
      </w:r>
    </w:p>
    <w:p w:rsidR="00B064CF" w:rsidRDefault="00E32F70">
      <w:pPr>
        <w:spacing w:after="0"/>
        <w:ind w:left="355" w:right="72"/>
      </w:pPr>
      <w:r>
        <w:t xml:space="preserve">para que adopten las siguientes medidas, que entendemos necesarias para garantizar la prestación de los servicios postales </w:t>
      </w:r>
      <w:r>
        <w:t xml:space="preserve">y su permanencia en este Municipio de Candelaria:  </w:t>
      </w:r>
    </w:p>
    <w:p w:rsidR="00B064CF" w:rsidRDefault="00E32F70">
      <w:pPr>
        <w:spacing w:after="0" w:line="259" w:lineRule="auto"/>
        <w:ind w:left="360" w:firstLine="0"/>
        <w:jc w:val="left"/>
      </w:pPr>
      <w:r>
        <w:t xml:space="preserve"> </w:t>
      </w:r>
    </w:p>
    <w:p w:rsidR="00B064CF" w:rsidRDefault="00E32F70">
      <w:pPr>
        <w:spacing w:after="114"/>
        <w:ind w:left="355" w:right="72"/>
      </w:pPr>
      <w:r>
        <w:t>1ª.- Afrontar diligentemente la cobertura de los puestos estructurales suprimidos o que no se han cubierto tras la jubilación de su antecesor en la Unidad de Reparto de Candelaria necesarios para ofrece</w:t>
      </w:r>
      <w:r>
        <w:t xml:space="preserve">r un servicio de calidad a la ciudadanía. </w:t>
      </w:r>
    </w:p>
    <w:p w:rsidR="00B064CF" w:rsidRDefault="00E32F70">
      <w:pPr>
        <w:spacing w:after="98" w:line="259" w:lineRule="auto"/>
        <w:ind w:left="360" w:firstLine="0"/>
        <w:jc w:val="left"/>
      </w:pPr>
      <w:r>
        <w:t xml:space="preserve"> </w:t>
      </w:r>
    </w:p>
    <w:p w:rsidR="00B064CF" w:rsidRDefault="00E32F70">
      <w:pPr>
        <w:spacing w:after="0"/>
        <w:ind w:left="355" w:right="72"/>
      </w:pPr>
      <w:r>
        <w:t>2ª.- Mantener la calidad de las condiciones laborales, garantizando una plantilla con suficientes trabajadores y trabajadoras que permita las correspondientes sustituciones por enfermedad, permisos o vacaciones.</w:t>
      </w:r>
      <w:r>
        <w:t xml:space="preserve"> </w:t>
      </w:r>
    </w:p>
    <w:p w:rsidR="00B064CF" w:rsidRDefault="00E32F70">
      <w:pPr>
        <w:spacing w:after="0" w:line="259" w:lineRule="auto"/>
        <w:ind w:left="360" w:firstLine="0"/>
        <w:jc w:val="left"/>
      </w:pPr>
      <w:r>
        <w:t xml:space="preserve">  </w:t>
      </w:r>
    </w:p>
    <w:p w:rsidR="00B064CF" w:rsidRDefault="00E32F70">
      <w:pPr>
        <w:spacing w:after="0"/>
        <w:ind w:left="355" w:right="72"/>
      </w:pPr>
      <w:r>
        <w:t>3ª.- Garantía de los compromisos de financiación que permitan en nuestra localidad, cumpliendo los parámetros de calidad determinados por Ley, el correcto desempeño de la prestación de los servicios postales, y asegurando que todos los ciudadanos/as r</w:t>
      </w:r>
      <w:r>
        <w:t xml:space="preserve">eciban el reparto de correspondencia 5 días a la semana como mandata la Directiva Postal europea.  </w:t>
      </w:r>
    </w:p>
    <w:p w:rsidR="00B064CF" w:rsidRDefault="00E32F70">
      <w:pPr>
        <w:spacing w:after="0" w:line="259" w:lineRule="auto"/>
        <w:ind w:left="360" w:firstLine="0"/>
        <w:jc w:val="left"/>
      </w:pPr>
      <w:r>
        <w:t xml:space="preserve"> </w:t>
      </w:r>
    </w:p>
    <w:p w:rsidR="00B064CF" w:rsidRDefault="00E32F70">
      <w:pPr>
        <w:spacing w:after="4"/>
        <w:ind w:left="355" w:right="68"/>
      </w:pPr>
      <w:r>
        <w:rPr>
          <w:b/>
        </w:rPr>
        <w:t xml:space="preserve">Se dará traslado de este acuerdo a la Sociedad Estatal Correos y Telégrafos y a la Sociedad Estatal de Participaciones Industriales (SEPI).  </w:t>
      </w:r>
    </w:p>
    <w:p w:rsidR="00B064CF" w:rsidRDefault="00E32F70">
      <w:pPr>
        <w:spacing w:after="0" w:line="259" w:lineRule="auto"/>
        <w:ind w:left="360" w:firstLine="0"/>
        <w:jc w:val="left"/>
      </w:pPr>
      <w:r>
        <w:t xml:space="preserve"> </w:t>
      </w:r>
    </w:p>
    <w:p w:rsidR="00B064CF" w:rsidRDefault="00E32F70">
      <w:pPr>
        <w:spacing w:after="106" w:line="250" w:lineRule="auto"/>
        <w:ind w:left="906" w:right="615"/>
        <w:jc w:val="center"/>
      </w:pPr>
      <w:r>
        <w:t>En Candela</w:t>
      </w:r>
      <w:r>
        <w:t xml:space="preserve">ria, a 14 de Mayo de 2021. </w:t>
      </w:r>
    </w:p>
    <w:p w:rsidR="00B064CF" w:rsidRDefault="00E32F70">
      <w:pPr>
        <w:spacing w:after="98" w:line="259" w:lineRule="auto"/>
        <w:ind w:left="340" w:firstLine="0"/>
        <w:jc w:val="center"/>
      </w:pPr>
      <w:r>
        <w:t xml:space="preserve"> </w:t>
      </w:r>
    </w:p>
    <w:p w:rsidR="00B064CF" w:rsidRDefault="00E32F70">
      <w:pPr>
        <w:spacing w:after="122" w:line="238" w:lineRule="auto"/>
        <w:ind w:left="4384" w:hanging="3469"/>
        <w:jc w:val="left"/>
      </w:pPr>
      <w:r>
        <w:rPr>
          <w:b/>
          <w:color w:val="0E233D"/>
        </w:rPr>
        <w:t>SRA. ALCALDESA-PRESIDENTA DEL ILUSTRE AYUNTAMIENTO DE LA VILLA DE CANDELARIA</w:t>
      </w:r>
      <w:r>
        <w:rPr>
          <w:color w:val="0E233D"/>
        </w:rPr>
        <w:t>.</w:t>
      </w:r>
      <w:r>
        <w:t xml:space="preserve"> </w:t>
      </w:r>
    </w:p>
    <w:p w:rsidR="00B064CF" w:rsidRDefault="00E32F70">
      <w:pPr>
        <w:spacing w:after="98" w:line="259" w:lineRule="auto"/>
        <w:ind w:left="360" w:firstLine="0"/>
        <w:jc w:val="left"/>
      </w:pPr>
      <w:r>
        <w:rPr>
          <w:b/>
        </w:rPr>
        <w:t xml:space="preserve"> </w:t>
      </w:r>
    </w:p>
    <w:p w:rsidR="00B064CF" w:rsidRDefault="00E32F70">
      <w:pPr>
        <w:spacing w:after="98" w:line="259" w:lineRule="auto"/>
        <w:ind w:left="360" w:firstLine="0"/>
        <w:jc w:val="left"/>
      </w:pPr>
      <w:r>
        <w:rPr>
          <w:b/>
        </w:rPr>
        <w:t xml:space="preserve"> </w:t>
      </w:r>
    </w:p>
    <w:p w:rsidR="00B064CF" w:rsidRDefault="00E32F70">
      <w:pPr>
        <w:spacing w:after="0" w:line="259" w:lineRule="auto"/>
        <w:ind w:left="360" w:firstLine="0"/>
        <w:jc w:val="left"/>
      </w:pPr>
      <w:r>
        <w:rPr>
          <w:b/>
        </w:rPr>
        <w:t xml:space="preserve"> </w:t>
      </w:r>
    </w:p>
    <w:p w:rsidR="00B064CF" w:rsidRDefault="00E32F70">
      <w:pPr>
        <w:spacing w:after="0" w:line="259" w:lineRule="auto"/>
        <w:ind w:left="360" w:firstLine="0"/>
        <w:jc w:val="left"/>
      </w:pPr>
      <w:r>
        <w:rPr>
          <w:b/>
        </w:rPr>
        <w:t xml:space="preserve"> </w:t>
      </w:r>
    </w:p>
    <w:p w:rsidR="00B064CF" w:rsidRDefault="00E32F70">
      <w:pPr>
        <w:spacing w:after="0" w:line="259" w:lineRule="auto"/>
        <w:ind w:left="360" w:firstLine="0"/>
        <w:jc w:val="left"/>
      </w:pPr>
      <w:r>
        <w:rPr>
          <w:b/>
        </w:rPr>
        <w:t xml:space="preserve"> </w:t>
      </w:r>
    </w:p>
    <w:p w:rsidR="00B064CF" w:rsidRDefault="00E32F70">
      <w:pPr>
        <w:spacing w:after="4"/>
        <w:ind w:left="355" w:right="68"/>
      </w:pPr>
      <w:r>
        <w:rPr>
          <w:b/>
        </w:rPr>
        <w:t xml:space="preserve">DICTAMEN FAVORABLE DE LA COMISIÓN INFORMATIVA DE HACIENDA, RECURSOS HUMANOS Y SERVICIOS GENERALES DE 24 DE MAYO DE 2021. </w:t>
      </w:r>
    </w:p>
    <w:p w:rsidR="00B064CF" w:rsidRDefault="00E32F70">
      <w:pPr>
        <w:spacing w:after="0" w:line="259" w:lineRule="auto"/>
        <w:ind w:left="360" w:firstLine="0"/>
        <w:jc w:val="left"/>
      </w:pPr>
      <w:r>
        <w:rPr>
          <w:b/>
        </w:rPr>
        <w:t xml:space="preserve"> </w:t>
      </w:r>
    </w:p>
    <w:p w:rsidR="00B064CF" w:rsidRDefault="00E32F70">
      <w:pPr>
        <w:spacing w:after="11"/>
        <w:ind w:left="355" w:right="72"/>
      </w:pPr>
      <w:r>
        <w:rPr>
          <w:rFonts w:ascii="Calibri" w:eastAsia="Calibri" w:hAnsi="Calibri" w:cs="Calibri"/>
          <w:noProof/>
        </w:rPr>
        <mc:AlternateContent>
          <mc:Choice Requires="wpg">
            <w:drawing>
              <wp:anchor distT="0" distB="0" distL="114300" distR="114300" simplePos="0" relativeHeight="25196544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27176" name="Group 427176"/>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5138" name="Rectangle 45138"/>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45139" name="Rectangle 45139"/>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292 de 298 </w:t>
                              </w:r>
                            </w:p>
                          </w:txbxContent>
                        </wps:txbx>
                        <wps:bodyPr horzOverflow="overflow" vert="horz" lIns="0" tIns="0" rIns="0" bIns="0" rtlCol="0">
                          <a:noAutofit/>
                        </wps:bodyPr>
                      </wps:wsp>
                    </wpg:wgp>
                  </a:graphicData>
                </a:graphic>
              </wp:anchor>
            </w:drawing>
          </mc:Choice>
          <mc:Fallback xmlns:a="http://schemas.openxmlformats.org/drawingml/2006/main">
            <w:pict>
              <v:group id="Group 427176" style="width:12.7031pt;height:278.91pt;position:absolute;mso-position-horizontal-relative:page;mso-position-horizontal:absolute;margin-left:682.278pt;mso-position-vertical-relative:page;margin-top:533.01pt;" coordsize="1613,35421">
                <v:rect id="Rectangle 45138"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5139"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292 de 298 </w:t>
                        </w:r>
                      </w:p>
                    </w:txbxContent>
                  </v:textbox>
                </v:rect>
                <w10:wrap type="square"/>
              </v:group>
            </w:pict>
          </mc:Fallback>
        </mc:AlternateContent>
      </w:r>
      <w:r>
        <w:t xml:space="preserve">Votos a favor: 1. </w:t>
      </w:r>
    </w:p>
    <w:p w:rsidR="00B064CF" w:rsidRDefault="00E32F70">
      <w:pPr>
        <w:spacing w:after="11"/>
        <w:ind w:left="355" w:right="72"/>
      </w:pPr>
      <w:r>
        <w:t xml:space="preserve">La concejal del Grupo Mixto (SSP), Doña Ángela Cruz Perera.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Votos en contra: 0.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Abstenciones: 6. </w:t>
      </w:r>
    </w:p>
    <w:p w:rsidR="00B064CF" w:rsidRDefault="00E32F70">
      <w:pPr>
        <w:spacing w:after="0"/>
        <w:ind w:left="355" w:right="72"/>
      </w:pPr>
      <w:r>
        <w:t xml:space="preserve">Los 4 concejales del Grupo Socialista: Don Airam Pérez Chinea, Don José Francisco Pinto Ramos, Don Olegario Francisco Alonso Bello y Don Jorge Baute Delgado.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El concejal del Grupo Popular, Don Juan Miguel Olivera González. </w:t>
      </w:r>
    </w:p>
    <w:p w:rsidR="00B064CF" w:rsidRDefault="00E32F70">
      <w:pPr>
        <w:spacing w:after="0" w:line="259" w:lineRule="auto"/>
        <w:ind w:left="360" w:firstLine="0"/>
        <w:jc w:val="left"/>
      </w:pPr>
      <w:r>
        <w:t xml:space="preserve"> </w:t>
      </w:r>
    </w:p>
    <w:p w:rsidR="00B064CF" w:rsidRDefault="00E32F70">
      <w:pPr>
        <w:spacing w:after="11"/>
        <w:ind w:left="355" w:right="72"/>
      </w:pPr>
      <w:r>
        <w:t>La concejal del Grupo Mixto</w:t>
      </w:r>
      <w:r>
        <w:t xml:space="preserve"> (SSP), Doña Lourdes del Carmen Mondéjar Rondón.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rPr>
          <w:b/>
        </w:rPr>
        <w:t xml:space="preserve"> </w:t>
      </w:r>
    </w:p>
    <w:p w:rsidR="00B064CF" w:rsidRDefault="00E32F70">
      <w:pPr>
        <w:spacing w:after="4"/>
        <w:ind w:left="355" w:right="68"/>
      </w:pPr>
      <w:r>
        <w:rPr>
          <w:b/>
        </w:rPr>
        <w:t xml:space="preserve">JUNTA DE PORTAVOCES DE 24 DE MAYO DE 2021. </w:t>
      </w:r>
    </w:p>
    <w:p w:rsidR="00B064CF" w:rsidRDefault="00E32F70">
      <w:pPr>
        <w:spacing w:after="11"/>
        <w:ind w:left="355" w:right="72"/>
      </w:pPr>
      <w:r>
        <w:t xml:space="preserve">Quedó oída. </w:t>
      </w:r>
    </w:p>
    <w:p w:rsidR="00B064CF" w:rsidRDefault="00E32F70">
      <w:pPr>
        <w:spacing w:after="0" w:line="259" w:lineRule="auto"/>
        <w:ind w:left="360" w:firstLine="0"/>
        <w:jc w:val="left"/>
      </w:pPr>
      <w:r>
        <w:rPr>
          <w:b/>
        </w:rPr>
        <w:t xml:space="preserve"> </w:t>
      </w:r>
    </w:p>
    <w:p w:rsidR="00B064CF" w:rsidRDefault="00E32F70">
      <w:pPr>
        <w:spacing w:after="4"/>
        <w:ind w:left="355" w:right="68"/>
      </w:pPr>
      <w:r>
        <w:rPr>
          <w:b/>
        </w:rPr>
        <w:t xml:space="preserve">VOTACIÓN EN EL PLENO DE 27 DE MAYO DE 2021. </w:t>
      </w:r>
    </w:p>
    <w:p w:rsidR="00B064CF" w:rsidRDefault="00E32F70">
      <w:pPr>
        <w:spacing w:after="0" w:line="259" w:lineRule="auto"/>
        <w:ind w:left="360" w:firstLine="0"/>
        <w:jc w:val="left"/>
      </w:pPr>
      <w:r>
        <w:t xml:space="preserve"> </w:t>
      </w:r>
    </w:p>
    <w:p w:rsidR="00B064CF" w:rsidRDefault="00E32F70">
      <w:pPr>
        <w:spacing w:after="11"/>
        <w:ind w:left="355" w:right="72"/>
      </w:pPr>
      <w:r>
        <w:t xml:space="preserve">La unanimidad de los 14 concejales presentes:  </w:t>
      </w:r>
    </w:p>
    <w:p w:rsidR="00B064CF" w:rsidRDefault="00E32F70">
      <w:pPr>
        <w:spacing w:after="11"/>
        <w:ind w:left="355" w:right="72"/>
      </w:pPr>
      <w:r>
        <w:t>11 concejales del Grupo Socialista: Doña María C</w:t>
      </w:r>
      <w:r>
        <w:t xml:space="preserve">oncepción Brito Núñez, Don Jorge Baute Delgado, </w:t>
      </w:r>
    </w:p>
    <w:p w:rsidR="00B064CF" w:rsidRDefault="00E32F70">
      <w:pPr>
        <w:spacing w:after="0"/>
        <w:ind w:left="355" w:right="72"/>
      </w:pPr>
      <w:r>
        <w:t>Doña Olivia Concepción Pérez Díaz, Don José Francisco Pinto Ramos, Doña Hilaria Cecilia Otazo González, Don Airam Pérez Chinea, Doña Margarita Eva Tendero Barroso, Don Manuel Alberto González Pestano, Doña M</w:t>
      </w:r>
      <w:r>
        <w:t xml:space="preserve">aría del Carmen Clemente Díaz, Don Olegario Francisco Alonso Bello y Don Reinaldo José Triviño Blanco. </w:t>
      </w:r>
    </w:p>
    <w:p w:rsidR="00B064CF" w:rsidRDefault="00E32F70">
      <w:pPr>
        <w:spacing w:after="111"/>
        <w:ind w:left="355" w:right="72"/>
      </w:pPr>
      <w:r>
        <w:t xml:space="preserve">3 concejales del Grupo Mixto: Don Antonio Delgado García y Doña Lourdes del Carmen Mondéjar Rondón (SSP) y Doña Ángela Cruz Perera (CC-PNC). </w:t>
      </w:r>
    </w:p>
    <w:p w:rsidR="00B064CF" w:rsidRDefault="00E32F70">
      <w:pPr>
        <w:spacing w:after="0" w:line="259" w:lineRule="auto"/>
        <w:ind w:left="360" w:firstLine="0"/>
        <w:jc w:val="left"/>
      </w:pPr>
      <w:r>
        <w:t xml:space="preserve"> </w:t>
      </w:r>
    </w:p>
    <w:p w:rsidR="00B064CF" w:rsidRDefault="00E32F70">
      <w:pPr>
        <w:spacing w:after="0" w:line="259" w:lineRule="auto"/>
        <w:ind w:left="1779" w:firstLine="0"/>
        <w:jc w:val="left"/>
      </w:pPr>
      <w:r>
        <w:rPr>
          <w:b/>
        </w:rPr>
        <w:t xml:space="preserve"> </w:t>
      </w:r>
    </w:p>
    <w:p w:rsidR="00B064CF" w:rsidRDefault="00E32F70">
      <w:pPr>
        <w:spacing w:after="0" w:line="259" w:lineRule="auto"/>
        <w:ind w:left="1779" w:firstLine="0"/>
        <w:jc w:val="left"/>
      </w:pPr>
      <w:r>
        <w:rPr>
          <w:b/>
        </w:rPr>
        <w:t xml:space="preserve"> </w:t>
      </w:r>
    </w:p>
    <w:p w:rsidR="00B064CF" w:rsidRDefault="00E32F70">
      <w:pPr>
        <w:spacing w:after="4"/>
        <w:ind w:left="1789" w:right="68"/>
      </w:pPr>
      <w:r>
        <w:rPr>
          <w:b/>
        </w:rPr>
        <w:t xml:space="preserve">    </w:t>
      </w:r>
      <w:r>
        <w:rPr>
          <w:b/>
        </w:rPr>
        <w:t xml:space="preserve">ACUERDO DEL PLENO DE 27 DE MAYO DE 2021. </w:t>
      </w:r>
    </w:p>
    <w:p w:rsidR="00B064CF" w:rsidRDefault="00E32F70">
      <w:pPr>
        <w:spacing w:after="0" w:line="259" w:lineRule="auto"/>
        <w:ind w:left="360" w:firstLine="0"/>
        <w:jc w:val="left"/>
      </w:pPr>
      <w:r>
        <w:rPr>
          <w:b/>
        </w:rPr>
        <w:t xml:space="preserve"> </w:t>
      </w:r>
    </w:p>
    <w:p w:rsidR="00B064CF" w:rsidRDefault="00E32F70">
      <w:pPr>
        <w:spacing w:after="114"/>
        <w:ind w:left="355" w:right="68"/>
      </w:pPr>
      <w:r>
        <w:rPr>
          <w:b/>
        </w:rPr>
        <w:t>Aprobar la moción de Grupo Mixto con nº de registro (2021-E-RE-1641) de 14 de mayo de 2021 en defensa del servicio público de correos y por tanto el Pleno del Ayuntamiento de Candelaria a través de esta moción re</w:t>
      </w:r>
      <w:r>
        <w:rPr>
          <w:b/>
        </w:rPr>
        <w:t>quiere a:</w:t>
      </w:r>
      <w:r>
        <w:t xml:space="preserve"> </w:t>
      </w:r>
    </w:p>
    <w:p w:rsidR="00B064CF" w:rsidRDefault="00E32F70">
      <w:pPr>
        <w:spacing w:after="0" w:line="259" w:lineRule="auto"/>
        <w:ind w:left="360" w:firstLine="0"/>
        <w:jc w:val="left"/>
      </w:pPr>
      <w:r>
        <w:t xml:space="preserve"> </w:t>
      </w:r>
    </w:p>
    <w:p w:rsidR="00B064CF" w:rsidRDefault="00E32F70">
      <w:pPr>
        <w:spacing w:after="4"/>
        <w:ind w:left="355" w:right="68"/>
      </w:pPr>
      <w:r>
        <w:rPr>
          <w:b/>
        </w:rPr>
        <w:t xml:space="preserve">-LA SAE CORREOS Y TELEGRAFOS, S.M.E.  </w:t>
      </w:r>
    </w:p>
    <w:p w:rsidR="00B064CF" w:rsidRDefault="00E32F70">
      <w:pPr>
        <w:spacing w:after="0" w:line="259" w:lineRule="auto"/>
        <w:ind w:left="360" w:firstLine="0"/>
        <w:jc w:val="left"/>
      </w:pPr>
      <w:r>
        <w:rPr>
          <w:b/>
        </w:rPr>
        <w:t xml:space="preserve"> </w:t>
      </w:r>
    </w:p>
    <w:p w:rsidR="00B064CF" w:rsidRDefault="00E32F70">
      <w:pPr>
        <w:spacing w:after="4"/>
        <w:ind w:left="355" w:right="68"/>
      </w:pPr>
      <w:r>
        <w:rPr>
          <w:b/>
        </w:rPr>
        <w:t xml:space="preserve">-A LA SOCIEDAD ESTATAL DE PARTICIPACIONES INDUSTRIALES (SEPI)  </w:t>
      </w:r>
    </w:p>
    <w:p w:rsidR="00B064CF" w:rsidRDefault="00E32F70">
      <w:pPr>
        <w:spacing w:after="0" w:line="259" w:lineRule="auto"/>
        <w:ind w:left="360" w:firstLine="0"/>
        <w:jc w:val="left"/>
      </w:pPr>
      <w:r>
        <w:rPr>
          <w:b/>
        </w:rPr>
        <w:t xml:space="preserve"> </w:t>
      </w:r>
    </w:p>
    <w:p w:rsidR="00B064CF" w:rsidRDefault="00E32F70">
      <w:pPr>
        <w:spacing w:after="4"/>
        <w:ind w:left="355" w:right="68"/>
      </w:pPr>
      <w:r>
        <w:rPr>
          <w:b/>
        </w:rPr>
        <w:t>para que adopten las siguientes medidas, que entendemos necesarias para garantizar la prestación de los servicios postales y su permanen</w:t>
      </w:r>
      <w:r>
        <w:rPr>
          <w:b/>
        </w:rPr>
        <w:t xml:space="preserve">cia en este Municipio de Candelaria:  </w:t>
      </w:r>
    </w:p>
    <w:p w:rsidR="00B064CF" w:rsidRDefault="00E32F70">
      <w:pPr>
        <w:spacing w:after="0" w:line="259" w:lineRule="auto"/>
        <w:ind w:left="360" w:firstLine="0"/>
        <w:jc w:val="left"/>
      </w:pPr>
      <w:r>
        <w:rPr>
          <w:b/>
        </w:rPr>
        <w:t xml:space="preserve"> </w:t>
      </w:r>
    </w:p>
    <w:p w:rsidR="00B064CF" w:rsidRDefault="00E32F70">
      <w:pPr>
        <w:spacing w:after="98" w:line="259" w:lineRule="auto"/>
        <w:ind w:left="360" w:firstLine="0"/>
        <w:jc w:val="left"/>
      </w:pPr>
      <w:r>
        <w:rPr>
          <w:b/>
        </w:rPr>
        <w:t xml:space="preserve"> </w:t>
      </w:r>
    </w:p>
    <w:p w:rsidR="00B064CF" w:rsidRDefault="00E32F70">
      <w:pPr>
        <w:spacing w:after="112"/>
        <w:ind w:left="355" w:right="68"/>
      </w:pPr>
      <w:r>
        <w:rPr>
          <w:b/>
        </w:rPr>
        <w:t>1ª.- Afrontar diligentemente la cobertura de los puestos estructurales suprimidos o que no se han cubierto tras la jubilación de su antecesor en la Unidad de Reparto de Candelaria necesarios para ofrecer un servic</w:t>
      </w:r>
      <w:r>
        <w:rPr>
          <w:b/>
        </w:rPr>
        <w:t xml:space="preserve">io de calidad a la ciudadanía. </w:t>
      </w:r>
    </w:p>
    <w:p w:rsidR="00B064CF" w:rsidRDefault="00E32F70">
      <w:pPr>
        <w:spacing w:after="100" w:line="259" w:lineRule="auto"/>
        <w:ind w:left="360" w:firstLine="0"/>
        <w:jc w:val="left"/>
      </w:pPr>
      <w:r>
        <w:rPr>
          <w:rFonts w:ascii="Calibri" w:eastAsia="Calibri" w:hAnsi="Calibri" w:cs="Calibri"/>
          <w:noProof/>
        </w:rPr>
        <mc:AlternateContent>
          <mc:Choice Requires="wpg">
            <w:drawing>
              <wp:anchor distT="0" distB="0" distL="114300" distR="114300" simplePos="0" relativeHeight="251966464"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27302" name="Group 427302"/>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5257" name="Rectangle 45257"/>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45258" name="Rectangle 45258"/>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293 de 298 </w:t>
                              </w:r>
                            </w:p>
                          </w:txbxContent>
                        </wps:txbx>
                        <wps:bodyPr horzOverflow="overflow" vert="horz" lIns="0" tIns="0" rIns="0" bIns="0" rtlCol="0">
                          <a:noAutofit/>
                        </wps:bodyPr>
                      </wps:wsp>
                    </wpg:wgp>
                  </a:graphicData>
                </a:graphic>
              </wp:anchor>
            </w:drawing>
          </mc:Choice>
          <mc:Fallback xmlns:a="http://schemas.openxmlformats.org/drawingml/2006/main">
            <w:pict>
              <v:group id="Group 427302" style="width:12.7031pt;height:278.91pt;position:absolute;mso-position-horizontal-relative:page;mso-position-horizontal:absolute;margin-left:682.278pt;mso-position-vertical-relative:page;margin-top:533.01pt;" coordsize="1613,35421">
                <v:rect id="Rectangle 45257"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5258"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293 de 298 </w:t>
                        </w:r>
                      </w:p>
                    </w:txbxContent>
                  </v:textbox>
                </v:rect>
                <w10:wrap type="square"/>
              </v:group>
            </w:pict>
          </mc:Fallback>
        </mc:AlternateContent>
      </w:r>
      <w:r>
        <w:rPr>
          <w:b/>
        </w:rPr>
        <w:t xml:space="preserve"> </w:t>
      </w:r>
    </w:p>
    <w:p w:rsidR="00B064CF" w:rsidRDefault="00E32F70">
      <w:pPr>
        <w:spacing w:after="0" w:line="259" w:lineRule="auto"/>
        <w:ind w:left="360" w:firstLine="0"/>
        <w:jc w:val="left"/>
      </w:pPr>
      <w:r>
        <w:rPr>
          <w:b/>
        </w:rPr>
        <w:t xml:space="preserve"> </w:t>
      </w:r>
    </w:p>
    <w:p w:rsidR="00B064CF" w:rsidRDefault="00E32F70">
      <w:pPr>
        <w:spacing w:after="4"/>
        <w:ind w:left="355" w:right="68"/>
      </w:pPr>
      <w:r>
        <w:rPr>
          <w:b/>
        </w:rPr>
        <w:t xml:space="preserve">2ª.- </w:t>
      </w:r>
      <w:r>
        <w:rPr>
          <w:b/>
        </w:rPr>
        <w:t xml:space="preserve">Mantener la calidad de las condiciones laborales, garantizando una plantilla con suficientes trabajadores y trabajadoras que permita las correspondientes sustituciones por enfermedad, permisos o vacaciones. </w:t>
      </w:r>
    </w:p>
    <w:p w:rsidR="00B064CF" w:rsidRDefault="00E32F70">
      <w:pPr>
        <w:spacing w:after="0" w:line="259" w:lineRule="auto"/>
        <w:ind w:left="360" w:firstLine="0"/>
        <w:jc w:val="left"/>
      </w:pPr>
      <w:r>
        <w:rPr>
          <w:b/>
        </w:rPr>
        <w:t xml:space="preserve">  </w:t>
      </w:r>
    </w:p>
    <w:p w:rsidR="00B064CF" w:rsidRDefault="00E32F70">
      <w:pPr>
        <w:spacing w:after="0" w:line="259" w:lineRule="auto"/>
        <w:ind w:left="360" w:firstLine="0"/>
        <w:jc w:val="left"/>
      </w:pPr>
      <w:r>
        <w:rPr>
          <w:b/>
        </w:rPr>
        <w:t xml:space="preserve"> </w:t>
      </w:r>
    </w:p>
    <w:p w:rsidR="00B064CF" w:rsidRDefault="00E32F70">
      <w:pPr>
        <w:spacing w:after="4"/>
        <w:ind w:left="355" w:right="68"/>
      </w:pPr>
      <w:r>
        <w:rPr>
          <w:b/>
        </w:rPr>
        <w:t xml:space="preserve">3ª.- </w:t>
      </w:r>
      <w:r>
        <w:rPr>
          <w:b/>
        </w:rPr>
        <w:t xml:space="preserve">Garantía de los compromisos de financiación que permitan en nuestra localidad, cumpliendo los parámetros de calidad determinados por Ley, el correcto desempeño de la prestación de los servicios postales, y asegurando que todos los ciudadanos/as reciban el </w:t>
      </w:r>
      <w:r>
        <w:rPr>
          <w:b/>
        </w:rPr>
        <w:t xml:space="preserve">reparto de correspondencia 5 días a la semana como mandata la Directiva Postal europea.  </w:t>
      </w:r>
    </w:p>
    <w:p w:rsidR="00B064CF" w:rsidRDefault="00E32F70">
      <w:pPr>
        <w:spacing w:after="0" w:line="259" w:lineRule="auto"/>
        <w:ind w:left="360" w:firstLine="0"/>
        <w:jc w:val="left"/>
      </w:pPr>
      <w:r>
        <w:rPr>
          <w:b/>
        </w:rPr>
        <w:t xml:space="preserve"> </w:t>
      </w:r>
    </w:p>
    <w:p w:rsidR="00B064CF" w:rsidRDefault="00E32F70">
      <w:pPr>
        <w:spacing w:after="4"/>
        <w:ind w:left="355" w:right="68"/>
      </w:pPr>
      <w:r>
        <w:rPr>
          <w:b/>
        </w:rPr>
        <w:t xml:space="preserve">Se dará traslado de este acuerdo a la Sociedad Estatal Correos y Telégrafos y a la Sociedad Estatal de Participaciones Industriales (SEPI).  </w:t>
      </w:r>
    </w:p>
    <w:p w:rsidR="00B064CF" w:rsidRDefault="00E32F70">
      <w:pPr>
        <w:spacing w:after="26" w:line="259" w:lineRule="auto"/>
        <w:ind w:left="360" w:firstLine="0"/>
        <w:jc w:val="left"/>
      </w:pPr>
      <w:r>
        <w:rPr>
          <w:b/>
        </w:rPr>
        <w:t xml:space="preserve"> </w:t>
      </w:r>
    </w:p>
    <w:p w:rsidR="00B064CF" w:rsidRDefault="00E32F70">
      <w:pPr>
        <w:spacing w:after="177" w:line="259" w:lineRule="auto"/>
        <w:ind w:left="360" w:firstLine="0"/>
        <w:jc w:val="left"/>
      </w:pPr>
      <w:r>
        <w:rPr>
          <w:i/>
          <w:color w:val="222222"/>
        </w:rPr>
        <w:t xml:space="preserve"> </w:t>
      </w:r>
    </w:p>
    <w:p w:rsidR="00B064CF" w:rsidRDefault="00E32F70">
      <w:pPr>
        <w:spacing w:after="172" w:line="259" w:lineRule="auto"/>
        <w:ind w:left="360" w:firstLine="0"/>
        <w:jc w:val="left"/>
      </w:pPr>
      <w:r>
        <w:rPr>
          <w:i/>
          <w:color w:val="222222"/>
        </w:rPr>
        <w:t xml:space="preserve"> </w:t>
      </w:r>
    </w:p>
    <w:p w:rsidR="00B064CF" w:rsidRDefault="00E32F70">
      <w:pPr>
        <w:spacing w:after="131" w:line="259" w:lineRule="auto"/>
        <w:ind w:left="360" w:firstLine="0"/>
        <w:jc w:val="left"/>
      </w:pPr>
      <w:r>
        <w:rPr>
          <w:b/>
          <w:color w:val="222222"/>
        </w:rPr>
        <w:t xml:space="preserve">10.- Urgencias. </w:t>
      </w:r>
    </w:p>
    <w:p w:rsidR="00B064CF" w:rsidRDefault="00E32F70">
      <w:pPr>
        <w:spacing w:after="109"/>
        <w:ind w:left="355" w:right="68"/>
      </w:pPr>
      <w:r>
        <w:rPr>
          <w:b/>
        </w:rPr>
        <w:t xml:space="preserve">No hubo </w:t>
      </w:r>
    </w:p>
    <w:p w:rsidR="00B064CF" w:rsidRDefault="00E32F70">
      <w:pPr>
        <w:spacing w:after="100" w:line="259" w:lineRule="auto"/>
        <w:ind w:left="360" w:firstLine="0"/>
        <w:jc w:val="left"/>
      </w:pPr>
      <w:r>
        <w:rPr>
          <w:b/>
        </w:rPr>
        <w:t xml:space="preserve"> </w:t>
      </w:r>
    </w:p>
    <w:p w:rsidR="00B064CF" w:rsidRDefault="00E32F70">
      <w:pPr>
        <w:spacing w:after="0" w:line="259" w:lineRule="auto"/>
        <w:ind w:left="360" w:firstLine="0"/>
        <w:jc w:val="left"/>
      </w:pPr>
      <w:r>
        <w:rPr>
          <w:b/>
        </w:rPr>
        <w:t xml:space="preserve"> </w:t>
      </w:r>
    </w:p>
    <w:p w:rsidR="00B064CF" w:rsidRDefault="00E32F70">
      <w:pPr>
        <w:spacing w:after="0" w:line="259" w:lineRule="auto"/>
        <w:ind w:left="360" w:firstLine="0"/>
        <w:jc w:val="left"/>
      </w:pPr>
      <w:r>
        <w:rPr>
          <w:b/>
        </w:rPr>
        <w:t xml:space="preserve"> </w:t>
      </w:r>
    </w:p>
    <w:p w:rsidR="00B064CF" w:rsidRDefault="00E32F70">
      <w:pPr>
        <w:numPr>
          <w:ilvl w:val="0"/>
          <w:numId w:val="238"/>
        </w:numPr>
        <w:spacing w:after="4"/>
        <w:ind w:right="68" w:hanging="360"/>
      </w:pPr>
      <w:r>
        <w:rPr>
          <w:b/>
        </w:rPr>
        <w:t xml:space="preserve">ACTIVIDAD DE CONTROL </w:t>
      </w:r>
    </w:p>
    <w:p w:rsidR="00B064CF" w:rsidRDefault="00E32F70">
      <w:pPr>
        <w:spacing w:after="0" w:line="259" w:lineRule="auto"/>
        <w:ind w:left="360" w:firstLine="0"/>
        <w:jc w:val="left"/>
      </w:pPr>
      <w:r>
        <w:t xml:space="preserve"> </w:t>
      </w:r>
    </w:p>
    <w:p w:rsidR="00B064CF" w:rsidRDefault="00E32F70">
      <w:pPr>
        <w:spacing w:after="4"/>
        <w:ind w:left="355" w:right="68"/>
      </w:pPr>
      <w:r>
        <w:rPr>
          <w:b/>
        </w:rPr>
        <w:t>11.- Dación de Cuenta de los Decretos de la Alcaldía-Presidencia y de los Concejales delegados.</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numPr>
          <w:ilvl w:val="0"/>
          <w:numId w:val="238"/>
        </w:numPr>
        <w:spacing w:after="109"/>
        <w:ind w:right="68" w:hanging="360"/>
      </w:pPr>
      <w:r>
        <w:rPr>
          <w:b/>
        </w:rPr>
        <w:t xml:space="preserve">RUEGOS Y PREGUNTAS </w:t>
      </w:r>
    </w:p>
    <w:p w:rsidR="00B064CF" w:rsidRDefault="00E32F70">
      <w:pPr>
        <w:spacing w:after="98" w:line="259" w:lineRule="auto"/>
        <w:ind w:left="360" w:firstLine="0"/>
        <w:jc w:val="left"/>
      </w:pPr>
      <w:r>
        <w:rPr>
          <w:b/>
        </w:rPr>
        <w:t xml:space="preserve"> </w:t>
      </w:r>
    </w:p>
    <w:p w:rsidR="00B064CF" w:rsidRDefault="00E32F70">
      <w:pPr>
        <w:spacing w:after="114"/>
        <w:ind w:left="355" w:right="68"/>
      </w:pPr>
      <w:r>
        <w:rPr>
          <w:b/>
        </w:rPr>
        <w:t xml:space="preserve">12.- Informe de la Intervención sobre las resoluciones adoptadas contrarios a los reparos </w:t>
      </w:r>
      <w:r>
        <w:rPr>
          <w:b/>
        </w:rPr>
        <w:t>efectuados conforme la ley 27/2013, de 27 de diciembre, de racionalización y sostenbilidad de la Administración local</w:t>
      </w:r>
      <w:r>
        <w:t xml:space="preserve"> </w:t>
      </w:r>
    </w:p>
    <w:p w:rsidR="00B064CF" w:rsidRDefault="00E32F70">
      <w:pPr>
        <w:spacing w:after="109"/>
        <w:ind w:left="355" w:right="68"/>
      </w:pPr>
      <w:r>
        <w:rPr>
          <w:b/>
        </w:rPr>
        <w:t xml:space="preserve">13.- Ruegos y preguntas. </w:t>
      </w:r>
    </w:p>
    <w:p w:rsidR="00B064CF" w:rsidRDefault="00E32F70">
      <w:pPr>
        <w:spacing w:after="117" w:line="259" w:lineRule="auto"/>
        <w:ind w:left="360" w:firstLine="0"/>
        <w:jc w:val="left"/>
      </w:pPr>
      <w:r>
        <w:rPr>
          <w:b/>
        </w:rPr>
        <w:t xml:space="preserve"> </w:t>
      </w:r>
    </w:p>
    <w:p w:rsidR="00B064CF" w:rsidRDefault="00E32F70">
      <w:pPr>
        <w:spacing w:after="0" w:line="259" w:lineRule="auto"/>
        <w:ind w:left="360" w:firstLine="0"/>
        <w:jc w:val="left"/>
      </w:pPr>
      <w:r>
        <w:t>…..</w:t>
      </w:r>
      <w:r>
        <w:rPr>
          <w:b/>
          <w:color w:val="141823"/>
        </w:rPr>
        <w:t xml:space="preserve"> - RUEGOS Y PREGUNTAS. –</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4"/>
        <w:ind w:left="355" w:right="68"/>
      </w:pPr>
      <w:r>
        <w:rPr>
          <w:b/>
        </w:rPr>
        <w:t xml:space="preserve">INTERVIENE LA SEÑORA ALCALDESA-PRESIDENTA: - </w:t>
      </w:r>
    </w:p>
    <w:p w:rsidR="00B064CF" w:rsidRDefault="00E32F70">
      <w:pPr>
        <w:spacing w:after="28"/>
        <w:ind w:left="355" w:right="72"/>
      </w:pPr>
      <w:r>
        <w:t>El apartado de Ruegos y Pregunta</w:t>
      </w:r>
      <w:r>
        <w:t xml:space="preserve">s, apartado décimo tercero, ruegos Doña Ángela. – </w:t>
      </w:r>
    </w:p>
    <w:p w:rsidR="00B064CF" w:rsidRDefault="00E32F70">
      <w:pPr>
        <w:spacing w:after="14" w:line="259" w:lineRule="auto"/>
        <w:ind w:left="360" w:firstLine="0"/>
        <w:jc w:val="left"/>
      </w:pPr>
      <w:r>
        <w:t xml:space="preserve"> </w:t>
      </w:r>
    </w:p>
    <w:p w:rsidR="00B064CF" w:rsidRDefault="00E32F70">
      <w:pPr>
        <w:spacing w:after="30"/>
        <w:ind w:left="355" w:right="68"/>
      </w:pPr>
      <w:r>
        <w:rPr>
          <w:b/>
        </w:rPr>
        <w:t xml:space="preserve">INTERVIENE DOÑA ÁNGELA CRUZ PÉRERA. - </w:t>
      </w:r>
    </w:p>
    <w:p w:rsidR="00B064CF" w:rsidRDefault="00E32F70">
      <w:pPr>
        <w:spacing w:after="27"/>
        <w:ind w:left="355" w:right="72"/>
      </w:pPr>
      <w:r>
        <w:rPr>
          <w:rFonts w:ascii="Calibri" w:eastAsia="Calibri" w:hAnsi="Calibri" w:cs="Calibri"/>
          <w:noProof/>
        </w:rPr>
        <mc:AlternateContent>
          <mc:Choice Requires="wpg">
            <w:drawing>
              <wp:anchor distT="0" distB="0" distL="114300" distR="114300" simplePos="0" relativeHeight="251967488"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27674" name="Group 427674"/>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5385" name="Rectangle 45385"/>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45386" name="Rectangle 45386"/>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294 de 298 </w:t>
                              </w:r>
                            </w:p>
                          </w:txbxContent>
                        </wps:txbx>
                        <wps:bodyPr horzOverflow="overflow" vert="horz" lIns="0" tIns="0" rIns="0" bIns="0" rtlCol="0">
                          <a:noAutofit/>
                        </wps:bodyPr>
                      </wps:wsp>
                    </wpg:wgp>
                  </a:graphicData>
                </a:graphic>
              </wp:anchor>
            </w:drawing>
          </mc:Choice>
          <mc:Fallback xmlns:a="http://schemas.openxmlformats.org/drawingml/2006/main">
            <w:pict>
              <v:group id="Group 427674" style="width:12.7031pt;height:278.91pt;position:absolute;mso-position-horizontal-relative:page;mso-position-horizontal:absolute;margin-left:682.278pt;mso-position-vertical-relative:page;margin-top:533.01pt;" coordsize="1613,35421">
                <v:rect id="Rectangle 45385"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5386"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294 de 298 </w:t>
                        </w:r>
                      </w:p>
                    </w:txbxContent>
                  </v:textbox>
                </v:rect>
                <w10:wrap type="square"/>
              </v:group>
            </w:pict>
          </mc:Fallback>
        </mc:AlternateContent>
      </w:r>
      <w:r>
        <w:t xml:space="preserve">Doña Ángela Cruz Perera hace su ruego, pero no se entiende.  </w:t>
      </w:r>
    </w:p>
    <w:p w:rsidR="00B064CF" w:rsidRDefault="00E32F70">
      <w:pPr>
        <w:spacing w:after="16" w:line="259" w:lineRule="auto"/>
        <w:ind w:left="360" w:firstLine="0"/>
        <w:jc w:val="left"/>
      </w:pPr>
      <w:r>
        <w:t xml:space="preserve"> </w:t>
      </w:r>
    </w:p>
    <w:p w:rsidR="00B064CF" w:rsidRDefault="00E32F70">
      <w:pPr>
        <w:spacing w:after="30"/>
        <w:ind w:left="355" w:right="68"/>
      </w:pPr>
      <w:r>
        <w:rPr>
          <w:b/>
        </w:rPr>
        <w:t xml:space="preserve">INTERVIENE LA SEÑORA ALCALDESA-PRESIDENTA.  </w:t>
      </w:r>
    </w:p>
    <w:p w:rsidR="00B064CF" w:rsidRDefault="00E32F70">
      <w:pPr>
        <w:spacing w:after="26"/>
        <w:ind w:left="355" w:right="72"/>
      </w:pPr>
      <w:r>
        <w:rPr>
          <w:rFonts w:ascii="Calibri" w:eastAsia="Calibri" w:hAnsi="Calibri" w:cs="Calibri"/>
          <w:noProof/>
        </w:rPr>
        <mc:AlternateContent>
          <mc:Choice Requires="wpg">
            <w:drawing>
              <wp:anchor distT="0" distB="0" distL="114300" distR="114300" simplePos="0" relativeHeight="251968512"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27671" name="Group 427671"/>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5466" name="Rectangle 45466"/>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Cód. Validación: 64SKSNYNJRFPNN5DLPPAAC3GS | Veri</w:t>
                              </w:r>
                              <w:r>
                                <w:rPr>
                                  <w:sz w:val="12"/>
                                </w:rPr>
                                <w:t xml:space="preserve">ficación: https://candelaria.sedelectronica.es/ </w:t>
                              </w:r>
                            </w:p>
                          </w:txbxContent>
                        </wps:txbx>
                        <wps:bodyPr horzOverflow="overflow" vert="horz" lIns="0" tIns="0" rIns="0" bIns="0" rtlCol="0">
                          <a:noAutofit/>
                        </wps:bodyPr>
                      </wps:wsp>
                      <wps:wsp>
                        <wps:cNvPr id="45467" name="Rectangle 45467"/>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295 de 298 </w:t>
                              </w:r>
                            </w:p>
                          </w:txbxContent>
                        </wps:txbx>
                        <wps:bodyPr horzOverflow="overflow" vert="horz" lIns="0" tIns="0" rIns="0" bIns="0" rtlCol="0">
                          <a:noAutofit/>
                        </wps:bodyPr>
                      </wps:wsp>
                    </wpg:wgp>
                  </a:graphicData>
                </a:graphic>
              </wp:anchor>
            </w:drawing>
          </mc:Choice>
          <mc:Fallback xmlns:a="http://schemas.openxmlformats.org/drawingml/2006/main">
            <w:pict>
              <v:group id="Group 427671" style="width:12.7031pt;height:278.91pt;position:absolute;mso-position-horizontal-relative:page;mso-position-horizontal:absolute;margin-left:682.278pt;mso-position-vertical-relative:page;margin-top:533.01pt;" coordsize="1613,35421">
                <v:rect id="Rectangle 45466"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5467"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295 de 298 </w:t>
                        </w:r>
                      </w:p>
                    </w:txbxContent>
                  </v:textbox>
                </v:rect>
                <w10:wrap type="square"/>
              </v:group>
            </w:pict>
          </mc:Fallback>
        </mc:AlternateContent>
      </w:r>
      <w:r>
        <w:t>Si, puedo comentar, nosotros habíamos solicitado ya desde hace algún tiempo una reunión con el Servicio Provin</w:t>
      </w:r>
      <w:r>
        <w:t>cial y también la tenemos solicitado con el Estado, con Madrid, con relación a varios de los temas pendientes por resolver en el municipio y de varios proyectos que, bueno que entendemos que son necesarios para la regeneración de todo el litoral del munici</w:t>
      </w:r>
      <w:r>
        <w:t>pio y justo ha coincidido también en el tiempo que nos han dado la reunión con las incidencias acaecidas principalmente estos dos últimos fines de semana donde el fuerte oleaje como todos hemos podido constatar y todo lo que ha ocurrido pues tanto en el pa</w:t>
      </w:r>
      <w:r>
        <w:t>seo, en la plaza como también en algunas viviendas. Como saben el Ayuntamiento ya ha dictado ordenes de ejecución que se han emitido a los propietarios de las viviendas para proceder a su refuerzo y a su protección y nosotros con el paseo pues ya desde que</w:t>
      </w:r>
      <w:r>
        <w:t xml:space="preserve"> a finales de febrero tuvimos que retirar las dos estatuas de los guanches, se declaró la emergencia en aquel momento porque había evidencia de que podían caer al mar, se retiraron y claro se han realizado y ahora mi compañero Jorge pueda poner más detalle</w:t>
      </w:r>
      <w:r>
        <w:t>, se han realizado, hemos hecho seguimiento, a la vigilancia de toda la zona y encargamos un proyecto porque las últimas intervenciones, bueno, no habían sido definitivas, se ha vuelto a romper el paseo desde que hace prácticamente 2, 3 años desde que se i</w:t>
      </w:r>
      <w:r>
        <w:t>ntervino por última vez y estábamos pensando en una actuación más estable que diera una solución definitiva o más definitiva a esa zona, porque nosotros entendemos que lo que debe haber son los elementos de protección exterior en toda esa zona marítima que</w:t>
      </w:r>
      <w:r>
        <w:t xml:space="preserve"> es lo que ayer planteamos también al Servicio Provincial de Costas, hablamos prácticamente de todo el litoral, de expedientes pendientes, la piscina municipal, hablamos del parking, estuvimos hablando de la zona del Tenerife Tour, las Caletillas, yo creo </w:t>
      </w:r>
      <w:r>
        <w:t>que abarcamos todo el litoral de Candelaria con las diferentes propuestas, acciones que pensamos, Punta Larga también, pero concretamente en el apartado de la plaza y de las viviendas, por un lado ya nosotros ayer se decretó el trámite de emergencia para y</w:t>
      </w:r>
      <w:r>
        <w:t>a actuar en el hundimiento del paseo con contratación ya de una empresa y se comprometieron a que iban a autorizarnos la emergencia de esa obra, tenemos que enviar el proyecto que ya los ingenieros han estado trabajando y nos harán entrega sino hoy, mañana</w:t>
      </w:r>
      <w:r>
        <w:t xml:space="preserve"> por lo que nos comentaban para ya proceder a enviarlos a Costas y que nos puedan autorizar a ejecutar esa obra de emergencia y también a Patrimonio de Cabildo, son las dos Instituciones a las que ya se les notificó el Decreto del trámite de emergencia y a</w:t>
      </w:r>
      <w:r>
        <w:t xml:space="preserve">hora, pues, ayer también en esa reunión con Costas se comprometieron a autorizarla y también nosotros nos comprometimos, porque claro, estuvimos hablando, ya les digo,  de cuáles podrían ser las soluciones, saben que el parking está denegada la concesión, </w:t>
      </w:r>
      <w:r>
        <w:t xml:space="preserve">una de las propuestas de Costas cuando lo denegó es que ahí hay que recuperar la playa que existió en su día, hablamos de posibles soluciones de acometer la obra de la playa, ellos están dispuestos a invertir también por lo que nos trasladaban ya desde el </w:t>
      </w:r>
      <w:r>
        <w:t>año pasado algunas actuaciones en esa zona y bueno hay que conciliar esas obras que se pueden ejecutar con todos los elementos de protección que entendemos desde el Ayuntamiento que deben estar para que cualquier obra se haga pues no pase lo que está pasan</w:t>
      </w:r>
      <w:r>
        <w:t>do ahora, entonces nosotros nos hemos comprometido y vamos a encargar un estudio de toda esa zona para ver qué tipo de actuaciones se podrían acometer, de paseos, Cecilia tu puedes a lo mejor comentar más concretamente porque también ha vivido de primera m</w:t>
      </w:r>
      <w:r>
        <w:t>ano allí y nosotros bueno pues al tiempo que se actúa en las viviendas por parte de los propietarios, nosotros también vamos a encargar ese estudio para valorar qué elementos de protección se podrían, como digo en el marco de las actuaciones que hay, porqu</w:t>
      </w:r>
      <w:r>
        <w:t>e está lo que vamos hacer ahora en el paseo está la obra de la plaza de la basílica que saben que en estos meses también el proyecto que encargamos pues ha tenido, los ingenieros han tenido que hablar también con Cabildo, hemos tenido unas cuantas reunione</w:t>
      </w:r>
      <w:r>
        <w:t>s ya con Cabildo para conciliar ese proyecto ahora que es alargar lo que es la escollera que se ejecutó en San Blas, alargarla unos metros más para cubrir esa zona que ahora tiene el hundimiento y por otro lado el proyecto propio de la plaza de la rehabili</w:t>
      </w:r>
      <w:r>
        <w:t>tación de la plaza que también afecta a todo el frente de los guanches, por lo cual ese proyecto esperamos que salga a licitación a lo largo del año, estamos con Cabildo que se sigue avanzando y claro hay que conciliar esa actuación que tenemos que hacer a</w:t>
      </w:r>
      <w:r>
        <w:t>hora con el proyecto de la plaza y con futuros proyectos también de protección de toda esa zona. Nosotros obviamente sin ser técnicos pero por la lógica también de lo que entendemos tendría que haber alguna protección exterior, algún tipo de dique, algún t</w:t>
      </w:r>
      <w:r>
        <w:t>ipo de  contención, y eso es lo que técnicamente queremos encargar ese estudio, que nos alumbre también y que nos guie para trabajar de la mano también con Costas y que se puedan autorizar las obras con los procedimientos que sean, si es concesión, si es a</w:t>
      </w:r>
      <w:r>
        <w:t>utorización, si es lo que proceda conciliándolo ya les digo con las obras que en principio parece que podríamos aspirar a tener una playa en este frente también pero obviamente con los elementos de protección porque por mucha playa que podamos ejecutar, po</w:t>
      </w:r>
      <w:r>
        <w:t>r mucha regeneración del litoral sino dadas las condiciones aquí que todos hemos podido observar de oleaje, de marea, profundidad que hay también, o sea hay que verlo técnicamente muy bien para tomar las decisiones sobre qué proyecto vamos a ejecutar, ento</w:t>
      </w:r>
      <w:r>
        <w:t xml:space="preserve">nces eso es un poco el resumen, no sé si Jorge tu puedes o quieres comentar algo más pero creo que más o menos.  </w:t>
      </w:r>
    </w:p>
    <w:p w:rsidR="00B064CF" w:rsidRDefault="00E32F70">
      <w:pPr>
        <w:spacing w:after="14" w:line="259" w:lineRule="auto"/>
        <w:ind w:left="360" w:firstLine="0"/>
        <w:jc w:val="left"/>
      </w:pPr>
      <w:r>
        <w:t xml:space="preserve"> </w:t>
      </w:r>
    </w:p>
    <w:p w:rsidR="00B064CF" w:rsidRDefault="00E32F70">
      <w:pPr>
        <w:spacing w:after="30"/>
        <w:ind w:left="355" w:right="68"/>
      </w:pPr>
      <w:r>
        <w:rPr>
          <w:b/>
        </w:rPr>
        <w:t xml:space="preserve">INTERVIENE DON JORGE BAUTE DELGADO - </w:t>
      </w:r>
    </w:p>
    <w:p w:rsidR="00B064CF" w:rsidRDefault="00E32F70">
      <w:pPr>
        <w:spacing w:after="26"/>
        <w:ind w:left="355" w:right="72"/>
      </w:pPr>
      <w:r>
        <w:t>Yo creo que lo has explicado perfectamente, todo pasa por proteger lo que es la costa en si, o sea tie</w:t>
      </w:r>
      <w:r>
        <w:t xml:space="preserve">ne que ir paralelo a la ejecución que se haga en tierra o a la orilla con una protección de algún dique para conseguir por un lado la seguridad de las viviendas que es básico y fundamental y por otro lado el patrimonio que es la plaza de la basílica y por </w:t>
      </w:r>
      <w:r>
        <w:t>otro lado esa futura playa que pretenden ejecutar en lo que es el parking que tenemos ahora mismo delante del Ayuntamiento y el paseo que quieren realizar, que quieren ejecutar también por todo el frente de playa hasta la plaza de la basílica. Ese es el pl</w:t>
      </w:r>
      <w:r>
        <w:t>anteamiento que como bien dice la Alcaldesa tiene que empezar por un estudio previo con los técnicos de la situación y cuáles son las posibilidades alternativas para sacar adelante este proyecto y desde el grupo de gobierno estamos instando a la reunión, p</w:t>
      </w:r>
      <w:r>
        <w:t>oniendo en conocimiento a Costas de la preocupación que tenemos y basándose por supuesto en los estudios que tenga que hacer los técnicos, qué actuaciones se pueden hacer para asegurar y tener una playa decente y la certeza de la seguridad de las viviendas</w:t>
      </w:r>
      <w:r>
        <w:t xml:space="preserve"> y del patrimonio. </w:t>
      </w:r>
    </w:p>
    <w:p w:rsidR="00B064CF" w:rsidRDefault="00E32F70">
      <w:pPr>
        <w:spacing w:after="25"/>
        <w:ind w:left="355" w:right="72"/>
      </w:pPr>
      <w:r>
        <w:t xml:space="preserve">Creemos que tenemos que ir en esa línea de la mano de los vecinos, Ayuntamiento y a ver otras Administraciones para conseguir el objetivo.  </w:t>
      </w:r>
    </w:p>
    <w:p w:rsidR="00B064CF" w:rsidRDefault="00E32F70">
      <w:pPr>
        <w:spacing w:after="16" w:line="259" w:lineRule="auto"/>
        <w:ind w:left="360" w:firstLine="0"/>
        <w:jc w:val="left"/>
      </w:pPr>
      <w:r>
        <w:t xml:space="preserve"> </w:t>
      </w:r>
    </w:p>
    <w:p w:rsidR="00B064CF" w:rsidRDefault="00E32F70">
      <w:pPr>
        <w:spacing w:after="30"/>
        <w:ind w:left="355" w:right="68"/>
      </w:pPr>
      <w:r>
        <w:rPr>
          <w:rFonts w:ascii="Calibri" w:eastAsia="Calibri" w:hAnsi="Calibri" w:cs="Calibri"/>
          <w:noProof/>
        </w:rPr>
        <mc:AlternateContent>
          <mc:Choice Requires="wpg">
            <w:drawing>
              <wp:anchor distT="0" distB="0" distL="114300" distR="114300" simplePos="0" relativeHeight="251969536"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27871" name="Group 427871"/>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5589" name="Rectangle 45589"/>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45590" name="Rectangle 45590"/>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296 de 298 </w:t>
                              </w:r>
                            </w:p>
                          </w:txbxContent>
                        </wps:txbx>
                        <wps:bodyPr horzOverflow="overflow" vert="horz" lIns="0" tIns="0" rIns="0" bIns="0" rtlCol="0">
                          <a:noAutofit/>
                        </wps:bodyPr>
                      </wps:wsp>
                    </wpg:wgp>
                  </a:graphicData>
                </a:graphic>
              </wp:anchor>
            </w:drawing>
          </mc:Choice>
          <mc:Fallback xmlns:a="http://schemas.openxmlformats.org/drawingml/2006/main">
            <w:pict>
              <v:group id="Group 427871" style="width:12.7031pt;height:278.91pt;position:absolute;mso-position-horizontal-relative:page;mso-position-horizontal:absolute;margin-left:682.278pt;mso-position-vertical-relative:page;margin-top:533.01pt;" coordsize="1613,35421">
                <v:rect id="Rectangle 45589"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5590"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296 de 298 </w:t>
                        </w:r>
                      </w:p>
                    </w:txbxContent>
                  </v:textbox>
                </v:rect>
                <w10:wrap type="square"/>
              </v:group>
            </w:pict>
          </mc:Fallback>
        </mc:AlternateContent>
      </w:r>
      <w:r>
        <w:rPr>
          <w:b/>
        </w:rPr>
        <w:t xml:space="preserve">INTERVIENE LA SEÑORA ALCALDESA-PRESIDENTA.  </w:t>
      </w:r>
    </w:p>
    <w:p w:rsidR="00B064CF" w:rsidRDefault="00E32F70">
      <w:pPr>
        <w:spacing w:after="25"/>
        <w:ind w:left="355" w:right="72"/>
      </w:pPr>
      <w:r>
        <w:t>Gracias Jorge, Á</w:t>
      </w:r>
      <w:r>
        <w:t xml:space="preserve">ngela, bien, eso responde creo que, a tu pregunta, muy bien, bueno ruego, pero ruego que fue pregunta. </w:t>
      </w:r>
    </w:p>
    <w:p w:rsidR="00B064CF" w:rsidRDefault="00E32F70">
      <w:pPr>
        <w:spacing w:after="30"/>
        <w:ind w:left="355" w:right="72"/>
      </w:pPr>
      <w:r>
        <w:t xml:space="preserve">Bien, gracias Ángela, Don Antonio, ruego.  </w:t>
      </w:r>
    </w:p>
    <w:p w:rsidR="00B064CF" w:rsidRDefault="00E32F70">
      <w:pPr>
        <w:spacing w:after="14" w:line="259" w:lineRule="auto"/>
        <w:ind w:left="360" w:firstLine="0"/>
        <w:jc w:val="left"/>
      </w:pPr>
      <w:r>
        <w:t xml:space="preserve"> </w:t>
      </w:r>
    </w:p>
    <w:p w:rsidR="00B064CF" w:rsidRDefault="00E32F70">
      <w:pPr>
        <w:spacing w:after="30"/>
        <w:ind w:left="355" w:right="68"/>
      </w:pPr>
      <w:r>
        <w:rPr>
          <w:b/>
        </w:rPr>
        <w:t xml:space="preserve">INTERVIENE DON ANTONIO DELGADO GARCÍA.  </w:t>
      </w:r>
    </w:p>
    <w:p w:rsidR="00B064CF" w:rsidRDefault="00E32F70">
      <w:pPr>
        <w:spacing w:after="27"/>
        <w:ind w:left="355" w:right="72"/>
      </w:pPr>
      <w:r>
        <w:t xml:space="preserve">Buenos días a todas y a todos. </w:t>
      </w:r>
    </w:p>
    <w:p w:rsidR="00B064CF" w:rsidRDefault="00E32F70">
      <w:pPr>
        <w:spacing w:after="26"/>
        <w:ind w:left="355" w:right="72"/>
      </w:pPr>
      <w:r>
        <w:t>Solicitamos que hasta el comienzo</w:t>
      </w:r>
      <w:r>
        <w:t xml:space="preserve"> de las obras en el Paseo Graciliano Ruiz, se delimite o se valle la acera más próxima al agua, porque la baranda se encuentra en un estado de gran deterioro y puede ser un peligro para los viandantes.  </w:t>
      </w:r>
    </w:p>
    <w:p w:rsidR="00B064CF" w:rsidRDefault="00E32F70">
      <w:pPr>
        <w:spacing w:after="14" w:line="259" w:lineRule="auto"/>
        <w:ind w:left="360" w:firstLine="0"/>
        <w:jc w:val="left"/>
      </w:pPr>
      <w:r>
        <w:t xml:space="preserve">  </w:t>
      </w:r>
    </w:p>
    <w:p w:rsidR="00B064CF" w:rsidRDefault="00E32F70">
      <w:pPr>
        <w:spacing w:after="30"/>
        <w:ind w:left="355" w:right="68"/>
      </w:pPr>
      <w:r>
        <w:rPr>
          <w:b/>
        </w:rPr>
        <w:t xml:space="preserve">INTERVIENE LA SEÑORA ALCALDESA-PRESIDENTA.  </w:t>
      </w:r>
    </w:p>
    <w:p w:rsidR="00B064CF" w:rsidRDefault="00E32F70">
      <w:pPr>
        <w:spacing w:after="30"/>
        <w:ind w:left="355" w:right="72"/>
      </w:pPr>
      <w:r>
        <w:t>Bien</w:t>
      </w:r>
      <w:r>
        <w:t xml:space="preserve">, gracias Don Antonio. </w:t>
      </w:r>
    </w:p>
    <w:p w:rsidR="00B064CF" w:rsidRDefault="00E32F70">
      <w:pPr>
        <w:spacing w:after="27"/>
        <w:ind w:left="355" w:right="72"/>
      </w:pPr>
      <w:r>
        <w:t xml:space="preserve">Preguntas Doña Ángela. - </w:t>
      </w:r>
    </w:p>
    <w:p w:rsidR="00B064CF" w:rsidRDefault="00E32F70">
      <w:pPr>
        <w:spacing w:after="14" w:line="259" w:lineRule="auto"/>
        <w:ind w:left="360" w:firstLine="0"/>
        <w:jc w:val="left"/>
      </w:pPr>
      <w:r>
        <w:t xml:space="preserve"> </w:t>
      </w:r>
    </w:p>
    <w:p w:rsidR="00B064CF" w:rsidRDefault="00E32F70">
      <w:pPr>
        <w:spacing w:after="30"/>
        <w:ind w:left="355" w:right="68"/>
      </w:pPr>
      <w:r>
        <w:rPr>
          <w:b/>
        </w:rPr>
        <w:t xml:space="preserve">INTERVIENE DOÑA ÁNGELA CRUZ PERERA. - </w:t>
      </w:r>
    </w:p>
    <w:p w:rsidR="00B064CF" w:rsidRDefault="00E32F70">
      <w:pPr>
        <w:spacing w:after="27"/>
        <w:ind w:left="355" w:right="72"/>
      </w:pPr>
      <w:r>
        <w:t xml:space="preserve">Doña Ángela pregunta, pero no se entiende su pregunta.  </w:t>
      </w:r>
    </w:p>
    <w:p w:rsidR="00B064CF" w:rsidRDefault="00E32F70">
      <w:pPr>
        <w:spacing w:after="16" w:line="259" w:lineRule="auto"/>
        <w:ind w:left="360" w:firstLine="0"/>
        <w:jc w:val="left"/>
      </w:pPr>
      <w:r>
        <w:t xml:space="preserve"> </w:t>
      </w:r>
    </w:p>
    <w:p w:rsidR="00B064CF" w:rsidRDefault="00E32F70">
      <w:pPr>
        <w:spacing w:after="30"/>
        <w:ind w:left="355" w:right="68"/>
      </w:pPr>
      <w:r>
        <w:rPr>
          <w:b/>
        </w:rPr>
        <w:t xml:space="preserve">INTERVIENE DON AIRAM PÉREZ CHINEA.  </w:t>
      </w:r>
    </w:p>
    <w:p w:rsidR="00B064CF" w:rsidRDefault="00E32F70">
      <w:pPr>
        <w:spacing w:after="28"/>
        <w:ind w:left="355" w:right="72"/>
      </w:pPr>
      <w:r>
        <w:t xml:space="preserve">Gracias. </w:t>
      </w:r>
    </w:p>
    <w:p w:rsidR="00B064CF" w:rsidRDefault="00E32F70">
      <w:pPr>
        <w:spacing w:after="27"/>
        <w:ind w:left="355" w:right="72"/>
      </w:pPr>
      <w:r>
        <w:t xml:space="preserve">Pues ahora mismo nos han lanzado un segundo borrador en </w:t>
      </w:r>
      <w:r>
        <w:t>relación al organigrama propuesto y en las fichas de puestos, estamos pendientes de terminar de revisarlo que lo haremos me imagino que en estos días para volver a lanzarlo a la empresa y que ya nos pase el definitivo y el documento final, por lo tanto est</w:t>
      </w:r>
      <w:r>
        <w:t xml:space="preserve">amos en esa fase ahora mismo </w:t>
      </w:r>
    </w:p>
    <w:p w:rsidR="00B064CF" w:rsidRDefault="00E32F70">
      <w:pPr>
        <w:spacing w:after="16" w:line="259" w:lineRule="auto"/>
        <w:ind w:left="360" w:firstLine="0"/>
        <w:jc w:val="left"/>
      </w:pPr>
      <w:r>
        <w:t xml:space="preserve"> </w:t>
      </w:r>
    </w:p>
    <w:p w:rsidR="00B064CF" w:rsidRDefault="00E32F70">
      <w:pPr>
        <w:spacing w:after="27"/>
        <w:ind w:left="355" w:right="72"/>
      </w:pPr>
      <w:r>
        <w:t xml:space="preserve">(Doña Ángela dice algo que no se le entiende) </w:t>
      </w:r>
    </w:p>
    <w:p w:rsidR="00B064CF" w:rsidRDefault="00E32F70">
      <w:pPr>
        <w:spacing w:after="16" w:line="259" w:lineRule="auto"/>
        <w:ind w:left="360" w:firstLine="0"/>
        <w:jc w:val="left"/>
      </w:pPr>
      <w:r>
        <w:t xml:space="preserve"> </w:t>
      </w:r>
    </w:p>
    <w:p w:rsidR="00B064CF" w:rsidRDefault="00E32F70">
      <w:pPr>
        <w:spacing w:after="23"/>
        <w:ind w:left="355" w:right="72"/>
      </w:pPr>
      <w:r>
        <w:t>…Hombre yo espero por lo menos tener el documento final antes del verano, es una cuestión de, después tenemos que sentarnos a negociar con los sindicatos, pero bueno en princi</w:t>
      </w:r>
      <w:r>
        <w:t xml:space="preserve">pio el documento, lo que es las fichas y lo que es el documento organizativo está bastante avanzado, tendrán que ahora acompañarlo con el manual de evaluación de los puestos y una vez que lo tengamos todo, iniciaremos la fase de negociación.  </w:t>
      </w:r>
      <w:r>
        <w:rPr>
          <w:rFonts w:ascii="Times New Roman" w:eastAsia="Times New Roman" w:hAnsi="Times New Roman" w:cs="Times New Roman"/>
          <w:sz w:val="24"/>
        </w:rPr>
        <w:t xml:space="preserve"> </w:t>
      </w:r>
    </w:p>
    <w:p w:rsidR="00B064CF" w:rsidRDefault="00E32F70">
      <w:pPr>
        <w:spacing w:after="16" w:line="259" w:lineRule="auto"/>
        <w:ind w:left="360" w:firstLine="0"/>
        <w:jc w:val="left"/>
      </w:pPr>
      <w:r>
        <w:t xml:space="preserve"> </w:t>
      </w:r>
    </w:p>
    <w:p w:rsidR="00B064CF" w:rsidRDefault="00E32F70">
      <w:pPr>
        <w:spacing w:after="4"/>
        <w:ind w:left="355" w:right="68"/>
      </w:pPr>
      <w:r>
        <w:rPr>
          <w:b/>
        </w:rPr>
        <w:t xml:space="preserve">INTERVIENE LA SEÑORA ALCALDESA-PRESIDENTA.  </w:t>
      </w:r>
    </w:p>
    <w:p w:rsidR="00B064CF" w:rsidRDefault="00E32F70">
      <w:pPr>
        <w:spacing w:after="0"/>
        <w:ind w:left="355" w:right="72"/>
      </w:pPr>
      <w:r>
        <w:rPr>
          <w:rFonts w:ascii="Calibri" w:eastAsia="Calibri" w:hAnsi="Calibri" w:cs="Calibri"/>
          <w:noProof/>
        </w:rPr>
        <mc:AlternateContent>
          <mc:Choice Requires="wpg">
            <w:drawing>
              <wp:anchor distT="0" distB="0" distL="114300" distR="114300" simplePos="0" relativeHeight="251970560" behindDoc="0" locked="0" layoutInCell="1" allowOverlap="1">
                <wp:simplePos x="0" y="0"/>
                <wp:positionH relativeFrom="page">
                  <wp:posOffset>8664935</wp:posOffset>
                </wp:positionH>
                <wp:positionV relativeFrom="page">
                  <wp:posOffset>6769227</wp:posOffset>
                </wp:positionV>
                <wp:extent cx="161330" cy="3542157"/>
                <wp:effectExtent l="0" t="0" r="0" b="0"/>
                <wp:wrapSquare wrapText="bothSides"/>
                <wp:docPr id="428097" name="Group 428097"/>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5724" name="Rectangle 45724"/>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45725" name="Rectangle 45725"/>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297 de 298 </w:t>
                              </w:r>
                            </w:p>
                          </w:txbxContent>
                        </wps:txbx>
                        <wps:bodyPr horzOverflow="overflow" vert="horz" lIns="0" tIns="0" rIns="0" bIns="0" rtlCol="0">
                          <a:noAutofit/>
                        </wps:bodyPr>
                      </wps:wsp>
                    </wpg:wgp>
                  </a:graphicData>
                </a:graphic>
              </wp:anchor>
            </w:drawing>
          </mc:Choice>
          <mc:Fallback xmlns:a="http://schemas.openxmlformats.org/drawingml/2006/main">
            <w:pict>
              <v:group id="Group 428097" style="width:12.7031pt;height:278.91pt;position:absolute;mso-position-horizontal-relative:page;mso-position-horizontal:absolute;margin-left:682.278pt;mso-position-vertical-relative:page;margin-top:533.01pt;" coordsize="1613,35421">
                <v:rect id="Rectangle 45724"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5725"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297 de 298 </w:t>
                        </w:r>
                      </w:p>
                    </w:txbxContent>
                  </v:textbox>
                </v:rect>
                <w10:wrap type="square"/>
              </v:group>
            </w:pict>
          </mc:Fallback>
        </mc:AlternateContent>
      </w:r>
      <w:r>
        <w:t>Si, realmente Airam, si me permites yo creo que, bueno ahora mismo el borrador que nos habían enviado era de la diagnosis inicial de lo que tenemos actualmente, o sea no hay todavía una propuesta digamos estratégica, digamos que lo llaman con respecto al q</w:t>
      </w:r>
      <w:r>
        <w:t>ue con ese estudio con lo que tenemos la empresa que para eso ha sido el contrato, no, para que en virtud de lo que tenemos, del análisis de los puestos que ahora mismo existen de las áreas de las fichas de lo que los compañeros que en cada puesto están re</w:t>
      </w:r>
      <w:r>
        <w:t>alizando y demás eso es lo que se ha estado revisando, se han hecho una serie de entrevistas, la metodología que han empleado, ha recogido la información y ahora mismo se estaba revisando para validar que efectivamente lo que ellos han recogido se correspo</w:t>
      </w:r>
      <w:r>
        <w:t>nde con lo que, hago siempre un contraste las entrevistas, la validación y ahora estamos en ese punto, por lo que ya, no hay todavía una, lo que es el siguiente paso es que nos envíen con ese análisis que han estado haciendo, esa propuesta de puestos que e</w:t>
      </w:r>
      <w:r>
        <w:t xml:space="preserve">ntienden a nivel organizativo que se podría acometer analizando pues por las posibles carencias que tenemos en cuanto al número de puestos que se deben incluir, puestos que no, el análisis realmente de la realidad nuestra y que con la carga de trabajo que </w:t>
      </w:r>
      <w:r>
        <w:t>hay en cada una de las áreas pues hay una propuesta organizativa en cada una de ellas. Eso es ahora mismo como vamos.</w:t>
      </w:r>
      <w:r>
        <w:rPr>
          <w:b/>
        </w:rPr>
        <w:t xml:space="preserve"> </w:t>
      </w:r>
      <w:r>
        <w:t xml:space="preserve">Preguntas Don Antonio.  </w:t>
      </w:r>
    </w:p>
    <w:p w:rsidR="00B064CF" w:rsidRDefault="00E32F70">
      <w:pPr>
        <w:spacing w:after="0" w:line="259" w:lineRule="auto"/>
        <w:ind w:left="360" w:firstLine="0"/>
        <w:jc w:val="left"/>
      </w:pPr>
      <w:r>
        <w:t xml:space="preserve"> </w:t>
      </w:r>
    </w:p>
    <w:p w:rsidR="00B064CF" w:rsidRDefault="00E32F70">
      <w:pPr>
        <w:spacing w:after="4"/>
        <w:ind w:left="355" w:right="68"/>
      </w:pPr>
      <w:r>
        <w:rPr>
          <w:b/>
        </w:rPr>
        <w:t xml:space="preserve">INTERVIENE DON ANTONIO DELGADO GARCÍA. – </w:t>
      </w:r>
    </w:p>
    <w:p w:rsidR="00B064CF" w:rsidRDefault="00E32F70">
      <w:pPr>
        <w:spacing w:after="0"/>
        <w:ind w:left="355" w:right="72"/>
      </w:pPr>
      <w:r>
        <w:t>Según el artículo 78-13 del Reglamento Orgánico Municipal, las repues</w:t>
      </w:r>
      <w:r>
        <w:t xml:space="preserve">tas a las preguntas escritas deben ser contestadas antes de la celebración de la sesión siguiente, es por lo que preguntamos cuándo nos van a responder a las preguntas realizadas. </w:t>
      </w:r>
      <w:r>
        <w:rPr>
          <w:rFonts w:ascii="Times New Roman" w:eastAsia="Times New Roman" w:hAnsi="Times New Roman" w:cs="Times New Roman"/>
          <w:sz w:val="24"/>
        </w:rPr>
        <w:t xml:space="preserve"> </w:t>
      </w:r>
    </w:p>
    <w:p w:rsidR="00B064CF" w:rsidRDefault="00E32F70">
      <w:pPr>
        <w:spacing w:after="0" w:line="259" w:lineRule="auto"/>
        <w:ind w:left="360" w:firstLine="0"/>
        <w:jc w:val="left"/>
      </w:pPr>
      <w:r>
        <w:t xml:space="preserve"> </w:t>
      </w:r>
    </w:p>
    <w:p w:rsidR="00B064CF" w:rsidRDefault="00E32F70">
      <w:pPr>
        <w:spacing w:after="4"/>
        <w:ind w:left="355" w:right="68"/>
      </w:pPr>
      <w:r>
        <w:rPr>
          <w:b/>
        </w:rPr>
        <w:t xml:space="preserve">INTEVIENE LA SEÑORA ALCALDESA-PRESIDENTA. - </w:t>
      </w:r>
    </w:p>
    <w:p w:rsidR="00B064CF" w:rsidRDefault="00E32F70">
      <w:pPr>
        <w:spacing w:after="0"/>
        <w:ind w:left="355" w:right="72"/>
      </w:pPr>
      <w:r>
        <w:t>No entendí bien Don Antonio</w:t>
      </w:r>
      <w:r>
        <w:t>, las preguntas que están pendientes de contestar… escritas, ah, bien, perdón que no le entendí bien, pues las retomamos, la verdad que ahora mismo yo no tengo información al respecto, sé que se tramitan desde Secretaría se envían a las áreas correspondien</w:t>
      </w:r>
      <w:r>
        <w:t xml:space="preserve">tes y la verdad es que lo comentamos con los compañeros en el Grupo y solicitamos que se respondan, yo la verdad que ahora mismo no recuerdo cuántas hay pendientes…   </w:t>
      </w:r>
    </w:p>
    <w:p w:rsidR="00B064CF" w:rsidRDefault="00E32F70">
      <w:pPr>
        <w:spacing w:after="0" w:line="259" w:lineRule="auto"/>
        <w:ind w:left="360" w:firstLine="0"/>
        <w:jc w:val="left"/>
      </w:pPr>
      <w:r>
        <w:t xml:space="preserve"> </w:t>
      </w:r>
    </w:p>
    <w:p w:rsidR="00B064CF" w:rsidRDefault="00E32F70">
      <w:pPr>
        <w:spacing w:after="0" w:line="259" w:lineRule="auto"/>
        <w:ind w:left="360" w:firstLine="0"/>
        <w:jc w:val="left"/>
      </w:pPr>
      <w:r>
        <w:t xml:space="preserve"> </w:t>
      </w:r>
    </w:p>
    <w:p w:rsidR="00B064CF" w:rsidRDefault="00E32F70">
      <w:pPr>
        <w:spacing w:after="4"/>
        <w:ind w:left="355" w:right="68"/>
      </w:pPr>
      <w:r>
        <w:rPr>
          <w:b/>
        </w:rPr>
        <w:t xml:space="preserve">INTERVIENE DON ANTONIO DELGADO GARCÍA. – </w:t>
      </w:r>
    </w:p>
    <w:p w:rsidR="00B064CF" w:rsidRDefault="00E32F70">
      <w:pPr>
        <w:spacing w:after="11"/>
        <w:ind w:left="355" w:right="72"/>
      </w:pPr>
      <w:r>
        <w:t>Creo que en esta legislatura solo se han r</w:t>
      </w:r>
      <w:r>
        <w:t xml:space="preserve">espondido tres.  </w:t>
      </w:r>
    </w:p>
    <w:p w:rsidR="00B064CF" w:rsidRDefault="00E32F70">
      <w:pPr>
        <w:spacing w:after="0" w:line="259" w:lineRule="auto"/>
        <w:ind w:left="360" w:firstLine="0"/>
        <w:jc w:val="left"/>
      </w:pPr>
      <w:r>
        <w:t xml:space="preserve">  </w:t>
      </w:r>
    </w:p>
    <w:p w:rsidR="00B064CF" w:rsidRDefault="00E32F70">
      <w:pPr>
        <w:spacing w:after="4"/>
        <w:ind w:left="355" w:right="68"/>
      </w:pPr>
      <w:r>
        <w:rPr>
          <w:b/>
        </w:rPr>
        <w:t xml:space="preserve">INTERVIENE LA SEÑORA ALCALDESA-PRESIDENTA. – </w:t>
      </w:r>
    </w:p>
    <w:p w:rsidR="00B064CF" w:rsidRDefault="00E32F70">
      <w:pPr>
        <w:spacing w:after="11"/>
        <w:ind w:left="355" w:right="72"/>
      </w:pPr>
      <w:r>
        <w:t xml:space="preserve">Si, pues muy bien, pues lo retomamos, es lo que ahora mismo puedo comentarle. </w:t>
      </w:r>
    </w:p>
    <w:p w:rsidR="00B064CF" w:rsidRDefault="00E32F70">
      <w:pPr>
        <w:spacing w:after="0"/>
        <w:ind w:left="355" w:right="72"/>
      </w:pPr>
      <w:r>
        <w:t>Muy bien, pues gracias a todos por las intervenciones, las preguntas y seguimos en la lucha, seguimos trabajan</w:t>
      </w:r>
      <w:r>
        <w:t xml:space="preserve">do. </w:t>
      </w:r>
    </w:p>
    <w:p w:rsidR="00B064CF" w:rsidRDefault="00E32F70">
      <w:pPr>
        <w:spacing w:after="11"/>
        <w:ind w:left="355" w:right="72"/>
      </w:pPr>
      <w:r>
        <w:t xml:space="preserve">Muchas gracias a todos con este apartado concluimos el Pleno. </w:t>
      </w:r>
    </w:p>
    <w:p w:rsidR="00B064CF" w:rsidRDefault="00E32F70">
      <w:pPr>
        <w:spacing w:after="11"/>
        <w:ind w:left="355" w:right="72"/>
      </w:pPr>
      <w:r>
        <w:t xml:space="preserve">Buenos días. - </w:t>
      </w:r>
    </w:p>
    <w:p w:rsidR="00B064CF" w:rsidRDefault="00E32F70">
      <w:pPr>
        <w:spacing w:after="0" w:line="259" w:lineRule="auto"/>
        <w:ind w:left="360" w:firstLine="0"/>
        <w:jc w:val="left"/>
      </w:pPr>
      <w:r>
        <w:t xml:space="preserve">   </w:t>
      </w:r>
    </w:p>
    <w:p w:rsidR="00B064CF" w:rsidRDefault="00E32F70">
      <w:pPr>
        <w:spacing w:after="0"/>
        <w:ind w:left="355" w:right="72"/>
      </w:pPr>
      <w:r>
        <w:t xml:space="preserve"> Se levanta la sesión a las 11:40 horas del mismo día. De todo lo cual yo, como Secretario General, doy fe. </w:t>
      </w:r>
    </w:p>
    <w:p w:rsidR="00B064CF" w:rsidRDefault="00E32F70">
      <w:pPr>
        <w:spacing w:after="102" w:line="259" w:lineRule="auto"/>
        <w:ind w:left="360" w:firstLine="0"/>
        <w:jc w:val="left"/>
      </w:pPr>
      <w:r>
        <w:rPr>
          <w:b/>
        </w:rPr>
        <w:t xml:space="preserve"> </w:t>
      </w:r>
    </w:p>
    <w:p w:rsidR="00B064CF" w:rsidRDefault="00E32F70">
      <w:pPr>
        <w:spacing w:after="111"/>
        <w:ind w:left="355" w:right="68"/>
      </w:pPr>
      <w:r>
        <w:rPr>
          <w:rFonts w:ascii="Calibri" w:eastAsia="Calibri" w:hAnsi="Calibri" w:cs="Calibri"/>
          <w:noProof/>
        </w:rPr>
        <mc:AlternateContent>
          <mc:Choice Requires="wpg">
            <w:drawing>
              <wp:anchor distT="0" distB="0" distL="114300" distR="114300" simplePos="0" relativeHeight="251971584" behindDoc="0" locked="0" layoutInCell="1" allowOverlap="1">
                <wp:simplePos x="0" y="0"/>
                <wp:positionH relativeFrom="page">
                  <wp:posOffset>8664935</wp:posOffset>
                </wp:positionH>
                <wp:positionV relativeFrom="page">
                  <wp:posOffset>6769227</wp:posOffset>
                </wp:positionV>
                <wp:extent cx="161330" cy="3542157"/>
                <wp:effectExtent l="0" t="0" r="0" b="0"/>
                <wp:wrapTopAndBottom/>
                <wp:docPr id="428333" name="Group 428333"/>
                <wp:cNvGraphicFramePr/>
                <a:graphic xmlns:a="http://schemas.openxmlformats.org/drawingml/2006/main">
                  <a:graphicData uri="http://schemas.microsoft.com/office/word/2010/wordprocessingGroup">
                    <wpg:wgp>
                      <wpg:cNvGrpSpPr/>
                      <wpg:grpSpPr>
                        <a:xfrm>
                          <a:off x="0" y="0"/>
                          <a:ext cx="161330" cy="3542157"/>
                          <a:chOff x="0" y="0"/>
                          <a:chExt cx="161330" cy="3542157"/>
                        </a:xfrm>
                      </wpg:grpSpPr>
                      <wps:wsp>
                        <wps:cNvPr id="45791" name="Rectangle 45791"/>
                        <wps:cNvSpPr/>
                        <wps:spPr>
                          <a:xfrm rot="-5399999">
                            <a:off x="-2298922" y="1130010"/>
                            <a:ext cx="4711069" cy="113224"/>
                          </a:xfrm>
                          <a:prstGeom prst="rect">
                            <a:avLst/>
                          </a:prstGeom>
                          <a:ln>
                            <a:noFill/>
                          </a:ln>
                        </wps:spPr>
                        <wps:txbx>
                          <w:txbxContent>
                            <w:p w:rsidR="00B064CF" w:rsidRDefault="00E32F70">
                              <w:pPr>
                                <w:spacing w:after="160" w:line="259" w:lineRule="auto"/>
                                <w:ind w:left="0" w:firstLine="0"/>
                                <w:jc w:val="left"/>
                              </w:pPr>
                              <w:r>
                                <w:rPr>
                                  <w:sz w:val="12"/>
                                </w:rPr>
                                <w:t xml:space="preserve">Cód. Validación: 64SKSNYNJRFPNN5DLPPAAC3GS | Verificación: https://candelaria.sedelectronica.es/ </w:t>
                              </w:r>
                            </w:p>
                          </w:txbxContent>
                        </wps:txbx>
                        <wps:bodyPr horzOverflow="overflow" vert="horz" lIns="0" tIns="0" rIns="0" bIns="0" rtlCol="0">
                          <a:noAutofit/>
                        </wps:bodyPr>
                      </wps:wsp>
                      <wps:wsp>
                        <wps:cNvPr id="45792" name="Rectangle 45792"/>
                        <wps:cNvSpPr/>
                        <wps:spPr>
                          <a:xfrm rot="-5399999">
                            <a:off x="-2098575" y="1254158"/>
                            <a:ext cx="4462772" cy="113224"/>
                          </a:xfrm>
                          <a:prstGeom prst="rect">
                            <a:avLst/>
                          </a:prstGeom>
                          <a:ln>
                            <a:noFill/>
                          </a:ln>
                        </wps:spPr>
                        <wps:txbx>
                          <w:txbxContent>
                            <w:p w:rsidR="00B064CF" w:rsidRDefault="00E32F70">
                              <w:pPr>
                                <w:spacing w:after="160" w:line="259" w:lineRule="auto"/>
                                <w:ind w:left="0" w:firstLine="0"/>
                                <w:jc w:val="left"/>
                              </w:pPr>
                              <w:r>
                                <w:rPr>
                                  <w:sz w:val="12"/>
                                </w:rPr>
                                <w:t xml:space="preserve">Documento firmado electrónicamente desde la plataforma esPublico Gestiona | Página 298 de 298 </w:t>
                              </w:r>
                            </w:p>
                          </w:txbxContent>
                        </wps:txbx>
                        <wps:bodyPr horzOverflow="overflow" vert="horz" lIns="0" tIns="0" rIns="0" bIns="0" rtlCol="0">
                          <a:noAutofit/>
                        </wps:bodyPr>
                      </wps:wsp>
                    </wpg:wgp>
                  </a:graphicData>
                </a:graphic>
              </wp:anchor>
            </w:drawing>
          </mc:Choice>
          <mc:Fallback xmlns:a="http://schemas.openxmlformats.org/drawingml/2006/main">
            <w:pict>
              <v:group id="Group 428333" style="width:12.7031pt;height:278.91pt;position:absolute;mso-position-horizontal-relative:page;mso-position-horizontal:absolute;margin-left:682.278pt;mso-position-vertical-relative:page;margin-top:533.01pt;" coordsize="1613,35421">
                <v:rect id="Rectangle 45791" style="position:absolute;width:47110;height:1132;left:-22989;top:113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64SKSNYNJRFPNN5DLPPAAC3GS | Verificación: https://candelaria.sedelectronica.es/ </w:t>
                        </w:r>
                      </w:p>
                    </w:txbxContent>
                  </v:textbox>
                </v:rect>
                <v:rect id="Rectangle 45792" style="position:absolute;width:44627;height:1132;left:-20985;top:125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298 de 298 </w:t>
                        </w:r>
                      </w:p>
                    </w:txbxContent>
                  </v:textbox>
                </v:rect>
                <w10:wrap type="topAndBottom"/>
              </v:group>
            </w:pict>
          </mc:Fallback>
        </mc:AlternateContent>
      </w:r>
      <w:r>
        <w:t xml:space="preserve">                                     </w:t>
      </w:r>
      <w:r>
        <w:rPr>
          <w:b/>
        </w:rPr>
        <w:t>Vº. Bº.</w:t>
      </w:r>
      <w:r>
        <w:rPr>
          <w:vertAlign w:val="subscript"/>
        </w:rPr>
        <w:t xml:space="preserve"> </w:t>
      </w:r>
    </w:p>
    <w:p w:rsidR="00B064CF" w:rsidRDefault="00E32F70">
      <w:pPr>
        <w:spacing w:after="0" w:line="259" w:lineRule="auto"/>
        <w:ind w:left="360" w:firstLine="0"/>
        <w:jc w:val="left"/>
      </w:pPr>
      <w:r>
        <w:t xml:space="preserve"> </w:t>
      </w:r>
    </w:p>
    <w:p w:rsidR="00B064CF" w:rsidRDefault="00E32F70">
      <w:pPr>
        <w:tabs>
          <w:tab w:val="center" w:pos="360"/>
          <w:tab w:val="center" w:pos="2681"/>
          <w:tab w:val="center" w:pos="4609"/>
          <w:tab w:val="center" w:pos="7011"/>
        </w:tabs>
        <w:spacing w:after="284"/>
        <w:ind w:left="0" w:firstLine="0"/>
        <w:jc w:val="left"/>
      </w:pPr>
      <w:r>
        <w:rPr>
          <w:rFonts w:ascii="Calibri" w:eastAsia="Calibri" w:hAnsi="Calibri" w:cs="Calibri"/>
        </w:rPr>
        <w:tab/>
      </w:r>
      <w:r>
        <w:rPr>
          <w:b/>
        </w:rPr>
        <w:t xml:space="preserve"> </w:t>
      </w:r>
      <w:r>
        <w:rPr>
          <w:b/>
        </w:rPr>
        <w:tab/>
        <w:t>LA ALCALDE</w:t>
      </w:r>
      <w:r>
        <w:rPr>
          <w:b/>
        </w:rPr>
        <w:t xml:space="preserve">SA-PRESIDENTA, </w:t>
      </w:r>
      <w:r>
        <w:rPr>
          <w:b/>
        </w:rPr>
        <w:tab/>
        <w:t xml:space="preserve"> </w:t>
      </w:r>
      <w:r>
        <w:rPr>
          <w:b/>
        </w:rPr>
        <w:tab/>
        <w:t xml:space="preserve">       EL SECRETARIO GENERAL,</w:t>
      </w:r>
      <w:r>
        <w:rPr>
          <w:vertAlign w:val="subscript"/>
        </w:rPr>
        <w:t xml:space="preserve"> </w:t>
      </w:r>
    </w:p>
    <w:p w:rsidR="00B064CF" w:rsidRDefault="00E32F70">
      <w:pPr>
        <w:spacing w:after="272"/>
        <w:ind w:left="355" w:right="72"/>
      </w:pPr>
      <w:r>
        <w:t xml:space="preserve">             María Concepción Brito Núñez                     Octavio Manuel Hernández Fernández  </w:t>
      </w:r>
    </w:p>
    <w:p w:rsidR="00B064CF" w:rsidRDefault="00E32F70">
      <w:pPr>
        <w:spacing w:after="259" w:line="259" w:lineRule="auto"/>
        <w:ind w:left="360" w:firstLine="0"/>
        <w:jc w:val="left"/>
      </w:pPr>
      <w:r>
        <w:t xml:space="preserve"> </w:t>
      </w:r>
    </w:p>
    <w:p w:rsidR="00B064CF" w:rsidRDefault="00E32F70">
      <w:pPr>
        <w:pStyle w:val="Ttulo2"/>
        <w:ind w:left="290" w:right="1"/>
      </w:pPr>
      <w:r>
        <w:t>DOCUMENTO FIRMADO ELECTRÓNICAMENTE</w:t>
      </w:r>
      <w:r>
        <w:rPr>
          <w:b w:val="0"/>
        </w:rPr>
        <w:t xml:space="preserve">  </w:t>
      </w:r>
    </w:p>
    <w:p w:rsidR="00B064CF" w:rsidRDefault="00E32F70">
      <w:pPr>
        <w:spacing w:after="0" w:line="259" w:lineRule="auto"/>
        <w:ind w:left="360" w:firstLine="0"/>
        <w:jc w:val="left"/>
      </w:pPr>
      <w:r>
        <w:t xml:space="preserve"> </w:t>
      </w:r>
    </w:p>
    <w:sectPr w:rsidR="00B064CF">
      <w:headerReference w:type="even" r:id="rId68"/>
      <w:headerReference w:type="default" r:id="rId69"/>
      <w:footerReference w:type="even" r:id="rId70"/>
      <w:footerReference w:type="default" r:id="rId71"/>
      <w:headerReference w:type="first" r:id="rId72"/>
      <w:footerReference w:type="first" r:id="rId73"/>
      <w:pgSz w:w="14174" w:h="16838"/>
      <w:pgMar w:top="2834" w:right="1977" w:bottom="94" w:left="2192" w:header="693" w:footer="54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E32F70">
      <w:pPr>
        <w:spacing w:after="0" w:line="240" w:lineRule="auto"/>
      </w:pPr>
      <w:r>
        <w:separator/>
      </w:r>
    </w:p>
  </w:endnote>
  <w:endnote w:type="continuationSeparator" w:id="0">
    <w:p w:rsidR="00000000" w:rsidRDefault="00E32F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4CF" w:rsidRDefault="00E32F70">
    <w:pPr>
      <w:spacing w:after="0" w:line="259" w:lineRule="auto"/>
      <w:ind w:left="54"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446150" name="Group 446150"/>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446151" name="Shape 446151"/>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46150" style="width:459.1pt;height:1.34998pt;position:absolute;mso-position-horizontal-relative:page;mso-position-horizontal:absolute;margin-left:130.31pt;mso-position-vertical-relative:page;margin-top:783.42pt;" coordsize="58305,171">
              <v:shape id="Shape 446151"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B064CF" w:rsidRDefault="00E32F70">
    <w:pPr>
      <w:spacing w:after="57" w:line="238" w:lineRule="auto"/>
      <w:ind w:left="4119" w:right="1974" w:hanging="1976"/>
    </w:pPr>
    <w:r>
      <w:rPr>
        <w:sz w:val="14"/>
      </w:rPr>
      <w:t xml:space="preserve">Avenida Constitución Nº 7. Código postal: 38530, Candelaria. Teléfono: 922.500.800. </w:t>
    </w:r>
    <w:r>
      <w:rPr>
        <w:b/>
        <w:sz w:val="14"/>
      </w:rPr>
      <w:t xml:space="preserve">www. candelaria. es </w:t>
    </w:r>
  </w:p>
  <w:p w:rsidR="00B064CF" w:rsidRDefault="00E32F70">
    <w:pPr>
      <w:spacing w:after="0" w:line="259" w:lineRule="auto"/>
      <w:ind w:left="0" w:right="224" w:firstLine="0"/>
      <w:jc w:val="right"/>
    </w:pPr>
    <w:r>
      <w:fldChar w:fldCharType="begin"/>
    </w:r>
    <w:r>
      <w:instrText xml:space="preserve"> PAGE   \* MERGEFORMAT </w:instrText>
    </w:r>
    <w:r>
      <w:fldChar w:fldCharType="separate"/>
    </w:r>
    <w:r w:rsidRPr="00E32F70">
      <w:rPr>
        <w:noProof/>
        <w:sz w:val="14"/>
      </w:rPr>
      <w:t>8</w:t>
    </w:r>
    <w:r>
      <w:rPr>
        <w:sz w:val="14"/>
      </w:rPr>
      <w:fldChar w:fldCharType="end"/>
    </w:r>
    <w:r>
      <w:rPr>
        <w:rFonts w:ascii="Times New Roman" w:eastAsia="Times New Roman" w:hAnsi="Times New Roman" w:cs="Times New Roman"/>
        <w:sz w:val="24"/>
      </w:rP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4CF" w:rsidRDefault="00E32F70">
    <w:pPr>
      <w:spacing w:after="0" w:line="259" w:lineRule="auto"/>
      <w:ind w:left="54" w:firstLine="0"/>
      <w:jc w:val="left"/>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446403" name="Group 446403"/>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446404" name="Shape 446404"/>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46403" style="width:459.1pt;height:1.34998pt;position:absolute;mso-position-horizontal-relative:page;mso-position-horizontal:absolute;margin-left:130.31pt;mso-position-vertical-relative:page;margin-top:783.42pt;" coordsize="58305,171">
              <v:shape id="Shape 446404"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B064CF" w:rsidRDefault="00E32F70">
    <w:pPr>
      <w:spacing w:after="57" w:line="238" w:lineRule="auto"/>
      <w:ind w:left="4119" w:right="1809" w:hanging="1976"/>
    </w:pPr>
    <w:r>
      <w:rPr>
        <w:sz w:val="14"/>
      </w:rPr>
      <w:t xml:space="preserve">Avenida Constitución Nº 7. Código postal: 38530, Candelaria. Teléfono: 922.500.800. </w:t>
    </w:r>
    <w:r>
      <w:rPr>
        <w:b/>
        <w:sz w:val="14"/>
      </w:rPr>
      <w:t xml:space="preserve">www. candelaria. es </w:t>
    </w:r>
  </w:p>
  <w:p w:rsidR="00B064CF" w:rsidRDefault="00E32F70">
    <w:pPr>
      <w:spacing w:after="0" w:line="259" w:lineRule="auto"/>
      <w:ind w:left="0" w:right="59"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4CF" w:rsidRDefault="00E32F70">
    <w:pPr>
      <w:spacing w:after="0" w:line="259" w:lineRule="auto"/>
      <w:ind w:left="54" w:firstLine="0"/>
      <w:jc w:val="left"/>
    </w:pP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446367" name="Group 446367"/>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446368" name="Shape 446368"/>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46367" style="width:459.1pt;height:1.34998pt;position:absolute;mso-position-horizontal-relative:page;mso-position-horizontal:absolute;margin-left:130.31pt;mso-position-vertical-relative:page;margin-top:783.42pt;" coordsize="58305,171">
              <v:shape id="Shape 446368"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B064CF" w:rsidRDefault="00E32F70">
    <w:pPr>
      <w:spacing w:after="57" w:line="238" w:lineRule="auto"/>
      <w:ind w:left="4119" w:right="1809" w:hanging="1976"/>
    </w:pPr>
    <w:r>
      <w:rPr>
        <w:sz w:val="14"/>
      </w:rPr>
      <w:t xml:space="preserve">Avenida Constitución Nº 7. Código postal: 38530, Candelaria. Teléfono: 922.500.800. </w:t>
    </w:r>
    <w:r>
      <w:rPr>
        <w:b/>
        <w:sz w:val="14"/>
      </w:rPr>
      <w:t xml:space="preserve">www. candelaria. es </w:t>
    </w:r>
  </w:p>
  <w:p w:rsidR="00B064CF" w:rsidRDefault="00E32F70">
    <w:pPr>
      <w:spacing w:after="0" w:line="259" w:lineRule="auto"/>
      <w:ind w:left="0" w:right="59"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4CF" w:rsidRDefault="00E32F70">
    <w:pPr>
      <w:spacing w:after="0" w:line="259" w:lineRule="auto"/>
      <w:ind w:left="54" w:firstLine="0"/>
      <w:jc w:val="left"/>
    </w:pP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446333" name="Group 446333"/>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446334" name="Shape 446334"/>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46333" style="width:459.1pt;height:1.34998pt;position:absolute;mso-position-horizontal-relative:page;mso-position-horizontal:absolute;margin-left:130.31pt;mso-position-vertical-relative:page;margin-top:783.42pt;" coordsize="58305,171">
              <v:shape id="Shape 446334"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B064CF" w:rsidRDefault="00E32F70">
    <w:pPr>
      <w:spacing w:after="57" w:line="238" w:lineRule="auto"/>
      <w:ind w:left="4119" w:right="1809" w:hanging="1976"/>
    </w:pPr>
    <w:r>
      <w:rPr>
        <w:sz w:val="14"/>
      </w:rPr>
      <w:t xml:space="preserve">Avenida Constitución Nº 7. Código postal: 38530, Candelaria. Teléfono: 922.500.800. </w:t>
    </w:r>
    <w:r>
      <w:rPr>
        <w:b/>
        <w:sz w:val="14"/>
      </w:rPr>
      <w:t xml:space="preserve">www. candelaria. es </w:t>
    </w:r>
  </w:p>
  <w:p w:rsidR="00B064CF" w:rsidRDefault="00E32F70">
    <w:pPr>
      <w:spacing w:after="0" w:line="259" w:lineRule="auto"/>
      <w:ind w:left="0" w:right="59"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4CF" w:rsidRDefault="00E32F70">
    <w:pPr>
      <w:spacing w:after="0" w:line="259" w:lineRule="auto"/>
      <w:ind w:left="414" w:firstLine="0"/>
      <w:jc w:val="left"/>
    </w:pPr>
    <w:r>
      <w:rPr>
        <w:rFonts w:ascii="Calibri" w:eastAsia="Calibri" w:hAnsi="Calibri" w:cs="Calibri"/>
        <w:noProof/>
      </w:rPr>
      <mc:AlternateContent>
        <mc:Choice Requires="wpg">
          <w:drawing>
            <wp:anchor distT="0" distB="0" distL="114300" distR="114300" simplePos="0" relativeHeight="251695104"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446506" name="Group 446506"/>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446507" name="Shape 446507"/>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46506" style="width:459.1pt;height:1.34998pt;position:absolute;mso-position-horizontal-relative:page;mso-position-horizontal:absolute;margin-left:130.31pt;mso-position-vertical-relative:page;margin-top:783.42pt;" coordsize="58305,171">
              <v:shape id="Shape 446507"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B064CF" w:rsidRDefault="00E32F70">
    <w:pPr>
      <w:spacing w:after="57" w:line="238" w:lineRule="auto"/>
      <w:ind w:left="4480" w:right="1829" w:hanging="1976"/>
    </w:pPr>
    <w:r>
      <w:rPr>
        <w:sz w:val="14"/>
      </w:rPr>
      <w:t xml:space="preserve">Avenida Constitución Nº 7. Código postal: 38530, Candelaria. Teléfono: 922.500.800. </w:t>
    </w:r>
    <w:r>
      <w:rPr>
        <w:b/>
        <w:sz w:val="14"/>
      </w:rPr>
      <w:t xml:space="preserve">www. candelaria. es </w:t>
    </w:r>
  </w:p>
  <w:p w:rsidR="00B064CF" w:rsidRDefault="00E32F70">
    <w:pPr>
      <w:spacing w:after="0" w:line="259" w:lineRule="auto"/>
      <w:ind w:left="0" w:right="79"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4CF" w:rsidRDefault="00E32F70">
    <w:pPr>
      <w:spacing w:after="0" w:line="259" w:lineRule="auto"/>
      <w:ind w:left="414" w:firstLine="0"/>
      <w:jc w:val="left"/>
    </w:pPr>
    <w:r>
      <w:rPr>
        <w:rFonts w:ascii="Calibri" w:eastAsia="Calibri" w:hAnsi="Calibri" w:cs="Calibri"/>
        <w:noProof/>
      </w:rPr>
      <mc:AlternateContent>
        <mc:Choice Requires="wpg">
          <w:drawing>
            <wp:anchor distT="0" distB="0" distL="114300" distR="114300" simplePos="0" relativeHeight="251696128"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446472" name="Group 446472"/>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446473" name="Shape 446473"/>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46472" style="width:459.1pt;height:1.34998pt;position:absolute;mso-position-horizontal-relative:page;mso-position-horizontal:absolute;margin-left:130.31pt;mso-position-vertical-relative:page;margin-top:783.42pt;" coordsize="58305,171">
              <v:shape id="Shape 446473"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B064CF" w:rsidRDefault="00E32F70">
    <w:pPr>
      <w:spacing w:after="57" w:line="238" w:lineRule="auto"/>
      <w:ind w:left="4480" w:right="1829" w:hanging="1976"/>
    </w:pPr>
    <w:r>
      <w:rPr>
        <w:sz w:val="14"/>
      </w:rPr>
      <w:t xml:space="preserve">Avenida Constitución Nº 7. Código postal: 38530, Candelaria. Teléfono: 922.500.800. </w:t>
    </w:r>
    <w:r>
      <w:rPr>
        <w:b/>
        <w:sz w:val="14"/>
      </w:rPr>
      <w:t xml:space="preserve">www. candelaria. es </w:t>
    </w:r>
  </w:p>
  <w:p w:rsidR="00B064CF" w:rsidRDefault="00E32F70">
    <w:pPr>
      <w:spacing w:after="0" w:line="259" w:lineRule="auto"/>
      <w:ind w:left="0" w:right="79"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4CF" w:rsidRDefault="00E32F70">
    <w:pPr>
      <w:spacing w:after="0" w:line="259" w:lineRule="auto"/>
      <w:ind w:left="414" w:firstLine="0"/>
      <w:jc w:val="left"/>
    </w:pPr>
    <w:r>
      <w:rPr>
        <w:rFonts w:ascii="Calibri" w:eastAsia="Calibri" w:hAnsi="Calibri" w:cs="Calibri"/>
        <w:noProof/>
      </w:rPr>
      <mc:AlternateContent>
        <mc:Choice Requires="wpg">
          <w:drawing>
            <wp:anchor distT="0" distB="0" distL="114300" distR="114300" simplePos="0" relativeHeight="251697152"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446438" name="Group 446438"/>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446439" name="Shape 44643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46438" style="width:459.1pt;height:1.34998pt;position:absolute;mso-position-horizontal-relative:page;mso-position-horizontal:absolute;margin-left:130.31pt;mso-position-vertical-relative:page;margin-top:783.42pt;" coordsize="58305,171">
              <v:shape id="Shape 446439"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B064CF" w:rsidRDefault="00E32F70">
    <w:pPr>
      <w:spacing w:after="57" w:line="238" w:lineRule="auto"/>
      <w:ind w:left="4480" w:right="1829" w:hanging="1976"/>
    </w:pPr>
    <w:r>
      <w:rPr>
        <w:sz w:val="14"/>
      </w:rPr>
      <w:t xml:space="preserve">Avenida Constitución Nº 7. Código postal: 38530, Candelaria. Teléfono: 922.500.800. </w:t>
    </w:r>
    <w:r>
      <w:rPr>
        <w:b/>
        <w:sz w:val="14"/>
      </w:rPr>
      <w:t xml:space="preserve">www. candelaria. es </w:t>
    </w:r>
  </w:p>
  <w:p w:rsidR="00B064CF" w:rsidRDefault="00E32F70">
    <w:pPr>
      <w:spacing w:after="0" w:line="259" w:lineRule="auto"/>
      <w:ind w:left="0" w:right="79"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4CF" w:rsidRDefault="00E32F70">
    <w:pPr>
      <w:spacing w:after="0" w:line="259" w:lineRule="auto"/>
      <w:ind w:left="54"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446116" name="Group 446116"/>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446117" name="Shape 446117"/>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46116" style="width:459.1pt;height:1.34998pt;position:absolute;mso-position-horizontal-relative:page;mso-position-horizontal:absolute;margin-left:130.31pt;mso-position-vertical-relative:page;margin-top:783.42pt;" coordsize="58305,171">
              <v:shape id="Shape 446117"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B064CF" w:rsidRDefault="00E32F70">
    <w:pPr>
      <w:spacing w:after="57" w:line="238" w:lineRule="auto"/>
      <w:ind w:left="4119" w:right="1974" w:hanging="1976"/>
    </w:pPr>
    <w:r>
      <w:rPr>
        <w:sz w:val="14"/>
      </w:rPr>
      <w:t xml:space="preserve">Avenida Constitución Nº 7. Código postal: 38530, Candelaria. Teléfono: 922.500.800. </w:t>
    </w:r>
    <w:r>
      <w:rPr>
        <w:b/>
        <w:sz w:val="14"/>
      </w:rPr>
      <w:t xml:space="preserve">www. candelaria. es </w:t>
    </w:r>
  </w:p>
  <w:p w:rsidR="00B064CF" w:rsidRDefault="00E32F70">
    <w:pPr>
      <w:spacing w:after="0" w:line="259" w:lineRule="auto"/>
      <w:ind w:left="0" w:right="224" w:firstLine="0"/>
      <w:jc w:val="right"/>
    </w:pPr>
    <w:r>
      <w:fldChar w:fldCharType="begin"/>
    </w:r>
    <w:r>
      <w:instrText xml:space="preserve"> PAGE   \* MERGEFORMAT </w:instrText>
    </w:r>
    <w:r>
      <w:fldChar w:fldCharType="separate"/>
    </w:r>
    <w:r w:rsidRPr="00E32F70">
      <w:rPr>
        <w:noProof/>
        <w:sz w:val="14"/>
      </w:rPr>
      <w:t>9</w:t>
    </w:r>
    <w:r>
      <w:rPr>
        <w:sz w:val="1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4CF" w:rsidRDefault="00B064CF">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4CF" w:rsidRDefault="00E32F70">
    <w:pPr>
      <w:spacing w:after="0" w:line="259" w:lineRule="auto"/>
      <w:ind w:left="54" w:right="-231" w:firstLine="0"/>
      <w:jc w:val="left"/>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446223" name="Group 446223"/>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446224" name="Shape 446224"/>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46223" style="width:459.1pt;height:1.34998pt;position:absolute;mso-position-horizontal-relative:page;mso-position-horizontal:absolute;margin-left:130.31pt;mso-position-vertical-relative:page;margin-top:783.42pt;" coordsize="58305,171">
              <v:shape id="Shape 446224"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B064CF" w:rsidRDefault="00E32F70">
    <w:pPr>
      <w:spacing w:after="57" w:line="238" w:lineRule="auto"/>
      <w:ind w:left="4119" w:right="1189" w:hanging="1976"/>
    </w:pPr>
    <w:r>
      <w:rPr>
        <w:sz w:val="14"/>
      </w:rPr>
      <w:t xml:space="preserve">Avenida Constitución Nº 7. Código postal: 38530, Candelaria. Teléfono: 922.500.800. </w:t>
    </w:r>
    <w:r>
      <w:rPr>
        <w:b/>
        <w:sz w:val="14"/>
      </w:rPr>
      <w:t xml:space="preserve">www. candelaria. es </w:t>
    </w:r>
  </w:p>
  <w:p w:rsidR="00B064CF" w:rsidRDefault="00E32F70">
    <w:pPr>
      <w:spacing w:after="0" w:line="259" w:lineRule="auto"/>
      <w:ind w:left="0" w:right="-562"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4CF" w:rsidRDefault="00E32F70">
    <w:pPr>
      <w:spacing w:after="0" w:line="259" w:lineRule="auto"/>
      <w:ind w:left="54" w:right="-231" w:firstLine="0"/>
      <w:jc w:val="left"/>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446189" name="Group 446189"/>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446190" name="Shape 446190"/>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46189" style="width:459.1pt;height:1.34998pt;position:absolute;mso-position-horizontal-relative:page;mso-position-horizontal:absolute;margin-left:130.31pt;mso-position-vertical-relative:page;margin-top:783.42pt;" coordsize="58305,171">
              <v:shape id="Shape 446190"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B064CF" w:rsidRDefault="00E32F70">
    <w:pPr>
      <w:spacing w:after="57" w:line="238" w:lineRule="auto"/>
      <w:ind w:left="4119" w:right="1189" w:hanging="1976"/>
    </w:pPr>
    <w:r>
      <w:rPr>
        <w:sz w:val="14"/>
      </w:rPr>
      <w:t xml:space="preserve">Avenida Constitución Nº 7. Código postal: 38530, Candelaria. Teléfono: 922.500.800. </w:t>
    </w:r>
    <w:r>
      <w:rPr>
        <w:b/>
        <w:sz w:val="14"/>
      </w:rPr>
      <w:t xml:space="preserve">www. candelaria. es </w:t>
    </w:r>
  </w:p>
  <w:p w:rsidR="00B064CF" w:rsidRDefault="00E32F70">
    <w:pPr>
      <w:spacing w:after="0" w:line="259" w:lineRule="auto"/>
      <w:ind w:left="0" w:right="-562" w:firstLine="0"/>
      <w:jc w:val="right"/>
    </w:pPr>
    <w:r>
      <w:fldChar w:fldCharType="begin"/>
    </w:r>
    <w:r>
      <w:instrText xml:space="preserve"> PAGE   \* MERGEFORMAT </w:instrText>
    </w:r>
    <w:r>
      <w:fldChar w:fldCharType="separate"/>
    </w:r>
    <w:r w:rsidRPr="00E32F70">
      <w:rPr>
        <w:noProof/>
        <w:sz w:val="14"/>
      </w:rPr>
      <w:t>11</w:t>
    </w:r>
    <w:r>
      <w:rPr>
        <w:sz w:val="14"/>
      </w:rPr>
      <w:fldChar w:fldCharType="end"/>
    </w: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4CF" w:rsidRDefault="00B064CF">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4CF" w:rsidRDefault="00E32F70">
    <w:pPr>
      <w:spacing w:after="0" w:line="259" w:lineRule="auto"/>
      <w:ind w:left="414" w:firstLine="0"/>
      <w:jc w:val="left"/>
    </w:pP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446296" name="Group 446296"/>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446297" name="Shape 446297"/>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46296" style="width:459.1pt;height:1.34998pt;position:absolute;mso-position-horizontal-relative:page;mso-position-horizontal:absolute;margin-left:130.31pt;mso-position-vertical-relative:page;margin-top:783.42pt;" coordsize="58305,171">
              <v:shape id="Shape 446297"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B064CF" w:rsidRDefault="00E32F70">
    <w:pPr>
      <w:spacing w:after="57" w:line="238" w:lineRule="auto"/>
      <w:ind w:left="4480" w:right="1896" w:hanging="1976"/>
    </w:pPr>
    <w:r>
      <w:rPr>
        <w:sz w:val="14"/>
      </w:rPr>
      <w:t xml:space="preserve">Avenida Constitución Nº 7. Código postal: 38530, Candelaria. Teléfono: 922.500.800. </w:t>
    </w:r>
    <w:r>
      <w:rPr>
        <w:b/>
        <w:sz w:val="14"/>
      </w:rPr>
      <w:t xml:space="preserve">www. candelaria. es </w:t>
    </w:r>
  </w:p>
  <w:p w:rsidR="00B064CF" w:rsidRDefault="00E32F70">
    <w:pPr>
      <w:spacing w:after="0" w:line="259" w:lineRule="auto"/>
      <w:ind w:left="0" w:right="145"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4CF" w:rsidRDefault="00E32F70">
    <w:pPr>
      <w:spacing w:after="0" w:line="259" w:lineRule="auto"/>
      <w:ind w:left="414" w:firstLine="0"/>
      <w:jc w:val="left"/>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446262" name="Group 446262"/>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446263" name="Shape 446263"/>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46262" style="width:459.1pt;height:1.34998pt;position:absolute;mso-position-horizontal-relative:page;mso-position-horizontal:absolute;margin-left:130.31pt;mso-position-vertical-relative:page;margin-top:783.42pt;" coordsize="58305,171">
              <v:shape id="Shape 446263"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B064CF" w:rsidRDefault="00E32F70">
    <w:pPr>
      <w:spacing w:after="57" w:line="238" w:lineRule="auto"/>
      <w:ind w:left="4480" w:right="1896" w:hanging="1976"/>
    </w:pPr>
    <w:r>
      <w:rPr>
        <w:sz w:val="14"/>
      </w:rPr>
      <w:t xml:space="preserve">Avenida Constitución Nº 7. Código postal: 38530, Candelaria. Teléfono: 922.500.800. </w:t>
    </w:r>
    <w:r>
      <w:rPr>
        <w:b/>
        <w:sz w:val="14"/>
      </w:rPr>
      <w:t xml:space="preserve">www. candelaria. es </w:t>
    </w:r>
  </w:p>
  <w:p w:rsidR="00B064CF" w:rsidRDefault="00E32F70">
    <w:pPr>
      <w:spacing w:after="0" w:line="259" w:lineRule="auto"/>
      <w:ind w:left="0" w:right="145"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4CF" w:rsidRDefault="00B064CF">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E32F70">
      <w:pPr>
        <w:spacing w:after="0" w:line="240" w:lineRule="auto"/>
      </w:pPr>
      <w:r>
        <w:separator/>
      </w:r>
    </w:p>
  </w:footnote>
  <w:footnote w:type="continuationSeparator" w:id="0">
    <w:p w:rsidR="00000000" w:rsidRDefault="00E32F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4CF" w:rsidRDefault="00E32F7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446135" name="Group 446135"/>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446136" name="Shape 446136"/>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446138" name="Rectangle 446138"/>
                      <wps:cNvSpPr/>
                      <wps:spPr>
                        <a:xfrm>
                          <a:off x="1137158" y="0"/>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6139" name="Rectangle 446139"/>
                      <wps:cNvSpPr/>
                      <wps:spPr>
                        <a:xfrm>
                          <a:off x="495554" y="175260"/>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6140" name="Rectangle 446140"/>
                      <wps:cNvSpPr/>
                      <wps:spPr>
                        <a:xfrm>
                          <a:off x="495554" y="350520"/>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6141" name="Rectangle 446141"/>
                      <wps:cNvSpPr/>
                      <wps:spPr>
                        <a:xfrm>
                          <a:off x="495554" y="526034"/>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46137" name="Picture 446137"/>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446135" style="width:472.41pt;height:64.392pt;position:absolute;mso-position-horizontal-relative:page;mso-position-horizontal:absolute;margin-left:130.25pt;mso-position-vertical-relative:page;margin-top:34.668pt;" coordsize="59996,8177">
              <v:shape id="Shape 446136" style="position:absolute;width:59988;height:0;left:7;top:8177;" coordsize="5998845,0" path="m0,0l5998845,0">
                <v:stroke weight="2.04pt" endcap="square" joinstyle="miter" miterlimit="10" on="true" color="#993366"/>
                <v:fill on="false" color="#000000" opacity="0"/>
              </v:shape>
              <v:rect id="Rectangle 446138"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46139"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46140"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46141"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446137" style="position:absolute;width:3992;height:5699;left:0;top:565;" filled="f">
                <v:imagedata r:id="rId43"/>
              </v:shape>
              <w10:wrap type="square"/>
            </v:group>
          </w:pict>
        </mc:Fallback>
      </mc:AlternateContent>
    </w:r>
    <w:r>
      <w:rPr>
        <w:rFonts w:ascii="Times New Roman" w:eastAsia="Times New Roman" w:hAnsi="Times New Roman" w:cs="Times New Roman"/>
        <w:sz w:val="24"/>
      </w:rPr>
      <w:t xml:space="preserve"> </w:t>
    </w:r>
  </w:p>
  <w:p w:rsidR="00B064CF" w:rsidRDefault="00E32F70">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446142" name="Group 446142"/>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446143" name="Picture 446143"/>
                        <pic:cNvPicPr/>
                      </pic:nvPicPr>
                      <pic:blipFill>
                        <a:blip r:embed="rId44"/>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446142" style="width:28pt;height:310pt;position:absolute;z-index:-2147483648;mso-position-horizontal-relative:page;mso-position-horizontal:absolute;margin-left:653.71pt;mso-position-vertical-relative:page;margin-top:501.92pt;" coordsize="3556,39370">
              <v:shape id="Picture 446143" style="position:absolute;width:39369;height:3556;left:-17906;top:17906;rotation:-89;" filled="f">
                <v:imagedata r:id="rId42"/>
              </v:shape>
            </v:group>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4CF" w:rsidRDefault="00E32F7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page">
                <wp:posOffset>1620952</wp:posOffset>
              </wp:positionH>
              <wp:positionV relativeFrom="page">
                <wp:posOffset>440283</wp:posOffset>
              </wp:positionV>
              <wp:extent cx="6032830" cy="870000"/>
              <wp:effectExtent l="0" t="0" r="0" b="0"/>
              <wp:wrapSquare wrapText="bothSides"/>
              <wp:docPr id="446387" name="Group 446387"/>
              <wp:cNvGraphicFramePr/>
              <a:graphic xmlns:a="http://schemas.openxmlformats.org/drawingml/2006/main">
                <a:graphicData uri="http://schemas.microsoft.com/office/word/2010/wordprocessingGroup">
                  <wpg:wgp>
                    <wpg:cNvGrpSpPr/>
                    <wpg:grpSpPr>
                      <a:xfrm>
                        <a:off x="0" y="0"/>
                        <a:ext cx="6032830" cy="870000"/>
                        <a:chOff x="0" y="0"/>
                        <a:chExt cx="6032830" cy="870000"/>
                      </a:xfrm>
                    </wpg:grpSpPr>
                    <wps:wsp>
                      <wps:cNvPr id="446388" name="Shape 446388"/>
                      <wps:cNvSpPr/>
                      <wps:spPr>
                        <a:xfrm>
                          <a:off x="33985"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446390" name="Rectangle 446390"/>
                      <wps:cNvSpPr/>
                      <wps:spPr>
                        <a:xfrm>
                          <a:off x="1170381" y="0"/>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6391" name="Rectangle 446391"/>
                      <wps:cNvSpPr/>
                      <wps:spPr>
                        <a:xfrm>
                          <a:off x="528777" y="175260"/>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6392" name="Rectangle 446392"/>
                      <wps:cNvSpPr/>
                      <wps:spPr>
                        <a:xfrm>
                          <a:off x="528777" y="350520"/>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6393" name="Rectangle 446393"/>
                      <wps:cNvSpPr/>
                      <wps:spPr>
                        <a:xfrm>
                          <a:off x="528777" y="526034"/>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6394" name="Rectangle 446394"/>
                      <wps:cNvSpPr/>
                      <wps:spPr>
                        <a:xfrm>
                          <a:off x="0" y="701294"/>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46389" name="Picture 446389"/>
                        <pic:cNvPicPr/>
                      </pic:nvPicPr>
                      <pic:blipFill>
                        <a:blip r:embed="rId1"/>
                        <a:stretch>
                          <a:fillRect/>
                        </a:stretch>
                      </pic:blipFill>
                      <pic:spPr>
                        <a:xfrm>
                          <a:off x="33223" y="56541"/>
                          <a:ext cx="399288" cy="569976"/>
                        </a:xfrm>
                        <a:prstGeom prst="rect">
                          <a:avLst/>
                        </a:prstGeom>
                      </pic:spPr>
                    </pic:pic>
                  </wpg:wgp>
                </a:graphicData>
              </a:graphic>
            </wp:anchor>
          </w:drawing>
        </mc:Choice>
        <mc:Fallback xmlns:a="http://schemas.openxmlformats.org/drawingml/2006/main">
          <w:pict>
            <v:group id="Group 446387" style="width:475.026pt;height:68.504pt;position:absolute;mso-position-horizontal-relative:page;mso-position-horizontal:absolute;margin-left:127.634pt;mso-position-vertical-relative:page;margin-top:34.668pt;" coordsize="60328,8700">
              <v:shape id="Shape 446388" style="position:absolute;width:59988;height:0;left:339;top:8177;" coordsize="5998845,0" path="m0,0l5998845,0">
                <v:stroke weight="2.04pt" endcap="square" joinstyle="miter" miterlimit="10" on="true" color="#993366"/>
                <v:fill on="false" color="#000000" opacity="0"/>
              </v:shape>
              <v:rect id="Rectangle 446390" style="position:absolute;width:506;height:2243;left:11703;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46391" style="position:absolute;width:506;height:2243;left:5287;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46392" style="position:absolute;width:506;height:2243;left:5287;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46393" style="position:absolute;width:506;height:2243;left:5287;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46394" style="position:absolute;width:506;height:2243;left:0;top:701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446389" style="position:absolute;width:3992;height:5699;left:332;top:565;" filled="f">
                <v:imagedata r:id="rId43"/>
              </v:shape>
              <w10:wrap type="square"/>
            </v:group>
          </w:pict>
        </mc:Fallback>
      </mc:AlternateContent>
    </w:r>
    <w:r>
      <w:t xml:space="preserve">5. </w:t>
    </w:r>
  </w:p>
  <w:p w:rsidR="00B064CF" w:rsidRDefault="00E32F70">
    <w:r>
      <w:rPr>
        <w:rFonts w:ascii="Calibri" w:eastAsia="Calibri" w:hAnsi="Calibri" w:cs="Calibri"/>
        <w:noProof/>
      </w:rPr>
      <mc:AlternateContent>
        <mc:Choice Requires="wpg">
          <w:drawing>
            <wp:anchor distT="0" distB="0" distL="114300" distR="114300" simplePos="0" relativeHeight="251680768"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446395" name="Group 446395"/>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446396" name="Picture 446396"/>
                        <pic:cNvPicPr/>
                      </pic:nvPicPr>
                      <pic:blipFill>
                        <a:blip r:embed="rId44"/>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446395" style="width:28pt;height:310pt;position:absolute;z-index:-2147483648;mso-position-horizontal-relative:page;mso-position-horizontal:absolute;margin-left:653.71pt;mso-position-vertical-relative:page;margin-top:501.92pt;" coordsize="3556,39370">
              <v:shape id="Picture 446396" style="position:absolute;width:39369;height:3556;left:-17906;top:17906;rotation:-89;" filled="f">
                <v:imagedata r:id="rId42"/>
              </v:shape>
            </v:group>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4CF" w:rsidRDefault="00E32F7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81792"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446352" name="Group 446352"/>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446353" name="Shape 446353"/>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446355" name="Rectangle 446355"/>
                      <wps:cNvSpPr/>
                      <wps:spPr>
                        <a:xfrm>
                          <a:off x="1137158" y="0"/>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6356" name="Rectangle 446356"/>
                      <wps:cNvSpPr/>
                      <wps:spPr>
                        <a:xfrm>
                          <a:off x="495554" y="175260"/>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6357" name="Rectangle 446357"/>
                      <wps:cNvSpPr/>
                      <wps:spPr>
                        <a:xfrm>
                          <a:off x="495554" y="350520"/>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6358" name="Rectangle 446358"/>
                      <wps:cNvSpPr/>
                      <wps:spPr>
                        <a:xfrm>
                          <a:off x="495554" y="526034"/>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46354" name="Picture 446354"/>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446352" style="width:472.41pt;height:64.392pt;position:absolute;mso-position-horizontal-relative:page;mso-position-horizontal:absolute;margin-left:130.25pt;mso-position-vertical-relative:page;margin-top:34.668pt;" coordsize="59996,8177">
              <v:shape id="Shape 446353" style="position:absolute;width:59988;height:0;left:7;top:8177;" coordsize="5998845,0" path="m0,0l5998845,0">
                <v:stroke weight="2.04pt" endcap="square" joinstyle="miter" miterlimit="10" on="true" color="#993366"/>
                <v:fill on="false" color="#000000" opacity="0"/>
              </v:shape>
              <v:rect id="Rectangle 446355"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46356"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46357"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46358"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446354" style="position:absolute;width:3992;height:5699;left:0;top:565;" filled="f">
                <v:imagedata r:id="rId43"/>
              </v:shape>
              <w10:wrap type="square"/>
            </v:group>
          </w:pict>
        </mc:Fallback>
      </mc:AlternateContent>
    </w:r>
    <w:r>
      <w:rPr>
        <w:rFonts w:ascii="Times New Roman" w:eastAsia="Times New Roman" w:hAnsi="Times New Roman" w:cs="Times New Roman"/>
        <w:sz w:val="24"/>
      </w:rPr>
      <w:t xml:space="preserve"> </w:t>
    </w:r>
  </w:p>
  <w:p w:rsidR="00B064CF" w:rsidRDefault="00E32F70">
    <w:r>
      <w:rPr>
        <w:rFonts w:ascii="Calibri" w:eastAsia="Calibri" w:hAnsi="Calibri" w:cs="Calibri"/>
        <w:noProof/>
      </w:rPr>
      <mc:AlternateContent>
        <mc:Choice Requires="wpg">
          <w:drawing>
            <wp:anchor distT="0" distB="0" distL="114300" distR="114300" simplePos="0" relativeHeight="251682816"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446359" name="Group 446359"/>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446360" name="Picture 446360"/>
                        <pic:cNvPicPr/>
                      </pic:nvPicPr>
                      <pic:blipFill>
                        <a:blip r:embed="rId44"/>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446359" style="width:28pt;height:310pt;position:absolute;z-index:-2147483648;mso-position-horizontal-relative:page;mso-position-horizontal:absolute;margin-left:653.71pt;mso-position-vertical-relative:page;margin-top:501.92pt;" coordsize="3556,39370">
              <v:shape id="Picture 446360" style="position:absolute;width:39369;height:3556;left:-17906;top:17906;rotation:-89;" filled="f">
                <v:imagedata r:id="rId42"/>
              </v:shape>
            </v:group>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4CF" w:rsidRDefault="00E32F7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83840" behindDoc="0" locked="0" layoutInCell="1" allowOverlap="1">
              <wp:simplePos x="0" y="0"/>
              <wp:positionH relativeFrom="page">
                <wp:posOffset>1620952</wp:posOffset>
              </wp:positionH>
              <wp:positionV relativeFrom="page">
                <wp:posOffset>440283</wp:posOffset>
              </wp:positionV>
              <wp:extent cx="6032830" cy="870000"/>
              <wp:effectExtent l="0" t="0" r="0" b="0"/>
              <wp:wrapSquare wrapText="bothSides"/>
              <wp:docPr id="446317" name="Group 446317"/>
              <wp:cNvGraphicFramePr/>
              <a:graphic xmlns:a="http://schemas.openxmlformats.org/drawingml/2006/main">
                <a:graphicData uri="http://schemas.microsoft.com/office/word/2010/wordprocessingGroup">
                  <wpg:wgp>
                    <wpg:cNvGrpSpPr/>
                    <wpg:grpSpPr>
                      <a:xfrm>
                        <a:off x="0" y="0"/>
                        <a:ext cx="6032830" cy="870000"/>
                        <a:chOff x="0" y="0"/>
                        <a:chExt cx="6032830" cy="870000"/>
                      </a:xfrm>
                    </wpg:grpSpPr>
                    <wps:wsp>
                      <wps:cNvPr id="446318" name="Shape 446318"/>
                      <wps:cNvSpPr/>
                      <wps:spPr>
                        <a:xfrm>
                          <a:off x="33985"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446320" name="Rectangle 446320"/>
                      <wps:cNvSpPr/>
                      <wps:spPr>
                        <a:xfrm>
                          <a:off x="1170381" y="0"/>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6321" name="Rectangle 446321"/>
                      <wps:cNvSpPr/>
                      <wps:spPr>
                        <a:xfrm>
                          <a:off x="528777" y="175260"/>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6322" name="Rectangle 446322"/>
                      <wps:cNvSpPr/>
                      <wps:spPr>
                        <a:xfrm>
                          <a:off x="528777" y="350520"/>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6323" name="Rectangle 446323"/>
                      <wps:cNvSpPr/>
                      <wps:spPr>
                        <a:xfrm>
                          <a:off x="528777" y="526034"/>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6324" name="Rectangle 446324"/>
                      <wps:cNvSpPr/>
                      <wps:spPr>
                        <a:xfrm>
                          <a:off x="0" y="701294"/>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46319" name="Picture 446319"/>
                        <pic:cNvPicPr/>
                      </pic:nvPicPr>
                      <pic:blipFill>
                        <a:blip r:embed="rId1"/>
                        <a:stretch>
                          <a:fillRect/>
                        </a:stretch>
                      </pic:blipFill>
                      <pic:spPr>
                        <a:xfrm>
                          <a:off x="33223" y="56541"/>
                          <a:ext cx="399288" cy="569976"/>
                        </a:xfrm>
                        <a:prstGeom prst="rect">
                          <a:avLst/>
                        </a:prstGeom>
                      </pic:spPr>
                    </pic:pic>
                  </wpg:wgp>
                </a:graphicData>
              </a:graphic>
            </wp:anchor>
          </w:drawing>
        </mc:Choice>
        <mc:Fallback xmlns:a="http://schemas.openxmlformats.org/drawingml/2006/main">
          <w:pict>
            <v:group id="Group 446317" style="width:475.026pt;height:68.504pt;position:absolute;mso-position-horizontal-relative:page;mso-position-horizontal:absolute;margin-left:127.634pt;mso-position-vertical-relative:page;margin-top:34.668pt;" coordsize="60328,8700">
              <v:shape id="Shape 446318" style="position:absolute;width:59988;height:0;left:339;top:8177;" coordsize="5998845,0" path="m0,0l5998845,0">
                <v:stroke weight="2.04pt" endcap="square" joinstyle="miter" miterlimit="10" on="true" color="#993366"/>
                <v:fill on="false" color="#000000" opacity="0"/>
              </v:shape>
              <v:rect id="Rectangle 446320" style="position:absolute;width:506;height:2243;left:11703;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46321" style="position:absolute;width:506;height:2243;left:5287;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46322" style="position:absolute;width:506;height:2243;left:5287;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46323" style="position:absolute;width:506;height:2243;left:5287;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46324" style="position:absolute;width:506;height:2243;left:0;top:701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446319" style="position:absolute;width:3992;height:5699;left:332;top:565;" filled="f">
                <v:imagedata r:id="rId43"/>
              </v:shape>
              <w10:wrap type="square"/>
            </v:group>
          </w:pict>
        </mc:Fallback>
      </mc:AlternateContent>
    </w:r>
    <w:r>
      <w:t xml:space="preserve">5. </w:t>
    </w:r>
  </w:p>
  <w:p w:rsidR="00B064CF" w:rsidRDefault="00E32F70">
    <w:r>
      <w:rPr>
        <w:rFonts w:ascii="Calibri" w:eastAsia="Calibri" w:hAnsi="Calibri" w:cs="Calibri"/>
        <w:noProof/>
      </w:rPr>
      <mc:AlternateContent>
        <mc:Choice Requires="wpg">
          <w:drawing>
            <wp:anchor distT="0" distB="0" distL="114300" distR="114300" simplePos="0" relativeHeight="251684864"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446325" name="Group 446325"/>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446326" name="Picture 446326"/>
                        <pic:cNvPicPr/>
                      </pic:nvPicPr>
                      <pic:blipFill>
                        <a:blip r:embed="rId44"/>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446325" style="width:28pt;height:310pt;position:absolute;z-index:-2147483648;mso-position-horizontal-relative:page;mso-position-horizontal:absolute;margin-left:653.71pt;mso-position-vertical-relative:page;margin-top:501.92pt;" coordsize="3556,39370">
              <v:shape id="Picture 446326" style="position:absolute;width:39369;height:3556;left:-17906;top:17906;rotation:-89;" filled="f">
                <v:imagedata r:id="rId42"/>
              </v:shape>
            </v:group>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4CF" w:rsidRDefault="00E32F70">
    <w:pPr>
      <w:spacing w:after="0" w:line="259" w:lineRule="auto"/>
      <w:ind w:left="360" w:firstLine="0"/>
      <w:jc w:val="left"/>
    </w:pPr>
    <w:r>
      <w:rPr>
        <w:rFonts w:ascii="Calibri" w:eastAsia="Calibri" w:hAnsi="Calibri" w:cs="Calibri"/>
        <w:noProof/>
      </w:rPr>
      <mc:AlternateContent>
        <mc:Choice Requires="wpg">
          <w:drawing>
            <wp:anchor distT="0" distB="0" distL="114300" distR="114300" simplePos="0" relativeHeight="25168896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446491" name="Group 446491"/>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446492" name="Shape 446492"/>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446494" name="Rectangle 446494"/>
                      <wps:cNvSpPr/>
                      <wps:spPr>
                        <a:xfrm>
                          <a:off x="1137158" y="0"/>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6495" name="Rectangle 446495"/>
                      <wps:cNvSpPr/>
                      <wps:spPr>
                        <a:xfrm>
                          <a:off x="495554" y="175260"/>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6496" name="Rectangle 446496"/>
                      <wps:cNvSpPr/>
                      <wps:spPr>
                        <a:xfrm>
                          <a:off x="495554" y="350520"/>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6497" name="Rectangle 446497"/>
                      <wps:cNvSpPr/>
                      <wps:spPr>
                        <a:xfrm>
                          <a:off x="495554" y="526034"/>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46493" name="Picture 446493"/>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446491" style="width:472.41pt;height:64.392pt;position:absolute;mso-position-horizontal-relative:page;mso-position-horizontal:absolute;margin-left:130.25pt;mso-position-vertical-relative:page;margin-top:34.668pt;" coordsize="59996,8177">
              <v:shape id="Shape 446492" style="position:absolute;width:59988;height:0;left:7;top:8177;" coordsize="5998845,0" path="m0,0l5998845,0">
                <v:stroke weight="2.04pt" endcap="square" joinstyle="miter" miterlimit="10" on="true" color="#993366"/>
                <v:fill on="false" color="#000000" opacity="0"/>
              </v:shape>
              <v:rect id="Rectangle 446494"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46495"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46496"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46497"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446493" style="position:absolute;width:3992;height:5699;left:0;top:565;" filled="f">
                <v:imagedata r:id="rId43"/>
              </v:shape>
              <w10:wrap type="square"/>
            </v:group>
          </w:pict>
        </mc:Fallback>
      </mc:AlternateContent>
    </w:r>
    <w:r>
      <w:rPr>
        <w:rFonts w:ascii="Times New Roman" w:eastAsia="Times New Roman" w:hAnsi="Times New Roman" w:cs="Times New Roman"/>
        <w:sz w:val="24"/>
      </w:rPr>
      <w:t xml:space="preserve"> </w:t>
    </w:r>
  </w:p>
  <w:p w:rsidR="00B064CF" w:rsidRDefault="00E32F70">
    <w:r>
      <w:rPr>
        <w:rFonts w:ascii="Calibri" w:eastAsia="Calibri" w:hAnsi="Calibri" w:cs="Calibri"/>
        <w:noProof/>
      </w:rPr>
      <mc:AlternateContent>
        <mc:Choice Requires="wpg">
          <w:drawing>
            <wp:anchor distT="0" distB="0" distL="114300" distR="114300" simplePos="0" relativeHeight="251689984"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446498" name="Group 446498"/>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446499" name="Picture 446499"/>
                        <pic:cNvPicPr/>
                      </pic:nvPicPr>
                      <pic:blipFill>
                        <a:blip r:embed="rId44"/>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446498" style="width:28pt;height:310pt;position:absolute;z-index:-2147483648;mso-position-horizontal-relative:page;mso-position-horizontal:absolute;margin-left:653.71pt;mso-position-vertical-relative:page;margin-top:501.92pt;" coordsize="3556,39370">
              <v:shape id="Picture 446499" style="position:absolute;width:39369;height:3556;left:-17906;top:17906;rotation:-89;" filled="f">
                <v:imagedata r:id="rId42"/>
              </v:shape>
            </v:group>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4CF" w:rsidRDefault="00E32F70">
    <w:pPr>
      <w:spacing w:after="0" w:line="259" w:lineRule="auto"/>
      <w:ind w:left="360" w:firstLine="0"/>
      <w:jc w:val="left"/>
    </w:pPr>
    <w:r>
      <w:rPr>
        <w:rFonts w:ascii="Calibri" w:eastAsia="Calibri" w:hAnsi="Calibri" w:cs="Calibri"/>
        <w:noProof/>
      </w:rPr>
      <mc:AlternateContent>
        <mc:Choice Requires="wpg">
          <w:drawing>
            <wp:anchor distT="0" distB="0" distL="114300" distR="114300" simplePos="0" relativeHeight="251691008"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446457" name="Group 446457"/>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446458" name="Shape 446458"/>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446460" name="Rectangle 446460"/>
                      <wps:cNvSpPr/>
                      <wps:spPr>
                        <a:xfrm>
                          <a:off x="1137158" y="0"/>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6461" name="Rectangle 446461"/>
                      <wps:cNvSpPr/>
                      <wps:spPr>
                        <a:xfrm>
                          <a:off x="495554" y="175260"/>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6462" name="Rectangle 446462"/>
                      <wps:cNvSpPr/>
                      <wps:spPr>
                        <a:xfrm>
                          <a:off x="495554" y="350520"/>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6463" name="Rectangle 446463"/>
                      <wps:cNvSpPr/>
                      <wps:spPr>
                        <a:xfrm>
                          <a:off x="495554" y="526034"/>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46459" name="Picture 446459"/>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446457" style="width:472.41pt;height:64.392pt;position:absolute;mso-position-horizontal-relative:page;mso-position-horizontal:absolute;margin-left:130.25pt;mso-position-vertical-relative:page;margin-top:34.668pt;" coordsize="59996,8177">
              <v:shape id="Shape 446458" style="position:absolute;width:59988;height:0;left:7;top:8177;" coordsize="5998845,0" path="m0,0l5998845,0">
                <v:stroke weight="2.04pt" endcap="square" joinstyle="miter" miterlimit="10" on="true" color="#993366"/>
                <v:fill on="false" color="#000000" opacity="0"/>
              </v:shape>
              <v:rect id="Rectangle 446460"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46461"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46462"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46463"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446459" style="position:absolute;width:3992;height:5699;left:0;top:565;" filled="f">
                <v:imagedata r:id="rId43"/>
              </v:shape>
              <w10:wrap type="square"/>
            </v:group>
          </w:pict>
        </mc:Fallback>
      </mc:AlternateContent>
    </w:r>
    <w:r>
      <w:rPr>
        <w:rFonts w:ascii="Times New Roman" w:eastAsia="Times New Roman" w:hAnsi="Times New Roman" w:cs="Times New Roman"/>
        <w:sz w:val="24"/>
      </w:rPr>
      <w:t xml:space="preserve"> </w:t>
    </w:r>
  </w:p>
  <w:p w:rsidR="00B064CF" w:rsidRDefault="00E32F70">
    <w:r>
      <w:rPr>
        <w:rFonts w:ascii="Calibri" w:eastAsia="Calibri" w:hAnsi="Calibri" w:cs="Calibri"/>
        <w:noProof/>
      </w:rPr>
      <mc:AlternateContent>
        <mc:Choice Requires="wpg">
          <w:drawing>
            <wp:anchor distT="0" distB="0" distL="114300" distR="114300" simplePos="0" relativeHeight="251692032"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446464" name="Group 446464"/>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446465" name="Picture 446465"/>
                        <pic:cNvPicPr/>
                      </pic:nvPicPr>
                      <pic:blipFill>
                        <a:blip r:embed="rId44"/>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446464" style="width:28pt;height:310pt;position:absolute;z-index:-2147483648;mso-position-horizontal-relative:page;mso-position-horizontal:absolute;margin-left:653.71pt;mso-position-vertical-relative:page;margin-top:501.92pt;" coordsize="3556,39370">
              <v:shape id="Picture 446465" style="position:absolute;width:39369;height:3556;left:-17906;top:17906;rotation:-89;" filled="f">
                <v:imagedata r:id="rId42"/>
              </v:shape>
            </v:group>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4CF" w:rsidRDefault="00E32F70">
    <w:pPr>
      <w:spacing w:after="0" w:line="259" w:lineRule="auto"/>
      <w:ind w:left="360" w:firstLine="0"/>
      <w:jc w:val="left"/>
    </w:pPr>
    <w:r>
      <w:rPr>
        <w:rFonts w:ascii="Calibri" w:eastAsia="Calibri" w:hAnsi="Calibri" w:cs="Calibri"/>
        <w:noProof/>
      </w:rPr>
      <mc:AlternateContent>
        <mc:Choice Requires="wpg">
          <w:drawing>
            <wp:anchor distT="0" distB="0" distL="114300" distR="114300" simplePos="0" relativeHeight="251693056"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446423" name="Group 446423"/>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446424" name="Shape 446424"/>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446426" name="Rectangle 446426"/>
                      <wps:cNvSpPr/>
                      <wps:spPr>
                        <a:xfrm>
                          <a:off x="1137158" y="0"/>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6427" name="Rectangle 446427"/>
                      <wps:cNvSpPr/>
                      <wps:spPr>
                        <a:xfrm>
                          <a:off x="495554" y="175260"/>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6428" name="Rectangle 446428"/>
                      <wps:cNvSpPr/>
                      <wps:spPr>
                        <a:xfrm>
                          <a:off x="495554" y="350520"/>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6429" name="Rectangle 446429"/>
                      <wps:cNvSpPr/>
                      <wps:spPr>
                        <a:xfrm>
                          <a:off x="495554" y="526034"/>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46425" name="Picture 446425"/>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446423" style="width:472.41pt;height:64.392pt;position:absolute;mso-position-horizontal-relative:page;mso-position-horizontal:absolute;margin-left:130.25pt;mso-position-vertical-relative:page;margin-top:34.668pt;" coordsize="59996,8177">
              <v:shape id="Shape 446424" style="position:absolute;width:59988;height:0;left:7;top:8177;" coordsize="5998845,0" path="m0,0l5998845,0">
                <v:stroke weight="2.04pt" endcap="square" joinstyle="miter" miterlimit="10" on="true" color="#993366"/>
                <v:fill on="false" color="#000000" opacity="0"/>
              </v:shape>
              <v:rect id="Rectangle 446426"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46427"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46428"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46429"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446425" style="position:absolute;width:3992;height:5699;left:0;top:565;" filled="f">
                <v:imagedata r:id="rId43"/>
              </v:shape>
              <w10:wrap type="square"/>
            </v:group>
          </w:pict>
        </mc:Fallback>
      </mc:AlternateContent>
    </w:r>
    <w:r>
      <w:rPr>
        <w:rFonts w:ascii="Times New Roman" w:eastAsia="Times New Roman" w:hAnsi="Times New Roman" w:cs="Times New Roman"/>
        <w:sz w:val="24"/>
      </w:rPr>
      <w:t xml:space="preserve"> </w:t>
    </w:r>
  </w:p>
  <w:p w:rsidR="00B064CF" w:rsidRDefault="00E32F70">
    <w:r>
      <w:rPr>
        <w:rFonts w:ascii="Calibri" w:eastAsia="Calibri" w:hAnsi="Calibri" w:cs="Calibri"/>
        <w:noProof/>
      </w:rPr>
      <mc:AlternateContent>
        <mc:Choice Requires="wpg">
          <w:drawing>
            <wp:anchor distT="0" distB="0" distL="114300" distR="114300" simplePos="0" relativeHeight="251694080"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446430" name="Group 446430"/>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446431" name="Picture 446431"/>
                        <pic:cNvPicPr/>
                      </pic:nvPicPr>
                      <pic:blipFill>
                        <a:blip r:embed="rId44"/>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446430" style="width:28pt;height:310pt;position:absolute;z-index:-2147483648;mso-position-horizontal-relative:page;mso-position-horizontal:absolute;margin-left:653.71pt;mso-position-vertical-relative:page;margin-top:501.92pt;" coordsize="3556,39370">
              <v:shape id="Picture 446431" style="position:absolute;width:39369;height:3556;left:-17906;top:17906;rotation:-89;" filled="f">
                <v:imagedata r:id="rId42"/>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4CF" w:rsidRDefault="00E32F7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446101" name="Group 446101"/>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446102" name="Shape 446102"/>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446104" name="Rectangle 446104"/>
                      <wps:cNvSpPr/>
                      <wps:spPr>
                        <a:xfrm>
                          <a:off x="1137158" y="0"/>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6105" name="Rectangle 446105"/>
                      <wps:cNvSpPr/>
                      <wps:spPr>
                        <a:xfrm>
                          <a:off x="495554" y="175260"/>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6106" name="Rectangle 446106"/>
                      <wps:cNvSpPr/>
                      <wps:spPr>
                        <a:xfrm>
                          <a:off x="495554" y="350520"/>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6107" name="Rectangle 446107"/>
                      <wps:cNvSpPr/>
                      <wps:spPr>
                        <a:xfrm>
                          <a:off x="495554" y="526034"/>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46103" name="Picture 446103"/>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446101" style="width:472.41pt;height:64.392pt;position:absolute;mso-position-horizontal-relative:page;mso-position-horizontal:absolute;margin-left:130.25pt;mso-position-vertical-relative:page;margin-top:34.668pt;" coordsize="59996,8177">
              <v:shape id="Shape 446102" style="position:absolute;width:59988;height:0;left:7;top:8177;" coordsize="5998845,0" path="m0,0l5998845,0">
                <v:stroke weight="2.04pt" endcap="square" joinstyle="miter" miterlimit="10" on="true" color="#993366"/>
                <v:fill on="false" color="#000000" opacity="0"/>
              </v:shape>
              <v:rect id="Rectangle 446104"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46105"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46106"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46107"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446103" style="position:absolute;width:3992;height:5699;left:0;top:565;" filled="f">
                <v:imagedata r:id="rId43"/>
              </v:shape>
              <w10:wrap type="square"/>
            </v:group>
          </w:pict>
        </mc:Fallback>
      </mc:AlternateContent>
    </w:r>
    <w:r>
      <w:rPr>
        <w:rFonts w:ascii="Times New Roman" w:eastAsia="Times New Roman" w:hAnsi="Times New Roman" w:cs="Times New Roman"/>
        <w:sz w:val="24"/>
      </w:rPr>
      <w:t xml:space="preserve"> </w:t>
    </w:r>
  </w:p>
  <w:p w:rsidR="00B064CF" w:rsidRDefault="00E32F70">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446108" name="Group 446108"/>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446109" name="Picture 446109"/>
                        <pic:cNvPicPr/>
                      </pic:nvPicPr>
                      <pic:blipFill>
                        <a:blip r:embed="rId44"/>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446108" style="width:28pt;height:310pt;position:absolute;z-index:-2147483648;mso-position-horizontal-relative:page;mso-position-horizontal:absolute;margin-left:653.71pt;mso-position-vertical-relative:page;margin-top:501.92pt;" coordsize="3556,39370">
              <v:shape id="Picture 446109" style="position:absolute;width:39369;height:3556;left:-17906;top:17906;rotation:-89;" filled="f">
                <v:imagedata r:id="rId42"/>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4CF" w:rsidRDefault="00E32F70">
    <w:r>
      <w:rPr>
        <w:rFonts w:ascii="Calibri" w:eastAsia="Calibri" w:hAnsi="Calibri" w:cs="Calibri"/>
        <w:noProof/>
      </w:rPr>
      <mc:AlternateContent>
        <mc:Choice Requires="wpg">
          <w:drawing>
            <wp:anchor distT="0" distB="0" distL="114300" distR="114300" simplePos="0" relativeHeight="251662336"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446092" name="Group 446092"/>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446093" name="Picture 446093"/>
                        <pic:cNvPicPr/>
                      </pic:nvPicPr>
                      <pic:blipFill>
                        <a:blip r:embed="rId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446092" style="width:28pt;height:310pt;position:absolute;z-index:-2147483648;mso-position-horizontal-relative:page;mso-position-horizontal:absolute;margin-left:653.71pt;mso-position-vertical-relative:page;margin-top:501.92pt;" coordsize="3556,39370">
              <v:shape id="Picture 446093" style="position:absolute;width:39369;height:3556;left:-17906;top:17906;rotation:-89;" filled="f">
                <v:imagedata r:id="rId42"/>
              </v:shap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4CF" w:rsidRDefault="00E32F70">
    <w:pPr>
      <w:spacing w:after="0" w:line="259" w:lineRule="auto"/>
      <w:ind w:left="0" w:right="-496" w:firstLine="0"/>
      <w:jc w:val="left"/>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446208" name="Group 446208"/>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446209" name="Shape 446209"/>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446211" name="Rectangle 446211"/>
                      <wps:cNvSpPr/>
                      <wps:spPr>
                        <a:xfrm>
                          <a:off x="1137158" y="0"/>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6212" name="Rectangle 446212"/>
                      <wps:cNvSpPr/>
                      <wps:spPr>
                        <a:xfrm>
                          <a:off x="495554" y="175260"/>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6213" name="Rectangle 446213"/>
                      <wps:cNvSpPr/>
                      <wps:spPr>
                        <a:xfrm>
                          <a:off x="495554" y="350520"/>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6214" name="Rectangle 446214"/>
                      <wps:cNvSpPr/>
                      <wps:spPr>
                        <a:xfrm>
                          <a:off x="495554" y="526034"/>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46210" name="Picture 446210"/>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446208" style="width:472.41pt;height:64.392pt;position:absolute;mso-position-horizontal-relative:page;mso-position-horizontal:absolute;margin-left:130.25pt;mso-position-vertical-relative:page;margin-top:34.668pt;" coordsize="59996,8177">
              <v:shape id="Shape 446209" style="position:absolute;width:59988;height:0;left:7;top:8177;" coordsize="5998845,0" path="m0,0l5998845,0">
                <v:stroke weight="2.04pt" endcap="square" joinstyle="miter" miterlimit="10" on="true" color="#993366"/>
                <v:fill on="false" color="#000000" opacity="0"/>
              </v:shape>
              <v:rect id="Rectangle 446211"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46212"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46213"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46214"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446210" style="position:absolute;width:3992;height:5699;left:0;top:565;" filled="f">
                <v:imagedata r:id="rId43"/>
              </v:shape>
              <w10:wrap type="square"/>
            </v:group>
          </w:pict>
        </mc:Fallback>
      </mc:AlternateContent>
    </w:r>
    <w:r>
      <w:rPr>
        <w:rFonts w:ascii="Times New Roman" w:eastAsia="Times New Roman" w:hAnsi="Times New Roman" w:cs="Times New Roman"/>
        <w:sz w:val="24"/>
      </w:rPr>
      <w:t xml:space="preserve"> </w:t>
    </w:r>
  </w:p>
  <w:p w:rsidR="00B064CF" w:rsidRDefault="00E32F70">
    <w:r>
      <w:rPr>
        <w:rFonts w:ascii="Calibri" w:eastAsia="Calibri" w:hAnsi="Calibri" w:cs="Calibri"/>
        <w:noProof/>
      </w:rPr>
      <mc:AlternateContent>
        <mc:Choice Requires="wpg">
          <w:drawing>
            <wp:anchor distT="0" distB="0" distL="114300" distR="114300" simplePos="0" relativeHeight="251666432"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446215" name="Group 446215"/>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446216" name="Picture 446216"/>
                        <pic:cNvPicPr/>
                      </pic:nvPicPr>
                      <pic:blipFill>
                        <a:blip r:embed="rId44"/>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446215" style="width:28pt;height:310pt;position:absolute;z-index:-2147483648;mso-position-horizontal-relative:page;mso-position-horizontal:absolute;margin-left:653.71pt;mso-position-vertical-relative:page;margin-top:501.92pt;" coordsize="3556,39370">
              <v:shape id="Picture 446216" style="position:absolute;width:39369;height:3556;left:-17906;top:17906;rotation:-89;" filled="f">
                <v:imagedata r:id="rId42"/>
              </v:shap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4CF" w:rsidRDefault="00E32F70">
    <w:pPr>
      <w:spacing w:after="0" w:line="259" w:lineRule="auto"/>
      <w:ind w:left="0" w:right="-496" w:firstLine="0"/>
      <w:jc w:val="left"/>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446174" name="Group 446174"/>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446175" name="Shape 446175"/>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446177" name="Rectangle 446177"/>
                      <wps:cNvSpPr/>
                      <wps:spPr>
                        <a:xfrm>
                          <a:off x="1137158" y="0"/>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6178" name="Rectangle 446178"/>
                      <wps:cNvSpPr/>
                      <wps:spPr>
                        <a:xfrm>
                          <a:off x="495554" y="175260"/>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6179" name="Rectangle 446179"/>
                      <wps:cNvSpPr/>
                      <wps:spPr>
                        <a:xfrm>
                          <a:off x="495554" y="350520"/>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6180" name="Rectangle 446180"/>
                      <wps:cNvSpPr/>
                      <wps:spPr>
                        <a:xfrm>
                          <a:off x="495554" y="526034"/>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46176" name="Picture 446176"/>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446174" style="width:472.41pt;height:64.392pt;position:absolute;mso-position-horizontal-relative:page;mso-position-horizontal:absolute;margin-left:130.25pt;mso-position-vertical-relative:page;margin-top:34.668pt;" coordsize="59996,8177">
              <v:shape id="Shape 446175" style="position:absolute;width:59988;height:0;left:7;top:8177;" coordsize="5998845,0" path="m0,0l5998845,0">
                <v:stroke weight="2.04pt" endcap="square" joinstyle="miter" miterlimit="10" on="true" color="#993366"/>
                <v:fill on="false" color="#000000" opacity="0"/>
              </v:shape>
              <v:rect id="Rectangle 446177"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46178"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46179"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46180"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446176" style="position:absolute;width:3992;height:5699;left:0;top:565;" filled="f">
                <v:imagedata r:id="rId43"/>
              </v:shape>
              <w10:wrap type="square"/>
            </v:group>
          </w:pict>
        </mc:Fallback>
      </mc:AlternateContent>
    </w:r>
    <w:r>
      <w:rPr>
        <w:rFonts w:ascii="Times New Roman" w:eastAsia="Times New Roman" w:hAnsi="Times New Roman" w:cs="Times New Roman"/>
        <w:sz w:val="24"/>
      </w:rPr>
      <w:t xml:space="preserve"> </w:t>
    </w:r>
  </w:p>
  <w:p w:rsidR="00B064CF" w:rsidRDefault="00E32F70">
    <w:r>
      <w:rPr>
        <w:rFonts w:ascii="Calibri" w:eastAsia="Calibri" w:hAnsi="Calibri" w:cs="Calibri"/>
        <w:noProof/>
      </w:rPr>
      <mc:AlternateContent>
        <mc:Choice Requires="wpg">
          <w:drawing>
            <wp:anchor distT="0" distB="0" distL="114300" distR="114300" simplePos="0" relativeHeight="251668480"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446181" name="Group 446181"/>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446182" name="Picture 446182"/>
                        <pic:cNvPicPr/>
                      </pic:nvPicPr>
                      <pic:blipFill>
                        <a:blip r:embed="rId44"/>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446181" style="width:28pt;height:310pt;position:absolute;z-index:-2147483648;mso-position-horizontal-relative:page;mso-position-horizontal:absolute;margin-left:653.71pt;mso-position-vertical-relative:page;margin-top:501.92pt;" coordsize="3556,39370">
              <v:shape id="Picture 446182" style="position:absolute;width:39369;height:3556;left:-17906;top:17906;rotation:-89;" filled="f">
                <v:imagedata r:id="rId42"/>
              </v:shape>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4CF" w:rsidRDefault="00E32F70">
    <w:r>
      <w:rPr>
        <w:rFonts w:ascii="Calibri" w:eastAsia="Calibri" w:hAnsi="Calibri" w:cs="Calibri"/>
        <w:noProof/>
      </w:rPr>
      <mc:AlternateContent>
        <mc:Choice Requires="wpg">
          <w:drawing>
            <wp:anchor distT="0" distB="0" distL="114300" distR="114300" simplePos="0" relativeHeight="251669504"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446165" name="Group 446165"/>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446166" name="Picture 446166"/>
                        <pic:cNvPicPr/>
                      </pic:nvPicPr>
                      <pic:blipFill>
                        <a:blip r:embed="rId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446165" style="width:28pt;height:310pt;position:absolute;z-index:-2147483648;mso-position-horizontal-relative:page;mso-position-horizontal:absolute;margin-left:653.71pt;mso-position-vertical-relative:page;margin-top:501.92pt;" coordsize="3556,39370">
              <v:shape id="Picture 446166" style="position:absolute;width:39369;height:3556;left:-17906;top:17906;rotation:-89;" filled="f">
                <v:imagedata r:id="rId42"/>
              </v:shape>
            </v:group>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4CF" w:rsidRDefault="00E32F70">
    <w:pPr>
      <w:spacing w:after="0" w:line="259" w:lineRule="auto"/>
      <w:ind w:left="360" w:firstLine="0"/>
      <w:jc w:val="left"/>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446281" name="Group 446281"/>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446282" name="Shape 446282"/>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446284" name="Rectangle 446284"/>
                      <wps:cNvSpPr/>
                      <wps:spPr>
                        <a:xfrm>
                          <a:off x="1137158" y="0"/>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6285" name="Rectangle 446285"/>
                      <wps:cNvSpPr/>
                      <wps:spPr>
                        <a:xfrm>
                          <a:off x="495554" y="175260"/>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6286" name="Rectangle 446286"/>
                      <wps:cNvSpPr/>
                      <wps:spPr>
                        <a:xfrm>
                          <a:off x="495554" y="350520"/>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6287" name="Rectangle 446287"/>
                      <wps:cNvSpPr/>
                      <wps:spPr>
                        <a:xfrm>
                          <a:off x="495554" y="526034"/>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46283" name="Picture 446283"/>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446281" style="width:472.41pt;height:64.392pt;position:absolute;mso-position-horizontal-relative:page;mso-position-horizontal:absolute;margin-left:130.25pt;mso-position-vertical-relative:page;margin-top:34.668pt;" coordsize="59996,8177">
              <v:shape id="Shape 446282" style="position:absolute;width:59988;height:0;left:7;top:8177;" coordsize="5998845,0" path="m0,0l5998845,0">
                <v:stroke weight="2.04pt" endcap="square" joinstyle="miter" miterlimit="10" on="true" color="#993366"/>
                <v:fill on="false" color="#000000" opacity="0"/>
              </v:shape>
              <v:rect id="Rectangle 446284"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46285"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46286"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46287"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446283" style="position:absolute;width:3992;height:5699;left:0;top:565;" filled="f">
                <v:imagedata r:id="rId43"/>
              </v:shape>
              <w10:wrap type="square"/>
            </v:group>
          </w:pict>
        </mc:Fallback>
      </mc:AlternateContent>
    </w:r>
    <w:r>
      <w:rPr>
        <w:rFonts w:ascii="Times New Roman" w:eastAsia="Times New Roman" w:hAnsi="Times New Roman" w:cs="Times New Roman"/>
        <w:sz w:val="24"/>
      </w:rPr>
      <w:t xml:space="preserve"> </w:t>
    </w:r>
  </w:p>
  <w:p w:rsidR="00B064CF" w:rsidRDefault="00E32F70">
    <w:r>
      <w:rPr>
        <w:rFonts w:ascii="Calibri" w:eastAsia="Calibri" w:hAnsi="Calibri" w:cs="Calibri"/>
        <w:noProof/>
      </w:rPr>
      <mc:AlternateContent>
        <mc:Choice Requires="wpg">
          <w:drawing>
            <wp:anchor distT="0" distB="0" distL="114300" distR="114300" simplePos="0" relativeHeight="251673600"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446288" name="Group 446288"/>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446289" name="Picture 446289"/>
                        <pic:cNvPicPr/>
                      </pic:nvPicPr>
                      <pic:blipFill>
                        <a:blip r:embed="rId44"/>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446288" style="width:28pt;height:310pt;position:absolute;z-index:-2147483648;mso-position-horizontal-relative:page;mso-position-horizontal:absolute;margin-left:653.71pt;mso-position-vertical-relative:page;margin-top:501.92pt;" coordsize="3556,39370">
              <v:shape id="Picture 446289" style="position:absolute;width:39369;height:3556;left:-17906;top:17906;rotation:-89;" filled="f">
                <v:imagedata r:id="rId42"/>
              </v:shape>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4CF" w:rsidRDefault="00E32F70">
    <w:pPr>
      <w:spacing w:after="0" w:line="259" w:lineRule="auto"/>
      <w:ind w:left="360" w:firstLine="0"/>
      <w:jc w:val="left"/>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446247" name="Group 446247"/>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446248" name="Shape 446248"/>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446250" name="Rectangle 446250"/>
                      <wps:cNvSpPr/>
                      <wps:spPr>
                        <a:xfrm>
                          <a:off x="1137158" y="0"/>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6251" name="Rectangle 446251"/>
                      <wps:cNvSpPr/>
                      <wps:spPr>
                        <a:xfrm>
                          <a:off x="495554" y="175260"/>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6252" name="Rectangle 446252"/>
                      <wps:cNvSpPr/>
                      <wps:spPr>
                        <a:xfrm>
                          <a:off x="495554" y="350520"/>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6253" name="Rectangle 446253"/>
                      <wps:cNvSpPr/>
                      <wps:spPr>
                        <a:xfrm>
                          <a:off x="495554" y="526034"/>
                          <a:ext cx="50673" cy="224380"/>
                        </a:xfrm>
                        <a:prstGeom prst="rect">
                          <a:avLst/>
                        </a:prstGeom>
                        <a:ln>
                          <a:noFill/>
                        </a:ln>
                      </wps:spPr>
                      <wps:txbx>
                        <w:txbxContent>
                          <w:p w:rsidR="00B064CF" w:rsidRDefault="00E32F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46249" name="Picture 446249"/>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446247" style="width:472.41pt;height:64.392pt;position:absolute;mso-position-horizontal-relative:page;mso-position-horizontal:absolute;margin-left:130.25pt;mso-position-vertical-relative:page;margin-top:34.668pt;" coordsize="59996,8177">
              <v:shape id="Shape 446248" style="position:absolute;width:59988;height:0;left:7;top:8177;" coordsize="5998845,0" path="m0,0l5998845,0">
                <v:stroke weight="2.04pt" endcap="square" joinstyle="miter" miterlimit="10" on="true" color="#993366"/>
                <v:fill on="false" color="#000000" opacity="0"/>
              </v:shape>
              <v:rect id="Rectangle 446250"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46251"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46252"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46253"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446249" style="position:absolute;width:3992;height:5699;left:0;top:565;" filled="f">
                <v:imagedata r:id="rId43"/>
              </v:shape>
              <w10:wrap type="square"/>
            </v:group>
          </w:pict>
        </mc:Fallback>
      </mc:AlternateContent>
    </w:r>
    <w:r>
      <w:rPr>
        <w:rFonts w:ascii="Times New Roman" w:eastAsia="Times New Roman" w:hAnsi="Times New Roman" w:cs="Times New Roman"/>
        <w:sz w:val="24"/>
      </w:rPr>
      <w:t xml:space="preserve"> </w:t>
    </w:r>
  </w:p>
  <w:p w:rsidR="00B064CF" w:rsidRDefault="00E32F70">
    <w:r>
      <w:rPr>
        <w:rFonts w:ascii="Calibri" w:eastAsia="Calibri" w:hAnsi="Calibri" w:cs="Calibri"/>
        <w:noProof/>
      </w:rPr>
      <mc:AlternateContent>
        <mc:Choice Requires="wpg">
          <w:drawing>
            <wp:anchor distT="0" distB="0" distL="114300" distR="114300" simplePos="0" relativeHeight="251675648"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446254" name="Group 446254"/>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446255" name="Picture 446255"/>
                        <pic:cNvPicPr/>
                      </pic:nvPicPr>
                      <pic:blipFill>
                        <a:blip r:embed="rId44"/>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446254" style="width:28pt;height:310pt;position:absolute;z-index:-2147483648;mso-position-horizontal-relative:page;mso-position-horizontal:absolute;margin-left:653.71pt;mso-position-vertical-relative:page;margin-top:501.92pt;" coordsize="3556,39370">
              <v:shape id="Picture 446255" style="position:absolute;width:39369;height:3556;left:-17906;top:17906;rotation:-89;" filled="f">
                <v:imagedata r:id="rId42"/>
              </v:shape>
            </v:group>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4CF" w:rsidRDefault="00E32F70">
    <w:r>
      <w:rPr>
        <w:rFonts w:ascii="Calibri" w:eastAsia="Calibri" w:hAnsi="Calibri" w:cs="Calibri"/>
        <w:noProof/>
      </w:rPr>
      <mc:AlternateContent>
        <mc:Choice Requires="wpg">
          <w:drawing>
            <wp:anchor distT="0" distB="0" distL="114300" distR="114300" simplePos="0" relativeHeight="251676672"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446238" name="Group 446238"/>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446239" name="Picture 446239"/>
                        <pic:cNvPicPr/>
                      </pic:nvPicPr>
                      <pic:blipFill>
                        <a:blip r:embed="rId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446238" style="width:28pt;height:310pt;position:absolute;z-index:-2147483648;mso-position-horizontal-relative:page;mso-position-horizontal:absolute;margin-left:653.71pt;mso-position-vertical-relative:page;margin-top:501.92pt;" coordsize="3556,39370">
              <v:shape id="Picture 446239" style="position:absolute;width:39369;height:3556;left:-17906;top:17906;rotation:-89;" filled="f">
                <v:imagedata r:id="rId42"/>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A7990"/>
    <w:multiLevelType w:val="hybridMultilevel"/>
    <w:tmpl w:val="BCF0C3DE"/>
    <w:lvl w:ilvl="0" w:tplc="D23CD3E8">
      <w:start w:val="9"/>
      <w:numFmt w:val="lowerLetter"/>
      <w:lvlText w:val="%1)"/>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BAB9D6">
      <w:start w:val="1"/>
      <w:numFmt w:val="lowerLetter"/>
      <w:lvlText w:val="%2"/>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A1E02CE">
      <w:start w:val="1"/>
      <w:numFmt w:val="lowerRoman"/>
      <w:lvlText w:val="%3"/>
      <w:lvlJc w:val="left"/>
      <w:pPr>
        <w:ind w:left="2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B28EA5A">
      <w:start w:val="1"/>
      <w:numFmt w:val="decimal"/>
      <w:lvlText w:val="%4"/>
      <w:lvlJc w:val="left"/>
      <w:pPr>
        <w:ind w:left="2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04D146">
      <w:start w:val="1"/>
      <w:numFmt w:val="lowerLetter"/>
      <w:lvlText w:val="%5"/>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70086D6">
      <w:start w:val="1"/>
      <w:numFmt w:val="lowerRoman"/>
      <w:lvlText w:val="%6"/>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060EE1A">
      <w:start w:val="1"/>
      <w:numFmt w:val="decimal"/>
      <w:lvlText w:val="%7"/>
      <w:lvlJc w:val="left"/>
      <w:pPr>
        <w:ind w:left="5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B606A0">
      <w:start w:val="1"/>
      <w:numFmt w:val="lowerLetter"/>
      <w:lvlText w:val="%8"/>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5A48984">
      <w:start w:val="1"/>
      <w:numFmt w:val="lowerRoman"/>
      <w:lvlText w:val="%9"/>
      <w:lvlJc w:val="left"/>
      <w:pPr>
        <w:ind w:left="6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373D17"/>
    <w:multiLevelType w:val="hybridMultilevel"/>
    <w:tmpl w:val="C7E2CDB6"/>
    <w:lvl w:ilvl="0" w:tplc="717057B6">
      <w:start w:val="1"/>
      <w:numFmt w:val="decimal"/>
      <w:lvlText w:val="%1."/>
      <w:lvlJc w:val="left"/>
      <w:pPr>
        <w:ind w:left="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06D058">
      <w:start w:val="1"/>
      <w:numFmt w:val="lowerLetter"/>
      <w:lvlText w:val="%2"/>
      <w:lvlJc w:val="left"/>
      <w:pPr>
        <w:ind w:left="12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C0E539C">
      <w:start w:val="1"/>
      <w:numFmt w:val="lowerRoman"/>
      <w:lvlText w:val="%3"/>
      <w:lvlJc w:val="left"/>
      <w:pPr>
        <w:ind w:left="19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11858B8">
      <w:start w:val="1"/>
      <w:numFmt w:val="decimal"/>
      <w:lvlText w:val="%4"/>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8E3AD2">
      <w:start w:val="1"/>
      <w:numFmt w:val="lowerLetter"/>
      <w:lvlText w:val="%5"/>
      <w:lvlJc w:val="left"/>
      <w:pPr>
        <w:ind w:left="33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0ACAE3C">
      <w:start w:val="1"/>
      <w:numFmt w:val="lowerRoman"/>
      <w:lvlText w:val="%6"/>
      <w:lvlJc w:val="left"/>
      <w:pPr>
        <w:ind w:left="41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0A0BA10">
      <w:start w:val="1"/>
      <w:numFmt w:val="decimal"/>
      <w:lvlText w:val="%7"/>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F88B80">
      <w:start w:val="1"/>
      <w:numFmt w:val="lowerLetter"/>
      <w:lvlText w:val="%8"/>
      <w:lvlJc w:val="left"/>
      <w:pPr>
        <w:ind w:left="55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5080F56">
      <w:start w:val="1"/>
      <w:numFmt w:val="lowerRoman"/>
      <w:lvlText w:val="%9"/>
      <w:lvlJc w:val="left"/>
      <w:pPr>
        <w:ind w:left="62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1B64AAE"/>
    <w:multiLevelType w:val="hybridMultilevel"/>
    <w:tmpl w:val="5F48A6C8"/>
    <w:lvl w:ilvl="0" w:tplc="B50056C2">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1C996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AD29D24">
      <w:start w:val="1"/>
      <w:numFmt w:val="lowerRoman"/>
      <w:lvlText w:val="%3"/>
      <w:lvlJc w:val="left"/>
      <w:pPr>
        <w:ind w:left="11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0601FD8">
      <w:start w:val="1"/>
      <w:numFmt w:val="decimal"/>
      <w:lvlText w:val="%4"/>
      <w:lvlJc w:val="left"/>
      <w:pPr>
        <w:ind w:left="18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B82BD8">
      <w:start w:val="1"/>
      <w:numFmt w:val="lowerLetter"/>
      <w:lvlText w:val="%5"/>
      <w:lvlJc w:val="left"/>
      <w:pPr>
        <w:ind w:left="25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7706C24">
      <w:start w:val="1"/>
      <w:numFmt w:val="lowerRoman"/>
      <w:lvlText w:val="%6"/>
      <w:lvlJc w:val="left"/>
      <w:pPr>
        <w:ind w:left="33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AD8272C">
      <w:start w:val="1"/>
      <w:numFmt w:val="decimal"/>
      <w:lvlText w:val="%7"/>
      <w:lvlJc w:val="left"/>
      <w:pPr>
        <w:ind w:left="40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AEFCCC">
      <w:start w:val="1"/>
      <w:numFmt w:val="lowerLetter"/>
      <w:lvlText w:val="%8"/>
      <w:lvlJc w:val="left"/>
      <w:pPr>
        <w:ind w:left="47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47EF3B2">
      <w:start w:val="1"/>
      <w:numFmt w:val="lowerRoman"/>
      <w:lvlText w:val="%9"/>
      <w:lvlJc w:val="left"/>
      <w:pPr>
        <w:ind w:left="54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2D54425"/>
    <w:multiLevelType w:val="hybridMultilevel"/>
    <w:tmpl w:val="F99ECD48"/>
    <w:lvl w:ilvl="0" w:tplc="D5D4D710">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90087F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B4A37D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018868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EEC6F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198E14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A7E695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7CD01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FE4BED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43768D2"/>
    <w:multiLevelType w:val="hybridMultilevel"/>
    <w:tmpl w:val="1D5EF78C"/>
    <w:lvl w:ilvl="0" w:tplc="5434C05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344892">
      <w:start w:val="23"/>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D1499AC">
      <w:start w:val="1"/>
      <w:numFmt w:val="lowerRoman"/>
      <w:lvlText w:val="%3"/>
      <w:lvlJc w:val="left"/>
      <w:pPr>
        <w:ind w:left="13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9ECDE24">
      <w:start w:val="1"/>
      <w:numFmt w:val="decimal"/>
      <w:lvlText w:val="%4"/>
      <w:lvlJc w:val="left"/>
      <w:pPr>
        <w:ind w:left="20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1ACDB6">
      <w:start w:val="1"/>
      <w:numFmt w:val="lowerLetter"/>
      <w:lvlText w:val="%5"/>
      <w:lvlJc w:val="left"/>
      <w:pPr>
        <w:ind w:left="28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C34B82A">
      <w:start w:val="1"/>
      <w:numFmt w:val="lowerRoman"/>
      <w:lvlText w:val="%6"/>
      <w:lvlJc w:val="left"/>
      <w:pPr>
        <w:ind w:left="35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AA0F506">
      <w:start w:val="1"/>
      <w:numFmt w:val="decimal"/>
      <w:lvlText w:val="%7"/>
      <w:lvlJc w:val="left"/>
      <w:pPr>
        <w:ind w:left="42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E033FA">
      <w:start w:val="1"/>
      <w:numFmt w:val="lowerLetter"/>
      <w:lvlText w:val="%8"/>
      <w:lvlJc w:val="left"/>
      <w:pPr>
        <w:ind w:left="49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27C3970">
      <w:start w:val="1"/>
      <w:numFmt w:val="lowerRoman"/>
      <w:lvlText w:val="%9"/>
      <w:lvlJc w:val="left"/>
      <w:pPr>
        <w:ind w:left="56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4DA4AE0"/>
    <w:multiLevelType w:val="hybridMultilevel"/>
    <w:tmpl w:val="6BB6B704"/>
    <w:lvl w:ilvl="0" w:tplc="BC64F01E">
      <w:start w:val="3"/>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068212">
      <w:start w:val="9"/>
      <w:numFmt w:val="lowerLetter"/>
      <w:lvlText w:val="%2."/>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BA8FD4A">
      <w:start w:val="1"/>
      <w:numFmt w:val="lowerRoman"/>
      <w:lvlText w:val="%3"/>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C7AFF3A">
      <w:start w:val="1"/>
      <w:numFmt w:val="decimal"/>
      <w:lvlText w:val="%4"/>
      <w:lvlJc w:val="left"/>
      <w:pPr>
        <w:ind w:left="2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0501250">
      <w:start w:val="1"/>
      <w:numFmt w:val="lowerLetter"/>
      <w:lvlText w:val="%5"/>
      <w:lvlJc w:val="left"/>
      <w:pPr>
        <w:ind w:left="2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E02A9C2">
      <w:start w:val="1"/>
      <w:numFmt w:val="lowerRoman"/>
      <w:lvlText w:val="%6"/>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4743690">
      <w:start w:val="1"/>
      <w:numFmt w:val="decimal"/>
      <w:lvlText w:val="%7"/>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12B2A6">
      <w:start w:val="1"/>
      <w:numFmt w:val="lowerLetter"/>
      <w:lvlText w:val="%8"/>
      <w:lvlJc w:val="left"/>
      <w:pPr>
        <w:ind w:left="5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446243C">
      <w:start w:val="1"/>
      <w:numFmt w:val="lowerRoman"/>
      <w:lvlText w:val="%9"/>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53B4DD5"/>
    <w:multiLevelType w:val="hybridMultilevel"/>
    <w:tmpl w:val="3B8A9362"/>
    <w:lvl w:ilvl="0" w:tplc="856851CA">
      <w:start w:val="5"/>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30A77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8C4BCB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94E09F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58AC2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7EC902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C9A4B1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D233C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124CCE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6132DEA"/>
    <w:multiLevelType w:val="hybridMultilevel"/>
    <w:tmpl w:val="665AF3D4"/>
    <w:lvl w:ilvl="0" w:tplc="BDF04970">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B40294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DA8E4A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AADA9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CC5DE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AB049A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D2DEE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BCAE6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A86F56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6B73B68"/>
    <w:multiLevelType w:val="hybridMultilevel"/>
    <w:tmpl w:val="706E9188"/>
    <w:lvl w:ilvl="0" w:tplc="B8205592">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3FC4C4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EF878F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26EFA8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5CDCF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3CC4CF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18AA03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C88C5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C5CD1A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6EA659B"/>
    <w:multiLevelType w:val="hybridMultilevel"/>
    <w:tmpl w:val="5826062C"/>
    <w:lvl w:ilvl="0" w:tplc="4A20FB4A">
      <w:start w:val="5"/>
      <w:numFmt w:val="decimal"/>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7EA706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EF6C94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A12A28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3213D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F8A9E5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50E69B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6C8B9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2BCF7B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7A87739"/>
    <w:multiLevelType w:val="hybridMultilevel"/>
    <w:tmpl w:val="4E9668D8"/>
    <w:lvl w:ilvl="0" w:tplc="8168026A">
      <w:start w:val="7"/>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EC471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8C806C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376C07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7E198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89CB47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4084E5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F8355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FA0DBE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85E2070"/>
    <w:multiLevelType w:val="hybridMultilevel"/>
    <w:tmpl w:val="5944E270"/>
    <w:lvl w:ilvl="0" w:tplc="5FA81D82">
      <w:start w:val="1"/>
      <w:numFmt w:val="decimal"/>
      <w:lvlText w:val="%1"/>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CA259DE">
      <w:start w:val="6"/>
      <w:numFmt w:val="lowerLetter"/>
      <w:lvlText w:val="%2)"/>
      <w:lvlJc w:val="left"/>
      <w:pPr>
        <w:ind w:left="11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31388438">
      <w:start w:val="1"/>
      <w:numFmt w:val="lowerRoman"/>
      <w:lvlText w:val="%3"/>
      <w:lvlJc w:val="left"/>
      <w:pPr>
        <w:ind w:left="137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F3EE99CC">
      <w:start w:val="1"/>
      <w:numFmt w:val="decimal"/>
      <w:lvlText w:val="%4"/>
      <w:lvlJc w:val="left"/>
      <w:pPr>
        <w:ind w:left="20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912A618">
      <w:start w:val="1"/>
      <w:numFmt w:val="lowerLetter"/>
      <w:lvlText w:val="%5"/>
      <w:lvlJc w:val="left"/>
      <w:pPr>
        <w:ind w:left="28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8CB46B8A">
      <w:start w:val="1"/>
      <w:numFmt w:val="lowerRoman"/>
      <w:lvlText w:val="%6"/>
      <w:lvlJc w:val="left"/>
      <w:pPr>
        <w:ind w:left="353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E78A1E9C">
      <w:start w:val="1"/>
      <w:numFmt w:val="decimal"/>
      <w:lvlText w:val="%7"/>
      <w:lvlJc w:val="left"/>
      <w:pPr>
        <w:ind w:left="42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00C2AF4">
      <w:start w:val="1"/>
      <w:numFmt w:val="lowerLetter"/>
      <w:lvlText w:val="%8"/>
      <w:lvlJc w:val="left"/>
      <w:pPr>
        <w:ind w:left="497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195C2214">
      <w:start w:val="1"/>
      <w:numFmt w:val="lowerRoman"/>
      <w:lvlText w:val="%9"/>
      <w:lvlJc w:val="left"/>
      <w:pPr>
        <w:ind w:left="56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08833886"/>
    <w:multiLevelType w:val="hybridMultilevel"/>
    <w:tmpl w:val="720A55C0"/>
    <w:lvl w:ilvl="0" w:tplc="0630BDEA">
      <w:start w:val="3"/>
      <w:numFmt w:val="decimal"/>
      <w:lvlText w:val="%1."/>
      <w:lvlJc w:val="left"/>
      <w:pPr>
        <w:ind w:left="5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02EBA2">
      <w:start w:val="20"/>
      <w:numFmt w:val="lowerLetter"/>
      <w:lvlText w:val="%2)"/>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6D42C02">
      <w:start w:val="1"/>
      <w:numFmt w:val="lowerRoman"/>
      <w:lvlText w:val="%3"/>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184A562">
      <w:start w:val="1"/>
      <w:numFmt w:val="decimal"/>
      <w:lvlText w:val="%4"/>
      <w:lvlJc w:val="left"/>
      <w:pPr>
        <w:ind w:left="2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72C97A">
      <w:start w:val="1"/>
      <w:numFmt w:val="lowerLetter"/>
      <w:lvlText w:val="%5"/>
      <w:lvlJc w:val="left"/>
      <w:pPr>
        <w:ind w:left="2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9EC0752">
      <w:start w:val="1"/>
      <w:numFmt w:val="lowerRoman"/>
      <w:lvlText w:val="%6"/>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DB0A8B0">
      <w:start w:val="1"/>
      <w:numFmt w:val="decimal"/>
      <w:lvlText w:val="%7"/>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B0DAAC">
      <w:start w:val="1"/>
      <w:numFmt w:val="lowerLetter"/>
      <w:lvlText w:val="%8"/>
      <w:lvlJc w:val="left"/>
      <w:pPr>
        <w:ind w:left="5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74CBE3C">
      <w:start w:val="1"/>
      <w:numFmt w:val="lowerRoman"/>
      <w:lvlText w:val="%9"/>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8C465AF"/>
    <w:multiLevelType w:val="hybridMultilevel"/>
    <w:tmpl w:val="64D00D0C"/>
    <w:lvl w:ilvl="0" w:tplc="C34E2B0A">
      <w:start w:val="12"/>
      <w:numFmt w:val="decimal"/>
      <w:lvlText w:val="%1."/>
      <w:lvlJc w:val="left"/>
      <w:pPr>
        <w:ind w:left="65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AE20AE0">
      <w:start w:val="1"/>
      <w:numFmt w:val="lowerLetter"/>
      <w:lvlText w:val="%2"/>
      <w:lvlJc w:val="left"/>
      <w:pPr>
        <w:ind w:left="13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9008F910">
      <w:start w:val="1"/>
      <w:numFmt w:val="lowerRoman"/>
      <w:lvlText w:val="%3"/>
      <w:lvlJc w:val="left"/>
      <w:pPr>
        <w:ind w:left="20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7EEECA8">
      <w:start w:val="1"/>
      <w:numFmt w:val="decimal"/>
      <w:lvlText w:val="%4"/>
      <w:lvlJc w:val="left"/>
      <w:pPr>
        <w:ind w:left="28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6A8AA0AE">
      <w:start w:val="1"/>
      <w:numFmt w:val="lowerLetter"/>
      <w:lvlText w:val="%5"/>
      <w:lvlJc w:val="left"/>
      <w:pPr>
        <w:ind w:left="352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558EF6A">
      <w:start w:val="1"/>
      <w:numFmt w:val="lowerRoman"/>
      <w:lvlText w:val="%6"/>
      <w:lvlJc w:val="left"/>
      <w:pPr>
        <w:ind w:left="424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79704986">
      <w:start w:val="1"/>
      <w:numFmt w:val="decimal"/>
      <w:lvlText w:val="%7"/>
      <w:lvlJc w:val="left"/>
      <w:pPr>
        <w:ind w:left="49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6AC5532">
      <w:start w:val="1"/>
      <w:numFmt w:val="lowerLetter"/>
      <w:lvlText w:val="%8"/>
      <w:lvlJc w:val="left"/>
      <w:pPr>
        <w:ind w:left="56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9E8409A">
      <w:start w:val="1"/>
      <w:numFmt w:val="lowerRoman"/>
      <w:lvlText w:val="%9"/>
      <w:lvlJc w:val="left"/>
      <w:pPr>
        <w:ind w:left="64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0A121733"/>
    <w:multiLevelType w:val="hybridMultilevel"/>
    <w:tmpl w:val="73A0565A"/>
    <w:lvl w:ilvl="0" w:tplc="4A1EF79E">
      <w:start w:val="1"/>
      <w:numFmt w:val="lowerLetter"/>
      <w:lvlText w:val="%1)"/>
      <w:lvlJc w:val="left"/>
      <w:pPr>
        <w:ind w:left="97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BEC8BAC">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A2820FC">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BCD83B7E">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A00AA06">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ACE54C8">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0EE02AF2">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1C687D6">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7E061938">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0B027D03"/>
    <w:multiLevelType w:val="hybridMultilevel"/>
    <w:tmpl w:val="6E44B29A"/>
    <w:lvl w:ilvl="0" w:tplc="319CA4C6">
      <w:start w:val="4"/>
      <w:numFmt w:val="decimal"/>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EC5FF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AA2FDE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588119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FAAE0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DDE89B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F122EE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961DC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BB257A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0B376059"/>
    <w:multiLevelType w:val="hybridMultilevel"/>
    <w:tmpl w:val="FFC84E86"/>
    <w:lvl w:ilvl="0" w:tplc="C5ACE4E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B3679CA">
      <w:start w:val="10"/>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6AC11B2">
      <w:start w:val="1"/>
      <w:numFmt w:val="lowerRoman"/>
      <w:lvlText w:val="%3"/>
      <w:lvlJc w:val="left"/>
      <w:pPr>
        <w:ind w:left="1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6DAC344">
      <w:start w:val="1"/>
      <w:numFmt w:val="decimal"/>
      <w:lvlText w:val="%4"/>
      <w:lvlJc w:val="left"/>
      <w:pPr>
        <w:ind w:left="2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72BFD4">
      <w:start w:val="1"/>
      <w:numFmt w:val="lowerLetter"/>
      <w:lvlText w:val="%5"/>
      <w:lvlJc w:val="left"/>
      <w:pPr>
        <w:ind w:left="2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3CAB8A6">
      <w:start w:val="1"/>
      <w:numFmt w:val="lowerRoman"/>
      <w:lvlText w:val="%6"/>
      <w:lvlJc w:val="left"/>
      <w:pPr>
        <w:ind w:left="35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B5A094A">
      <w:start w:val="1"/>
      <w:numFmt w:val="decimal"/>
      <w:lvlText w:val="%7"/>
      <w:lvlJc w:val="left"/>
      <w:pPr>
        <w:ind w:left="42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53AFFBC">
      <w:start w:val="1"/>
      <w:numFmt w:val="lowerLetter"/>
      <w:lvlText w:val="%8"/>
      <w:lvlJc w:val="left"/>
      <w:pPr>
        <w:ind w:left="49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60EB104">
      <w:start w:val="1"/>
      <w:numFmt w:val="lowerRoman"/>
      <w:lvlText w:val="%9"/>
      <w:lvlJc w:val="left"/>
      <w:pPr>
        <w:ind w:left="5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BC77727"/>
    <w:multiLevelType w:val="hybridMultilevel"/>
    <w:tmpl w:val="BF909B08"/>
    <w:lvl w:ilvl="0" w:tplc="EF228F58">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624D08">
      <w:start w:val="1"/>
      <w:numFmt w:val="lowerLetter"/>
      <w:lvlText w:val="%2"/>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A9E7E84">
      <w:start w:val="15"/>
      <w:numFmt w:val="lowerLetter"/>
      <w:lvlRestart w:val="0"/>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0EE8978">
      <w:start w:val="1"/>
      <w:numFmt w:val="decimal"/>
      <w:lvlText w:val="%4"/>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64A08E">
      <w:start w:val="1"/>
      <w:numFmt w:val="lowerLetter"/>
      <w:lvlText w:val="%5"/>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5E8CEB8">
      <w:start w:val="1"/>
      <w:numFmt w:val="lowerRoman"/>
      <w:lvlText w:val="%6"/>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91481FE">
      <w:start w:val="1"/>
      <w:numFmt w:val="decimal"/>
      <w:lvlText w:val="%7"/>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FC377E">
      <w:start w:val="1"/>
      <w:numFmt w:val="lowerLetter"/>
      <w:lvlText w:val="%8"/>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5485D18">
      <w:start w:val="1"/>
      <w:numFmt w:val="lowerRoman"/>
      <w:lvlText w:val="%9"/>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0CD63133"/>
    <w:multiLevelType w:val="hybridMultilevel"/>
    <w:tmpl w:val="7C287594"/>
    <w:lvl w:ilvl="0" w:tplc="438A9470">
      <w:start w:val="6"/>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E2CCD6">
      <w:start w:val="3"/>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6183B38">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BA0F41E">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66E0A0">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04CC520">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AF8C4DC">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BE6C1A">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A528AB6">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0D5B1842"/>
    <w:multiLevelType w:val="hybridMultilevel"/>
    <w:tmpl w:val="C5C47A30"/>
    <w:lvl w:ilvl="0" w:tplc="FADA0A20">
      <w:start w:val="4"/>
      <w:numFmt w:val="upperLetter"/>
      <w:lvlText w:val="%1)"/>
      <w:lvlJc w:val="left"/>
      <w:pPr>
        <w:ind w:left="1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A8C7E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D3020B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B08F65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6C96C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1C63E7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ED07D6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E81B3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327BB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0D604C9C"/>
    <w:multiLevelType w:val="hybridMultilevel"/>
    <w:tmpl w:val="718214C4"/>
    <w:lvl w:ilvl="0" w:tplc="EE8C17F2">
      <w:start w:val="7"/>
      <w:numFmt w:val="lowerLetter"/>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8ACAB7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F8405A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756D9F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AA08D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4A6009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8F2F44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EED80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5BA7D8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0DA63B09"/>
    <w:multiLevelType w:val="hybridMultilevel"/>
    <w:tmpl w:val="2F88F190"/>
    <w:lvl w:ilvl="0" w:tplc="A810DD28">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D08052">
      <w:start w:val="1"/>
      <w:numFmt w:val="lowerLetter"/>
      <w:lvlText w:val="%2)"/>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B5E10D6">
      <w:start w:val="1"/>
      <w:numFmt w:val="lowerRoman"/>
      <w:lvlText w:val="%3"/>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FA406C8">
      <w:start w:val="1"/>
      <w:numFmt w:val="decimal"/>
      <w:lvlText w:val="%4"/>
      <w:lvlJc w:val="left"/>
      <w:pPr>
        <w:ind w:left="2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50532E">
      <w:start w:val="1"/>
      <w:numFmt w:val="lowerLetter"/>
      <w:lvlText w:val="%5"/>
      <w:lvlJc w:val="left"/>
      <w:pPr>
        <w:ind w:left="2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FE87FA6">
      <w:start w:val="1"/>
      <w:numFmt w:val="lowerRoman"/>
      <w:lvlText w:val="%6"/>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B3875C2">
      <w:start w:val="1"/>
      <w:numFmt w:val="decimal"/>
      <w:lvlText w:val="%7"/>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DEB716">
      <w:start w:val="1"/>
      <w:numFmt w:val="lowerLetter"/>
      <w:lvlText w:val="%8"/>
      <w:lvlJc w:val="left"/>
      <w:pPr>
        <w:ind w:left="5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04CD88">
      <w:start w:val="1"/>
      <w:numFmt w:val="lowerRoman"/>
      <w:lvlText w:val="%9"/>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0DD275D0"/>
    <w:multiLevelType w:val="hybridMultilevel"/>
    <w:tmpl w:val="0C429EF4"/>
    <w:lvl w:ilvl="0" w:tplc="A89A855E">
      <w:start w:val="7"/>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EED25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8A8EE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32AA99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52667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D00464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27CA11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FEEC7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26EEA5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0ED376A5"/>
    <w:multiLevelType w:val="hybridMultilevel"/>
    <w:tmpl w:val="E94CAED4"/>
    <w:lvl w:ilvl="0" w:tplc="9F4E12F8">
      <w:start w:val="2"/>
      <w:numFmt w:val="upperLetter"/>
      <w:lvlText w:val="%1)"/>
      <w:lvlJc w:val="left"/>
      <w:pPr>
        <w:ind w:left="70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0148819A">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5EFA17EC">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24EAA096">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10AE246C">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BE3E08D6">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7EDA145A">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208637EC">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B23C57C6">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0F4163E6"/>
    <w:multiLevelType w:val="hybridMultilevel"/>
    <w:tmpl w:val="784EDF60"/>
    <w:lvl w:ilvl="0" w:tplc="1CB0DA64">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52B84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6B0B01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5FEFDF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E404B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4C6438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F7C592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FD4F62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5EE0F6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0FC3710C"/>
    <w:multiLevelType w:val="hybridMultilevel"/>
    <w:tmpl w:val="578CEA4A"/>
    <w:lvl w:ilvl="0" w:tplc="B0B6C0A6">
      <w:start w:val="1"/>
      <w:numFmt w:val="bullet"/>
      <w:lvlText w:val="•"/>
      <w:lvlJc w:val="left"/>
      <w:pPr>
        <w:ind w:left="4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AAA48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814D320">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25EA04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04B316">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4D21FC8">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4904A4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EE7CBE">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44CD7A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104F4EC7"/>
    <w:multiLevelType w:val="hybridMultilevel"/>
    <w:tmpl w:val="EE20DEA4"/>
    <w:lvl w:ilvl="0" w:tplc="BBFC5100">
      <w:start w:val="5"/>
      <w:numFmt w:val="decimal"/>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7689A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43C3C7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F807C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76A96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FA4538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BA829F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96215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1E8F44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060726E"/>
    <w:multiLevelType w:val="hybridMultilevel"/>
    <w:tmpl w:val="7C149322"/>
    <w:lvl w:ilvl="0" w:tplc="191A4BB8">
      <w:start w:val="4"/>
      <w:numFmt w:val="decimal"/>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CC360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FB4954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766F12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A0CFB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86EA12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914847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7C3EA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26CBD3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0C347CE"/>
    <w:multiLevelType w:val="hybridMultilevel"/>
    <w:tmpl w:val="F5323D14"/>
    <w:lvl w:ilvl="0" w:tplc="8E1661EC">
      <w:start w:val="1"/>
      <w:numFmt w:val="bullet"/>
      <w:lvlText w:val="-"/>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C24EDC">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5D49EC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EFC242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644CB8">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972E4F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D3290E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B0927C">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DD61D32">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10E13329"/>
    <w:multiLevelType w:val="hybridMultilevel"/>
    <w:tmpl w:val="CF847D04"/>
    <w:lvl w:ilvl="0" w:tplc="6BD41BD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2A05EE">
      <w:start w:val="9"/>
      <w:numFmt w:val="lowerLetter"/>
      <w:lvlText w:val="%2)"/>
      <w:lvlJc w:val="left"/>
      <w:pPr>
        <w:ind w:left="10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F42B424">
      <w:start w:val="1"/>
      <w:numFmt w:val="lowerRoman"/>
      <w:lvlText w:val="%3"/>
      <w:lvlJc w:val="left"/>
      <w:pPr>
        <w:ind w:left="14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84254B6">
      <w:start w:val="1"/>
      <w:numFmt w:val="decimal"/>
      <w:lvlText w:val="%4"/>
      <w:lvlJc w:val="left"/>
      <w:pPr>
        <w:ind w:left="21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F0F164">
      <w:start w:val="1"/>
      <w:numFmt w:val="lowerLetter"/>
      <w:lvlText w:val="%5"/>
      <w:lvlJc w:val="left"/>
      <w:pPr>
        <w:ind w:left="28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EBEB954">
      <w:start w:val="1"/>
      <w:numFmt w:val="lowerRoman"/>
      <w:lvlText w:val="%6"/>
      <w:lvlJc w:val="left"/>
      <w:pPr>
        <w:ind w:left="35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71C5C7C">
      <w:start w:val="1"/>
      <w:numFmt w:val="decimal"/>
      <w:lvlText w:val="%7"/>
      <w:lvlJc w:val="left"/>
      <w:pPr>
        <w:ind w:left="43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5C63AE">
      <w:start w:val="1"/>
      <w:numFmt w:val="lowerLetter"/>
      <w:lvlText w:val="%8"/>
      <w:lvlJc w:val="left"/>
      <w:pPr>
        <w:ind w:left="50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5F032E8">
      <w:start w:val="1"/>
      <w:numFmt w:val="lowerRoman"/>
      <w:lvlText w:val="%9"/>
      <w:lvlJc w:val="left"/>
      <w:pPr>
        <w:ind w:left="57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120A471C"/>
    <w:multiLevelType w:val="hybridMultilevel"/>
    <w:tmpl w:val="A2285076"/>
    <w:lvl w:ilvl="0" w:tplc="39A4AB48">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3AD4BE">
      <w:start w:val="6"/>
      <w:numFmt w:val="lowerLetter"/>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38E800C">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EB69AD8">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AD4A7E6">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B30D694">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CF6F980">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04072A">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F02BA90">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121C6CD6"/>
    <w:multiLevelType w:val="hybridMultilevel"/>
    <w:tmpl w:val="4FBE9930"/>
    <w:lvl w:ilvl="0" w:tplc="496AC938">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94E0D8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7EC14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2546A8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78A9D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398C61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0145BB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2C4F4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154F31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12D46FCE"/>
    <w:multiLevelType w:val="hybridMultilevel"/>
    <w:tmpl w:val="E4B801CE"/>
    <w:lvl w:ilvl="0" w:tplc="B4C446CE">
      <w:start w:val="5"/>
      <w:numFmt w:val="decimal"/>
      <w:lvlText w:val="%1."/>
      <w:lvlJc w:val="left"/>
      <w:pPr>
        <w:ind w:left="10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0EDF9A">
      <w:start w:val="1"/>
      <w:numFmt w:val="lowerLetter"/>
      <w:lvlText w:val="%2"/>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A02B042">
      <w:start w:val="1"/>
      <w:numFmt w:val="lowerRoman"/>
      <w:lvlText w:val="%3"/>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32C5958">
      <w:start w:val="1"/>
      <w:numFmt w:val="decimal"/>
      <w:lvlText w:val="%4"/>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2EEC30">
      <w:start w:val="1"/>
      <w:numFmt w:val="lowerLetter"/>
      <w:lvlText w:val="%5"/>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82664D8">
      <w:start w:val="1"/>
      <w:numFmt w:val="lowerRoman"/>
      <w:lvlText w:val="%6"/>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3CA8472">
      <w:start w:val="1"/>
      <w:numFmt w:val="decimal"/>
      <w:lvlText w:val="%7"/>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6A9B6A">
      <w:start w:val="1"/>
      <w:numFmt w:val="lowerLetter"/>
      <w:lvlText w:val="%8"/>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CDA98E2">
      <w:start w:val="1"/>
      <w:numFmt w:val="lowerRoman"/>
      <w:lvlText w:val="%9"/>
      <w:lvlJc w:val="left"/>
      <w:pPr>
        <w:ind w:left="6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3876796"/>
    <w:multiLevelType w:val="hybridMultilevel"/>
    <w:tmpl w:val="7F3EFBAC"/>
    <w:lvl w:ilvl="0" w:tplc="A8FEB3FC">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2A987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688BCF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AE6D99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8A507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082E91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202336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D0EE9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F1200A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139E4723"/>
    <w:multiLevelType w:val="hybridMultilevel"/>
    <w:tmpl w:val="BC209878"/>
    <w:lvl w:ilvl="0" w:tplc="DF3A5CFE">
      <w:start w:val="4"/>
      <w:numFmt w:val="decimal"/>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8C5DE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96C402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D4E7B5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F239C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1CA7DB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C48CCE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7B0778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024B78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144C6CE6"/>
    <w:multiLevelType w:val="hybridMultilevel"/>
    <w:tmpl w:val="23362442"/>
    <w:lvl w:ilvl="0" w:tplc="41D03E04">
      <w:start w:val="9"/>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F69AA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4A043C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B5C55D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A23E2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886BCA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986530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404EC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7EA322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14D3089C"/>
    <w:multiLevelType w:val="hybridMultilevel"/>
    <w:tmpl w:val="CFAA5204"/>
    <w:lvl w:ilvl="0" w:tplc="E5848A8C">
      <w:start w:val="6"/>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98447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1809B3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24040E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0522F2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60E7F6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0B4EFA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9C73D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2843C0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16403A81"/>
    <w:multiLevelType w:val="hybridMultilevel"/>
    <w:tmpl w:val="38E651EC"/>
    <w:lvl w:ilvl="0" w:tplc="5DBC76B6">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C108DD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84AC2F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DFE65F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A8B3C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CB0F66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260307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D680D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53634F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171772A5"/>
    <w:multiLevelType w:val="hybridMultilevel"/>
    <w:tmpl w:val="085E3768"/>
    <w:lvl w:ilvl="0" w:tplc="EC3EAD6A">
      <w:start w:val="7"/>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A2C92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FC935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0CAEAB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CD8016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C0E5F5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850006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36C8A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1B8AD3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171C4838"/>
    <w:multiLevelType w:val="hybridMultilevel"/>
    <w:tmpl w:val="B4ACBC20"/>
    <w:lvl w:ilvl="0" w:tplc="986CD2AE">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98F78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EDED45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E10DFE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D80C2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2A2A68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5DAA11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6225E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346106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17DD3A7D"/>
    <w:multiLevelType w:val="hybridMultilevel"/>
    <w:tmpl w:val="F6D84FAA"/>
    <w:lvl w:ilvl="0" w:tplc="827E9A16">
      <w:start w:val="1"/>
      <w:numFmt w:val="decimal"/>
      <w:lvlText w:val="%1."/>
      <w:lvlJc w:val="left"/>
      <w:pPr>
        <w:ind w:left="10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B20B7C">
      <w:start w:val="1"/>
      <w:numFmt w:val="lowerLetter"/>
      <w:lvlText w:val="%2"/>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DAE9D0">
      <w:start w:val="1"/>
      <w:numFmt w:val="lowerRoman"/>
      <w:lvlText w:val="%3"/>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6AC7B72">
      <w:start w:val="1"/>
      <w:numFmt w:val="decimal"/>
      <w:lvlText w:val="%4"/>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28EB5C">
      <w:start w:val="1"/>
      <w:numFmt w:val="lowerLetter"/>
      <w:lvlText w:val="%5"/>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5EE737A">
      <w:start w:val="1"/>
      <w:numFmt w:val="lowerRoman"/>
      <w:lvlText w:val="%6"/>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8A6B552">
      <w:start w:val="1"/>
      <w:numFmt w:val="decimal"/>
      <w:lvlText w:val="%7"/>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484E26">
      <w:start w:val="1"/>
      <w:numFmt w:val="lowerLetter"/>
      <w:lvlText w:val="%8"/>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4208C76">
      <w:start w:val="1"/>
      <w:numFmt w:val="lowerRoman"/>
      <w:lvlText w:val="%9"/>
      <w:lvlJc w:val="left"/>
      <w:pPr>
        <w:ind w:left="6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80351A1"/>
    <w:multiLevelType w:val="hybridMultilevel"/>
    <w:tmpl w:val="90A6A248"/>
    <w:lvl w:ilvl="0" w:tplc="379E2A08">
      <w:start w:val="1"/>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94865D8">
      <w:start w:val="15"/>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8AA48CA">
      <w:start w:val="1"/>
      <w:numFmt w:val="lowerRoman"/>
      <w:lvlText w:val="%3"/>
      <w:lvlJc w:val="left"/>
      <w:pPr>
        <w:ind w:left="137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FF48D5A">
      <w:start w:val="1"/>
      <w:numFmt w:val="decimal"/>
      <w:lvlText w:val="%4"/>
      <w:lvlJc w:val="left"/>
      <w:pPr>
        <w:ind w:left="209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9662FA6">
      <w:start w:val="1"/>
      <w:numFmt w:val="lowerLetter"/>
      <w:lvlText w:val="%5"/>
      <w:lvlJc w:val="left"/>
      <w:pPr>
        <w:ind w:left="281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82AD508">
      <w:start w:val="1"/>
      <w:numFmt w:val="lowerRoman"/>
      <w:lvlText w:val="%6"/>
      <w:lvlJc w:val="left"/>
      <w:pPr>
        <w:ind w:left="35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11672C4">
      <w:start w:val="1"/>
      <w:numFmt w:val="decimal"/>
      <w:lvlText w:val="%7"/>
      <w:lvlJc w:val="left"/>
      <w:pPr>
        <w:ind w:left="425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16AFFC2">
      <w:start w:val="1"/>
      <w:numFmt w:val="lowerLetter"/>
      <w:lvlText w:val="%8"/>
      <w:lvlJc w:val="left"/>
      <w:pPr>
        <w:ind w:left="497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AB2807C">
      <w:start w:val="1"/>
      <w:numFmt w:val="lowerRoman"/>
      <w:lvlText w:val="%9"/>
      <w:lvlJc w:val="left"/>
      <w:pPr>
        <w:ind w:left="569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182273A8"/>
    <w:multiLevelType w:val="hybridMultilevel"/>
    <w:tmpl w:val="74C666CC"/>
    <w:lvl w:ilvl="0" w:tplc="13C2469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DE062AE">
      <w:start w:val="13"/>
      <w:numFmt w:val="lowerLetter"/>
      <w:lvlText w:val="%2)"/>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63A2E9A">
      <w:start w:val="1"/>
      <w:numFmt w:val="lowerRoman"/>
      <w:lvlText w:val="%3"/>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85E90BA">
      <w:start w:val="1"/>
      <w:numFmt w:val="decimal"/>
      <w:lvlText w:val="%4"/>
      <w:lvlJc w:val="left"/>
      <w:pPr>
        <w:ind w:left="2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6A4936">
      <w:start w:val="1"/>
      <w:numFmt w:val="lowerLetter"/>
      <w:lvlText w:val="%5"/>
      <w:lvlJc w:val="left"/>
      <w:pPr>
        <w:ind w:left="2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488930A">
      <w:start w:val="1"/>
      <w:numFmt w:val="lowerRoman"/>
      <w:lvlText w:val="%6"/>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5FEDE1C">
      <w:start w:val="1"/>
      <w:numFmt w:val="decimal"/>
      <w:lvlText w:val="%7"/>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5080B0">
      <w:start w:val="1"/>
      <w:numFmt w:val="lowerLetter"/>
      <w:lvlText w:val="%8"/>
      <w:lvlJc w:val="left"/>
      <w:pPr>
        <w:ind w:left="5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3C4B6A">
      <w:start w:val="1"/>
      <w:numFmt w:val="lowerRoman"/>
      <w:lvlText w:val="%9"/>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19922505"/>
    <w:multiLevelType w:val="hybridMultilevel"/>
    <w:tmpl w:val="C612269A"/>
    <w:lvl w:ilvl="0" w:tplc="696EFB1E">
      <w:start w:val="6"/>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74CD8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AECB44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C58313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AEA50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6E21D6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9F4220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783DC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2BE59C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19BF7496"/>
    <w:multiLevelType w:val="hybridMultilevel"/>
    <w:tmpl w:val="032C2102"/>
    <w:lvl w:ilvl="0" w:tplc="A4EC5944">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1CDD1E">
      <w:start w:val="1"/>
      <w:numFmt w:val="lowerLetter"/>
      <w:lvlText w:val="%2)"/>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242FF0E">
      <w:start w:val="1"/>
      <w:numFmt w:val="lowerRoman"/>
      <w:lvlText w:val="%3"/>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3B2B196">
      <w:start w:val="1"/>
      <w:numFmt w:val="decimal"/>
      <w:lvlText w:val="%4"/>
      <w:lvlJc w:val="left"/>
      <w:pPr>
        <w:ind w:left="2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FCADE4">
      <w:start w:val="1"/>
      <w:numFmt w:val="lowerLetter"/>
      <w:lvlText w:val="%5"/>
      <w:lvlJc w:val="left"/>
      <w:pPr>
        <w:ind w:left="2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CCA4256">
      <w:start w:val="1"/>
      <w:numFmt w:val="lowerRoman"/>
      <w:lvlText w:val="%6"/>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AA400AA">
      <w:start w:val="1"/>
      <w:numFmt w:val="decimal"/>
      <w:lvlText w:val="%7"/>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986DB2">
      <w:start w:val="1"/>
      <w:numFmt w:val="lowerLetter"/>
      <w:lvlText w:val="%8"/>
      <w:lvlJc w:val="left"/>
      <w:pPr>
        <w:ind w:left="5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A04CF6E">
      <w:start w:val="1"/>
      <w:numFmt w:val="lowerRoman"/>
      <w:lvlText w:val="%9"/>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1B3565CA"/>
    <w:multiLevelType w:val="hybridMultilevel"/>
    <w:tmpl w:val="A814AA48"/>
    <w:lvl w:ilvl="0" w:tplc="F93AC79C">
      <w:start w:val="7"/>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8CA05E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F3C4E8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6AEB33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6E895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1D6A85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B403DF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2EDB7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D8E16C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1C121C33"/>
    <w:multiLevelType w:val="hybridMultilevel"/>
    <w:tmpl w:val="EAECF3C8"/>
    <w:lvl w:ilvl="0" w:tplc="D436C650">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41A1BF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1D8CDD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5D21CD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3CDFD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C8EBC7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472CD4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547CB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2E8E17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1C867A94"/>
    <w:multiLevelType w:val="hybridMultilevel"/>
    <w:tmpl w:val="B2C0E812"/>
    <w:lvl w:ilvl="0" w:tplc="8B689A42">
      <w:start w:val="1"/>
      <w:numFmt w:val="decimal"/>
      <w:lvlText w:val="%1."/>
      <w:lvlJc w:val="left"/>
      <w:pPr>
        <w:ind w:left="10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76AB52">
      <w:start w:val="1"/>
      <w:numFmt w:val="lowerLetter"/>
      <w:lvlText w:val="%2"/>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0AE3080">
      <w:start w:val="1"/>
      <w:numFmt w:val="lowerRoman"/>
      <w:lvlText w:val="%3"/>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50E19A2">
      <w:start w:val="1"/>
      <w:numFmt w:val="decimal"/>
      <w:lvlText w:val="%4"/>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1E0DC0">
      <w:start w:val="1"/>
      <w:numFmt w:val="lowerLetter"/>
      <w:lvlText w:val="%5"/>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C88CB98">
      <w:start w:val="1"/>
      <w:numFmt w:val="lowerRoman"/>
      <w:lvlText w:val="%6"/>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0412F6">
      <w:start w:val="1"/>
      <w:numFmt w:val="decimal"/>
      <w:lvlText w:val="%7"/>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1ABC3A">
      <w:start w:val="1"/>
      <w:numFmt w:val="lowerLetter"/>
      <w:lvlText w:val="%8"/>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5CE8F2">
      <w:start w:val="1"/>
      <w:numFmt w:val="lowerRoman"/>
      <w:lvlText w:val="%9"/>
      <w:lvlJc w:val="left"/>
      <w:pPr>
        <w:ind w:left="6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1D9E6ABD"/>
    <w:multiLevelType w:val="hybridMultilevel"/>
    <w:tmpl w:val="3C2A81BE"/>
    <w:lvl w:ilvl="0" w:tplc="DA4C1CB2">
      <w:start w:val="9"/>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AE7C92">
      <w:start w:val="5"/>
      <w:numFmt w:val="lowerLetter"/>
      <w:lvlText w:val="%2."/>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6184592">
      <w:start w:val="1"/>
      <w:numFmt w:val="lowerRoman"/>
      <w:lvlText w:val="%3"/>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66C1A6C">
      <w:start w:val="1"/>
      <w:numFmt w:val="decimal"/>
      <w:lvlText w:val="%4"/>
      <w:lvlJc w:val="left"/>
      <w:pPr>
        <w:ind w:left="2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281060">
      <w:start w:val="1"/>
      <w:numFmt w:val="lowerLetter"/>
      <w:lvlText w:val="%5"/>
      <w:lvlJc w:val="left"/>
      <w:pPr>
        <w:ind w:left="2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4F48C28">
      <w:start w:val="1"/>
      <w:numFmt w:val="lowerRoman"/>
      <w:lvlText w:val="%6"/>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9808EC6">
      <w:start w:val="1"/>
      <w:numFmt w:val="decimal"/>
      <w:lvlText w:val="%7"/>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022186">
      <w:start w:val="1"/>
      <w:numFmt w:val="lowerLetter"/>
      <w:lvlText w:val="%8"/>
      <w:lvlJc w:val="left"/>
      <w:pPr>
        <w:ind w:left="5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B10D314">
      <w:start w:val="1"/>
      <w:numFmt w:val="lowerRoman"/>
      <w:lvlText w:val="%9"/>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1FBB7BA3"/>
    <w:multiLevelType w:val="hybridMultilevel"/>
    <w:tmpl w:val="C942959E"/>
    <w:lvl w:ilvl="0" w:tplc="4E5EE92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AAD0BC">
      <w:start w:val="1"/>
      <w:numFmt w:val="lowerLetter"/>
      <w:lvlText w:val="%2"/>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DA8AAA">
      <w:start w:val="8"/>
      <w:numFmt w:val="lowerLetter"/>
      <w:lvlRestart w:val="0"/>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65C48F8">
      <w:start w:val="1"/>
      <w:numFmt w:val="decimal"/>
      <w:lvlText w:val="%4"/>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C8EA96">
      <w:start w:val="1"/>
      <w:numFmt w:val="lowerLetter"/>
      <w:lvlText w:val="%5"/>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0B22576">
      <w:start w:val="1"/>
      <w:numFmt w:val="lowerRoman"/>
      <w:lvlText w:val="%6"/>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64248A2">
      <w:start w:val="1"/>
      <w:numFmt w:val="decimal"/>
      <w:lvlText w:val="%7"/>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089BC0">
      <w:start w:val="1"/>
      <w:numFmt w:val="lowerLetter"/>
      <w:lvlText w:val="%8"/>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6BA2964">
      <w:start w:val="1"/>
      <w:numFmt w:val="lowerRoman"/>
      <w:lvlText w:val="%9"/>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207C7A76"/>
    <w:multiLevelType w:val="hybridMultilevel"/>
    <w:tmpl w:val="BDFCE9AC"/>
    <w:lvl w:ilvl="0" w:tplc="07327CEA">
      <w:start w:val="2"/>
      <w:numFmt w:val="lowerLetter"/>
      <w:lvlText w:val="%1)"/>
      <w:lvlJc w:val="left"/>
      <w:pPr>
        <w:ind w:left="60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4281254">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5EA4324E">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4DAC7EE">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6980076">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3CA5410">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9709B06">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A55681C0">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29D4F76A">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20ED5449"/>
    <w:multiLevelType w:val="hybridMultilevel"/>
    <w:tmpl w:val="7AE057E2"/>
    <w:lvl w:ilvl="0" w:tplc="149E4A78">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4A9AC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67E467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E1E5BC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78AA6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50C0B8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2B44D7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2348C6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77E1BB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20F814D8"/>
    <w:multiLevelType w:val="hybridMultilevel"/>
    <w:tmpl w:val="AFF0FD32"/>
    <w:lvl w:ilvl="0" w:tplc="1C1C9FC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60CDCE">
      <w:start w:val="25"/>
      <w:numFmt w:val="lowerLetter"/>
      <w:lvlText w:val="%2)"/>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E5E2596">
      <w:start w:val="1"/>
      <w:numFmt w:val="lowerRoman"/>
      <w:lvlText w:val="%3"/>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B1EF5B8">
      <w:start w:val="1"/>
      <w:numFmt w:val="decimal"/>
      <w:lvlText w:val="%4"/>
      <w:lvlJc w:val="left"/>
      <w:pPr>
        <w:ind w:left="2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F6CAFE">
      <w:start w:val="1"/>
      <w:numFmt w:val="lowerLetter"/>
      <w:lvlText w:val="%5"/>
      <w:lvlJc w:val="left"/>
      <w:pPr>
        <w:ind w:left="2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F1A4CB2">
      <w:start w:val="1"/>
      <w:numFmt w:val="lowerRoman"/>
      <w:lvlText w:val="%6"/>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6703BE6">
      <w:start w:val="1"/>
      <w:numFmt w:val="decimal"/>
      <w:lvlText w:val="%7"/>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6057D4">
      <w:start w:val="1"/>
      <w:numFmt w:val="lowerLetter"/>
      <w:lvlText w:val="%8"/>
      <w:lvlJc w:val="left"/>
      <w:pPr>
        <w:ind w:left="5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4F4FBF0">
      <w:start w:val="1"/>
      <w:numFmt w:val="lowerRoman"/>
      <w:lvlText w:val="%9"/>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21D46FB5"/>
    <w:multiLevelType w:val="hybridMultilevel"/>
    <w:tmpl w:val="6FB87D74"/>
    <w:lvl w:ilvl="0" w:tplc="4C5E4A1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2C7B7C">
      <w:start w:val="10"/>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938F308">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DE04DF0">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983E70">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14ECF46">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42A2A6E">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E7EF070">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45E2784">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22C110D0"/>
    <w:multiLevelType w:val="hybridMultilevel"/>
    <w:tmpl w:val="3EAA54E8"/>
    <w:lvl w:ilvl="0" w:tplc="A4305DE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76B458">
      <w:start w:val="3"/>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A6E1E64">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3DEFC28">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EE0C20">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9F81CE2">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8A04F12">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2892B6">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D6EA5D0">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235829C1"/>
    <w:multiLevelType w:val="hybridMultilevel"/>
    <w:tmpl w:val="045CA726"/>
    <w:lvl w:ilvl="0" w:tplc="CBD099EA">
      <w:start w:val="8"/>
      <w:numFmt w:val="decimal"/>
      <w:lvlText w:val="%1."/>
      <w:lvlJc w:val="left"/>
      <w:pPr>
        <w:ind w:left="89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4F46D0A">
      <w:start w:val="1"/>
      <w:numFmt w:val="lowerLetter"/>
      <w:lvlText w:val="%2"/>
      <w:lvlJc w:val="left"/>
      <w:pPr>
        <w:ind w:left="13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9DC3916">
      <w:start w:val="1"/>
      <w:numFmt w:val="lowerRoman"/>
      <w:lvlText w:val="%3"/>
      <w:lvlJc w:val="left"/>
      <w:pPr>
        <w:ind w:left="20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9E00170">
      <w:start w:val="1"/>
      <w:numFmt w:val="decimal"/>
      <w:lvlText w:val="%4"/>
      <w:lvlJc w:val="left"/>
      <w:pPr>
        <w:ind w:left="28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F1A9A08">
      <w:start w:val="1"/>
      <w:numFmt w:val="lowerLetter"/>
      <w:lvlText w:val="%5"/>
      <w:lvlJc w:val="left"/>
      <w:pPr>
        <w:ind w:left="352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26EBD9A">
      <w:start w:val="1"/>
      <w:numFmt w:val="lowerRoman"/>
      <w:lvlText w:val="%6"/>
      <w:lvlJc w:val="left"/>
      <w:pPr>
        <w:ind w:left="424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3BDE14F8">
      <w:start w:val="1"/>
      <w:numFmt w:val="decimal"/>
      <w:lvlText w:val="%7"/>
      <w:lvlJc w:val="left"/>
      <w:pPr>
        <w:ind w:left="49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8549ACA">
      <w:start w:val="1"/>
      <w:numFmt w:val="lowerLetter"/>
      <w:lvlText w:val="%8"/>
      <w:lvlJc w:val="left"/>
      <w:pPr>
        <w:ind w:left="56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8BA05F6">
      <w:start w:val="1"/>
      <w:numFmt w:val="lowerRoman"/>
      <w:lvlText w:val="%9"/>
      <w:lvlJc w:val="left"/>
      <w:pPr>
        <w:ind w:left="64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236E6A4C"/>
    <w:multiLevelType w:val="hybridMultilevel"/>
    <w:tmpl w:val="6AFCCC7C"/>
    <w:lvl w:ilvl="0" w:tplc="3A367C28">
      <w:start w:val="17"/>
      <w:numFmt w:val="lowerLetter"/>
      <w:lvlText w:val="%1)"/>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949F34">
      <w:start w:val="1"/>
      <w:numFmt w:val="lowerLetter"/>
      <w:lvlText w:val="%2"/>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25C8AF8">
      <w:start w:val="1"/>
      <w:numFmt w:val="lowerRoman"/>
      <w:lvlText w:val="%3"/>
      <w:lvlJc w:val="left"/>
      <w:pPr>
        <w:ind w:left="2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1B83B0E">
      <w:start w:val="1"/>
      <w:numFmt w:val="decimal"/>
      <w:lvlText w:val="%4"/>
      <w:lvlJc w:val="left"/>
      <w:pPr>
        <w:ind w:left="2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504FB0">
      <w:start w:val="1"/>
      <w:numFmt w:val="lowerLetter"/>
      <w:lvlText w:val="%5"/>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96C6ECE">
      <w:start w:val="1"/>
      <w:numFmt w:val="lowerRoman"/>
      <w:lvlText w:val="%6"/>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F7A2D60">
      <w:start w:val="1"/>
      <w:numFmt w:val="decimal"/>
      <w:lvlText w:val="%7"/>
      <w:lvlJc w:val="left"/>
      <w:pPr>
        <w:ind w:left="5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7240F8">
      <w:start w:val="1"/>
      <w:numFmt w:val="lowerLetter"/>
      <w:lvlText w:val="%8"/>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BF01F2E">
      <w:start w:val="1"/>
      <w:numFmt w:val="lowerRoman"/>
      <w:lvlText w:val="%9"/>
      <w:lvlJc w:val="left"/>
      <w:pPr>
        <w:ind w:left="6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238559B1"/>
    <w:multiLevelType w:val="hybridMultilevel"/>
    <w:tmpl w:val="4E1CDE6A"/>
    <w:lvl w:ilvl="0" w:tplc="05F86220">
      <w:start w:val="9"/>
      <w:numFmt w:val="decimal"/>
      <w:lvlText w:val="%1."/>
      <w:lvlJc w:val="left"/>
      <w:pPr>
        <w:ind w:left="4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E23B9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0BA102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9283CD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CA6EE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236D4E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036895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04D39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E3ADBE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248110D4"/>
    <w:multiLevelType w:val="hybridMultilevel"/>
    <w:tmpl w:val="8EFE193A"/>
    <w:lvl w:ilvl="0" w:tplc="0D5CE486">
      <w:start w:val="1"/>
      <w:numFmt w:val="decimal"/>
      <w:lvlText w:val="%1"/>
      <w:lvlJc w:val="left"/>
      <w:pPr>
        <w:ind w:left="355"/>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9FEA45BE">
      <w:start w:val="1"/>
      <w:numFmt w:val="lowerLetter"/>
      <w:lvlText w:val="%2)"/>
      <w:lvlJc w:val="left"/>
      <w:pPr>
        <w:ind w:left="9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6C2598A">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C1AC0FE">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CCCB26">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A7C3FC2">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C326F2A">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6E885E">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7665574">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2519592A"/>
    <w:multiLevelType w:val="hybridMultilevel"/>
    <w:tmpl w:val="EC82EEA2"/>
    <w:lvl w:ilvl="0" w:tplc="6A9A29E0">
      <w:start w:val="13"/>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1E760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944B0D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7CCABF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E5C6FF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68434E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574569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2625D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DF283B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25810405"/>
    <w:multiLevelType w:val="hybridMultilevel"/>
    <w:tmpl w:val="AD122160"/>
    <w:lvl w:ilvl="0" w:tplc="B8EA5722">
      <w:start w:val="1"/>
      <w:numFmt w:val="bullet"/>
      <w:lvlText w:val="•"/>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AE1118">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2A208BE">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0904148">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32E336">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1A486D0">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74C7EFE">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5A829C">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262AEBA">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25E918C9"/>
    <w:multiLevelType w:val="hybridMultilevel"/>
    <w:tmpl w:val="F99C6B30"/>
    <w:lvl w:ilvl="0" w:tplc="67A0E14A">
      <w:start w:val="7"/>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9A311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C103FC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42DD1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F4A89D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BB6DEE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5044A7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D3CD22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3BA931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25E924E3"/>
    <w:multiLevelType w:val="hybridMultilevel"/>
    <w:tmpl w:val="93D60BB2"/>
    <w:lvl w:ilvl="0" w:tplc="E6D29FB6">
      <w:start w:val="2"/>
      <w:numFmt w:val="decimal"/>
      <w:lvlText w:val="%1."/>
      <w:lvlJc w:val="left"/>
      <w:pPr>
        <w:ind w:left="35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B4F0FBA6">
      <w:start w:val="1"/>
      <w:numFmt w:val="lowerLetter"/>
      <w:lvlText w:val="%2"/>
      <w:lvlJc w:val="left"/>
      <w:pPr>
        <w:ind w:left="109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28C545A">
      <w:start w:val="1"/>
      <w:numFmt w:val="lowerRoman"/>
      <w:lvlText w:val="%3"/>
      <w:lvlJc w:val="left"/>
      <w:pPr>
        <w:ind w:left="18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1CE4AF2">
      <w:start w:val="1"/>
      <w:numFmt w:val="decimal"/>
      <w:lvlText w:val="%4"/>
      <w:lvlJc w:val="left"/>
      <w:pPr>
        <w:ind w:left="253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9210D66C">
      <w:start w:val="1"/>
      <w:numFmt w:val="lowerLetter"/>
      <w:lvlText w:val="%5"/>
      <w:lvlJc w:val="left"/>
      <w:pPr>
        <w:ind w:left="325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03C05D6">
      <w:start w:val="1"/>
      <w:numFmt w:val="lowerRoman"/>
      <w:lvlText w:val="%6"/>
      <w:lvlJc w:val="left"/>
      <w:pPr>
        <w:ind w:left="397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8D8D43C">
      <w:start w:val="1"/>
      <w:numFmt w:val="decimal"/>
      <w:lvlText w:val="%7"/>
      <w:lvlJc w:val="left"/>
      <w:pPr>
        <w:ind w:left="469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97C9608">
      <w:start w:val="1"/>
      <w:numFmt w:val="lowerLetter"/>
      <w:lvlText w:val="%8"/>
      <w:lvlJc w:val="left"/>
      <w:pPr>
        <w:ind w:left="54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3334A19E">
      <w:start w:val="1"/>
      <w:numFmt w:val="lowerRoman"/>
      <w:lvlText w:val="%9"/>
      <w:lvlJc w:val="left"/>
      <w:pPr>
        <w:ind w:left="613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25F67DC6"/>
    <w:multiLevelType w:val="hybridMultilevel"/>
    <w:tmpl w:val="EB8C07BA"/>
    <w:lvl w:ilvl="0" w:tplc="C2107DC4">
      <w:start w:val="9"/>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40968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D76546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32E690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F8F49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650640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1D4C55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D0B41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B5E118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26264AA6"/>
    <w:multiLevelType w:val="hybridMultilevel"/>
    <w:tmpl w:val="ECA29404"/>
    <w:lvl w:ilvl="0" w:tplc="F986158A">
      <w:start w:val="1"/>
      <w:numFmt w:val="decimal"/>
      <w:lvlText w:val="%1."/>
      <w:lvlJc w:val="left"/>
      <w:pPr>
        <w:ind w:left="52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B0805A2">
      <w:start w:val="1"/>
      <w:numFmt w:val="lowerLetter"/>
      <w:lvlText w:val="%2"/>
      <w:lvlJc w:val="left"/>
      <w:pPr>
        <w:ind w:left="142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6E4A69C8">
      <w:start w:val="1"/>
      <w:numFmt w:val="lowerRoman"/>
      <w:lvlText w:val="%3"/>
      <w:lvlJc w:val="left"/>
      <w:pPr>
        <w:ind w:left="214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17015E4">
      <w:start w:val="1"/>
      <w:numFmt w:val="decimal"/>
      <w:lvlText w:val="%4"/>
      <w:lvlJc w:val="left"/>
      <w:pPr>
        <w:ind w:left="286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B107168">
      <w:start w:val="1"/>
      <w:numFmt w:val="lowerLetter"/>
      <w:lvlText w:val="%5"/>
      <w:lvlJc w:val="left"/>
      <w:pPr>
        <w:ind w:left="358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1DAC989C">
      <w:start w:val="1"/>
      <w:numFmt w:val="lowerRoman"/>
      <w:lvlText w:val="%6"/>
      <w:lvlJc w:val="left"/>
      <w:pPr>
        <w:ind w:left="430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3BCA3FC8">
      <w:start w:val="1"/>
      <w:numFmt w:val="decimal"/>
      <w:lvlText w:val="%7"/>
      <w:lvlJc w:val="left"/>
      <w:pPr>
        <w:ind w:left="502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A729966">
      <w:start w:val="1"/>
      <w:numFmt w:val="lowerLetter"/>
      <w:lvlText w:val="%8"/>
      <w:lvlJc w:val="left"/>
      <w:pPr>
        <w:ind w:left="574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01ACFBE">
      <w:start w:val="1"/>
      <w:numFmt w:val="lowerRoman"/>
      <w:lvlText w:val="%9"/>
      <w:lvlJc w:val="left"/>
      <w:pPr>
        <w:ind w:left="646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27521DE4"/>
    <w:multiLevelType w:val="hybridMultilevel"/>
    <w:tmpl w:val="B9A0A4F4"/>
    <w:lvl w:ilvl="0" w:tplc="C85C03D2">
      <w:start w:val="5"/>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B8B1BA">
      <w:start w:val="17"/>
      <w:numFmt w:val="lowerLetter"/>
      <w:lvlText w:val="%2."/>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E3665F0">
      <w:start w:val="1"/>
      <w:numFmt w:val="lowerRoman"/>
      <w:lvlText w:val="%3"/>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84EF546">
      <w:start w:val="1"/>
      <w:numFmt w:val="decimal"/>
      <w:lvlText w:val="%4"/>
      <w:lvlJc w:val="left"/>
      <w:pPr>
        <w:ind w:left="2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689A70">
      <w:start w:val="1"/>
      <w:numFmt w:val="lowerLetter"/>
      <w:lvlText w:val="%5"/>
      <w:lvlJc w:val="left"/>
      <w:pPr>
        <w:ind w:left="2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B980B44">
      <w:start w:val="1"/>
      <w:numFmt w:val="lowerRoman"/>
      <w:lvlText w:val="%6"/>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3647B86">
      <w:start w:val="1"/>
      <w:numFmt w:val="decimal"/>
      <w:lvlText w:val="%7"/>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881504">
      <w:start w:val="1"/>
      <w:numFmt w:val="lowerLetter"/>
      <w:lvlText w:val="%8"/>
      <w:lvlJc w:val="left"/>
      <w:pPr>
        <w:ind w:left="5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B0E0CF0">
      <w:start w:val="1"/>
      <w:numFmt w:val="lowerRoman"/>
      <w:lvlText w:val="%9"/>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280157F2"/>
    <w:multiLevelType w:val="hybridMultilevel"/>
    <w:tmpl w:val="55D2D8E4"/>
    <w:lvl w:ilvl="0" w:tplc="2E525E64">
      <w:start w:val="1"/>
      <w:numFmt w:val="lowerLetter"/>
      <w:lvlText w:val="%1)"/>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5E222A">
      <w:start w:val="1"/>
      <w:numFmt w:val="lowerLetter"/>
      <w:lvlText w:val="%2"/>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E2C2F6C">
      <w:start w:val="1"/>
      <w:numFmt w:val="lowerRoman"/>
      <w:lvlText w:val="%3"/>
      <w:lvlJc w:val="left"/>
      <w:pPr>
        <w:ind w:left="2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EE02D9C">
      <w:start w:val="1"/>
      <w:numFmt w:val="decimal"/>
      <w:lvlText w:val="%4"/>
      <w:lvlJc w:val="left"/>
      <w:pPr>
        <w:ind w:left="2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5CF522">
      <w:start w:val="1"/>
      <w:numFmt w:val="lowerLetter"/>
      <w:lvlText w:val="%5"/>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CCC80B2">
      <w:start w:val="1"/>
      <w:numFmt w:val="lowerRoman"/>
      <w:lvlText w:val="%6"/>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400CA56">
      <w:start w:val="1"/>
      <w:numFmt w:val="decimal"/>
      <w:lvlText w:val="%7"/>
      <w:lvlJc w:val="left"/>
      <w:pPr>
        <w:ind w:left="5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C6FECA">
      <w:start w:val="1"/>
      <w:numFmt w:val="lowerLetter"/>
      <w:lvlText w:val="%8"/>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5EAD15E">
      <w:start w:val="1"/>
      <w:numFmt w:val="lowerRoman"/>
      <w:lvlText w:val="%9"/>
      <w:lvlJc w:val="left"/>
      <w:pPr>
        <w:ind w:left="6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2861546E"/>
    <w:multiLevelType w:val="hybridMultilevel"/>
    <w:tmpl w:val="6EEE406A"/>
    <w:lvl w:ilvl="0" w:tplc="853CE2BE">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505A0A">
      <w:start w:val="1"/>
      <w:numFmt w:val="lowerLetter"/>
      <w:lvlText w:val="%2)"/>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F5A05AC">
      <w:start w:val="1"/>
      <w:numFmt w:val="lowerRoman"/>
      <w:lvlText w:val="%3"/>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2188024">
      <w:start w:val="1"/>
      <w:numFmt w:val="decimal"/>
      <w:lvlText w:val="%4"/>
      <w:lvlJc w:val="left"/>
      <w:pPr>
        <w:ind w:left="2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2AEBF0">
      <w:start w:val="1"/>
      <w:numFmt w:val="lowerLetter"/>
      <w:lvlText w:val="%5"/>
      <w:lvlJc w:val="left"/>
      <w:pPr>
        <w:ind w:left="2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A986FDE">
      <w:start w:val="1"/>
      <w:numFmt w:val="lowerRoman"/>
      <w:lvlText w:val="%6"/>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B26828E">
      <w:start w:val="1"/>
      <w:numFmt w:val="decimal"/>
      <w:lvlText w:val="%7"/>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94EA1A">
      <w:start w:val="1"/>
      <w:numFmt w:val="lowerLetter"/>
      <w:lvlText w:val="%8"/>
      <w:lvlJc w:val="left"/>
      <w:pPr>
        <w:ind w:left="5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67A37FE">
      <w:start w:val="1"/>
      <w:numFmt w:val="lowerRoman"/>
      <w:lvlText w:val="%9"/>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289350CA"/>
    <w:multiLevelType w:val="hybridMultilevel"/>
    <w:tmpl w:val="152A36F2"/>
    <w:lvl w:ilvl="0" w:tplc="4EA463AC">
      <w:start w:val="2"/>
      <w:numFmt w:val="lowerLetter"/>
      <w:lvlText w:val="%1)"/>
      <w:lvlJc w:val="left"/>
      <w:pPr>
        <w:ind w:left="60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441086C8">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8469A3C">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D2E57F0">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D743DAC">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7A5EC7F0">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C8C0E842">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26E4B72">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3AE915A">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298D4694"/>
    <w:multiLevelType w:val="hybridMultilevel"/>
    <w:tmpl w:val="A94C72F6"/>
    <w:lvl w:ilvl="0" w:tplc="B2E698E8">
      <w:start w:val="2"/>
      <w:numFmt w:val="decimal"/>
      <w:lvlText w:val="%1."/>
      <w:lvlJc w:val="left"/>
      <w:pPr>
        <w:ind w:left="10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58DCFA">
      <w:start w:val="1"/>
      <w:numFmt w:val="lowerLetter"/>
      <w:lvlText w:val="%2"/>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9F01B62">
      <w:start w:val="1"/>
      <w:numFmt w:val="lowerRoman"/>
      <w:lvlText w:val="%3"/>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634E258">
      <w:start w:val="1"/>
      <w:numFmt w:val="decimal"/>
      <w:lvlText w:val="%4"/>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20630C">
      <w:start w:val="1"/>
      <w:numFmt w:val="lowerLetter"/>
      <w:lvlText w:val="%5"/>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146C792">
      <w:start w:val="1"/>
      <w:numFmt w:val="lowerRoman"/>
      <w:lvlText w:val="%6"/>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27CEF86">
      <w:start w:val="1"/>
      <w:numFmt w:val="decimal"/>
      <w:lvlText w:val="%7"/>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1896D6">
      <w:start w:val="1"/>
      <w:numFmt w:val="lowerLetter"/>
      <w:lvlText w:val="%8"/>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28915C">
      <w:start w:val="1"/>
      <w:numFmt w:val="lowerRoman"/>
      <w:lvlText w:val="%9"/>
      <w:lvlJc w:val="left"/>
      <w:pPr>
        <w:ind w:left="6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29CA7008"/>
    <w:multiLevelType w:val="hybridMultilevel"/>
    <w:tmpl w:val="8312DD1C"/>
    <w:lvl w:ilvl="0" w:tplc="2788E0C6">
      <w:start w:val="1"/>
      <w:numFmt w:val="upperRoman"/>
      <w:lvlText w:val="%1."/>
      <w:lvlJc w:val="left"/>
      <w:pPr>
        <w:ind w:left="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A47F5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2B0F85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E5E665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ECB11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198645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4B2890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3E6CB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4E9C3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29CE7461"/>
    <w:multiLevelType w:val="hybridMultilevel"/>
    <w:tmpl w:val="20DA998C"/>
    <w:lvl w:ilvl="0" w:tplc="F4EA3CF8">
      <w:start w:val="1"/>
      <w:numFmt w:val="bullet"/>
      <w:lvlText w:val="*"/>
      <w:lvlJc w:val="left"/>
      <w:pPr>
        <w:ind w:left="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86053E">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4EA902C">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DF434A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C0AF3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7464462">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BAE267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2483A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F16E7E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2A3209CC"/>
    <w:multiLevelType w:val="hybridMultilevel"/>
    <w:tmpl w:val="2B500D5C"/>
    <w:lvl w:ilvl="0" w:tplc="080E809E">
      <w:start w:val="4"/>
      <w:numFmt w:val="lowerLetter"/>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CA8328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5E8F76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F88D2A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86E9F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000FA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E16947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1E167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750E83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2ADD2628"/>
    <w:multiLevelType w:val="hybridMultilevel"/>
    <w:tmpl w:val="1908D1A8"/>
    <w:lvl w:ilvl="0" w:tplc="C89A38B2">
      <w:start w:val="2"/>
      <w:numFmt w:val="upperLetter"/>
      <w:lvlText w:val="%1)"/>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8B6047D6">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2D0C7478">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C3ECEEF2">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7246853C">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B59CD6BE">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F7448BA0">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DA0A5E24">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724E230">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2CD3488D"/>
    <w:multiLevelType w:val="hybridMultilevel"/>
    <w:tmpl w:val="1444E2F6"/>
    <w:lvl w:ilvl="0" w:tplc="972C0B54">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4E4E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7AA5BF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EB4076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88906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020F02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898510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1CE09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87001F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2D8D3B3E"/>
    <w:multiLevelType w:val="hybridMultilevel"/>
    <w:tmpl w:val="E77645D8"/>
    <w:lvl w:ilvl="0" w:tplc="F5EC1A2E">
      <w:start w:val="4"/>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A0762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FD6CCE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EA02BE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5A21E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FFE991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CD0EFF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402DAF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1AA1EA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2DE7210B"/>
    <w:multiLevelType w:val="hybridMultilevel"/>
    <w:tmpl w:val="B6D6BD9C"/>
    <w:lvl w:ilvl="0" w:tplc="A99C70CE">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D098B0">
      <w:start w:val="3"/>
      <w:numFmt w:val="lowerLetter"/>
      <w:lvlText w:val="%2)"/>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6284B08">
      <w:start w:val="1"/>
      <w:numFmt w:val="lowerRoman"/>
      <w:lvlText w:val="%3"/>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052B6F4">
      <w:start w:val="1"/>
      <w:numFmt w:val="decimal"/>
      <w:lvlText w:val="%4"/>
      <w:lvlJc w:val="left"/>
      <w:pPr>
        <w:ind w:left="2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924F72">
      <w:start w:val="1"/>
      <w:numFmt w:val="lowerLetter"/>
      <w:lvlText w:val="%5"/>
      <w:lvlJc w:val="left"/>
      <w:pPr>
        <w:ind w:left="2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696B8D8">
      <w:start w:val="1"/>
      <w:numFmt w:val="lowerRoman"/>
      <w:lvlText w:val="%6"/>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698D708">
      <w:start w:val="1"/>
      <w:numFmt w:val="decimal"/>
      <w:lvlText w:val="%7"/>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B6CF4A">
      <w:start w:val="1"/>
      <w:numFmt w:val="lowerLetter"/>
      <w:lvlText w:val="%8"/>
      <w:lvlJc w:val="left"/>
      <w:pPr>
        <w:ind w:left="5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7ECFB3A">
      <w:start w:val="1"/>
      <w:numFmt w:val="lowerRoman"/>
      <w:lvlText w:val="%9"/>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2EB16878"/>
    <w:multiLevelType w:val="hybridMultilevel"/>
    <w:tmpl w:val="2D9661D4"/>
    <w:lvl w:ilvl="0" w:tplc="6B9CD0EE">
      <w:start w:val="7"/>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8E29FE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046714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0940E1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E6B81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65A5D0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FC2F3E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28CD3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56251D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2FA7535D"/>
    <w:multiLevelType w:val="hybridMultilevel"/>
    <w:tmpl w:val="CFCA215C"/>
    <w:lvl w:ilvl="0" w:tplc="17B847B0">
      <w:start w:val="17"/>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1EFF3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0DA619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7BE461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1E3A0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9943B8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C78DD3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A6632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306965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31275B18"/>
    <w:multiLevelType w:val="hybridMultilevel"/>
    <w:tmpl w:val="FF12011A"/>
    <w:lvl w:ilvl="0" w:tplc="9FDAD556">
      <w:start w:val="4"/>
      <w:numFmt w:val="decimal"/>
      <w:lvlText w:val="%1."/>
      <w:lvlJc w:val="left"/>
      <w:pPr>
        <w:ind w:left="6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2AE47D2">
      <w:start w:val="1"/>
      <w:numFmt w:val="lowerLetter"/>
      <w:lvlText w:val="%2"/>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CDF6D5EA">
      <w:start w:val="1"/>
      <w:numFmt w:val="lowerRoman"/>
      <w:lvlText w:val="%3"/>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069042BA">
      <w:start w:val="1"/>
      <w:numFmt w:val="decimal"/>
      <w:lvlText w:val="%4"/>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EE60688">
      <w:start w:val="1"/>
      <w:numFmt w:val="lowerLetter"/>
      <w:lvlText w:val="%5"/>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E17CE26E">
      <w:start w:val="1"/>
      <w:numFmt w:val="lowerRoman"/>
      <w:lvlText w:val="%6"/>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5596C21C">
      <w:start w:val="1"/>
      <w:numFmt w:val="decimal"/>
      <w:lvlText w:val="%7"/>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4D43192">
      <w:start w:val="1"/>
      <w:numFmt w:val="lowerLetter"/>
      <w:lvlText w:val="%8"/>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0D9A51B8">
      <w:start w:val="1"/>
      <w:numFmt w:val="lowerRoman"/>
      <w:lvlText w:val="%9"/>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31827C1A"/>
    <w:multiLevelType w:val="hybridMultilevel"/>
    <w:tmpl w:val="8EC235E8"/>
    <w:lvl w:ilvl="0" w:tplc="87BA7E3E">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30144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78F53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1C8900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1E7F1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C6077E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C6E010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BAD3C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190F8B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31A01528"/>
    <w:multiLevelType w:val="hybridMultilevel"/>
    <w:tmpl w:val="C608D46E"/>
    <w:lvl w:ilvl="0" w:tplc="209C63D2">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702B1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8387C3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EDC5A0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FA17B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FA2DA6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EAEA48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A8B99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8CE377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32941156"/>
    <w:multiLevelType w:val="hybridMultilevel"/>
    <w:tmpl w:val="78E676B8"/>
    <w:lvl w:ilvl="0" w:tplc="D21C09D2">
      <w:start w:val="2"/>
      <w:numFmt w:val="lowerLetter"/>
      <w:lvlText w:val="%1)"/>
      <w:lvlJc w:val="left"/>
      <w:pPr>
        <w:ind w:left="25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37FE9328">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3388716">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B7002E5E">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342A550">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5EAA07E0">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47C6CAE">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154E118">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514A1D8">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32A1136D"/>
    <w:multiLevelType w:val="hybridMultilevel"/>
    <w:tmpl w:val="C53C363C"/>
    <w:lvl w:ilvl="0" w:tplc="E2A6AAEA">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83EF43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FA42FA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AAC91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64076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E56519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5427F4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4C3C1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6843D2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32D023B4"/>
    <w:multiLevelType w:val="hybridMultilevel"/>
    <w:tmpl w:val="D1DC8D96"/>
    <w:lvl w:ilvl="0" w:tplc="19508514">
      <w:start w:val="1"/>
      <w:numFmt w:val="decimal"/>
      <w:lvlText w:val="%1."/>
      <w:lvlJc w:val="left"/>
      <w:pPr>
        <w:ind w:left="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FE862E">
      <w:start w:val="16"/>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FA8E016">
      <w:start w:val="1"/>
      <w:numFmt w:val="lowerRoman"/>
      <w:lvlText w:val="%3"/>
      <w:lvlJc w:val="left"/>
      <w:pPr>
        <w:ind w:left="11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0704574">
      <w:start w:val="1"/>
      <w:numFmt w:val="decimal"/>
      <w:lvlText w:val="%4"/>
      <w:lvlJc w:val="left"/>
      <w:pPr>
        <w:ind w:left="18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804E92">
      <w:start w:val="1"/>
      <w:numFmt w:val="lowerLetter"/>
      <w:lvlText w:val="%5"/>
      <w:lvlJc w:val="left"/>
      <w:pPr>
        <w:ind w:left="25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C407FEA">
      <w:start w:val="1"/>
      <w:numFmt w:val="lowerRoman"/>
      <w:lvlText w:val="%6"/>
      <w:lvlJc w:val="left"/>
      <w:pPr>
        <w:ind w:left="33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3E02420">
      <w:start w:val="1"/>
      <w:numFmt w:val="decimal"/>
      <w:lvlText w:val="%7"/>
      <w:lvlJc w:val="left"/>
      <w:pPr>
        <w:ind w:left="40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E8CE76">
      <w:start w:val="1"/>
      <w:numFmt w:val="lowerLetter"/>
      <w:lvlText w:val="%8"/>
      <w:lvlJc w:val="left"/>
      <w:pPr>
        <w:ind w:left="47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9026AC4">
      <w:start w:val="1"/>
      <w:numFmt w:val="lowerRoman"/>
      <w:lvlText w:val="%9"/>
      <w:lvlJc w:val="left"/>
      <w:pPr>
        <w:ind w:left="54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33132520"/>
    <w:multiLevelType w:val="hybridMultilevel"/>
    <w:tmpl w:val="EC4CB73E"/>
    <w:lvl w:ilvl="0" w:tplc="42ECA58A">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D2C7AB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27AA4B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F98916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9C655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E50CC1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22439A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3C729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7CF17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333A70AE"/>
    <w:multiLevelType w:val="hybridMultilevel"/>
    <w:tmpl w:val="2D28D83C"/>
    <w:lvl w:ilvl="0" w:tplc="16343418">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76152A">
      <w:start w:val="4"/>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5AAB68">
      <w:start w:val="1"/>
      <w:numFmt w:val="lowerRoman"/>
      <w:lvlText w:val="%3"/>
      <w:lvlJc w:val="left"/>
      <w:pPr>
        <w:ind w:left="1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23EC404">
      <w:start w:val="1"/>
      <w:numFmt w:val="decimal"/>
      <w:lvlText w:val="%4"/>
      <w:lvlJc w:val="left"/>
      <w:pPr>
        <w:ind w:left="2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2E9040">
      <w:start w:val="1"/>
      <w:numFmt w:val="lowerLetter"/>
      <w:lvlText w:val="%5"/>
      <w:lvlJc w:val="left"/>
      <w:pPr>
        <w:ind w:left="2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5A86404">
      <w:start w:val="1"/>
      <w:numFmt w:val="lowerRoman"/>
      <w:lvlText w:val="%6"/>
      <w:lvlJc w:val="left"/>
      <w:pPr>
        <w:ind w:left="35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51439BC">
      <w:start w:val="1"/>
      <w:numFmt w:val="decimal"/>
      <w:lvlText w:val="%7"/>
      <w:lvlJc w:val="left"/>
      <w:pPr>
        <w:ind w:left="42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50E834">
      <w:start w:val="1"/>
      <w:numFmt w:val="lowerLetter"/>
      <w:lvlText w:val="%8"/>
      <w:lvlJc w:val="left"/>
      <w:pPr>
        <w:ind w:left="49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CB27742">
      <w:start w:val="1"/>
      <w:numFmt w:val="lowerRoman"/>
      <w:lvlText w:val="%9"/>
      <w:lvlJc w:val="left"/>
      <w:pPr>
        <w:ind w:left="5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336E3FFC"/>
    <w:multiLevelType w:val="hybridMultilevel"/>
    <w:tmpl w:val="C80C1E6C"/>
    <w:lvl w:ilvl="0" w:tplc="62EC8E66">
      <w:start w:val="1"/>
      <w:numFmt w:val="upperLetter"/>
      <w:lvlText w:val="%1)"/>
      <w:lvlJc w:val="left"/>
      <w:pPr>
        <w:ind w:left="1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B065A6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2A8F23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6F2EEF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F00C2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980DBB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682A3D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3E62A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750740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33DB0492"/>
    <w:multiLevelType w:val="hybridMultilevel"/>
    <w:tmpl w:val="2A206E20"/>
    <w:lvl w:ilvl="0" w:tplc="4D24AE3E">
      <w:start w:val="1"/>
      <w:numFmt w:val="bullet"/>
      <w:lvlText w:val="-"/>
      <w:lvlJc w:val="left"/>
      <w:pPr>
        <w:ind w:left="4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60ECB6">
      <w:start w:val="1"/>
      <w:numFmt w:val="bullet"/>
      <w:lvlText w:val="o"/>
      <w:lvlJc w:val="left"/>
      <w:pPr>
        <w:ind w:left="10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56A52F6">
      <w:start w:val="1"/>
      <w:numFmt w:val="bullet"/>
      <w:lvlText w:val="▪"/>
      <w:lvlJc w:val="left"/>
      <w:pPr>
        <w:ind w:left="1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EA84B18">
      <w:start w:val="1"/>
      <w:numFmt w:val="bullet"/>
      <w:lvlText w:val="•"/>
      <w:lvlJc w:val="left"/>
      <w:pPr>
        <w:ind w:left="25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66A257A">
      <w:start w:val="1"/>
      <w:numFmt w:val="bullet"/>
      <w:lvlText w:val="o"/>
      <w:lvlJc w:val="left"/>
      <w:pPr>
        <w:ind w:left="32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BAAF3C">
      <w:start w:val="1"/>
      <w:numFmt w:val="bullet"/>
      <w:lvlText w:val="▪"/>
      <w:lvlJc w:val="left"/>
      <w:pPr>
        <w:ind w:left="39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C12E402">
      <w:start w:val="1"/>
      <w:numFmt w:val="bullet"/>
      <w:lvlText w:val="•"/>
      <w:lvlJc w:val="left"/>
      <w:pPr>
        <w:ind w:left="46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360CA8">
      <w:start w:val="1"/>
      <w:numFmt w:val="bullet"/>
      <w:lvlText w:val="o"/>
      <w:lvlJc w:val="left"/>
      <w:pPr>
        <w:ind w:left="54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C46EE10">
      <w:start w:val="1"/>
      <w:numFmt w:val="bullet"/>
      <w:lvlText w:val="▪"/>
      <w:lvlJc w:val="left"/>
      <w:pPr>
        <w:ind w:left="61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34556657"/>
    <w:multiLevelType w:val="hybridMultilevel"/>
    <w:tmpl w:val="ED00CFEC"/>
    <w:lvl w:ilvl="0" w:tplc="3A2899A6">
      <w:start w:val="1"/>
      <w:numFmt w:val="lowerLetter"/>
      <w:lvlText w:val="%1."/>
      <w:lvlJc w:val="left"/>
      <w:pPr>
        <w:ind w:left="604"/>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EAF45920">
      <w:start w:val="1"/>
      <w:numFmt w:val="lowerLetter"/>
      <w:lvlText w:val="%2"/>
      <w:lvlJc w:val="left"/>
      <w:pPr>
        <w:ind w:left="1096"/>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73086822">
      <w:start w:val="1"/>
      <w:numFmt w:val="lowerRoman"/>
      <w:lvlText w:val="%3"/>
      <w:lvlJc w:val="left"/>
      <w:pPr>
        <w:ind w:left="1816"/>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687A870A">
      <w:start w:val="1"/>
      <w:numFmt w:val="decimal"/>
      <w:lvlText w:val="%4"/>
      <w:lvlJc w:val="left"/>
      <w:pPr>
        <w:ind w:left="2536"/>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F53C893E">
      <w:start w:val="1"/>
      <w:numFmt w:val="lowerLetter"/>
      <w:lvlText w:val="%5"/>
      <w:lvlJc w:val="left"/>
      <w:pPr>
        <w:ind w:left="3256"/>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BAC23B16">
      <w:start w:val="1"/>
      <w:numFmt w:val="lowerRoman"/>
      <w:lvlText w:val="%6"/>
      <w:lvlJc w:val="left"/>
      <w:pPr>
        <w:ind w:left="3976"/>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1EAAE200">
      <w:start w:val="1"/>
      <w:numFmt w:val="decimal"/>
      <w:lvlText w:val="%7"/>
      <w:lvlJc w:val="left"/>
      <w:pPr>
        <w:ind w:left="4696"/>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96A0EF82">
      <w:start w:val="1"/>
      <w:numFmt w:val="lowerLetter"/>
      <w:lvlText w:val="%8"/>
      <w:lvlJc w:val="left"/>
      <w:pPr>
        <w:ind w:left="5416"/>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D78CB184">
      <w:start w:val="1"/>
      <w:numFmt w:val="lowerRoman"/>
      <w:lvlText w:val="%9"/>
      <w:lvlJc w:val="left"/>
      <w:pPr>
        <w:ind w:left="6136"/>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354E38D9"/>
    <w:multiLevelType w:val="hybridMultilevel"/>
    <w:tmpl w:val="2710EA98"/>
    <w:lvl w:ilvl="0" w:tplc="82E88D26">
      <w:start w:val="4"/>
      <w:numFmt w:val="decimal"/>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8087E08">
      <w:start w:val="3"/>
      <w:numFmt w:val="lowerLetter"/>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BE6E546">
      <w:start w:val="1"/>
      <w:numFmt w:val="lowerRoman"/>
      <w:lvlText w:val="%3"/>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B16EE6C">
      <w:start w:val="1"/>
      <w:numFmt w:val="decimal"/>
      <w:lvlText w:val="%4"/>
      <w:lvlJc w:val="left"/>
      <w:pPr>
        <w:ind w:left="2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2E0BF8">
      <w:start w:val="1"/>
      <w:numFmt w:val="lowerLetter"/>
      <w:lvlText w:val="%5"/>
      <w:lvlJc w:val="left"/>
      <w:pPr>
        <w:ind w:left="2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3EE0586">
      <w:start w:val="1"/>
      <w:numFmt w:val="lowerRoman"/>
      <w:lvlText w:val="%6"/>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BA668F2">
      <w:start w:val="1"/>
      <w:numFmt w:val="decimal"/>
      <w:lvlText w:val="%7"/>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6AD6AA">
      <w:start w:val="1"/>
      <w:numFmt w:val="lowerLetter"/>
      <w:lvlText w:val="%8"/>
      <w:lvlJc w:val="left"/>
      <w:pPr>
        <w:ind w:left="5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1AE2420">
      <w:start w:val="1"/>
      <w:numFmt w:val="lowerRoman"/>
      <w:lvlText w:val="%9"/>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378C26FE"/>
    <w:multiLevelType w:val="hybridMultilevel"/>
    <w:tmpl w:val="15E68002"/>
    <w:lvl w:ilvl="0" w:tplc="411AF020">
      <w:start w:val="4"/>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1425D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264921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212E0D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AAC74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12CDA6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DAC492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6C04D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75C7F7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38141EFC"/>
    <w:multiLevelType w:val="hybridMultilevel"/>
    <w:tmpl w:val="CD6883F0"/>
    <w:lvl w:ilvl="0" w:tplc="F67A3A72">
      <w:start w:val="1"/>
      <w:numFmt w:val="decimal"/>
      <w:lvlText w:val="%1."/>
      <w:lvlJc w:val="left"/>
      <w:pPr>
        <w:ind w:left="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EA6CD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F3A027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9DCA3E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5242F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84E87C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33C04C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B4EC4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338B32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387767B5"/>
    <w:multiLevelType w:val="hybridMultilevel"/>
    <w:tmpl w:val="CB32E536"/>
    <w:lvl w:ilvl="0" w:tplc="E3FAAF68">
      <w:start w:val="7"/>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44E44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860CE1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8FEB6C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3C1B8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AC4FF7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3048C0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6E9E7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C988D9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38850370"/>
    <w:multiLevelType w:val="hybridMultilevel"/>
    <w:tmpl w:val="0E3A4420"/>
    <w:lvl w:ilvl="0" w:tplc="EA8A6784">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B659C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61E005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BBA351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EA71D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822F68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10C8DA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4EB76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D82772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390C34D0"/>
    <w:multiLevelType w:val="hybridMultilevel"/>
    <w:tmpl w:val="B5A28CB0"/>
    <w:lvl w:ilvl="0" w:tplc="C35049BE">
      <w:start w:val="1"/>
      <w:numFmt w:val="lowerLetter"/>
      <w:lvlText w:val="%1)"/>
      <w:lvlJc w:val="left"/>
      <w:pPr>
        <w:ind w:left="60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3101A86">
      <w:start w:val="1"/>
      <w:numFmt w:val="lowerLetter"/>
      <w:lvlText w:val="%2"/>
      <w:lvlJc w:val="left"/>
      <w:pPr>
        <w:ind w:left="109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C2AF03A">
      <w:start w:val="1"/>
      <w:numFmt w:val="lowerRoman"/>
      <w:lvlText w:val="%3"/>
      <w:lvlJc w:val="left"/>
      <w:pPr>
        <w:ind w:left="181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B4EC4CA">
      <w:start w:val="1"/>
      <w:numFmt w:val="decimal"/>
      <w:lvlText w:val="%4"/>
      <w:lvlJc w:val="left"/>
      <w:pPr>
        <w:ind w:left="25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6389BC4">
      <w:start w:val="1"/>
      <w:numFmt w:val="lowerLetter"/>
      <w:lvlText w:val="%5"/>
      <w:lvlJc w:val="left"/>
      <w:pPr>
        <w:ind w:left="325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29DAD854">
      <w:start w:val="1"/>
      <w:numFmt w:val="lowerRoman"/>
      <w:lvlText w:val="%6"/>
      <w:lvlJc w:val="left"/>
      <w:pPr>
        <w:ind w:left="397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630F47E">
      <w:start w:val="1"/>
      <w:numFmt w:val="decimal"/>
      <w:lvlText w:val="%7"/>
      <w:lvlJc w:val="left"/>
      <w:pPr>
        <w:ind w:left="469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4B14B35C">
      <w:start w:val="1"/>
      <w:numFmt w:val="lowerLetter"/>
      <w:lvlText w:val="%8"/>
      <w:lvlJc w:val="left"/>
      <w:pPr>
        <w:ind w:left="541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5FC2FDA">
      <w:start w:val="1"/>
      <w:numFmt w:val="lowerRoman"/>
      <w:lvlText w:val="%9"/>
      <w:lvlJc w:val="left"/>
      <w:pPr>
        <w:ind w:left="6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390F412B"/>
    <w:multiLevelType w:val="hybridMultilevel"/>
    <w:tmpl w:val="B1F45CEE"/>
    <w:lvl w:ilvl="0" w:tplc="AF60A042">
      <w:start w:val="1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BDCB3B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EE20B7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B604E4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4207DD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8DC93C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71E708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18D4D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FB4A50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39C87CC2"/>
    <w:multiLevelType w:val="hybridMultilevel"/>
    <w:tmpl w:val="D87C9EB4"/>
    <w:lvl w:ilvl="0" w:tplc="FB98BC52">
      <w:start w:val="15"/>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BEF63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704100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65482E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1A1F5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D162DC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E6CC35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4E3EF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8C47C1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3A620F40"/>
    <w:multiLevelType w:val="hybridMultilevel"/>
    <w:tmpl w:val="8828EC16"/>
    <w:lvl w:ilvl="0" w:tplc="ADF88D7C">
      <w:start w:val="9"/>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E1ACC8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3E6E24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342F27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1E24A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BDE006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F5EDB2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8085E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6F6CB3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9" w15:restartNumberingAfterBreak="0">
    <w:nsid w:val="3A867657"/>
    <w:multiLevelType w:val="hybridMultilevel"/>
    <w:tmpl w:val="8E96ABD8"/>
    <w:lvl w:ilvl="0" w:tplc="000E9B5C">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8C90B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DD8073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B2E2D4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7C409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4F0D1D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3A28FB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B41CE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D40CEB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3ACB4C1D"/>
    <w:multiLevelType w:val="hybridMultilevel"/>
    <w:tmpl w:val="716004F6"/>
    <w:lvl w:ilvl="0" w:tplc="B1EA114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DAC8E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ED8CE06">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ABA15E6">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442874">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20E8798">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664667C">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E4D97E">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4BC603C">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3C606028"/>
    <w:multiLevelType w:val="hybridMultilevel"/>
    <w:tmpl w:val="59B2914A"/>
    <w:lvl w:ilvl="0" w:tplc="34667F6C">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53657C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1A6CD7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2EC0EE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A42CF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038D7F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B36138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7E608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9662C6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3D150F93"/>
    <w:multiLevelType w:val="hybridMultilevel"/>
    <w:tmpl w:val="7EDC34C0"/>
    <w:lvl w:ilvl="0" w:tplc="F1F6F3A4">
      <w:start w:val="9"/>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508C5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05A7C0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7D43D6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F2819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5F2579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80888D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B24DE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412968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3D22062C"/>
    <w:multiLevelType w:val="hybridMultilevel"/>
    <w:tmpl w:val="DE9C820A"/>
    <w:lvl w:ilvl="0" w:tplc="1F34739E">
      <w:start w:val="1"/>
      <w:numFmt w:val="bullet"/>
      <w:lvlText w:val="•"/>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E4730E">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CD24422">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4FC57E8">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92AF54">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1E747C">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18A9E7A">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C8C75D0">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F905614">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4" w15:restartNumberingAfterBreak="0">
    <w:nsid w:val="3D291A6A"/>
    <w:multiLevelType w:val="hybridMultilevel"/>
    <w:tmpl w:val="102E07EC"/>
    <w:lvl w:ilvl="0" w:tplc="551A4614">
      <w:start w:val="5"/>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E0895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209F1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454239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80D77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EFA47B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6AA70C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58BB4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82C09D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3E477D67"/>
    <w:multiLevelType w:val="hybridMultilevel"/>
    <w:tmpl w:val="68C84ACE"/>
    <w:lvl w:ilvl="0" w:tplc="3E4E92C6">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E2FA7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C6C1C9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2F4EA7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9A728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4BED9A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700F9B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2A388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92EE1E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6" w15:restartNumberingAfterBreak="0">
    <w:nsid w:val="3F7D5460"/>
    <w:multiLevelType w:val="hybridMultilevel"/>
    <w:tmpl w:val="65C470B0"/>
    <w:lvl w:ilvl="0" w:tplc="76C272B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A422026">
      <w:start w:val="34"/>
      <w:numFmt w:val="lowerLetter"/>
      <w:lvlText w:val="%2)"/>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C0234CC">
      <w:start w:val="1"/>
      <w:numFmt w:val="lowerRoman"/>
      <w:lvlText w:val="%3"/>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1DC5C96">
      <w:start w:val="1"/>
      <w:numFmt w:val="decimal"/>
      <w:lvlText w:val="%4"/>
      <w:lvlJc w:val="left"/>
      <w:pPr>
        <w:ind w:left="2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BE9460">
      <w:start w:val="1"/>
      <w:numFmt w:val="lowerLetter"/>
      <w:lvlText w:val="%5"/>
      <w:lvlJc w:val="left"/>
      <w:pPr>
        <w:ind w:left="2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282B2BA">
      <w:start w:val="1"/>
      <w:numFmt w:val="lowerRoman"/>
      <w:lvlText w:val="%6"/>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55EC5B6">
      <w:start w:val="1"/>
      <w:numFmt w:val="decimal"/>
      <w:lvlText w:val="%7"/>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7444CA">
      <w:start w:val="1"/>
      <w:numFmt w:val="lowerLetter"/>
      <w:lvlText w:val="%8"/>
      <w:lvlJc w:val="left"/>
      <w:pPr>
        <w:ind w:left="5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1E644A0">
      <w:start w:val="1"/>
      <w:numFmt w:val="lowerRoman"/>
      <w:lvlText w:val="%9"/>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7" w15:restartNumberingAfterBreak="0">
    <w:nsid w:val="3FBD060D"/>
    <w:multiLevelType w:val="hybridMultilevel"/>
    <w:tmpl w:val="A7BA2EFC"/>
    <w:lvl w:ilvl="0" w:tplc="CFBA927E">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F21D7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AB6743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1247C5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D8D28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02A9AD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8B67C0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98FE5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DE40BC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8" w15:restartNumberingAfterBreak="0">
    <w:nsid w:val="3FDE74A9"/>
    <w:multiLevelType w:val="hybridMultilevel"/>
    <w:tmpl w:val="6BFC3B1A"/>
    <w:lvl w:ilvl="0" w:tplc="E7CE4E56">
      <w:start w:val="15"/>
      <w:numFmt w:val="decimal"/>
      <w:lvlText w:val="%1."/>
      <w:lvlJc w:val="left"/>
      <w:pPr>
        <w:ind w:left="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A4482EA">
      <w:start w:val="1"/>
      <w:numFmt w:val="lowerLetter"/>
      <w:lvlText w:val="%2"/>
      <w:lvlJc w:val="left"/>
      <w:pPr>
        <w:ind w:left="12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48CA576">
      <w:start w:val="1"/>
      <w:numFmt w:val="lowerRoman"/>
      <w:lvlText w:val="%3"/>
      <w:lvlJc w:val="left"/>
      <w:pPr>
        <w:ind w:left="19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8BC3A82">
      <w:start w:val="1"/>
      <w:numFmt w:val="decimal"/>
      <w:lvlText w:val="%4"/>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82B78A">
      <w:start w:val="1"/>
      <w:numFmt w:val="lowerLetter"/>
      <w:lvlText w:val="%5"/>
      <w:lvlJc w:val="left"/>
      <w:pPr>
        <w:ind w:left="33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EF2FF16">
      <w:start w:val="1"/>
      <w:numFmt w:val="lowerRoman"/>
      <w:lvlText w:val="%6"/>
      <w:lvlJc w:val="left"/>
      <w:pPr>
        <w:ind w:left="41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21AE220">
      <w:start w:val="1"/>
      <w:numFmt w:val="decimal"/>
      <w:lvlText w:val="%7"/>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E4677A">
      <w:start w:val="1"/>
      <w:numFmt w:val="lowerLetter"/>
      <w:lvlText w:val="%8"/>
      <w:lvlJc w:val="left"/>
      <w:pPr>
        <w:ind w:left="55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FD8A314">
      <w:start w:val="1"/>
      <w:numFmt w:val="lowerRoman"/>
      <w:lvlText w:val="%9"/>
      <w:lvlJc w:val="left"/>
      <w:pPr>
        <w:ind w:left="62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412B4724"/>
    <w:multiLevelType w:val="hybridMultilevel"/>
    <w:tmpl w:val="D376CB70"/>
    <w:lvl w:ilvl="0" w:tplc="FFF86DAE">
      <w:start w:val="1"/>
      <w:numFmt w:val="lowerLetter"/>
      <w:lvlText w:val="%1)"/>
      <w:lvlJc w:val="left"/>
      <w:pPr>
        <w:ind w:left="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4E229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48B2A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FC44A9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F36E81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9C4CE5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10A3A4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FCF72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61AB7A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0" w15:restartNumberingAfterBreak="0">
    <w:nsid w:val="413A1B9B"/>
    <w:multiLevelType w:val="hybridMultilevel"/>
    <w:tmpl w:val="5F2A4524"/>
    <w:lvl w:ilvl="0" w:tplc="D23A8202">
      <w:start w:val="5"/>
      <w:numFmt w:val="lowerLetter"/>
      <w:lvlText w:val="%1)"/>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14EC90">
      <w:start w:val="1"/>
      <w:numFmt w:val="lowerLetter"/>
      <w:lvlText w:val="%2"/>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3BADE5E">
      <w:start w:val="1"/>
      <w:numFmt w:val="lowerRoman"/>
      <w:lvlText w:val="%3"/>
      <w:lvlJc w:val="left"/>
      <w:pPr>
        <w:ind w:left="2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AA8873E">
      <w:start w:val="1"/>
      <w:numFmt w:val="decimal"/>
      <w:lvlText w:val="%4"/>
      <w:lvlJc w:val="left"/>
      <w:pPr>
        <w:ind w:left="2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E07D58">
      <w:start w:val="1"/>
      <w:numFmt w:val="lowerLetter"/>
      <w:lvlText w:val="%5"/>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BC68D44">
      <w:start w:val="1"/>
      <w:numFmt w:val="lowerRoman"/>
      <w:lvlText w:val="%6"/>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070E2C8">
      <w:start w:val="1"/>
      <w:numFmt w:val="decimal"/>
      <w:lvlText w:val="%7"/>
      <w:lvlJc w:val="left"/>
      <w:pPr>
        <w:ind w:left="5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94AB58">
      <w:start w:val="1"/>
      <w:numFmt w:val="lowerLetter"/>
      <w:lvlText w:val="%8"/>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0500DFA">
      <w:start w:val="1"/>
      <w:numFmt w:val="lowerRoman"/>
      <w:lvlText w:val="%9"/>
      <w:lvlJc w:val="left"/>
      <w:pPr>
        <w:ind w:left="6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1" w15:restartNumberingAfterBreak="0">
    <w:nsid w:val="41E35950"/>
    <w:multiLevelType w:val="hybridMultilevel"/>
    <w:tmpl w:val="35AA2238"/>
    <w:lvl w:ilvl="0" w:tplc="2A66E294">
      <w:start w:val="1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1C39D6">
      <w:start w:val="5"/>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E0A9AF6">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5E8630">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087DF4">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A06E71A">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0A88310">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FD2D86E">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09893C6">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2" w15:restartNumberingAfterBreak="0">
    <w:nsid w:val="42B302F9"/>
    <w:multiLevelType w:val="hybridMultilevel"/>
    <w:tmpl w:val="921601F4"/>
    <w:lvl w:ilvl="0" w:tplc="33A23BF2">
      <w:start w:val="5"/>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16505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7BA9FD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03EB01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AA5E9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E3A3F6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9BEB11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840B99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5E4B55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3" w15:restartNumberingAfterBreak="0">
    <w:nsid w:val="42DD5FB3"/>
    <w:multiLevelType w:val="hybridMultilevel"/>
    <w:tmpl w:val="238E8262"/>
    <w:lvl w:ilvl="0" w:tplc="7A78E73C">
      <w:start w:val="1"/>
      <w:numFmt w:val="lowerLetter"/>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F840E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000CE5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6C86E1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44657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B24CFF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33A8D1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0A4BE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F46070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4" w15:restartNumberingAfterBreak="0">
    <w:nsid w:val="441B6F90"/>
    <w:multiLevelType w:val="hybridMultilevel"/>
    <w:tmpl w:val="747C2E54"/>
    <w:lvl w:ilvl="0" w:tplc="CBD06144">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7C9CD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F4EBCA0">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CC8502E">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3CEC5C">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A283C8">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1C2A666">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2D452DA">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D361468">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5" w15:restartNumberingAfterBreak="0">
    <w:nsid w:val="44E24E42"/>
    <w:multiLevelType w:val="hybridMultilevel"/>
    <w:tmpl w:val="E12CDC9A"/>
    <w:lvl w:ilvl="0" w:tplc="834ED10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AE253E">
      <w:start w:val="1"/>
      <w:numFmt w:val="lowerLetter"/>
      <w:lvlText w:val="%2"/>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402B892">
      <w:start w:val="1"/>
      <w:numFmt w:val="lowerLetter"/>
      <w:lvlRestart w:val="0"/>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B2CD230">
      <w:start w:val="1"/>
      <w:numFmt w:val="decimal"/>
      <w:lvlText w:val="%4"/>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18EBA1E">
      <w:start w:val="1"/>
      <w:numFmt w:val="lowerLetter"/>
      <w:lvlText w:val="%5"/>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CAC4830">
      <w:start w:val="1"/>
      <w:numFmt w:val="lowerRoman"/>
      <w:lvlText w:val="%6"/>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9D0D578">
      <w:start w:val="1"/>
      <w:numFmt w:val="decimal"/>
      <w:lvlText w:val="%7"/>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08AAEC">
      <w:start w:val="1"/>
      <w:numFmt w:val="lowerLetter"/>
      <w:lvlText w:val="%8"/>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D9E67B0">
      <w:start w:val="1"/>
      <w:numFmt w:val="lowerRoman"/>
      <w:lvlText w:val="%9"/>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6" w15:restartNumberingAfterBreak="0">
    <w:nsid w:val="455213B5"/>
    <w:multiLevelType w:val="hybridMultilevel"/>
    <w:tmpl w:val="5BBC8D02"/>
    <w:lvl w:ilvl="0" w:tplc="08061608">
      <w:start w:val="1"/>
      <w:numFmt w:val="decimal"/>
      <w:lvlText w:val="%1."/>
      <w:lvlJc w:val="left"/>
      <w:pPr>
        <w:ind w:left="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6D402F8">
      <w:start w:val="19"/>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FB0372A">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5D0C77E">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C76ADC8">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3443EE6">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B0E8348">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D27C42">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960A768">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7" w15:restartNumberingAfterBreak="0">
    <w:nsid w:val="45952D2B"/>
    <w:multiLevelType w:val="hybridMultilevel"/>
    <w:tmpl w:val="2F986260"/>
    <w:lvl w:ilvl="0" w:tplc="53344F0C">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800B5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B8469E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F08987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18C8F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786121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E0A596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D20F6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2BCA3B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8" w15:restartNumberingAfterBreak="0">
    <w:nsid w:val="471A7D68"/>
    <w:multiLevelType w:val="hybridMultilevel"/>
    <w:tmpl w:val="BEF44498"/>
    <w:lvl w:ilvl="0" w:tplc="CFBCF042">
      <w:start w:val="1"/>
      <w:numFmt w:val="bullet"/>
      <w:lvlText w:val="•"/>
      <w:lvlJc w:val="left"/>
      <w:pPr>
        <w:ind w:left="10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834F1DE">
      <w:start w:val="1"/>
      <w:numFmt w:val="bullet"/>
      <w:lvlText w:val="o"/>
      <w:lvlJc w:val="left"/>
      <w:pPr>
        <w:ind w:left="164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4D8BF60">
      <w:start w:val="1"/>
      <w:numFmt w:val="bullet"/>
      <w:lvlText w:val="▪"/>
      <w:lvlJc w:val="left"/>
      <w:pPr>
        <w:ind w:left="236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64F6AC0C">
      <w:start w:val="1"/>
      <w:numFmt w:val="bullet"/>
      <w:lvlText w:val="•"/>
      <w:lvlJc w:val="left"/>
      <w:pPr>
        <w:ind w:left="308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FE4A7C2">
      <w:start w:val="1"/>
      <w:numFmt w:val="bullet"/>
      <w:lvlText w:val="o"/>
      <w:lvlJc w:val="left"/>
      <w:pPr>
        <w:ind w:left="380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600D750">
      <w:start w:val="1"/>
      <w:numFmt w:val="bullet"/>
      <w:lvlText w:val="▪"/>
      <w:lvlJc w:val="left"/>
      <w:pPr>
        <w:ind w:left="452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15C3096">
      <w:start w:val="1"/>
      <w:numFmt w:val="bullet"/>
      <w:lvlText w:val="•"/>
      <w:lvlJc w:val="left"/>
      <w:pPr>
        <w:ind w:left="524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5BA5A1E">
      <w:start w:val="1"/>
      <w:numFmt w:val="bullet"/>
      <w:lvlText w:val="o"/>
      <w:lvlJc w:val="left"/>
      <w:pPr>
        <w:ind w:left="596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76403B0">
      <w:start w:val="1"/>
      <w:numFmt w:val="bullet"/>
      <w:lvlText w:val="▪"/>
      <w:lvlJc w:val="left"/>
      <w:pPr>
        <w:ind w:left="668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19" w15:restartNumberingAfterBreak="0">
    <w:nsid w:val="47554485"/>
    <w:multiLevelType w:val="hybridMultilevel"/>
    <w:tmpl w:val="AD70424E"/>
    <w:lvl w:ilvl="0" w:tplc="241C98A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7A501E">
      <w:start w:val="6"/>
      <w:numFmt w:val="lowerLetter"/>
      <w:lvlText w:val="%2."/>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BF4B3D8">
      <w:start w:val="1"/>
      <w:numFmt w:val="lowerRoman"/>
      <w:lvlText w:val="%3"/>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08CD91C">
      <w:start w:val="1"/>
      <w:numFmt w:val="decimal"/>
      <w:lvlText w:val="%4"/>
      <w:lvlJc w:val="left"/>
      <w:pPr>
        <w:ind w:left="2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08F384">
      <w:start w:val="1"/>
      <w:numFmt w:val="lowerLetter"/>
      <w:lvlText w:val="%5"/>
      <w:lvlJc w:val="left"/>
      <w:pPr>
        <w:ind w:left="2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DCC3930">
      <w:start w:val="1"/>
      <w:numFmt w:val="lowerRoman"/>
      <w:lvlText w:val="%6"/>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B566F92">
      <w:start w:val="1"/>
      <w:numFmt w:val="decimal"/>
      <w:lvlText w:val="%7"/>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6208C0">
      <w:start w:val="1"/>
      <w:numFmt w:val="lowerLetter"/>
      <w:lvlText w:val="%8"/>
      <w:lvlJc w:val="left"/>
      <w:pPr>
        <w:ind w:left="5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E54C984">
      <w:start w:val="1"/>
      <w:numFmt w:val="lowerRoman"/>
      <w:lvlText w:val="%9"/>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0" w15:restartNumberingAfterBreak="0">
    <w:nsid w:val="479030A6"/>
    <w:multiLevelType w:val="hybridMultilevel"/>
    <w:tmpl w:val="0D84E4EE"/>
    <w:lvl w:ilvl="0" w:tplc="1270B566">
      <w:start w:val="3"/>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E03320">
      <w:start w:val="1"/>
      <w:numFmt w:val="lowerLetter"/>
      <w:lvlText w:val="%2)"/>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4B814B2">
      <w:start w:val="1"/>
      <w:numFmt w:val="lowerRoman"/>
      <w:lvlText w:val="%3"/>
      <w:lvlJc w:val="left"/>
      <w:pPr>
        <w:ind w:left="15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9386E9A">
      <w:start w:val="1"/>
      <w:numFmt w:val="decimal"/>
      <w:lvlText w:val="%4"/>
      <w:lvlJc w:val="left"/>
      <w:pPr>
        <w:ind w:left="22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602D2E">
      <w:start w:val="1"/>
      <w:numFmt w:val="lowerLetter"/>
      <w:lvlText w:val="%5"/>
      <w:lvlJc w:val="left"/>
      <w:pPr>
        <w:ind w:left="2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54E20E0">
      <w:start w:val="1"/>
      <w:numFmt w:val="lowerRoman"/>
      <w:lvlText w:val="%6"/>
      <w:lvlJc w:val="left"/>
      <w:pPr>
        <w:ind w:left="3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CCC966A">
      <w:start w:val="1"/>
      <w:numFmt w:val="decimal"/>
      <w:lvlText w:val="%7"/>
      <w:lvlJc w:val="left"/>
      <w:pPr>
        <w:ind w:left="4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263088">
      <w:start w:val="1"/>
      <w:numFmt w:val="lowerLetter"/>
      <w:lvlText w:val="%8"/>
      <w:lvlJc w:val="left"/>
      <w:pPr>
        <w:ind w:left="5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DAEAD80">
      <w:start w:val="1"/>
      <w:numFmt w:val="lowerRoman"/>
      <w:lvlText w:val="%9"/>
      <w:lvlJc w:val="left"/>
      <w:pPr>
        <w:ind w:left="5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1" w15:restartNumberingAfterBreak="0">
    <w:nsid w:val="47BC4A8F"/>
    <w:multiLevelType w:val="hybridMultilevel"/>
    <w:tmpl w:val="161A5108"/>
    <w:lvl w:ilvl="0" w:tplc="EECA5DC6">
      <w:start w:val="6"/>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9E8035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AD88B7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582BDD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F0963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3783A3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7B8869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A2C49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BF6D2F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2" w15:restartNumberingAfterBreak="0">
    <w:nsid w:val="4B402CEA"/>
    <w:multiLevelType w:val="hybridMultilevel"/>
    <w:tmpl w:val="88443CE8"/>
    <w:lvl w:ilvl="0" w:tplc="EF3EC60E">
      <w:start w:val="4"/>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B0A84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A47AC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DF2062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0D4DBD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D96FDF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E0C287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A8896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38064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3" w15:restartNumberingAfterBreak="0">
    <w:nsid w:val="4C214C17"/>
    <w:multiLevelType w:val="hybridMultilevel"/>
    <w:tmpl w:val="A7366A80"/>
    <w:lvl w:ilvl="0" w:tplc="50262EF6">
      <w:start w:val="5"/>
      <w:numFmt w:val="decimal"/>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CE219A">
      <w:start w:val="3"/>
      <w:numFmt w:val="lowerLetter"/>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0BAEE04">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A182318">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3A06D0">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32EB54A">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7EA369A">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E8BCBA">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334B298">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4" w15:restartNumberingAfterBreak="0">
    <w:nsid w:val="4C511228"/>
    <w:multiLevelType w:val="hybridMultilevel"/>
    <w:tmpl w:val="6792BF3E"/>
    <w:lvl w:ilvl="0" w:tplc="64DE0426">
      <w:start w:val="6"/>
      <w:numFmt w:val="decimal"/>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A6676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228AF1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DC286F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A60CF5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58A430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FBCC47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38D26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98A09C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5" w15:restartNumberingAfterBreak="0">
    <w:nsid w:val="4C7B5E33"/>
    <w:multiLevelType w:val="hybridMultilevel"/>
    <w:tmpl w:val="06402CEC"/>
    <w:lvl w:ilvl="0" w:tplc="CEAC2994">
      <w:start w:val="1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98677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48CCD6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BFEFB8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8C82C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1D8A02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C224BF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700A3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3E8C14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6" w15:restartNumberingAfterBreak="0">
    <w:nsid w:val="4CD133E3"/>
    <w:multiLevelType w:val="hybridMultilevel"/>
    <w:tmpl w:val="7B606F3C"/>
    <w:lvl w:ilvl="0" w:tplc="C07839E8">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0AB65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B54EAE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CA01DB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FAF68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C88A64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1E2212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422FB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5D0AE6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7" w15:restartNumberingAfterBreak="0">
    <w:nsid w:val="4CEF3F94"/>
    <w:multiLevelType w:val="hybridMultilevel"/>
    <w:tmpl w:val="AF8AB5EA"/>
    <w:lvl w:ilvl="0" w:tplc="6C1ABD6C">
      <w:start w:val="9"/>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6C433A">
      <w:start w:val="5"/>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80811F8">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DC4787E">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D43216">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D6A7F48">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86CFCAE">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B2F0B4">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5FAA1D0">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8" w15:restartNumberingAfterBreak="0">
    <w:nsid w:val="4D433BD7"/>
    <w:multiLevelType w:val="hybridMultilevel"/>
    <w:tmpl w:val="E3165550"/>
    <w:lvl w:ilvl="0" w:tplc="69A2DEB0">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06FE1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53877A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3A2400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E2C0AE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1F4C97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776393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06D98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87A949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9" w15:restartNumberingAfterBreak="0">
    <w:nsid w:val="4D5B62AA"/>
    <w:multiLevelType w:val="hybridMultilevel"/>
    <w:tmpl w:val="AD7611E4"/>
    <w:lvl w:ilvl="0" w:tplc="A5288B2C">
      <w:start w:val="6"/>
      <w:numFmt w:val="upperLetter"/>
      <w:lvlText w:val="%1)"/>
      <w:lvlJc w:val="left"/>
      <w:pPr>
        <w:ind w:left="631"/>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1" w:tplc="958C92E8">
      <w:start w:val="1"/>
      <w:numFmt w:val="lowerLetter"/>
      <w:lvlText w:val="%2"/>
      <w:lvlJc w:val="left"/>
      <w:pPr>
        <w:ind w:left="112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2" w:tplc="67C0914E">
      <w:start w:val="1"/>
      <w:numFmt w:val="lowerRoman"/>
      <w:lvlText w:val="%3"/>
      <w:lvlJc w:val="left"/>
      <w:pPr>
        <w:ind w:left="184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3" w:tplc="F1480590">
      <w:start w:val="1"/>
      <w:numFmt w:val="decimal"/>
      <w:lvlText w:val="%4"/>
      <w:lvlJc w:val="left"/>
      <w:pPr>
        <w:ind w:left="256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4" w:tplc="C1D46680">
      <w:start w:val="1"/>
      <w:numFmt w:val="lowerLetter"/>
      <w:lvlText w:val="%5"/>
      <w:lvlJc w:val="left"/>
      <w:pPr>
        <w:ind w:left="328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5" w:tplc="C954420E">
      <w:start w:val="1"/>
      <w:numFmt w:val="lowerRoman"/>
      <w:lvlText w:val="%6"/>
      <w:lvlJc w:val="left"/>
      <w:pPr>
        <w:ind w:left="400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6" w:tplc="A40C0CEE">
      <w:start w:val="1"/>
      <w:numFmt w:val="decimal"/>
      <w:lvlText w:val="%7"/>
      <w:lvlJc w:val="left"/>
      <w:pPr>
        <w:ind w:left="472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7" w:tplc="75E40E72">
      <w:start w:val="1"/>
      <w:numFmt w:val="lowerLetter"/>
      <w:lvlText w:val="%8"/>
      <w:lvlJc w:val="left"/>
      <w:pPr>
        <w:ind w:left="544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8" w:tplc="6BB4414E">
      <w:start w:val="1"/>
      <w:numFmt w:val="lowerRoman"/>
      <w:lvlText w:val="%9"/>
      <w:lvlJc w:val="left"/>
      <w:pPr>
        <w:ind w:left="616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abstractNum>
  <w:abstractNum w:abstractNumId="130" w15:restartNumberingAfterBreak="0">
    <w:nsid w:val="4D8C288B"/>
    <w:multiLevelType w:val="hybridMultilevel"/>
    <w:tmpl w:val="49247E9A"/>
    <w:lvl w:ilvl="0" w:tplc="7CBA7AF0">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B6CAD86">
      <w:start w:val="1"/>
      <w:numFmt w:val="lowerLetter"/>
      <w:lvlText w:val="%2)"/>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69026E4">
      <w:start w:val="1"/>
      <w:numFmt w:val="lowerRoman"/>
      <w:lvlText w:val="%3"/>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EAC0192">
      <w:start w:val="1"/>
      <w:numFmt w:val="decimal"/>
      <w:lvlText w:val="%4"/>
      <w:lvlJc w:val="left"/>
      <w:pPr>
        <w:ind w:left="2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ABEAD5E">
      <w:start w:val="1"/>
      <w:numFmt w:val="lowerLetter"/>
      <w:lvlText w:val="%5"/>
      <w:lvlJc w:val="left"/>
      <w:pPr>
        <w:ind w:left="2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0CE5820">
      <w:start w:val="1"/>
      <w:numFmt w:val="lowerRoman"/>
      <w:lvlText w:val="%6"/>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92E948E">
      <w:start w:val="1"/>
      <w:numFmt w:val="decimal"/>
      <w:lvlText w:val="%7"/>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F63D4A">
      <w:start w:val="1"/>
      <w:numFmt w:val="lowerLetter"/>
      <w:lvlText w:val="%8"/>
      <w:lvlJc w:val="left"/>
      <w:pPr>
        <w:ind w:left="5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2ECCE8A">
      <w:start w:val="1"/>
      <w:numFmt w:val="lowerRoman"/>
      <w:lvlText w:val="%9"/>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1" w15:restartNumberingAfterBreak="0">
    <w:nsid w:val="4DAE4FE3"/>
    <w:multiLevelType w:val="hybridMultilevel"/>
    <w:tmpl w:val="17AC78C6"/>
    <w:lvl w:ilvl="0" w:tplc="C5AAAAFA">
      <w:start w:val="7"/>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DE566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E30537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78E968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1E0B3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76A361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D0A8A5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1EFD8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DCC1B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2" w15:restartNumberingAfterBreak="0">
    <w:nsid w:val="4DEF149D"/>
    <w:multiLevelType w:val="hybridMultilevel"/>
    <w:tmpl w:val="FEFA62A2"/>
    <w:lvl w:ilvl="0" w:tplc="39A6145A">
      <w:start w:val="1"/>
      <w:numFmt w:val="decimal"/>
      <w:lvlText w:val="%1."/>
      <w:lvlJc w:val="left"/>
      <w:pPr>
        <w:ind w:left="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36473E">
      <w:start w:val="1"/>
      <w:numFmt w:val="lowerLetter"/>
      <w:lvlText w:val="%2)"/>
      <w:lvlJc w:val="left"/>
      <w:pPr>
        <w:ind w:left="11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4EC94A">
      <w:start w:val="1"/>
      <w:numFmt w:val="lowerRoman"/>
      <w:lvlText w:val="%3"/>
      <w:lvlJc w:val="left"/>
      <w:pPr>
        <w:ind w:left="1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AE6E746">
      <w:start w:val="1"/>
      <w:numFmt w:val="decimal"/>
      <w:lvlText w:val="%4"/>
      <w:lvlJc w:val="left"/>
      <w:pPr>
        <w:ind w:left="2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7AF32C">
      <w:start w:val="1"/>
      <w:numFmt w:val="lowerLetter"/>
      <w:lvlText w:val="%5"/>
      <w:lvlJc w:val="left"/>
      <w:pPr>
        <w:ind w:left="2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E786C12">
      <w:start w:val="1"/>
      <w:numFmt w:val="lowerRoman"/>
      <w:lvlText w:val="%6"/>
      <w:lvlJc w:val="left"/>
      <w:pPr>
        <w:ind w:left="35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818A612">
      <w:start w:val="1"/>
      <w:numFmt w:val="decimal"/>
      <w:lvlText w:val="%7"/>
      <w:lvlJc w:val="left"/>
      <w:pPr>
        <w:ind w:left="42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EE0DF34">
      <w:start w:val="1"/>
      <w:numFmt w:val="lowerLetter"/>
      <w:lvlText w:val="%8"/>
      <w:lvlJc w:val="left"/>
      <w:pPr>
        <w:ind w:left="49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832B5E6">
      <w:start w:val="1"/>
      <w:numFmt w:val="lowerRoman"/>
      <w:lvlText w:val="%9"/>
      <w:lvlJc w:val="left"/>
      <w:pPr>
        <w:ind w:left="5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3" w15:restartNumberingAfterBreak="0">
    <w:nsid w:val="4E66549A"/>
    <w:multiLevelType w:val="hybridMultilevel"/>
    <w:tmpl w:val="AD680AEC"/>
    <w:lvl w:ilvl="0" w:tplc="52285E98">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3A880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26AF27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1D0746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D09B3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154DBA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82CBF1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E8966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0C842F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4" w15:restartNumberingAfterBreak="0">
    <w:nsid w:val="4E9F7FE9"/>
    <w:multiLevelType w:val="hybridMultilevel"/>
    <w:tmpl w:val="E0D60BCA"/>
    <w:lvl w:ilvl="0" w:tplc="A014AA78">
      <w:start w:val="9"/>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16D71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7FA809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414DF7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8082B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11AE5E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DAE784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143B9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B5C0CA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5" w15:restartNumberingAfterBreak="0">
    <w:nsid w:val="4F083DBF"/>
    <w:multiLevelType w:val="hybridMultilevel"/>
    <w:tmpl w:val="F82EAAD6"/>
    <w:lvl w:ilvl="0" w:tplc="45CAB690">
      <w:start w:val="1"/>
      <w:numFmt w:val="decimal"/>
      <w:lvlText w:val="%1"/>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04CF1D4">
      <w:start w:val="11"/>
      <w:numFmt w:val="lowerLetter"/>
      <w:lvlText w:val="%2)"/>
      <w:lvlJc w:val="left"/>
      <w:pPr>
        <w:ind w:left="11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F5E01D52">
      <w:start w:val="1"/>
      <w:numFmt w:val="lowerRoman"/>
      <w:lvlText w:val="%3"/>
      <w:lvlJc w:val="left"/>
      <w:pPr>
        <w:ind w:left="137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517C7ECC">
      <w:start w:val="1"/>
      <w:numFmt w:val="decimal"/>
      <w:lvlText w:val="%4"/>
      <w:lvlJc w:val="left"/>
      <w:pPr>
        <w:ind w:left="20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D80481E">
      <w:start w:val="1"/>
      <w:numFmt w:val="lowerLetter"/>
      <w:lvlText w:val="%5"/>
      <w:lvlJc w:val="left"/>
      <w:pPr>
        <w:ind w:left="28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FDE038E2">
      <w:start w:val="1"/>
      <w:numFmt w:val="lowerRoman"/>
      <w:lvlText w:val="%6"/>
      <w:lvlJc w:val="left"/>
      <w:pPr>
        <w:ind w:left="353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AA088880">
      <w:start w:val="1"/>
      <w:numFmt w:val="decimal"/>
      <w:lvlText w:val="%7"/>
      <w:lvlJc w:val="left"/>
      <w:pPr>
        <w:ind w:left="42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7FECC04">
      <w:start w:val="1"/>
      <w:numFmt w:val="lowerLetter"/>
      <w:lvlText w:val="%8"/>
      <w:lvlJc w:val="left"/>
      <w:pPr>
        <w:ind w:left="497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625E2620">
      <w:start w:val="1"/>
      <w:numFmt w:val="lowerRoman"/>
      <w:lvlText w:val="%9"/>
      <w:lvlJc w:val="left"/>
      <w:pPr>
        <w:ind w:left="56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36" w15:restartNumberingAfterBreak="0">
    <w:nsid w:val="4FA816AF"/>
    <w:multiLevelType w:val="hybridMultilevel"/>
    <w:tmpl w:val="BE7E9D60"/>
    <w:lvl w:ilvl="0" w:tplc="FC6684C2">
      <w:start w:val="1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FA05364">
      <w:start w:val="7"/>
      <w:numFmt w:val="lowerLetter"/>
      <w:lvlText w:val="%2)"/>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F10C9FE">
      <w:start w:val="1"/>
      <w:numFmt w:val="lowerRoman"/>
      <w:lvlText w:val="%3"/>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4462442">
      <w:start w:val="1"/>
      <w:numFmt w:val="decimal"/>
      <w:lvlText w:val="%4"/>
      <w:lvlJc w:val="left"/>
      <w:pPr>
        <w:ind w:left="2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1213CE">
      <w:start w:val="1"/>
      <w:numFmt w:val="lowerLetter"/>
      <w:lvlText w:val="%5"/>
      <w:lvlJc w:val="left"/>
      <w:pPr>
        <w:ind w:left="2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392129C">
      <w:start w:val="1"/>
      <w:numFmt w:val="lowerRoman"/>
      <w:lvlText w:val="%6"/>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EACA59E">
      <w:start w:val="1"/>
      <w:numFmt w:val="decimal"/>
      <w:lvlText w:val="%7"/>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C41D82">
      <w:start w:val="1"/>
      <w:numFmt w:val="lowerLetter"/>
      <w:lvlText w:val="%8"/>
      <w:lvlJc w:val="left"/>
      <w:pPr>
        <w:ind w:left="5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2BE487E">
      <w:start w:val="1"/>
      <w:numFmt w:val="lowerRoman"/>
      <w:lvlText w:val="%9"/>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7" w15:restartNumberingAfterBreak="0">
    <w:nsid w:val="50F16774"/>
    <w:multiLevelType w:val="hybridMultilevel"/>
    <w:tmpl w:val="3B7A2A3C"/>
    <w:lvl w:ilvl="0" w:tplc="96942D0E">
      <w:start w:val="2"/>
      <w:numFmt w:val="lowerLetter"/>
      <w:lvlText w:val="%1)"/>
      <w:lvlJc w:val="left"/>
      <w:pPr>
        <w:ind w:left="83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F1AE218A">
      <w:start w:val="1"/>
      <w:numFmt w:val="lowerLetter"/>
      <w:lvlText w:val="%2"/>
      <w:lvlJc w:val="left"/>
      <w:pPr>
        <w:ind w:left="17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634DFA4">
      <w:start w:val="1"/>
      <w:numFmt w:val="lowerRoman"/>
      <w:lvlText w:val="%3"/>
      <w:lvlJc w:val="left"/>
      <w:pPr>
        <w:ind w:left="25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E7C696E">
      <w:start w:val="1"/>
      <w:numFmt w:val="decimal"/>
      <w:lvlText w:val="%4"/>
      <w:lvlJc w:val="left"/>
      <w:pPr>
        <w:ind w:left="32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CE22F8C">
      <w:start w:val="1"/>
      <w:numFmt w:val="lowerLetter"/>
      <w:lvlText w:val="%5"/>
      <w:lvlJc w:val="left"/>
      <w:pPr>
        <w:ind w:left="394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E5E125E">
      <w:start w:val="1"/>
      <w:numFmt w:val="lowerRoman"/>
      <w:lvlText w:val="%6"/>
      <w:lvlJc w:val="left"/>
      <w:pPr>
        <w:ind w:left="46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B5E6A1A">
      <w:start w:val="1"/>
      <w:numFmt w:val="decimal"/>
      <w:lvlText w:val="%7"/>
      <w:lvlJc w:val="left"/>
      <w:pPr>
        <w:ind w:left="53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0B6AD72">
      <w:start w:val="1"/>
      <w:numFmt w:val="lowerLetter"/>
      <w:lvlText w:val="%8"/>
      <w:lvlJc w:val="left"/>
      <w:pPr>
        <w:ind w:left="61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A016E3E8">
      <w:start w:val="1"/>
      <w:numFmt w:val="lowerRoman"/>
      <w:lvlText w:val="%9"/>
      <w:lvlJc w:val="left"/>
      <w:pPr>
        <w:ind w:left="68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38" w15:restartNumberingAfterBreak="0">
    <w:nsid w:val="515E5B74"/>
    <w:multiLevelType w:val="hybridMultilevel"/>
    <w:tmpl w:val="929A8FF4"/>
    <w:lvl w:ilvl="0" w:tplc="ED185CDA">
      <w:start w:val="1"/>
      <w:numFmt w:val="lowerLetter"/>
      <w:lvlText w:val="%1)"/>
      <w:lvlJc w:val="left"/>
      <w:pPr>
        <w:ind w:left="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3C3B4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1074B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442237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908B3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AF4A02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4FAF35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A7A44D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8F82D5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9" w15:restartNumberingAfterBreak="0">
    <w:nsid w:val="5160145E"/>
    <w:multiLevelType w:val="hybridMultilevel"/>
    <w:tmpl w:val="3F22878E"/>
    <w:lvl w:ilvl="0" w:tplc="BAFC018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04D278">
      <w:start w:val="11"/>
      <w:numFmt w:val="lowerLetter"/>
      <w:lvlText w:val="%2."/>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552518C">
      <w:start w:val="1"/>
      <w:numFmt w:val="lowerRoman"/>
      <w:lvlText w:val="%3"/>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FB813BA">
      <w:start w:val="1"/>
      <w:numFmt w:val="decimal"/>
      <w:lvlText w:val="%4"/>
      <w:lvlJc w:val="left"/>
      <w:pPr>
        <w:ind w:left="2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CCCE658">
      <w:start w:val="1"/>
      <w:numFmt w:val="lowerLetter"/>
      <w:lvlText w:val="%5"/>
      <w:lvlJc w:val="left"/>
      <w:pPr>
        <w:ind w:left="2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78A8B28">
      <w:start w:val="1"/>
      <w:numFmt w:val="lowerRoman"/>
      <w:lvlText w:val="%6"/>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79CBFCE">
      <w:start w:val="1"/>
      <w:numFmt w:val="decimal"/>
      <w:lvlText w:val="%7"/>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6A74D6">
      <w:start w:val="1"/>
      <w:numFmt w:val="lowerLetter"/>
      <w:lvlText w:val="%8"/>
      <w:lvlJc w:val="left"/>
      <w:pPr>
        <w:ind w:left="5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C7A450A">
      <w:start w:val="1"/>
      <w:numFmt w:val="lowerRoman"/>
      <w:lvlText w:val="%9"/>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0" w15:restartNumberingAfterBreak="0">
    <w:nsid w:val="52F2429F"/>
    <w:multiLevelType w:val="hybridMultilevel"/>
    <w:tmpl w:val="3312C2C2"/>
    <w:lvl w:ilvl="0" w:tplc="117AE2F2">
      <w:start w:val="7"/>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FC12F0">
      <w:start w:val="5"/>
      <w:numFmt w:val="lowerLetter"/>
      <w:lvlText w:val="%2)"/>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5B8C28A">
      <w:start w:val="1"/>
      <w:numFmt w:val="lowerRoman"/>
      <w:lvlText w:val="%3"/>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F2E0FCC">
      <w:start w:val="1"/>
      <w:numFmt w:val="decimal"/>
      <w:lvlText w:val="%4"/>
      <w:lvlJc w:val="left"/>
      <w:pPr>
        <w:ind w:left="2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96359E">
      <w:start w:val="1"/>
      <w:numFmt w:val="lowerLetter"/>
      <w:lvlText w:val="%5"/>
      <w:lvlJc w:val="left"/>
      <w:pPr>
        <w:ind w:left="2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582B9D0">
      <w:start w:val="1"/>
      <w:numFmt w:val="lowerRoman"/>
      <w:lvlText w:val="%6"/>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AD8DDC6">
      <w:start w:val="1"/>
      <w:numFmt w:val="decimal"/>
      <w:lvlText w:val="%7"/>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3CAB52">
      <w:start w:val="1"/>
      <w:numFmt w:val="lowerLetter"/>
      <w:lvlText w:val="%8"/>
      <w:lvlJc w:val="left"/>
      <w:pPr>
        <w:ind w:left="5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396AB84">
      <w:start w:val="1"/>
      <w:numFmt w:val="lowerRoman"/>
      <w:lvlText w:val="%9"/>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1" w15:restartNumberingAfterBreak="0">
    <w:nsid w:val="533C7C8B"/>
    <w:multiLevelType w:val="hybridMultilevel"/>
    <w:tmpl w:val="4E3CA79C"/>
    <w:lvl w:ilvl="0" w:tplc="93AEEE7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B21BBE">
      <w:start w:val="4"/>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A66D662">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08CF4DE">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3AAA72">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58E3670">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2240994">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9C2BC7C">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7D8C4F8">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2" w15:restartNumberingAfterBreak="0">
    <w:nsid w:val="53C44E59"/>
    <w:multiLevelType w:val="hybridMultilevel"/>
    <w:tmpl w:val="EF5EA950"/>
    <w:lvl w:ilvl="0" w:tplc="076622D4">
      <w:start w:val="6"/>
      <w:numFmt w:val="decimal"/>
      <w:lvlText w:val="%1."/>
      <w:lvlJc w:val="left"/>
      <w:pPr>
        <w:ind w:left="6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54A9C16">
      <w:start w:val="1"/>
      <w:numFmt w:val="lowerLetter"/>
      <w:lvlText w:val="%2"/>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12ED538">
      <w:start w:val="1"/>
      <w:numFmt w:val="lowerRoman"/>
      <w:lvlText w:val="%3"/>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75C222D0">
      <w:start w:val="1"/>
      <w:numFmt w:val="decimal"/>
      <w:lvlText w:val="%4"/>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8EA584E">
      <w:start w:val="1"/>
      <w:numFmt w:val="lowerLetter"/>
      <w:lvlText w:val="%5"/>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019AC740">
      <w:start w:val="1"/>
      <w:numFmt w:val="lowerRoman"/>
      <w:lvlText w:val="%6"/>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86505148">
      <w:start w:val="1"/>
      <w:numFmt w:val="decimal"/>
      <w:lvlText w:val="%7"/>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6E64CC6">
      <w:start w:val="1"/>
      <w:numFmt w:val="lowerLetter"/>
      <w:lvlText w:val="%8"/>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A5E49B54">
      <w:start w:val="1"/>
      <w:numFmt w:val="lowerRoman"/>
      <w:lvlText w:val="%9"/>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43" w15:restartNumberingAfterBreak="0">
    <w:nsid w:val="53C6262D"/>
    <w:multiLevelType w:val="hybridMultilevel"/>
    <w:tmpl w:val="75E416D8"/>
    <w:lvl w:ilvl="0" w:tplc="CF52FC24">
      <w:start w:val="1"/>
      <w:numFmt w:val="decimal"/>
      <w:lvlText w:val="%1."/>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DE24E2">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C50D5C8">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8CEDB44">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C0D5C6">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D2A70C">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5ACDA0A">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90B902">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93E4CD2">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54CE2A0A"/>
    <w:multiLevelType w:val="hybridMultilevel"/>
    <w:tmpl w:val="1352B69C"/>
    <w:lvl w:ilvl="0" w:tplc="118ED84A">
      <w:start w:val="2"/>
      <w:numFmt w:val="lowerLetter"/>
      <w:lvlText w:val="%1)"/>
      <w:lvlJc w:val="left"/>
      <w:pPr>
        <w:ind w:left="25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B4EFA3E">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2B8A40A">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468F0CA">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7C85534">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8644B32">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3122FDA">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E6C3A24">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B0468FA">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45" w15:restartNumberingAfterBreak="0">
    <w:nsid w:val="54D36FF7"/>
    <w:multiLevelType w:val="hybridMultilevel"/>
    <w:tmpl w:val="733C478C"/>
    <w:lvl w:ilvl="0" w:tplc="1F4622E8">
      <w:start w:val="6"/>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DA2C34">
      <w:start w:val="4"/>
      <w:numFmt w:val="lowerLetter"/>
      <w:lvlText w:val="%2)"/>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F56105C">
      <w:start w:val="1"/>
      <w:numFmt w:val="lowerRoman"/>
      <w:lvlText w:val="%3"/>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0447B3C">
      <w:start w:val="1"/>
      <w:numFmt w:val="decimal"/>
      <w:lvlText w:val="%4"/>
      <w:lvlJc w:val="left"/>
      <w:pPr>
        <w:ind w:left="2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F2E404">
      <w:start w:val="1"/>
      <w:numFmt w:val="lowerLetter"/>
      <w:lvlText w:val="%5"/>
      <w:lvlJc w:val="left"/>
      <w:pPr>
        <w:ind w:left="2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E20D5CA">
      <w:start w:val="1"/>
      <w:numFmt w:val="lowerRoman"/>
      <w:lvlText w:val="%6"/>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9124C92">
      <w:start w:val="1"/>
      <w:numFmt w:val="decimal"/>
      <w:lvlText w:val="%7"/>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566898">
      <w:start w:val="1"/>
      <w:numFmt w:val="lowerLetter"/>
      <w:lvlText w:val="%8"/>
      <w:lvlJc w:val="left"/>
      <w:pPr>
        <w:ind w:left="5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B7EDEC8">
      <w:start w:val="1"/>
      <w:numFmt w:val="lowerRoman"/>
      <w:lvlText w:val="%9"/>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6" w15:restartNumberingAfterBreak="0">
    <w:nsid w:val="5536510F"/>
    <w:multiLevelType w:val="hybridMultilevel"/>
    <w:tmpl w:val="C7D256C4"/>
    <w:lvl w:ilvl="0" w:tplc="279041DA">
      <w:start w:val="3"/>
      <w:numFmt w:val="decimal"/>
      <w:lvlText w:val="%1."/>
      <w:lvlJc w:val="left"/>
      <w:pPr>
        <w:ind w:left="5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40AC64">
      <w:start w:val="41"/>
      <w:numFmt w:val="lowerLetter"/>
      <w:lvlText w:val="%2)"/>
      <w:lvlJc w:val="left"/>
      <w:pPr>
        <w:ind w:left="17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D08E110">
      <w:start w:val="1"/>
      <w:numFmt w:val="lowerRoman"/>
      <w:lvlText w:val="%3"/>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1942748">
      <w:start w:val="1"/>
      <w:numFmt w:val="decimal"/>
      <w:lvlText w:val="%4"/>
      <w:lvlJc w:val="left"/>
      <w:pPr>
        <w:ind w:left="2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D411FE">
      <w:start w:val="1"/>
      <w:numFmt w:val="lowerLetter"/>
      <w:lvlText w:val="%5"/>
      <w:lvlJc w:val="left"/>
      <w:pPr>
        <w:ind w:left="2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152A012">
      <w:start w:val="1"/>
      <w:numFmt w:val="lowerRoman"/>
      <w:lvlText w:val="%6"/>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76ED04">
      <w:start w:val="1"/>
      <w:numFmt w:val="decimal"/>
      <w:lvlText w:val="%7"/>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98493C">
      <w:start w:val="1"/>
      <w:numFmt w:val="lowerLetter"/>
      <w:lvlText w:val="%8"/>
      <w:lvlJc w:val="left"/>
      <w:pPr>
        <w:ind w:left="5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71C1606">
      <w:start w:val="1"/>
      <w:numFmt w:val="lowerRoman"/>
      <w:lvlText w:val="%9"/>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7" w15:restartNumberingAfterBreak="0">
    <w:nsid w:val="559508A4"/>
    <w:multiLevelType w:val="hybridMultilevel"/>
    <w:tmpl w:val="3D902046"/>
    <w:lvl w:ilvl="0" w:tplc="762A9C3E">
      <w:start w:val="1"/>
      <w:numFmt w:val="bullet"/>
      <w:lvlText w:val="•"/>
      <w:lvlJc w:val="left"/>
      <w:pPr>
        <w:ind w:left="35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5EF2FA18">
      <w:start w:val="1"/>
      <w:numFmt w:val="bullet"/>
      <w:lvlText w:val="o"/>
      <w:lvlJc w:val="left"/>
      <w:pPr>
        <w:ind w:left="1096"/>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3676B47E">
      <w:start w:val="1"/>
      <w:numFmt w:val="bullet"/>
      <w:lvlText w:val="▪"/>
      <w:lvlJc w:val="left"/>
      <w:pPr>
        <w:ind w:left="1816"/>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CB40FEE0">
      <w:start w:val="1"/>
      <w:numFmt w:val="bullet"/>
      <w:lvlText w:val="•"/>
      <w:lvlJc w:val="left"/>
      <w:pPr>
        <w:ind w:left="253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7124CEF4">
      <w:start w:val="1"/>
      <w:numFmt w:val="bullet"/>
      <w:lvlText w:val="o"/>
      <w:lvlJc w:val="left"/>
      <w:pPr>
        <w:ind w:left="3256"/>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03D8B948">
      <w:start w:val="1"/>
      <w:numFmt w:val="bullet"/>
      <w:lvlText w:val="▪"/>
      <w:lvlJc w:val="left"/>
      <w:pPr>
        <w:ind w:left="3976"/>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7F9CE560">
      <w:start w:val="1"/>
      <w:numFmt w:val="bullet"/>
      <w:lvlText w:val="•"/>
      <w:lvlJc w:val="left"/>
      <w:pPr>
        <w:ind w:left="469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540494F8">
      <w:start w:val="1"/>
      <w:numFmt w:val="bullet"/>
      <w:lvlText w:val="o"/>
      <w:lvlJc w:val="left"/>
      <w:pPr>
        <w:ind w:left="5416"/>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600E8FA6">
      <w:start w:val="1"/>
      <w:numFmt w:val="bullet"/>
      <w:lvlText w:val="▪"/>
      <w:lvlJc w:val="left"/>
      <w:pPr>
        <w:ind w:left="6136"/>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48" w15:restartNumberingAfterBreak="0">
    <w:nsid w:val="55B718A8"/>
    <w:multiLevelType w:val="hybridMultilevel"/>
    <w:tmpl w:val="33C0C160"/>
    <w:lvl w:ilvl="0" w:tplc="12BE7376">
      <w:start w:val="1"/>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122A2C7E">
      <w:start w:val="8"/>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078E69E">
      <w:start w:val="1"/>
      <w:numFmt w:val="lowerRoman"/>
      <w:lvlText w:val="%3"/>
      <w:lvlJc w:val="left"/>
      <w:pPr>
        <w:ind w:left="137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80AD454">
      <w:start w:val="1"/>
      <w:numFmt w:val="decimal"/>
      <w:lvlText w:val="%4"/>
      <w:lvlJc w:val="left"/>
      <w:pPr>
        <w:ind w:left="209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7E433A2">
      <w:start w:val="1"/>
      <w:numFmt w:val="lowerLetter"/>
      <w:lvlText w:val="%5"/>
      <w:lvlJc w:val="left"/>
      <w:pPr>
        <w:ind w:left="281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3F6F576">
      <w:start w:val="1"/>
      <w:numFmt w:val="lowerRoman"/>
      <w:lvlText w:val="%6"/>
      <w:lvlJc w:val="left"/>
      <w:pPr>
        <w:ind w:left="35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B88AC9A">
      <w:start w:val="1"/>
      <w:numFmt w:val="decimal"/>
      <w:lvlText w:val="%7"/>
      <w:lvlJc w:val="left"/>
      <w:pPr>
        <w:ind w:left="425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4EE2816">
      <w:start w:val="1"/>
      <w:numFmt w:val="lowerLetter"/>
      <w:lvlText w:val="%8"/>
      <w:lvlJc w:val="left"/>
      <w:pPr>
        <w:ind w:left="497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626CC5A">
      <w:start w:val="1"/>
      <w:numFmt w:val="lowerRoman"/>
      <w:lvlText w:val="%9"/>
      <w:lvlJc w:val="left"/>
      <w:pPr>
        <w:ind w:left="569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49" w15:restartNumberingAfterBreak="0">
    <w:nsid w:val="55D46624"/>
    <w:multiLevelType w:val="hybridMultilevel"/>
    <w:tmpl w:val="6DB2D0DC"/>
    <w:lvl w:ilvl="0" w:tplc="21A2935A">
      <w:start w:val="1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1823CE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79A8D6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374A16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E6D4C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1B658E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8C0050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BE2B4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CDA6D3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0" w15:restartNumberingAfterBreak="0">
    <w:nsid w:val="55D64D28"/>
    <w:multiLevelType w:val="hybridMultilevel"/>
    <w:tmpl w:val="6EA639A6"/>
    <w:lvl w:ilvl="0" w:tplc="F2622F6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CCD9D8">
      <w:start w:val="5"/>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E348964">
      <w:start w:val="1"/>
      <w:numFmt w:val="lowerRoman"/>
      <w:lvlText w:val="%3"/>
      <w:lvlJc w:val="left"/>
      <w:pPr>
        <w:ind w:left="1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8641F8E">
      <w:start w:val="1"/>
      <w:numFmt w:val="decimal"/>
      <w:lvlText w:val="%4"/>
      <w:lvlJc w:val="left"/>
      <w:pPr>
        <w:ind w:left="2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D24708">
      <w:start w:val="1"/>
      <w:numFmt w:val="lowerLetter"/>
      <w:lvlText w:val="%5"/>
      <w:lvlJc w:val="left"/>
      <w:pPr>
        <w:ind w:left="2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ECE071C">
      <w:start w:val="1"/>
      <w:numFmt w:val="lowerRoman"/>
      <w:lvlText w:val="%6"/>
      <w:lvlJc w:val="left"/>
      <w:pPr>
        <w:ind w:left="35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E884286">
      <w:start w:val="1"/>
      <w:numFmt w:val="decimal"/>
      <w:lvlText w:val="%7"/>
      <w:lvlJc w:val="left"/>
      <w:pPr>
        <w:ind w:left="42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CE696A">
      <w:start w:val="1"/>
      <w:numFmt w:val="lowerLetter"/>
      <w:lvlText w:val="%8"/>
      <w:lvlJc w:val="left"/>
      <w:pPr>
        <w:ind w:left="49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00AB400">
      <w:start w:val="1"/>
      <w:numFmt w:val="lowerRoman"/>
      <w:lvlText w:val="%9"/>
      <w:lvlJc w:val="left"/>
      <w:pPr>
        <w:ind w:left="5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1" w15:restartNumberingAfterBreak="0">
    <w:nsid w:val="561707FE"/>
    <w:multiLevelType w:val="hybridMultilevel"/>
    <w:tmpl w:val="A7E442FE"/>
    <w:lvl w:ilvl="0" w:tplc="858CB146">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3D6CDA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42AE4B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1AEB59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EE26B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D04946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2F87E0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7C771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AF2DA8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2" w15:restartNumberingAfterBreak="0">
    <w:nsid w:val="57C26A85"/>
    <w:multiLevelType w:val="hybridMultilevel"/>
    <w:tmpl w:val="9160888A"/>
    <w:lvl w:ilvl="0" w:tplc="A79817C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848ED2">
      <w:start w:val="9"/>
      <w:numFmt w:val="lowerLetter"/>
      <w:lvlText w:val="%2)"/>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BDA9E1A">
      <w:start w:val="1"/>
      <w:numFmt w:val="lowerRoman"/>
      <w:lvlText w:val="%3"/>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18014F0">
      <w:start w:val="1"/>
      <w:numFmt w:val="decimal"/>
      <w:lvlText w:val="%4"/>
      <w:lvlJc w:val="left"/>
      <w:pPr>
        <w:ind w:left="2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9E351A">
      <w:start w:val="1"/>
      <w:numFmt w:val="lowerLetter"/>
      <w:lvlText w:val="%5"/>
      <w:lvlJc w:val="left"/>
      <w:pPr>
        <w:ind w:left="2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806834E">
      <w:start w:val="1"/>
      <w:numFmt w:val="lowerRoman"/>
      <w:lvlText w:val="%6"/>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02D862">
      <w:start w:val="1"/>
      <w:numFmt w:val="decimal"/>
      <w:lvlText w:val="%7"/>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EE4EF8">
      <w:start w:val="1"/>
      <w:numFmt w:val="lowerLetter"/>
      <w:lvlText w:val="%8"/>
      <w:lvlJc w:val="left"/>
      <w:pPr>
        <w:ind w:left="5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7FEEDBA">
      <w:start w:val="1"/>
      <w:numFmt w:val="lowerRoman"/>
      <w:lvlText w:val="%9"/>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3" w15:restartNumberingAfterBreak="0">
    <w:nsid w:val="57F756ED"/>
    <w:multiLevelType w:val="hybridMultilevel"/>
    <w:tmpl w:val="F54ACB62"/>
    <w:lvl w:ilvl="0" w:tplc="121E87F4">
      <w:start w:val="21"/>
      <w:numFmt w:val="decimal"/>
      <w:lvlText w:val="%1."/>
      <w:lvlJc w:val="left"/>
      <w:pPr>
        <w:ind w:left="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2A42CA">
      <w:start w:val="13"/>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C48468A">
      <w:start w:val="1"/>
      <w:numFmt w:val="lowerRoman"/>
      <w:lvlText w:val="%3"/>
      <w:lvlJc w:val="left"/>
      <w:pPr>
        <w:ind w:left="1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0D61E16">
      <w:start w:val="1"/>
      <w:numFmt w:val="decimal"/>
      <w:lvlText w:val="%4"/>
      <w:lvlJc w:val="left"/>
      <w:pPr>
        <w:ind w:left="2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88F73E">
      <w:start w:val="1"/>
      <w:numFmt w:val="lowerLetter"/>
      <w:lvlText w:val="%5"/>
      <w:lvlJc w:val="left"/>
      <w:pPr>
        <w:ind w:left="2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2489B1C">
      <w:start w:val="1"/>
      <w:numFmt w:val="lowerRoman"/>
      <w:lvlText w:val="%6"/>
      <w:lvlJc w:val="left"/>
      <w:pPr>
        <w:ind w:left="35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6A01D14">
      <w:start w:val="1"/>
      <w:numFmt w:val="decimal"/>
      <w:lvlText w:val="%7"/>
      <w:lvlJc w:val="left"/>
      <w:pPr>
        <w:ind w:left="42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947CBC">
      <w:start w:val="1"/>
      <w:numFmt w:val="lowerLetter"/>
      <w:lvlText w:val="%8"/>
      <w:lvlJc w:val="left"/>
      <w:pPr>
        <w:ind w:left="49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BAE9C5A">
      <w:start w:val="1"/>
      <w:numFmt w:val="lowerRoman"/>
      <w:lvlText w:val="%9"/>
      <w:lvlJc w:val="left"/>
      <w:pPr>
        <w:ind w:left="5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4" w15:restartNumberingAfterBreak="0">
    <w:nsid w:val="58075A63"/>
    <w:multiLevelType w:val="hybridMultilevel"/>
    <w:tmpl w:val="99FCEFFA"/>
    <w:lvl w:ilvl="0" w:tplc="CCD6E4F2">
      <w:start w:val="1"/>
      <w:numFmt w:val="decimal"/>
      <w:lvlText w:val="%1."/>
      <w:lvlJc w:val="left"/>
      <w:pPr>
        <w:ind w:left="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FA70FC">
      <w:start w:val="3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D56E56E">
      <w:start w:val="1"/>
      <w:numFmt w:val="lowerRoman"/>
      <w:lvlText w:val="%3"/>
      <w:lvlJc w:val="left"/>
      <w:pPr>
        <w:ind w:left="11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E1CBDD0">
      <w:start w:val="1"/>
      <w:numFmt w:val="decimal"/>
      <w:lvlText w:val="%4"/>
      <w:lvlJc w:val="left"/>
      <w:pPr>
        <w:ind w:left="18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367B36">
      <w:start w:val="1"/>
      <w:numFmt w:val="lowerLetter"/>
      <w:lvlText w:val="%5"/>
      <w:lvlJc w:val="left"/>
      <w:pPr>
        <w:ind w:left="25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ED44320">
      <w:start w:val="1"/>
      <w:numFmt w:val="lowerRoman"/>
      <w:lvlText w:val="%6"/>
      <w:lvlJc w:val="left"/>
      <w:pPr>
        <w:ind w:left="33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938F8DE">
      <w:start w:val="1"/>
      <w:numFmt w:val="decimal"/>
      <w:lvlText w:val="%7"/>
      <w:lvlJc w:val="left"/>
      <w:pPr>
        <w:ind w:left="40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F01328">
      <w:start w:val="1"/>
      <w:numFmt w:val="lowerLetter"/>
      <w:lvlText w:val="%8"/>
      <w:lvlJc w:val="left"/>
      <w:pPr>
        <w:ind w:left="47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03ED4C4">
      <w:start w:val="1"/>
      <w:numFmt w:val="lowerRoman"/>
      <w:lvlText w:val="%9"/>
      <w:lvlJc w:val="left"/>
      <w:pPr>
        <w:ind w:left="54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5" w15:restartNumberingAfterBreak="0">
    <w:nsid w:val="587B3C45"/>
    <w:multiLevelType w:val="hybridMultilevel"/>
    <w:tmpl w:val="C916C7DA"/>
    <w:lvl w:ilvl="0" w:tplc="85AEC692">
      <w:start w:val="9"/>
      <w:numFmt w:val="decimal"/>
      <w:lvlText w:val="%1."/>
      <w:lvlJc w:val="left"/>
      <w:pPr>
        <w:ind w:left="1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8A2E4B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1346FA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0C28B7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80AA8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76EC23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566FBE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5471B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C50020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6" w15:restartNumberingAfterBreak="0">
    <w:nsid w:val="58D5372D"/>
    <w:multiLevelType w:val="hybridMultilevel"/>
    <w:tmpl w:val="FE00CBAA"/>
    <w:lvl w:ilvl="0" w:tplc="C4A2EC38">
      <w:start w:val="1"/>
      <w:numFmt w:val="upperLetter"/>
      <w:lvlText w:val="%1)"/>
      <w:lvlJc w:val="left"/>
      <w:pPr>
        <w:ind w:left="6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A910725C">
      <w:start w:val="1"/>
      <w:numFmt w:val="lowerLetter"/>
      <w:lvlText w:val="%2"/>
      <w:lvlJc w:val="left"/>
      <w:pPr>
        <w:ind w:left="113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F60A7C0">
      <w:start w:val="1"/>
      <w:numFmt w:val="lowerRoman"/>
      <w:lvlText w:val="%3"/>
      <w:lvlJc w:val="left"/>
      <w:pPr>
        <w:ind w:left="185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9A6EFA0">
      <w:start w:val="1"/>
      <w:numFmt w:val="decimal"/>
      <w:lvlText w:val="%4"/>
      <w:lvlJc w:val="left"/>
      <w:pPr>
        <w:ind w:left="257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D78367E">
      <w:start w:val="1"/>
      <w:numFmt w:val="lowerLetter"/>
      <w:lvlText w:val="%5"/>
      <w:lvlJc w:val="left"/>
      <w:pPr>
        <w:ind w:left="329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0C660BB8">
      <w:start w:val="1"/>
      <w:numFmt w:val="lowerRoman"/>
      <w:lvlText w:val="%6"/>
      <w:lvlJc w:val="left"/>
      <w:pPr>
        <w:ind w:left="401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474E448">
      <w:start w:val="1"/>
      <w:numFmt w:val="decimal"/>
      <w:lvlText w:val="%7"/>
      <w:lvlJc w:val="left"/>
      <w:pPr>
        <w:ind w:left="473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E7EE4BE">
      <w:start w:val="1"/>
      <w:numFmt w:val="lowerLetter"/>
      <w:lvlText w:val="%8"/>
      <w:lvlJc w:val="left"/>
      <w:pPr>
        <w:ind w:left="545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7901CF8">
      <w:start w:val="1"/>
      <w:numFmt w:val="lowerRoman"/>
      <w:lvlText w:val="%9"/>
      <w:lvlJc w:val="left"/>
      <w:pPr>
        <w:ind w:left="617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57" w15:restartNumberingAfterBreak="0">
    <w:nsid w:val="59166307"/>
    <w:multiLevelType w:val="hybridMultilevel"/>
    <w:tmpl w:val="8B666B1A"/>
    <w:lvl w:ilvl="0" w:tplc="3B98B0F8">
      <w:start w:val="1"/>
      <w:numFmt w:val="lowerLetter"/>
      <w:lvlText w:val="%1)"/>
      <w:lvlJc w:val="left"/>
      <w:pPr>
        <w:ind w:left="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109D5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EF4D47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FD6EF7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C24397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04A83C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10269E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0CCAD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C40ECC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8" w15:restartNumberingAfterBreak="0">
    <w:nsid w:val="592F35F9"/>
    <w:multiLevelType w:val="hybridMultilevel"/>
    <w:tmpl w:val="BCFE0504"/>
    <w:lvl w:ilvl="0" w:tplc="BB2AAA94">
      <w:start w:val="1"/>
      <w:numFmt w:val="lowerLetter"/>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02C26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3AAB75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79AFC8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1C9BB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02777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F2E995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EEB32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850B5F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9" w15:restartNumberingAfterBreak="0">
    <w:nsid w:val="599E46F1"/>
    <w:multiLevelType w:val="hybridMultilevel"/>
    <w:tmpl w:val="B262CE2E"/>
    <w:lvl w:ilvl="0" w:tplc="615A4016">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F9E6FC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458396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74AAAB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00224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6704B8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35A560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4AF2C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04062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0" w15:restartNumberingAfterBreak="0">
    <w:nsid w:val="5A13604F"/>
    <w:multiLevelType w:val="hybridMultilevel"/>
    <w:tmpl w:val="E9D4F750"/>
    <w:lvl w:ilvl="0" w:tplc="6A2C75A8">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3EB14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FB019E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9EE1E7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1A569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366619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E06640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7845A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67EABE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1" w15:restartNumberingAfterBreak="0">
    <w:nsid w:val="5A261FFA"/>
    <w:multiLevelType w:val="hybridMultilevel"/>
    <w:tmpl w:val="07C0AFCC"/>
    <w:lvl w:ilvl="0" w:tplc="B4966DA4">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A1AFB7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166663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B2271A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D23F7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69086D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AE001B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D8196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D4EAB3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2" w15:restartNumberingAfterBreak="0">
    <w:nsid w:val="5AD721AF"/>
    <w:multiLevelType w:val="hybridMultilevel"/>
    <w:tmpl w:val="DC600254"/>
    <w:lvl w:ilvl="0" w:tplc="9536A3A6">
      <w:start w:val="7"/>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7EE2C9A">
      <w:start w:val="1"/>
      <w:numFmt w:val="lowerLetter"/>
      <w:lvlText w:val="%2)"/>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6C602C8">
      <w:start w:val="1"/>
      <w:numFmt w:val="lowerRoman"/>
      <w:lvlText w:val="%3"/>
      <w:lvlJc w:val="left"/>
      <w:pPr>
        <w:ind w:left="15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B769ADE">
      <w:start w:val="1"/>
      <w:numFmt w:val="decimal"/>
      <w:lvlText w:val="%4"/>
      <w:lvlJc w:val="left"/>
      <w:pPr>
        <w:ind w:left="22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423C8E">
      <w:start w:val="1"/>
      <w:numFmt w:val="lowerLetter"/>
      <w:lvlText w:val="%5"/>
      <w:lvlJc w:val="left"/>
      <w:pPr>
        <w:ind w:left="2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852CFD8">
      <w:start w:val="1"/>
      <w:numFmt w:val="lowerRoman"/>
      <w:lvlText w:val="%6"/>
      <w:lvlJc w:val="left"/>
      <w:pPr>
        <w:ind w:left="3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ED0E036">
      <w:start w:val="1"/>
      <w:numFmt w:val="decimal"/>
      <w:lvlText w:val="%7"/>
      <w:lvlJc w:val="left"/>
      <w:pPr>
        <w:ind w:left="4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078E42A">
      <w:start w:val="1"/>
      <w:numFmt w:val="lowerLetter"/>
      <w:lvlText w:val="%8"/>
      <w:lvlJc w:val="left"/>
      <w:pPr>
        <w:ind w:left="5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440C7C6">
      <w:start w:val="1"/>
      <w:numFmt w:val="lowerRoman"/>
      <w:lvlText w:val="%9"/>
      <w:lvlJc w:val="left"/>
      <w:pPr>
        <w:ind w:left="5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3" w15:restartNumberingAfterBreak="0">
    <w:nsid w:val="5C0F7264"/>
    <w:multiLevelType w:val="hybridMultilevel"/>
    <w:tmpl w:val="512C9668"/>
    <w:lvl w:ilvl="0" w:tplc="BC7A20C8">
      <w:start w:val="5"/>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4E00F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6AC364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8547E9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025FF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51C4CD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0A6381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36AA81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9F257F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4" w15:restartNumberingAfterBreak="0">
    <w:nsid w:val="5C4D4CF1"/>
    <w:multiLevelType w:val="hybridMultilevel"/>
    <w:tmpl w:val="15D865A6"/>
    <w:lvl w:ilvl="0" w:tplc="11787F08">
      <w:start w:val="2"/>
      <w:numFmt w:val="lowerLetter"/>
      <w:lvlText w:val="%1)"/>
      <w:lvlJc w:val="left"/>
      <w:pPr>
        <w:ind w:left="83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F1A277D0">
      <w:start w:val="1"/>
      <w:numFmt w:val="lowerLetter"/>
      <w:lvlText w:val="%2"/>
      <w:lvlJc w:val="left"/>
      <w:pPr>
        <w:ind w:left="17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ADCAF34">
      <w:start w:val="1"/>
      <w:numFmt w:val="lowerRoman"/>
      <w:lvlText w:val="%3"/>
      <w:lvlJc w:val="left"/>
      <w:pPr>
        <w:ind w:left="25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832BAA4">
      <w:start w:val="1"/>
      <w:numFmt w:val="decimal"/>
      <w:lvlText w:val="%4"/>
      <w:lvlJc w:val="left"/>
      <w:pPr>
        <w:ind w:left="32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CD8FEFE">
      <w:start w:val="1"/>
      <w:numFmt w:val="lowerLetter"/>
      <w:lvlText w:val="%5"/>
      <w:lvlJc w:val="left"/>
      <w:pPr>
        <w:ind w:left="394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3C8801E">
      <w:start w:val="1"/>
      <w:numFmt w:val="lowerRoman"/>
      <w:lvlText w:val="%6"/>
      <w:lvlJc w:val="left"/>
      <w:pPr>
        <w:ind w:left="46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9C4197E">
      <w:start w:val="1"/>
      <w:numFmt w:val="decimal"/>
      <w:lvlText w:val="%7"/>
      <w:lvlJc w:val="left"/>
      <w:pPr>
        <w:ind w:left="53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B52AFE8">
      <w:start w:val="1"/>
      <w:numFmt w:val="lowerLetter"/>
      <w:lvlText w:val="%8"/>
      <w:lvlJc w:val="left"/>
      <w:pPr>
        <w:ind w:left="61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98644C8">
      <w:start w:val="1"/>
      <w:numFmt w:val="lowerRoman"/>
      <w:lvlText w:val="%9"/>
      <w:lvlJc w:val="left"/>
      <w:pPr>
        <w:ind w:left="68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65" w15:restartNumberingAfterBreak="0">
    <w:nsid w:val="5C631BEB"/>
    <w:multiLevelType w:val="hybridMultilevel"/>
    <w:tmpl w:val="8B0A9766"/>
    <w:lvl w:ilvl="0" w:tplc="AE347A4A">
      <w:start w:val="5"/>
      <w:numFmt w:val="decimal"/>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4A3BF6">
      <w:start w:val="3"/>
      <w:numFmt w:val="lowerLetter"/>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B483946">
      <w:start w:val="1"/>
      <w:numFmt w:val="lowerRoman"/>
      <w:lvlText w:val="%3"/>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2BE26C0">
      <w:start w:val="1"/>
      <w:numFmt w:val="decimal"/>
      <w:lvlText w:val="%4"/>
      <w:lvlJc w:val="left"/>
      <w:pPr>
        <w:ind w:left="2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7822666">
      <w:start w:val="1"/>
      <w:numFmt w:val="lowerLetter"/>
      <w:lvlText w:val="%5"/>
      <w:lvlJc w:val="left"/>
      <w:pPr>
        <w:ind w:left="2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0E2C94C">
      <w:start w:val="1"/>
      <w:numFmt w:val="lowerRoman"/>
      <w:lvlText w:val="%6"/>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FFED244">
      <w:start w:val="1"/>
      <w:numFmt w:val="decimal"/>
      <w:lvlText w:val="%7"/>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9E0C726">
      <w:start w:val="1"/>
      <w:numFmt w:val="lowerLetter"/>
      <w:lvlText w:val="%8"/>
      <w:lvlJc w:val="left"/>
      <w:pPr>
        <w:ind w:left="5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9DA78F0">
      <w:start w:val="1"/>
      <w:numFmt w:val="lowerRoman"/>
      <w:lvlText w:val="%9"/>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6" w15:restartNumberingAfterBreak="0">
    <w:nsid w:val="5C846B11"/>
    <w:multiLevelType w:val="hybridMultilevel"/>
    <w:tmpl w:val="4F4C812A"/>
    <w:lvl w:ilvl="0" w:tplc="B03A325C">
      <w:start w:val="2"/>
      <w:numFmt w:val="lowerLetter"/>
      <w:lvlText w:val="%1)"/>
      <w:lvlJc w:val="left"/>
      <w:pPr>
        <w:ind w:left="35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3B4A00B6">
      <w:start w:val="1"/>
      <w:numFmt w:val="lowerLetter"/>
      <w:lvlText w:val="%2"/>
      <w:lvlJc w:val="left"/>
      <w:pPr>
        <w:ind w:left="109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91944E5A">
      <w:start w:val="1"/>
      <w:numFmt w:val="lowerRoman"/>
      <w:lvlText w:val="%3"/>
      <w:lvlJc w:val="left"/>
      <w:pPr>
        <w:ind w:left="18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676C19C6">
      <w:start w:val="1"/>
      <w:numFmt w:val="decimal"/>
      <w:lvlText w:val="%4"/>
      <w:lvlJc w:val="left"/>
      <w:pPr>
        <w:ind w:left="253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06423E8">
      <w:start w:val="1"/>
      <w:numFmt w:val="lowerLetter"/>
      <w:lvlText w:val="%5"/>
      <w:lvlJc w:val="left"/>
      <w:pPr>
        <w:ind w:left="325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38CFBEA">
      <w:start w:val="1"/>
      <w:numFmt w:val="lowerRoman"/>
      <w:lvlText w:val="%6"/>
      <w:lvlJc w:val="left"/>
      <w:pPr>
        <w:ind w:left="397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4B8282C">
      <w:start w:val="1"/>
      <w:numFmt w:val="decimal"/>
      <w:lvlText w:val="%7"/>
      <w:lvlJc w:val="left"/>
      <w:pPr>
        <w:ind w:left="469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7D08FB62">
      <w:start w:val="1"/>
      <w:numFmt w:val="lowerLetter"/>
      <w:lvlText w:val="%8"/>
      <w:lvlJc w:val="left"/>
      <w:pPr>
        <w:ind w:left="54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58011FC">
      <w:start w:val="1"/>
      <w:numFmt w:val="lowerRoman"/>
      <w:lvlText w:val="%9"/>
      <w:lvlJc w:val="left"/>
      <w:pPr>
        <w:ind w:left="613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67" w15:restartNumberingAfterBreak="0">
    <w:nsid w:val="5D8B6086"/>
    <w:multiLevelType w:val="hybridMultilevel"/>
    <w:tmpl w:val="8DD24AAC"/>
    <w:lvl w:ilvl="0" w:tplc="0C347AC4">
      <w:start w:val="1"/>
      <w:numFmt w:val="decimal"/>
      <w:lvlText w:val="%1."/>
      <w:lvlJc w:val="left"/>
      <w:pPr>
        <w:ind w:left="35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45C403E0">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0E5072A6">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E3001C4E">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5A9EBF70">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4182272">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FB1E669E">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39E8E49C">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D578E980">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68" w15:restartNumberingAfterBreak="0">
    <w:nsid w:val="5E91395D"/>
    <w:multiLevelType w:val="hybridMultilevel"/>
    <w:tmpl w:val="BF360D0A"/>
    <w:lvl w:ilvl="0" w:tplc="7990E844">
      <w:start w:val="11"/>
      <w:numFmt w:val="lowerLetter"/>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8C243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4328F9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478B8B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46E6BB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C56814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DFEC4A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DC2CD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B40DED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9" w15:restartNumberingAfterBreak="0">
    <w:nsid w:val="5EC57859"/>
    <w:multiLevelType w:val="hybridMultilevel"/>
    <w:tmpl w:val="69FAF8A0"/>
    <w:lvl w:ilvl="0" w:tplc="C196317A">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898F3D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AD8111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5146BB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645D1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B60365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C2EF95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58CD1C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BE6045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0" w15:restartNumberingAfterBreak="0">
    <w:nsid w:val="5EE70337"/>
    <w:multiLevelType w:val="hybridMultilevel"/>
    <w:tmpl w:val="12521AE6"/>
    <w:lvl w:ilvl="0" w:tplc="5B4A9EAC">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32405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4D2FC9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952076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405F1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D3A24A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A7E57C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8E31E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66CAC7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1" w15:restartNumberingAfterBreak="0">
    <w:nsid w:val="5EF35B0E"/>
    <w:multiLevelType w:val="hybridMultilevel"/>
    <w:tmpl w:val="CC30D654"/>
    <w:lvl w:ilvl="0" w:tplc="0C86BF3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AEC6818">
      <w:start w:val="12"/>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AF82AAA">
      <w:start w:val="1"/>
      <w:numFmt w:val="lowerRoman"/>
      <w:lvlText w:val="%3"/>
      <w:lvlJc w:val="left"/>
      <w:pPr>
        <w:ind w:left="1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7B42E12">
      <w:start w:val="1"/>
      <w:numFmt w:val="decimal"/>
      <w:lvlText w:val="%4"/>
      <w:lvlJc w:val="left"/>
      <w:pPr>
        <w:ind w:left="2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287BF0">
      <w:start w:val="1"/>
      <w:numFmt w:val="lowerLetter"/>
      <w:lvlText w:val="%5"/>
      <w:lvlJc w:val="left"/>
      <w:pPr>
        <w:ind w:left="2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F6E6E2">
      <w:start w:val="1"/>
      <w:numFmt w:val="lowerRoman"/>
      <w:lvlText w:val="%6"/>
      <w:lvlJc w:val="left"/>
      <w:pPr>
        <w:ind w:left="35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602CDC0">
      <w:start w:val="1"/>
      <w:numFmt w:val="decimal"/>
      <w:lvlText w:val="%7"/>
      <w:lvlJc w:val="left"/>
      <w:pPr>
        <w:ind w:left="42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3804E2">
      <w:start w:val="1"/>
      <w:numFmt w:val="lowerLetter"/>
      <w:lvlText w:val="%8"/>
      <w:lvlJc w:val="left"/>
      <w:pPr>
        <w:ind w:left="49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9582CAA">
      <w:start w:val="1"/>
      <w:numFmt w:val="lowerRoman"/>
      <w:lvlText w:val="%9"/>
      <w:lvlJc w:val="left"/>
      <w:pPr>
        <w:ind w:left="5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2" w15:restartNumberingAfterBreak="0">
    <w:nsid w:val="5EF93C91"/>
    <w:multiLevelType w:val="hybridMultilevel"/>
    <w:tmpl w:val="A60230AC"/>
    <w:lvl w:ilvl="0" w:tplc="C4DE1792">
      <w:start w:val="1"/>
      <w:numFmt w:val="decimal"/>
      <w:lvlText w:val="%1"/>
      <w:lvlJc w:val="left"/>
      <w:pPr>
        <w:ind w:left="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F80B94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2160FD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436A59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B01B0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17CE30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D48F37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AEA86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196C7B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3" w15:restartNumberingAfterBreak="0">
    <w:nsid w:val="5F1210D4"/>
    <w:multiLevelType w:val="hybridMultilevel"/>
    <w:tmpl w:val="7336700E"/>
    <w:lvl w:ilvl="0" w:tplc="631ED2A2">
      <w:start w:val="1"/>
      <w:numFmt w:val="bullet"/>
      <w:lvlText w:val="•"/>
      <w:lvlJc w:val="left"/>
      <w:pPr>
        <w:ind w:left="4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F8E1D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2F498F0">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9240EF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629DA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C3AFD5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B9A8A5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0C2DFE">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1702DD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4" w15:restartNumberingAfterBreak="0">
    <w:nsid w:val="5F311B4C"/>
    <w:multiLevelType w:val="hybridMultilevel"/>
    <w:tmpl w:val="CD8ACDC6"/>
    <w:lvl w:ilvl="0" w:tplc="9ECA4174">
      <w:start w:val="8"/>
      <w:numFmt w:val="decimal"/>
      <w:lvlText w:val="%1."/>
      <w:lvlJc w:val="left"/>
      <w:pPr>
        <w:ind w:left="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325758">
      <w:start w:val="1"/>
      <w:numFmt w:val="lowerLetter"/>
      <w:lvlText w:val="%2"/>
      <w:lvlJc w:val="left"/>
      <w:pPr>
        <w:ind w:left="12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B94EF5E">
      <w:start w:val="1"/>
      <w:numFmt w:val="lowerRoman"/>
      <w:lvlText w:val="%3"/>
      <w:lvlJc w:val="left"/>
      <w:pPr>
        <w:ind w:left="19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B38FDF2">
      <w:start w:val="1"/>
      <w:numFmt w:val="decimal"/>
      <w:lvlText w:val="%4"/>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0D4BB70">
      <w:start w:val="1"/>
      <w:numFmt w:val="lowerLetter"/>
      <w:lvlText w:val="%5"/>
      <w:lvlJc w:val="left"/>
      <w:pPr>
        <w:ind w:left="33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BD64BC6">
      <w:start w:val="1"/>
      <w:numFmt w:val="lowerRoman"/>
      <w:lvlText w:val="%6"/>
      <w:lvlJc w:val="left"/>
      <w:pPr>
        <w:ind w:left="41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D0AD2A2">
      <w:start w:val="1"/>
      <w:numFmt w:val="decimal"/>
      <w:lvlText w:val="%7"/>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7C8112">
      <w:start w:val="1"/>
      <w:numFmt w:val="lowerLetter"/>
      <w:lvlText w:val="%8"/>
      <w:lvlJc w:val="left"/>
      <w:pPr>
        <w:ind w:left="55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D8AE2A8">
      <w:start w:val="1"/>
      <w:numFmt w:val="lowerRoman"/>
      <w:lvlText w:val="%9"/>
      <w:lvlJc w:val="left"/>
      <w:pPr>
        <w:ind w:left="62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5" w15:restartNumberingAfterBreak="0">
    <w:nsid w:val="60FE3E98"/>
    <w:multiLevelType w:val="hybridMultilevel"/>
    <w:tmpl w:val="334E8690"/>
    <w:lvl w:ilvl="0" w:tplc="B316CB9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D2BD54">
      <w:start w:val="3"/>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76E7E22">
      <w:start w:val="1"/>
      <w:numFmt w:val="lowerRoman"/>
      <w:lvlText w:val="%3"/>
      <w:lvlJc w:val="left"/>
      <w:pPr>
        <w:ind w:left="1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7CA421E">
      <w:start w:val="1"/>
      <w:numFmt w:val="decimal"/>
      <w:lvlText w:val="%4"/>
      <w:lvlJc w:val="left"/>
      <w:pPr>
        <w:ind w:left="2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1C1F56">
      <w:start w:val="1"/>
      <w:numFmt w:val="lowerLetter"/>
      <w:lvlText w:val="%5"/>
      <w:lvlJc w:val="left"/>
      <w:pPr>
        <w:ind w:left="2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B3CEB9A">
      <w:start w:val="1"/>
      <w:numFmt w:val="lowerRoman"/>
      <w:lvlText w:val="%6"/>
      <w:lvlJc w:val="left"/>
      <w:pPr>
        <w:ind w:left="35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930E066">
      <w:start w:val="1"/>
      <w:numFmt w:val="decimal"/>
      <w:lvlText w:val="%7"/>
      <w:lvlJc w:val="left"/>
      <w:pPr>
        <w:ind w:left="42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30BD98">
      <w:start w:val="1"/>
      <w:numFmt w:val="lowerLetter"/>
      <w:lvlText w:val="%8"/>
      <w:lvlJc w:val="left"/>
      <w:pPr>
        <w:ind w:left="49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022EDDE">
      <w:start w:val="1"/>
      <w:numFmt w:val="lowerRoman"/>
      <w:lvlText w:val="%9"/>
      <w:lvlJc w:val="left"/>
      <w:pPr>
        <w:ind w:left="5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6" w15:restartNumberingAfterBreak="0">
    <w:nsid w:val="610A0BA1"/>
    <w:multiLevelType w:val="hybridMultilevel"/>
    <w:tmpl w:val="C64C0DF6"/>
    <w:lvl w:ilvl="0" w:tplc="1AC2D548">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92B7C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A56D524">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E1ED508">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CA3270">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576C938">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FA8E2B4">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AC1AD8">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9684D08">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7" w15:restartNumberingAfterBreak="0">
    <w:nsid w:val="61486523"/>
    <w:multiLevelType w:val="hybridMultilevel"/>
    <w:tmpl w:val="71A676C8"/>
    <w:lvl w:ilvl="0" w:tplc="51EAEC80">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26B4A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3ACB33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702A64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842B1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9A6F4F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3F02B6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024D6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60E979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8" w15:restartNumberingAfterBreak="0">
    <w:nsid w:val="61845E02"/>
    <w:multiLevelType w:val="hybridMultilevel"/>
    <w:tmpl w:val="7756A6C4"/>
    <w:lvl w:ilvl="0" w:tplc="612C33CE">
      <w:start w:val="1"/>
      <w:numFmt w:val="lowerLetter"/>
      <w:lvlText w:val="%1)"/>
      <w:lvlJc w:val="left"/>
      <w:pPr>
        <w:ind w:left="97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DA2C5292">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22A0B6D4">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7E202842">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F48604E">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258A804">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DC0456C">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AD5AF054">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44070B4">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79" w15:restartNumberingAfterBreak="0">
    <w:nsid w:val="62040241"/>
    <w:multiLevelType w:val="hybridMultilevel"/>
    <w:tmpl w:val="58DEA9CA"/>
    <w:lvl w:ilvl="0" w:tplc="225A3998">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26C192">
      <w:start w:val="5"/>
      <w:numFmt w:val="lowerLetter"/>
      <w:lvlText w:val="%2)"/>
      <w:lvlJc w:val="left"/>
      <w:pPr>
        <w:ind w:left="10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004C110">
      <w:start w:val="1"/>
      <w:numFmt w:val="lowerRoman"/>
      <w:lvlText w:val="%3"/>
      <w:lvlJc w:val="left"/>
      <w:pPr>
        <w:ind w:left="14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482BAAC">
      <w:start w:val="1"/>
      <w:numFmt w:val="decimal"/>
      <w:lvlText w:val="%4"/>
      <w:lvlJc w:val="left"/>
      <w:pPr>
        <w:ind w:left="21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A2EC10E">
      <w:start w:val="1"/>
      <w:numFmt w:val="lowerLetter"/>
      <w:lvlText w:val="%5"/>
      <w:lvlJc w:val="left"/>
      <w:pPr>
        <w:ind w:left="28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71E7C86">
      <w:start w:val="1"/>
      <w:numFmt w:val="lowerRoman"/>
      <w:lvlText w:val="%6"/>
      <w:lvlJc w:val="left"/>
      <w:pPr>
        <w:ind w:left="35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CA4FCE4">
      <w:start w:val="1"/>
      <w:numFmt w:val="decimal"/>
      <w:lvlText w:val="%7"/>
      <w:lvlJc w:val="left"/>
      <w:pPr>
        <w:ind w:left="43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54A5E6">
      <w:start w:val="1"/>
      <w:numFmt w:val="lowerLetter"/>
      <w:lvlText w:val="%8"/>
      <w:lvlJc w:val="left"/>
      <w:pPr>
        <w:ind w:left="50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3869330">
      <w:start w:val="1"/>
      <w:numFmt w:val="lowerRoman"/>
      <w:lvlText w:val="%9"/>
      <w:lvlJc w:val="left"/>
      <w:pPr>
        <w:ind w:left="57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0" w15:restartNumberingAfterBreak="0">
    <w:nsid w:val="63783020"/>
    <w:multiLevelType w:val="hybridMultilevel"/>
    <w:tmpl w:val="D3B0814C"/>
    <w:lvl w:ilvl="0" w:tplc="AFBA2048">
      <w:start w:val="4"/>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56E6F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EA8FC7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C24B25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D0E49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0A4DCF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4B091B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78AB66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57AB5B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1" w15:restartNumberingAfterBreak="0">
    <w:nsid w:val="63A04A8C"/>
    <w:multiLevelType w:val="hybridMultilevel"/>
    <w:tmpl w:val="52BC7302"/>
    <w:lvl w:ilvl="0" w:tplc="AF4C7C12">
      <w:start w:val="11"/>
      <w:numFmt w:val="decimal"/>
      <w:lvlText w:val="%1."/>
      <w:lvlJc w:val="left"/>
      <w:pPr>
        <w:ind w:left="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D4CB46">
      <w:start w:val="7"/>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78A8AF2">
      <w:start w:val="1"/>
      <w:numFmt w:val="lowerRoman"/>
      <w:lvlText w:val="%3"/>
      <w:lvlJc w:val="left"/>
      <w:pPr>
        <w:ind w:left="1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B5E7BE2">
      <w:start w:val="1"/>
      <w:numFmt w:val="decimal"/>
      <w:lvlText w:val="%4"/>
      <w:lvlJc w:val="left"/>
      <w:pPr>
        <w:ind w:left="2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D4FE04">
      <w:start w:val="1"/>
      <w:numFmt w:val="lowerLetter"/>
      <w:lvlText w:val="%5"/>
      <w:lvlJc w:val="left"/>
      <w:pPr>
        <w:ind w:left="2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700822E">
      <w:start w:val="1"/>
      <w:numFmt w:val="lowerRoman"/>
      <w:lvlText w:val="%6"/>
      <w:lvlJc w:val="left"/>
      <w:pPr>
        <w:ind w:left="35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F3C851A">
      <w:start w:val="1"/>
      <w:numFmt w:val="decimal"/>
      <w:lvlText w:val="%7"/>
      <w:lvlJc w:val="left"/>
      <w:pPr>
        <w:ind w:left="42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A0CADC">
      <w:start w:val="1"/>
      <w:numFmt w:val="lowerLetter"/>
      <w:lvlText w:val="%8"/>
      <w:lvlJc w:val="left"/>
      <w:pPr>
        <w:ind w:left="49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792B8C6">
      <w:start w:val="1"/>
      <w:numFmt w:val="lowerRoman"/>
      <w:lvlText w:val="%9"/>
      <w:lvlJc w:val="left"/>
      <w:pPr>
        <w:ind w:left="5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2" w15:restartNumberingAfterBreak="0">
    <w:nsid w:val="642248AC"/>
    <w:multiLevelType w:val="hybridMultilevel"/>
    <w:tmpl w:val="6EC4CFE8"/>
    <w:lvl w:ilvl="0" w:tplc="AED6EFD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62D2BE">
      <w:start w:val="35"/>
      <w:numFmt w:val="lowerLetter"/>
      <w:lvlText w:val="%2)"/>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A208FD4">
      <w:start w:val="1"/>
      <w:numFmt w:val="lowerRoman"/>
      <w:lvlText w:val="%3"/>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1884B0C">
      <w:start w:val="1"/>
      <w:numFmt w:val="decimal"/>
      <w:lvlText w:val="%4"/>
      <w:lvlJc w:val="left"/>
      <w:pPr>
        <w:ind w:left="2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B6E186">
      <w:start w:val="1"/>
      <w:numFmt w:val="lowerLetter"/>
      <w:lvlText w:val="%5"/>
      <w:lvlJc w:val="left"/>
      <w:pPr>
        <w:ind w:left="2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2C419FE">
      <w:start w:val="1"/>
      <w:numFmt w:val="lowerRoman"/>
      <w:lvlText w:val="%6"/>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6B2D3BE">
      <w:start w:val="1"/>
      <w:numFmt w:val="decimal"/>
      <w:lvlText w:val="%7"/>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581A90">
      <w:start w:val="1"/>
      <w:numFmt w:val="lowerLetter"/>
      <w:lvlText w:val="%8"/>
      <w:lvlJc w:val="left"/>
      <w:pPr>
        <w:ind w:left="5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C203CB2">
      <w:start w:val="1"/>
      <w:numFmt w:val="lowerRoman"/>
      <w:lvlText w:val="%9"/>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3" w15:restartNumberingAfterBreak="0">
    <w:nsid w:val="64380BFB"/>
    <w:multiLevelType w:val="hybridMultilevel"/>
    <w:tmpl w:val="A8EABAE2"/>
    <w:lvl w:ilvl="0" w:tplc="F440DAF6">
      <w:start w:val="1"/>
      <w:numFmt w:val="decimal"/>
      <w:lvlText w:val="%1."/>
      <w:lvlJc w:val="left"/>
      <w:pPr>
        <w:ind w:left="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BA573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8E32D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96C303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FAF2B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928864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206231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825A5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2025AD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4" w15:restartNumberingAfterBreak="0">
    <w:nsid w:val="64E27568"/>
    <w:multiLevelType w:val="hybridMultilevel"/>
    <w:tmpl w:val="F42AA084"/>
    <w:lvl w:ilvl="0" w:tplc="97820288">
      <w:start w:val="1"/>
      <w:numFmt w:val="bullet"/>
      <w:lvlText w:val="-"/>
      <w:lvlJc w:val="left"/>
      <w:pPr>
        <w:ind w:left="11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B473E2">
      <w:start w:val="1"/>
      <w:numFmt w:val="bullet"/>
      <w:lvlText w:val="o"/>
      <w:lvlJc w:val="left"/>
      <w:pPr>
        <w:ind w:left="1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F4E0E00">
      <w:start w:val="1"/>
      <w:numFmt w:val="bullet"/>
      <w:lvlText w:val="▪"/>
      <w:lvlJc w:val="left"/>
      <w:pPr>
        <w:ind w:left="2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A2861DC">
      <w:start w:val="1"/>
      <w:numFmt w:val="bullet"/>
      <w:lvlText w:val="•"/>
      <w:lvlJc w:val="left"/>
      <w:pPr>
        <w:ind w:left="2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801430">
      <w:start w:val="1"/>
      <w:numFmt w:val="bullet"/>
      <w:lvlText w:val="o"/>
      <w:lvlJc w:val="left"/>
      <w:pPr>
        <w:ind w:left="3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2F0FB92">
      <w:start w:val="1"/>
      <w:numFmt w:val="bullet"/>
      <w:lvlText w:val="▪"/>
      <w:lvlJc w:val="left"/>
      <w:pPr>
        <w:ind w:left="4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B4EF844">
      <w:start w:val="1"/>
      <w:numFmt w:val="bullet"/>
      <w:lvlText w:val="•"/>
      <w:lvlJc w:val="left"/>
      <w:pPr>
        <w:ind w:left="5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60C0D8">
      <w:start w:val="1"/>
      <w:numFmt w:val="bullet"/>
      <w:lvlText w:val="o"/>
      <w:lvlJc w:val="left"/>
      <w:pPr>
        <w:ind w:left="58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D8E0000">
      <w:start w:val="1"/>
      <w:numFmt w:val="bullet"/>
      <w:lvlText w:val="▪"/>
      <w:lvlJc w:val="left"/>
      <w:pPr>
        <w:ind w:left="65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5" w15:restartNumberingAfterBreak="0">
    <w:nsid w:val="65011FFC"/>
    <w:multiLevelType w:val="hybridMultilevel"/>
    <w:tmpl w:val="605072C8"/>
    <w:lvl w:ilvl="0" w:tplc="E97AB098">
      <w:start w:val="9"/>
      <w:numFmt w:val="decimal"/>
      <w:lvlText w:val="%1."/>
      <w:lvlJc w:val="left"/>
      <w:pPr>
        <w:ind w:left="1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6A459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D8AFFC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154C49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802F1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4F4576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6D2C43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49A97D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212830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6" w15:restartNumberingAfterBreak="0">
    <w:nsid w:val="65617A4B"/>
    <w:multiLevelType w:val="hybridMultilevel"/>
    <w:tmpl w:val="ABCC51A4"/>
    <w:lvl w:ilvl="0" w:tplc="7C6EE8FC">
      <w:start w:val="1"/>
      <w:numFmt w:val="upperRoman"/>
      <w:lvlText w:val="%1."/>
      <w:lvlJc w:val="left"/>
      <w:pPr>
        <w:ind w:left="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24FE6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39664D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DE4D03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4EC59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188A00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F9E072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DC4A6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2048E7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7" w15:restartNumberingAfterBreak="0">
    <w:nsid w:val="66063BB3"/>
    <w:multiLevelType w:val="hybridMultilevel"/>
    <w:tmpl w:val="FBA23E6A"/>
    <w:lvl w:ilvl="0" w:tplc="E1D65A80">
      <w:start w:val="1"/>
      <w:numFmt w:val="bullet"/>
      <w:lvlText w:val="•"/>
      <w:lvlJc w:val="left"/>
      <w:pPr>
        <w:ind w:left="705"/>
      </w:pPr>
      <w:rPr>
        <w:rFonts w:ascii="Arial" w:eastAsia="Arial" w:hAnsi="Arial" w:cs="Arial"/>
        <w:b w:val="0"/>
        <w:i w:val="0"/>
        <w:strike w:val="0"/>
        <w:dstrike w:val="0"/>
        <w:color w:val="0070C0"/>
        <w:sz w:val="22"/>
        <w:szCs w:val="22"/>
        <w:u w:val="single" w:color="0070C0"/>
        <w:bdr w:val="none" w:sz="0" w:space="0" w:color="auto"/>
        <w:shd w:val="clear" w:color="auto" w:fill="auto"/>
        <w:vertAlign w:val="baseline"/>
      </w:rPr>
    </w:lvl>
    <w:lvl w:ilvl="1" w:tplc="76342D98">
      <w:start w:val="1"/>
      <w:numFmt w:val="bullet"/>
      <w:lvlText w:val="o"/>
      <w:lvlJc w:val="left"/>
      <w:pPr>
        <w:ind w:left="1170"/>
      </w:pPr>
      <w:rPr>
        <w:rFonts w:ascii="Segoe UI Symbol" w:eastAsia="Segoe UI Symbol" w:hAnsi="Segoe UI Symbol" w:cs="Segoe UI Symbol"/>
        <w:b w:val="0"/>
        <w:i w:val="0"/>
        <w:strike w:val="0"/>
        <w:dstrike w:val="0"/>
        <w:color w:val="0070C0"/>
        <w:sz w:val="22"/>
        <w:szCs w:val="22"/>
        <w:u w:val="single" w:color="0070C0"/>
        <w:bdr w:val="none" w:sz="0" w:space="0" w:color="auto"/>
        <w:shd w:val="clear" w:color="auto" w:fill="auto"/>
        <w:vertAlign w:val="baseline"/>
      </w:rPr>
    </w:lvl>
    <w:lvl w:ilvl="2" w:tplc="70667524">
      <w:start w:val="1"/>
      <w:numFmt w:val="bullet"/>
      <w:lvlText w:val="▪"/>
      <w:lvlJc w:val="left"/>
      <w:pPr>
        <w:ind w:left="1890"/>
      </w:pPr>
      <w:rPr>
        <w:rFonts w:ascii="Segoe UI Symbol" w:eastAsia="Segoe UI Symbol" w:hAnsi="Segoe UI Symbol" w:cs="Segoe UI Symbol"/>
        <w:b w:val="0"/>
        <w:i w:val="0"/>
        <w:strike w:val="0"/>
        <w:dstrike w:val="0"/>
        <w:color w:val="0070C0"/>
        <w:sz w:val="22"/>
        <w:szCs w:val="22"/>
        <w:u w:val="single" w:color="0070C0"/>
        <w:bdr w:val="none" w:sz="0" w:space="0" w:color="auto"/>
        <w:shd w:val="clear" w:color="auto" w:fill="auto"/>
        <w:vertAlign w:val="baseline"/>
      </w:rPr>
    </w:lvl>
    <w:lvl w:ilvl="3" w:tplc="6276A0C8">
      <w:start w:val="1"/>
      <w:numFmt w:val="bullet"/>
      <w:lvlText w:val="•"/>
      <w:lvlJc w:val="left"/>
      <w:pPr>
        <w:ind w:left="2610"/>
      </w:pPr>
      <w:rPr>
        <w:rFonts w:ascii="Arial" w:eastAsia="Arial" w:hAnsi="Arial" w:cs="Arial"/>
        <w:b w:val="0"/>
        <w:i w:val="0"/>
        <w:strike w:val="0"/>
        <w:dstrike w:val="0"/>
        <w:color w:val="0070C0"/>
        <w:sz w:val="22"/>
        <w:szCs w:val="22"/>
        <w:u w:val="single" w:color="0070C0"/>
        <w:bdr w:val="none" w:sz="0" w:space="0" w:color="auto"/>
        <w:shd w:val="clear" w:color="auto" w:fill="auto"/>
        <w:vertAlign w:val="baseline"/>
      </w:rPr>
    </w:lvl>
    <w:lvl w:ilvl="4" w:tplc="8C004BD2">
      <w:start w:val="1"/>
      <w:numFmt w:val="bullet"/>
      <w:lvlText w:val="o"/>
      <w:lvlJc w:val="left"/>
      <w:pPr>
        <w:ind w:left="3330"/>
      </w:pPr>
      <w:rPr>
        <w:rFonts w:ascii="Segoe UI Symbol" w:eastAsia="Segoe UI Symbol" w:hAnsi="Segoe UI Symbol" w:cs="Segoe UI Symbol"/>
        <w:b w:val="0"/>
        <w:i w:val="0"/>
        <w:strike w:val="0"/>
        <w:dstrike w:val="0"/>
        <w:color w:val="0070C0"/>
        <w:sz w:val="22"/>
        <w:szCs w:val="22"/>
        <w:u w:val="single" w:color="0070C0"/>
        <w:bdr w:val="none" w:sz="0" w:space="0" w:color="auto"/>
        <w:shd w:val="clear" w:color="auto" w:fill="auto"/>
        <w:vertAlign w:val="baseline"/>
      </w:rPr>
    </w:lvl>
    <w:lvl w:ilvl="5" w:tplc="391E9A66">
      <w:start w:val="1"/>
      <w:numFmt w:val="bullet"/>
      <w:lvlText w:val="▪"/>
      <w:lvlJc w:val="left"/>
      <w:pPr>
        <w:ind w:left="4050"/>
      </w:pPr>
      <w:rPr>
        <w:rFonts w:ascii="Segoe UI Symbol" w:eastAsia="Segoe UI Symbol" w:hAnsi="Segoe UI Symbol" w:cs="Segoe UI Symbol"/>
        <w:b w:val="0"/>
        <w:i w:val="0"/>
        <w:strike w:val="0"/>
        <w:dstrike w:val="0"/>
        <w:color w:val="0070C0"/>
        <w:sz w:val="22"/>
        <w:szCs w:val="22"/>
        <w:u w:val="single" w:color="0070C0"/>
        <w:bdr w:val="none" w:sz="0" w:space="0" w:color="auto"/>
        <w:shd w:val="clear" w:color="auto" w:fill="auto"/>
        <w:vertAlign w:val="baseline"/>
      </w:rPr>
    </w:lvl>
    <w:lvl w:ilvl="6" w:tplc="BA24A478">
      <w:start w:val="1"/>
      <w:numFmt w:val="bullet"/>
      <w:lvlText w:val="•"/>
      <w:lvlJc w:val="left"/>
      <w:pPr>
        <w:ind w:left="4770"/>
      </w:pPr>
      <w:rPr>
        <w:rFonts w:ascii="Arial" w:eastAsia="Arial" w:hAnsi="Arial" w:cs="Arial"/>
        <w:b w:val="0"/>
        <w:i w:val="0"/>
        <w:strike w:val="0"/>
        <w:dstrike w:val="0"/>
        <w:color w:val="0070C0"/>
        <w:sz w:val="22"/>
        <w:szCs w:val="22"/>
        <w:u w:val="single" w:color="0070C0"/>
        <w:bdr w:val="none" w:sz="0" w:space="0" w:color="auto"/>
        <w:shd w:val="clear" w:color="auto" w:fill="auto"/>
        <w:vertAlign w:val="baseline"/>
      </w:rPr>
    </w:lvl>
    <w:lvl w:ilvl="7" w:tplc="0D20ED3C">
      <w:start w:val="1"/>
      <w:numFmt w:val="bullet"/>
      <w:lvlText w:val="o"/>
      <w:lvlJc w:val="left"/>
      <w:pPr>
        <w:ind w:left="5490"/>
      </w:pPr>
      <w:rPr>
        <w:rFonts w:ascii="Segoe UI Symbol" w:eastAsia="Segoe UI Symbol" w:hAnsi="Segoe UI Symbol" w:cs="Segoe UI Symbol"/>
        <w:b w:val="0"/>
        <w:i w:val="0"/>
        <w:strike w:val="0"/>
        <w:dstrike w:val="0"/>
        <w:color w:val="0070C0"/>
        <w:sz w:val="22"/>
        <w:szCs w:val="22"/>
        <w:u w:val="single" w:color="0070C0"/>
        <w:bdr w:val="none" w:sz="0" w:space="0" w:color="auto"/>
        <w:shd w:val="clear" w:color="auto" w:fill="auto"/>
        <w:vertAlign w:val="baseline"/>
      </w:rPr>
    </w:lvl>
    <w:lvl w:ilvl="8" w:tplc="CF6AD140">
      <w:start w:val="1"/>
      <w:numFmt w:val="bullet"/>
      <w:lvlText w:val="▪"/>
      <w:lvlJc w:val="left"/>
      <w:pPr>
        <w:ind w:left="6210"/>
      </w:pPr>
      <w:rPr>
        <w:rFonts w:ascii="Segoe UI Symbol" w:eastAsia="Segoe UI Symbol" w:hAnsi="Segoe UI Symbol" w:cs="Segoe UI Symbol"/>
        <w:b w:val="0"/>
        <w:i w:val="0"/>
        <w:strike w:val="0"/>
        <w:dstrike w:val="0"/>
        <w:color w:val="0070C0"/>
        <w:sz w:val="22"/>
        <w:szCs w:val="22"/>
        <w:u w:val="single" w:color="0070C0"/>
        <w:bdr w:val="none" w:sz="0" w:space="0" w:color="auto"/>
        <w:shd w:val="clear" w:color="auto" w:fill="auto"/>
        <w:vertAlign w:val="baseline"/>
      </w:rPr>
    </w:lvl>
  </w:abstractNum>
  <w:abstractNum w:abstractNumId="188" w15:restartNumberingAfterBreak="0">
    <w:nsid w:val="672E1432"/>
    <w:multiLevelType w:val="hybridMultilevel"/>
    <w:tmpl w:val="09344C64"/>
    <w:lvl w:ilvl="0" w:tplc="2EF25492">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BC596C">
      <w:start w:val="1"/>
      <w:numFmt w:val="lowerLetter"/>
      <w:lvlText w:val="%2."/>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B0C0916">
      <w:start w:val="1"/>
      <w:numFmt w:val="lowerRoman"/>
      <w:lvlText w:val="%3"/>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808153E">
      <w:start w:val="1"/>
      <w:numFmt w:val="decimal"/>
      <w:lvlText w:val="%4"/>
      <w:lvlJc w:val="left"/>
      <w:pPr>
        <w:ind w:left="2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B89E68">
      <w:start w:val="1"/>
      <w:numFmt w:val="lowerLetter"/>
      <w:lvlText w:val="%5"/>
      <w:lvlJc w:val="left"/>
      <w:pPr>
        <w:ind w:left="2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03E172C">
      <w:start w:val="1"/>
      <w:numFmt w:val="lowerRoman"/>
      <w:lvlText w:val="%6"/>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F20ADBA">
      <w:start w:val="1"/>
      <w:numFmt w:val="decimal"/>
      <w:lvlText w:val="%7"/>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EC70DA">
      <w:start w:val="1"/>
      <w:numFmt w:val="lowerLetter"/>
      <w:lvlText w:val="%8"/>
      <w:lvlJc w:val="left"/>
      <w:pPr>
        <w:ind w:left="5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522412A">
      <w:start w:val="1"/>
      <w:numFmt w:val="lowerRoman"/>
      <w:lvlText w:val="%9"/>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9" w15:restartNumberingAfterBreak="0">
    <w:nsid w:val="67D824A6"/>
    <w:multiLevelType w:val="hybridMultilevel"/>
    <w:tmpl w:val="67C0B7C2"/>
    <w:lvl w:ilvl="0" w:tplc="03D672C6">
      <w:start w:val="9"/>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0E834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196C11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12E398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30072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63A1C1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9E63E1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0D4E30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C225C1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0" w15:restartNumberingAfterBreak="0">
    <w:nsid w:val="68415E74"/>
    <w:multiLevelType w:val="hybridMultilevel"/>
    <w:tmpl w:val="B4A0DE2C"/>
    <w:lvl w:ilvl="0" w:tplc="CE900C56">
      <w:start w:val="7"/>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CF6B40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0E8D0E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0F0023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FE3E5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84855B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FE49F1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64FB2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6E237F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1" w15:restartNumberingAfterBreak="0">
    <w:nsid w:val="69150E40"/>
    <w:multiLevelType w:val="hybridMultilevel"/>
    <w:tmpl w:val="C17E8764"/>
    <w:lvl w:ilvl="0" w:tplc="7EDC2812">
      <w:start w:val="1"/>
      <w:numFmt w:val="decimal"/>
      <w:lvlText w:val="%1."/>
      <w:lvlJc w:val="left"/>
      <w:pPr>
        <w:ind w:left="65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8BF81262">
      <w:start w:val="1"/>
      <w:numFmt w:val="lowerLetter"/>
      <w:lvlText w:val="%2"/>
      <w:lvlJc w:val="left"/>
      <w:pPr>
        <w:ind w:left="13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D6EFE5A">
      <w:start w:val="1"/>
      <w:numFmt w:val="lowerRoman"/>
      <w:lvlText w:val="%3"/>
      <w:lvlJc w:val="left"/>
      <w:pPr>
        <w:ind w:left="20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701C71B8">
      <w:start w:val="1"/>
      <w:numFmt w:val="decimal"/>
      <w:lvlText w:val="%4"/>
      <w:lvlJc w:val="left"/>
      <w:pPr>
        <w:ind w:left="28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0214FEAE">
      <w:start w:val="1"/>
      <w:numFmt w:val="lowerLetter"/>
      <w:lvlText w:val="%5"/>
      <w:lvlJc w:val="left"/>
      <w:pPr>
        <w:ind w:left="352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EE0C4AA">
      <w:start w:val="1"/>
      <w:numFmt w:val="lowerRoman"/>
      <w:lvlText w:val="%6"/>
      <w:lvlJc w:val="left"/>
      <w:pPr>
        <w:ind w:left="424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398E7102">
      <w:start w:val="1"/>
      <w:numFmt w:val="decimal"/>
      <w:lvlText w:val="%7"/>
      <w:lvlJc w:val="left"/>
      <w:pPr>
        <w:ind w:left="49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DDF0E6C0">
      <w:start w:val="1"/>
      <w:numFmt w:val="lowerLetter"/>
      <w:lvlText w:val="%8"/>
      <w:lvlJc w:val="left"/>
      <w:pPr>
        <w:ind w:left="56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0332091C">
      <w:start w:val="1"/>
      <w:numFmt w:val="lowerRoman"/>
      <w:lvlText w:val="%9"/>
      <w:lvlJc w:val="left"/>
      <w:pPr>
        <w:ind w:left="64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92" w15:restartNumberingAfterBreak="0">
    <w:nsid w:val="69844ACA"/>
    <w:multiLevelType w:val="hybridMultilevel"/>
    <w:tmpl w:val="CFB27C60"/>
    <w:lvl w:ilvl="0" w:tplc="F91643AC">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C6EAC2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426730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FFA541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64C9F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108B34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8C4BFB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5B6B02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DB2E60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3" w15:restartNumberingAfterBreak="0">
    <w:nsid w:val="6A051C07"/>
    <w:multiLevelType w:val="hybridMultilevel"/>
    <w:tmpl w:val="D152D9F4"/>
    <w:lvl w:ilvl="0" w:tplc="049649C6">
      <w:start w:val="1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C0221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7DC606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E4AD05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CC68A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FFAFE4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69891B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6649A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1EE98F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4" w15:restartNumberingAfterBreak="0">
    <w:nsid w:val="6A187019"/>
    <w:multiLevelType w:val="hybridMultilevel"/>
    <w:tmpl w:val="76284A26"/>
    <w:lvl w:ilvl="0" w:tplc="FB3A6912">
      <w:start w:val="1"/>
      <w:numFmt w:val="decimal"/>
      <w:lvlText w:val="%1."/>
      <w:lvlJc w:val="left"/>
      <w:pPr>
        <w:ind w:left="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9E7E06">
      <w:start w:val="10"/>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EE08AA0">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1687758">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F0041C">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69EE306">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0C84440">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2CDE14">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12091BE">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5" w15:restartNumberingAfterBreak="0">
    <w:nsid w:val="6AFB71C7"/>
    <w:multiLevelType w:val="hybridMultilevel"/>
    <w:tmpl w:val="4098752E"/>
    <w:lvl w:ilvl="0" w:tplc="DBF259D8">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DF0F19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844476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0D05B8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2001C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61E966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CFA96C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DAD53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56A51E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6" w15:restartNumberingAfterBreak="0">
    <w:nsid w:val="6B0C7859"/>
    <w:multiLevelType w:val="hybridMultilevel"/>
    <w:tmpl w:val="631C8062"/>
    <w:lvl w:ilvl="0" w:tplc="B1127AA0">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C7691F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BE82F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366A71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1CC113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78DF7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D4C16E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029E4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6F8E39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7" w15:restartNumberingAfterBreak="0">
    <w:nsid w:val="6B417103"/>
    <w:multiLevelType w:val="hybridMultilevel"/>
    <w:tmpl w:val="897A88CC"/>
    <w:lvl w:ilvl="0" w:tplc="776E20A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8B055D0">
      <w:start w:val="19"/>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2486B42">
      <w:start w:val="1"/>
      <w:numFmt w:val="lowerRoman"/>
      <w:lvlText w:val="%3"/>
      <w:lvlJc w:val="left"/>
      <w:pPr>
        <w:ind w:left="1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AA46D8A">
      <w:start w:val="1"/>
      <w:numFmt w:val="decimal"/>
      <w:lvlText w:val="%4"/>
      <w:lvlJc w:val="left"/>
      <w:pPr>
        <w:ind w:left="2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345A82">
      <w:start w:val="1"/>
      <w:numFmt w:val="lowerLetter"/>
      <w:lvlText w:val="%5"/>
      <w:lvlJc w:val="left"/>
      <w:pPr>
        <w:ind w:left="2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3D8AEA4">
      <w:start w:val="1"/>
      <w:numFmt w:val="lowerRoman"/>
      <w:lvlText w:val="%6"/>
      <w:lvlJc w:val="left"/>
      <w:pPr>
        <w:ind w:left="35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EEAF624">
      <w:start w:val="1"/>
      <w:numFmt w:val="decimal"/>
      <w:lvlText w:val="%7"/>
      <w:lvlJc w:val="left"/>
      <w:pPr>
        <w:ind w:left="42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8277BE">
      <w:start w:val="1"/>
      <w:numFmt w:val="lowerLetter"/>
      <w:lvlText w:val="%8"/>
      <w:lvlJc w:val="left"/>
      <w:pPr>
        <w:ind w:left="49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8D0368A">
      <w:start w:val="1"/>
      <w:numFmt w:val="lowerRoman"/>
      <w:lvlText w:val="%9"/>
      <w:lvlJc w:val="left"/>
      <w:pPr>
        <w:ind w:left="5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8" w15:restartNumberingAfterBreak="0">
    <w:nsid w:val="6BD46891"/>
    <w:multiLevelType w:val="hybridMultilevel"/>
    <w:tmpl w:val="B8622D3C"/>
    <w:lvl w:ilvl="0" w:tplc="9D38F4E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EEA378">
      <w:start w:val="7"/>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0FA19F0">
      <w:start w:val="1"/>
      <w:numFmt w:val="lowerRoman"/>
      <w:lvlText w:val="%3"/>
      <w:lvlJc w:val="left"/>
      <w:pPr>
        <w:ind w:left="1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06E7D18">
      <w:start w:val="1"/>
      <w:numFmt w:val="decimal"/>
      <w:lvlText w:val="%4"/>
      <w:lvlJc w:val="left"/>
      <w:pPr>
        <w:ind w:left="2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D65320">
      <w:start w:val="1"/>
      <w:numFmt w:val="lowerLetter"/>
      <w:lvlText w:val="%5"/>
      <w:lvlJc w:val="left"/>
      <w:pPr>
        <w:ind w:left="2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3A88EF2">
      <w:start w:val="1"/>
      <w:numFmt w:val="lowerRoman"/>
      <w:lvlText w:val="%6"/>
      <w:lvlJc w:val="left"/>
      <w:pPr>
        <w:ind w:left="35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27A134C">
      <w:start w:val="1"/>
      <w:numFmt w:val="decimal"/>
      <w:lvlText w:val="%7"/>
      <w:lvlJc w:val="left"/>
      <w:pPr>
        <w:ind w:left="42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460D22">
      <w:start w:val="1"/>
      <w:numFmt w:val="lowerLetter"/>
      <w:lvlText w:val="%8"/>
      <w:lvlJc w:val="left"/>
      <w:pPr>
        <w:ind w:left="49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EC2E9A0">
      <w:start w:val="1"/>
      <w:numFmt w:val="lowerRoman"/>
      <w:lvlText w:val="%9"/>
      <w:lvlJc w:val="left"/>
      <w:pPr>
        <w:ind w:left="5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9" w15:restartNumberingAfterBreak="0">
    <w:nsid w:val="6BED24A5"/>
    <w:multiLevelType w:val="hybridMultilevel"/>
    <w:tmpl w:val="23F4AAA4"/>
    <w:lvl w:ilvl="0" w:tplc="FBAC98C8">
      <w:start w:val="1"/>
      <w:numFmt w:val="decimal"/>
      <w:lvlText w:val="%1."/>
      <w:lvlJc w:val="left"/>
      <w:pPr>
        <w:ind w:left="89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154B79A">
      <w:start w:val="1"/>
      <w:numFmt w:val="lowerLetter"/>
      <w:lvlText w:val="%2."/>
      <w:lvlJc w:val="left"/>
      <w:pPr>
        <w:ind w:left="117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06649692">
      <w:start w:val="1"/>
      <w:numFmt w:val="lowerRoman"/>
      <w:lvlText w:val="%3"/>
      <w:lvlJc w:val="left"/>
      <w:pPr>
        <w:ind w:left="13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214339E">
      <w:start w:val="1"/>
      <w:numFmt w:val="decimal"/>
      <w:lvlText w:val="%4"/>
      <w:lvlJc w:val="left"/>
      <w:pPr>
        <w:ind w:left="20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EAC81EC">
      <w:start w:val="1"/>
      <w:numFmt w:val="lowerLetter"/>
      <w:lvlText w:val="%5"/>
      <w:lvlJc w:val="left"/>
      <w:pPr>
        <w:ind w:left="28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78652D2">
      <w:start w:val="1"/>
      <w:numFmt w:val="lowerRoman"/>
      <w:lvlText w:val="%6"/>
      <w:lvlJc w:val="left"/>
      <w:pPr>
        <w:ind w:left="352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C605382">
      <w:start w:val="1"/>
      <w:numFmt w:val="decimal"/>
      <w:lvlText w:val="%7"/>
      <w:lvlJc w:val="left"/>
      <w:pPr>
        <w:ind w:left="424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CB2D43C">
      <w:start w:val="1"/>
      <w:numFmt w:val="lowerLetter"/>
      <w:lvlText w:val="%8"/>
      <w:lvlJc w:val="left"/>
      <w:pPr>
        <w:ind w:left="49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AD82CB0A">
      <w:start w:val="1"/>
      <w:numFmt w:val="lowerRoman"/>
      <w:lvlText w:val="%9"/>
      <w:lvlJc w:val="left"/>
      <w:pPr>
        <w:ind w:left="56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00" w15:restartNumberingAfterBreak="0">
    <w:nsid w:val="6C3754D2"/>
    <w:multiLevelType w:val="hybridMultilevel"/>
    <w:tmpl w:val="7C84694C"/>
    <w:lvl w:ilvl="0" w:tplc="02248422">
      <w:start w:val="3"/>
      <w:numFmt w:val="decimal"/>
      <w:lvlText w:val="%1."/>
      <w:lvlJc w:val="left"/>
      <w:pPr>
        <w:ind w:left="88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7B4C93AE">
      <w:start w:val="1"/>
      <w:numFmt w:val="lowerLetter"/>
      <w:lvlText w:val="%2"/>
      <w:lvlJc w:val="left"/>
      <w:pPr>
        <w:ind w:left="13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0942D6C">
      <w:start w:val="1"/>
      <w:numFmt w:val="lowerRoman"/>
      <w:lvlText w:val="%3"/>
      <w:lvlJc w:val="left"/>
      <w:pPr>
        <w:ind w:left="20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7A6B8D8">
      <w:start w:val="1"/>
      <w:numFmt w:val="decimal"/>
      <w:lvlText w:val="%4"/>
      <w:lvlJc w:val="left"/>
      <w:pPr>
        <w:ind w:left="28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6E271D2">
      <w:start w:val="1"/>
      <w:numFmt w:val="lowerLetter"/>
      <w:lvlText w:val="%5"/>
      <w:lvlJc w:val="left"/>
      <w:pPr>
        <w:ind w:left="352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F7A1BB4">
      <w:start w:val="1"/>
      <w:numFmt w:val="lowerRoman"/>
      <w:lvlText w:val="%6"/>
      <w:lvlJc w:val="left"/>
      <w:pPr>
        <w:ind w:left="424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D0E78D0">
      <w:start w:val="1"/>
      <w:numFmt w:val="decimal"/>
      <w:lvlText w:val="%7"/>
      <w:lvlJc w:val="left"/>
      <w:pPr>
        <w:ind w:left="49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F7AB3B2">
      <w:start w:val="1"/>
      <w:numFmt w:val="lowerLetter"/>
      <w:lvlText w:val="%8"/>
      <w:lvlJc w:val="left"/>
      <w:pPr>
        <w:ind w:left="56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37DA17B8">
      <w:start w:val="1"/>
      <w:numFmt w:val="lowerRoman"/>
      <w:lvlText w:val="%9"/>
      <w:lvlJc w:val="left"/>
      <w:pPr>
        <w:ind w:left="64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01" w15:restartNumberingAfterBreak="0">
    <w:nsid w:val="6C775181"/>
    <w:multiLevelType w:val="hybridMultilevel"/>
    <w:tmpl w:val="FA8431C6"/>
    <w:lvl w:ilvl="0" w:tplc="090C6B0E">
      <w:start w:val="7"/>
      <w:numFmt w:val="decimal"/>
      <w:lvlText w:val="%1."/>
      <w:lvlJc w:val="left"/>
      <w:pPr>
        <w:ind w:left="62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92218F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5D2EB8C">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0D0971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8DAA45A">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5E602F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93E8D0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50ACA4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F087E1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02" w15:restartNumberingAfterBreak="0">
    <w:nsid w:val="6CAC4B3B"/>
    <w:multiLevelType w:val="hybridMultilevel"/>
    <w:tmpl w:val="BEF09AEE"/>
    <w:lvl w:ilvl="0" w:tplc="14E28D4A">
      <w:start w:val="4"/>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9A904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C34602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94A137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EA9F8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F2EFFC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3088D2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A8239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59E74A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3" w15:restartNumberingAfterBreak="0">
    <w:nsid w:val="6CF371FB"/>
    <w:multiLevelType w:val="hybridMultilevel"/>
    <w:tmpl w:val="E2A2F586"/>
    <w:lvl w:ilvl="0" w:tplc="C8B67ADC">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AC367C">
      <w:start w:val="1"/>
      <w:numFmt w:val="lowerLetter"/>
      <w:lvlText w:val="%2."/>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FD2C950">
      <w:start w:val="1"/>
      <w:numFmt w:val="lowerRoman"/>
      <w:lvlText w:val="%3"/>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AE2BD52">
      <w:start w:val="1"/>
      <w:numFmt w:val="decimal"/>
      <w:lvlText w:val="%4"/>
      <w:lvlJc w:val="left"/>
      <w:pPr>
        <w:ind w:left="2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589D26">
      <w:start w:val="1"/>
      <w:numFmt w:val="lowerLetter"/>
      <w:lvlText w:val="%5"/>
      <w:lvlJc w:val="left"/>
      <w:pPr>
        <w:ind w:left="2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6A22AE2">
      <w:start w:val="1"/>
      <w:numFmt w:val="lowerRoman"/>
      <w:lvlText w:val="%6"/>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5BA828E">
      <w:start w:val="1"/>
      <w:numFmt w:val="decimal"/>
      <w:lvlText w:val="%7"/>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4C86CB0">
      <w:start w:val="1"/>
      <w:numFmt w:val="lowerLetter"/>
      <w:lvlText w:val="%8"/>
      <w:lvlJc w:val="left"/>
      <w:pPr>
        <w:ind w:left="5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49CB458">
      <w:start w:val="1"/>
      <w:numFmt w:val="lowerRoman"/>
      <w:lvlText w:val="%9"/>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4" w15:restartNumberingAfterBreak="0">
    <w:nsid w:val="6CF42C9F"/>
    <w:multiLevelType w:val="hybridMultilevel"/>
    <w:tmpl w:val="FEC0D398"/>
    <w:lvl w:ilvl="0" w:tplc="265876E0">
      <w:start w:val="6"/>
      <w:numFmt w:val="upperLetter"/>
      <w:lvlText w:val="%1)"/>
      <w:lvlJc w:val="left"/>
      <w:pPr>
        <w:ind w:left="631"/>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1" w:tplc="E836F5A8">
      <w:start w:val="1"/>
      <w:numFmt w:val="lowerLetter"/>
      <w:lvlText w:val="%2"/>
      <w:lvlJc w:val="left"/>
      <w:pPr>
        <w:ind w:left="112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2" w:tplc="C43A6FD6">
      <w:start w:val="1"/>
      <w:numFmt w:val="lowerRoman"/>
      <w:lvlText w:val="%3"/>
      <w:lvlJc w:val="left"/>
      <w:pPr>
        <w:ind w:left="184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3" w:tplc="E4F42778">
      <w:start w:val="1"/>
      <w:numFmt w:val="decimal"/>
      <w:lvlText w:val="%4"/>
      <w:lvlJc w:val="left"/>
      <w:pPr>
        <w:ind w:left="256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4" w:tplc="9892A852">
      <w:start w:val="1"/>
      <w:numFmt w:val="lowerLetter"/>
      <w:lvlText w:val="%5"/>
      <w:lvlJc w:val="left"/>
      <w:pPr>
        <w:ind w:left="328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5" w:tplc="EDCE9DD6">
      <w:start w:val="1"/>
      <w:numFmt w:val="lowerRoman"/>
      <w:lvlText w:val="%6"/>
      <w:lvlJc w:val="left"/>
      <w:pPr>
        <w:ind w:left="400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6" w:tplc="9C88BE9E">
      <w:start w:val="1"/>
      <w:numFmt w:val="decimal"/>
      <w:lvlText w:val="%7"/>
      <w:lvlJc w:val="left"/>
      <w:pPr>
        <w:ind w:left="472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7" w:tplc="54F6C470">
      <w:start w:val="1"/>
      <w:numFmt w:val="lowerLetter"/>
      <w:lvlText w:val="%8"/>
      <w:lvlJc w:val="left"/>
      <w:pPr>
        <w:ind w:left="544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8" w:tplc="956A81BC">
      <w:start w:val="1"/>
      <w:numFmt w:val="lowerRoman"/>
      <w:lvlText w:val="%9"/>
      <w:lvlJc w:val="left"/>
      <w:pPr>
        <w:ind w:left="616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abstractNum>
  <w:abstractNum w:abstractNumId="205" w15:restartNumberingAfterBreak="0">
    <w:nsid w:val="6DB57DDB"/>
    <w:multiLevelType w:val="hybridMultilevel"/>
    <w:tmpl w:val="009E0826"/>
    <w:lvl w:ilvl="0" w:tplc="178CCDB8">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E0D96C">
      <w:start w:val="5"/>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6D2A58E">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F9C5FE2">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266F3E">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7B6D9CE">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3B45A94">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6A5764">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44A9F34">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6" w15:restartNumberingAfterBreak="0">
    <w:nsid w:val="6E033AC1"/>
    <w:multiLevelType w:val="hybridMultilevel"/>
    <w:tmpl w:val="70AABB94"/>
    <w:lvl w:ilvl="0" w:tplc="92C4CE82">
      <w:start w:val="1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98E14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6E2457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FF8DC5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928B3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07C82E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DF2AFF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68D4C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750EB0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7" w15:restartNumberingAfterBreak="0">
    <w:nsid w:val="6E910A7A"/>
    <w:multiLevelType w:val="hybridMultilevel"/>
    <w:tmpl w:val="5AD61A44"/>
    <w:lvl w:ilvl="0" w:tplc="FD96E898">
      <w:start w:val="1"/>
      <w:numFmt w:val="decimal"/>
      <w:lvlText w:val="%1."/>
      <w:lvlJc w:val="left"/>
      <w:pPr>
        <w:ind w:left="52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9AE43FE">
      <w:start w:val="1"/>
      <w:numFmt w:val="lowerLetter"/>
      <w:lvlText w:val="%2"/>
      <w:lvlJc w:val="left"/>
      <w:pPr>
        <w:ind w:left="142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C4249DC">
      <w:start w:val="1"/>
      <w:numFmt w:val="lowerRoman"/>
      <w:lvlText w:val="%3"/>
      <w:lvlJc w:val="left"/>
      <w:pPr>
        <w:ind w:left="214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D36CAB8">
      <w:start w:val="1"/>
      <w:numFmt w:val="decimal"/>
      <w:lvlText w:val="%4"/>
      <w:lvlJc w:val="left"/>
      <w:pPr>
        <w:ind w:left="286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0001B5E">
      <w:start w:val="1"/>
      <w:numFmt w:val="lowerLetter"/>
      <w:lvlText w:val="%5"/>
      <w:lvlJc w:val="left"/>
      <w:pPr>
        <w:ind w:left="358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5BD8C5FC">
      <w:start w:val="1"/>
      <w:numFmt w:val="lowerRoman"/>
      <w:lvlText w:val="%6"/>
      <w:lvlJc w:val="left"/>
      <w:pPr>
        <w:ind w:left="430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0246A9F0">
      <w:start w:val="1"/>
      <w:numFmt w:val="decimal"/>
      <w:lvlText w:val="%7"/>
      <w:lvlJc w:val="left"/>
      <w:pPr>
        <w:ind w:left="502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D0B42DCE">
      <w:start w:val="1"/>
      <w:numFmt w:val="lowerLetter"/>
      <w:lvlText w:val="%8"/>
      <w:lvlJc w:val="left"/>
      <w:pPr>
        <w:ind w:left="574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6C659D2">
      <w:start w:val="1"/>
      <w:numFmt w:val="lowerRoman"/>
      <w:lvlText w:val="%9"/>
      <w:lvlJc w:val="left"/>
      <w:pPr>
        <w:ind w:left="646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08" w15:restartNumberingAfterBreak="0">
    <w:nsid w:val="6EAA2EC2"/>
    <w:multiLevelType w:val="hybridMultilevel"/>
    <w:tmpl w:val="2E1EB4A0"/>
    <w:lvl w:ilvl="0" w:tplc="EAA2CCC0">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F097C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DF0C69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B3E699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CA383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782C15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05A9AE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009C9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076BB5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9" w15:restartNumberingAfterBreak="0">
    <w:nsid w:val="6EE62B7A"/>
    <w:multiLevelType w:val="hybridMultilevel"/>
    <w:tmpl w:val="2A683882"/>
    <w:lvl w:ilvl="0" w:tplc="4CE0AB6C">
      <w:start w:val="1"/>
      <w:numFmt w:val="bullet"/>
      <w:lvlText w:val="-"/>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06A6DC">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6CA826A">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47A961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F68F9E">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2046EC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4FE69F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5CFFCC">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BEA518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0" w15:restartNumberingAfterBreak="0">
    <w:nsid w:val="6F4B68C4"/>
    <w:multiLevelType w:val="hybridMultilevel"/>
    <w:tmpl w:val="0B925E16"/>
    <w:lvl w:ilvl="0" w:tplc="CD7A53F0">
      <w:start w:val="1"/>
      <w:numFmt w:val="upperRoman"/>
      <w:lvlText w:val="%1."/>
      <w:lvlJc w:val="left"/>
      <w:pPr>
        <w:ind w:left="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8E035D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2B48F3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F16B80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58F72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C0AC58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D62672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762D6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0122E3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1" w15:restartNumberingAfterBreak="0">
    <w:nsid w:val="6F666697"/>
    <w:multiLevelType w:val="hybridMultilevel"/>
    <w:tmpl w:val="06101444"/>
    <w:lvl w:ilvl="0" w:tplc="F6582348">
      <w:start w:val="5"/>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0C705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EF8640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C24770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1CA78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302BF8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D24DFB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0E8C57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15C526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2" w15:restartNumberingAfterBreak="0">
    <w:nsid w:val="70036F3D"/>
    <w:multiLevelType w:val="hybridMultilevel"/>
    <w:tmpl w:val="92846FB8"/>
    <w:lvl w:ilvl="0" w:tplc="801085AE">
      <w:start w:val="4"/>
      <w:numFmt w:val="decimal"/>
      <w:lvlText w:val="%1."/>
      <w:lvlJc w:val="left"/>
      <w:pPr>
        <w:ind w:left="65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BBED748">
      <w:start w:val="1"/>
      <w:numFmt w:val="lowerLetter"/>
      <w:lvlText w:val="%2"/>
      <w:lvlJc w:val="left"/>
      <w:pPr>
        <w:ind w:left="13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94ECAAE2">
      <w:start w:val="1"/>
      <w:numFmt w:val="lowerRoman"/>
      <w:lvlText w:val="%3"/>
      <w:lvlJc w:val="left"/>
      <w:pPr>
        <w:ind w:left="20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1D898E2">
      <w:start w:val="1"/>
      <w:numFmt w:val="decimal"/>
      <w:lvlText w:val="%4"/>
      <w:lvlJc w:val="left"/>
      <w:pPr>
        <w:ind w:left="28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486D3E0">
      <w:start w:val="1"/>
      <w:numFmt w:val="lowerLetter"/>
      <w:lvlText w:val="%5"/>
      <w:lvlJc w:val="left"/>
      <w:pPr>
        <w:ind w:left="352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30E3560">
      <w:start w:val="1"/>
      <w:numFmt w:val="lowerRoman"/>
      <w:lvlText w:val="%6"/>
      <w:lvlJc w:val="left"/>
      <w:pPr>
        <w:ind w:left="424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B4E752E">
      <w:start w:val="1"/>
      <w:numFmt w:val="decimal"/>
      <w:lvlText w:val="%7"/>
      <w:lvlJc w:val="left"/>
      <w:pPr>
        <w:ind w:left="49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AD611FA">
      <w:start w:val="1"/>
      <w:numFmt w:val="lowerLetter"/>
      <w:lvlText w:val="%8"/>
      <w:lvlJc w:val="left"/>
      <w:pPr>
        <w:ind w:left="56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00A05C62">
      <w:start w:val="1"/>
      <w:numFmt w:val="lowerRoman"/>
      <w:lvlText w:val="%9"/>
      <w:lvlJc w:val="left"/>
      <w:pPr>
        <w:ind w:left="64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13" w15:restartNumberingAfterBreak="0">
    <w:nsid w:val="70664C89"/>
    <w:multiLevelType w:val="hybridMultilevel"/>
    <w:tmpl w:val="BE94C3EC"/>
    <w:lvl w:ilvl="0" w:tplc="D37605A8">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EB0154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370885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41277A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36201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672851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E9224F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F008E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960890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4" w15:restartNumberingAfterBreak="0">
    <w:nsid w:val="70BB7B65"/>
    <w:multiLevelType w:val="hybridMultilevel"/>
    <w:tmpl w:val="6BC25304"/>
    <w:lvl w:ilvl="0" w:tplc="0F8A7EE2">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3822E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28E8EF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AE63A1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94D89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850F5D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700E6A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52D1B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56A6DD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5" w15:restartNumberingAfterBreak="0">
    <w:nsid w:val="714B255F"/>
    <w:multiLevelType w:val="hybridMultilevel"/>
    <w:tmpl w:val="B4887398"/>
    <w:lvl w:ilvl="0" w:tplc="339C2DE8">
      <w:start w:val="8"/>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C0028F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C86899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D2EFC6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7A2275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796225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C7A31A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D1AA57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B50615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6" w15:restartNumberingAfterBreak="0">
    <w:nsid w:val="729E700B"/>
    <w:multiLevelType w:val="hybridMultilevel"/>
    <w:tmpl w:val="37AE868C"/>
    <w:lvl w:ilvl="0" w:tplc="461AA0E4">
      <w:start w:val="11"/>
      <w:numFmt w:val="decimal"/>
      <w:lvlText w:val="%1."/>
      <w:lvlJc w:val="left"/>
      <w:pPr>
        <w:ind w:left="1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0A291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9F0AC9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1F6DB2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D6990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CC440F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D007CC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4423D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8D4FFC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7" w15:restartNumberingAfterBreak="0">
    <w:nsid w:val="73861B3E"/>
    <w:multiLevelType w:val="hybridMultilevel"/>
    <w:tmpl w:val="A02AF778"/>
    <w:lvl w:ilvl="0" w:tplc="70642404">
      <w:start w:val="6"/>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64FEF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EDE347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8F82DC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1C5DD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9C640D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C1639C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40F8D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88CD68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8" w15:restartNumberingAfterBreak="0">
    <w:nsid w:val="73A12A95"/>
    <w:multiLevelType w:val="hybridMultilevel"/>
    <w:tmpl w:val="9D4AAB18"/>
    <w:lvl w:ilvl="0" w:tplc="3BBAD0CA">
      <w:start w:val="1"/>
      <w:numFmt w:val="lowerLetter"/>
      <w:lvlText w:val="%1)"/>
      <w:lvlJc w:val="left"/>
      <w:pPr>
        <w:ind w:left="6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7CBCF2">
      <w:start w:val="1"/>
      <w:numFmt w:val="lowerLetter"/>
      <w:lvlText w:val="%2"/>
      <w:lvlJc w:val="left"/>
      <w:pPr>
        <w:ind w:left="13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CB2E604">
      <w:start w:val="1"/>
      <w:numFmt w:val="lowerRoman"/>
      <w:lvlText w:val="%3"/>
      <w:lvlJc w:val="left"/>
      <w:pPr>
        <w:ind w:left="20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28CD0A8">
      <w:start w:val="1"/>
      <w:numFmt w:val="decimal"/>
      <w:lvlText w:val="%4"/>
      <w:lvlJc w:val="left"/>
      <w:pPr>
        <w:ind w:left="27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F425E0">
      <w:start w:val="1"/>
      <w:numFmt w:val="lowerLetter"/>
      <w:lvlText w:val="%5"/>
      <w:lvlJc w:val="left"/>
      <w:pPr>
        <w:ind w:left="34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E28BF3C">
      <w:start w:val="1"/>
      <w:numFmt w:val="lowerRoman"/>
      <w:lvlText w:val="%6"/>
      <w:lvlJc w:val="left"/>
      <w:pPr>
        <w:ind w:left="42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6BC254C">
      <w:start w:val="1"/>
      <w:numFmt w:val="decimal"/>
      <w:lvlText w:val="%7"/>
      <w:lvlJc w:val="left"/>
      <w:pPr>
        <w:ind w:left="49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26EDBA">
      <w:start w:val="1"/>
      <w:numFmt w:val="lowerLetter"/>
      <w:lvlText w:val="%8"/>
      <w:lvlJc w:val="left"/>
      <w:pPr>
        <w:ind w:left="5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100E66E">
      <w:start w:val="1"/>
      <w:numFmt w:val="lowerRoman"/>
      <w:lvlText w:val="%9"/>
      <w:lvlJc w:val="left"/>
      <w:pPr>
        <w:ind w:left="6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9" w15:restartNumberingAfterBreak="0">
    <w:nsid w:val="73E01EDF"/>
    <w:multiLevelType w:val="hybridMultilevel"/>
    <w:tmpl w:val="0D06E108"/>
    <w:lvl w:ilvl="0" w:tplc="90323A20">
      <w:start w:val="7"/>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BADAE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B42F58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5822C2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C4B50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188152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68C48E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4488E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632E1C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0" w15:restartNumberingAfterBreak="0">
    <w:nsid w:val="75173C63"/>
    <w:multiLevelType w:val="hybridMultilevel"/>
    <w:tmpl w:val="B2C6C72E"/>
    <w:lvl w:ilvl="0" w:tplc="CF8A7EB6">
      <w:start w:val="3"/>
      <w:numFmt w:val="lowerLetter"/>
      <w:lvlText w:val="%1)"/>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B42176">
      <w:start w:val="1"/>
      <w:numFmt w:val="lowerLetter"/>
      <w:lvlText w:val="%2"/>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AF671F4">
      <w:start w:val="1"/>
      <w:numFmt w:val="lowerRoman"/>
      <w:lvlText w:val="%3"/>
      <w:lvlJc w:val="left"/>
      <w:pPr>
        <w:ind w:left="2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3244814">
      <w:start w:val="1"/>
      <w:numFmt w:val="decimal"/>
      <w:lvlText w:val="%4"/>
      <w:lvlJc w:val="left"/>
      <w:pPr>
        <w:ind w:left="2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CEB51C">
      <w:start w:val="1"/>
      <w:numFmt w:val="lowerLetter"/>
      <w:lvlText w:val="%5"/>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C160A18">
      <w:start w:val="1"/>
      <w:numFmt w:val="lowerRoman"/>
      <w:lvlText w:val="%6"/>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5D8D714">
      <w:start w:val="1"/>
      <w:numFmt w:val="decimal"/>
      <w:lvlText w:val="%7"/>
      <w:lvlJc w:val="left"/>
      <w:pPr>
        <w:ind w:left="5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B4D920">
      <w:start w:val="1"/>
      <w:numFmt w:val="lowerLetter"/>
      <w:lvlText w:val="%8"/>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7C0FAB4">
      <w:start w:val="1"/>
      <w:numFmt w:val="lowerRoman"/>
      <w:lvlText w:val="%9"/>
      <w:lvlJc w:val="left"/>
      <w:pPr>
        <w:ind w:left="6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1" w15:restartNumberingAfterBreak="0">
    <w:nsid w:val="75685F26"/>
    <w:multiLevelType w:val="hybridMultilevel"/>
    <w:tmpl w:val="105AAD90"/>
    <w:lvl w:ilvl="0" w:tplc="1682ECB8">
      <w:start w:val="1"/>
      <w:numFmt w:val="bullet"/>
      <w:lvlText w:val="•"/>
      <w:lvlJc w:val="left"/>
      <w:pPr>
        <w:ind w:left="4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508204">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35632D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6FAF49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EE43A62">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522D46A">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45CAAD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B2EA58">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D00305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2" w15:restartNumberingAfterBreak="0">
    <w:nsid w:val="760A3C92"/>
    <w:multiLevelType w:val="hybridMultilevel"/>
    <w:tmpl w:val="C6F2DF92"/>
    <w:lvl w:ilvl="0" w:tplc="89167406">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A0549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7F09D4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CB6ADB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DEE04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680F0A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662F63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BCAC5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F72D35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3" w15:restartNumberingAfterBreak="0">
    <w:nsid w:val="76F5657F"/>
    <w:multiLevelType w:val="hybridMultilevel"/>
    <w:tmpl w:val="EBB2BEEC"/>
    <w:lvl w:ilvl="0" w:tplc="DE8C36AE">
      <w:start w:val="1"/>
      <w:numFmt w:val="bullet"/>
      <w:lvlText w:val="-"/>
      <w:lvlJc w:val="left"/>
      <w:pPr>
        <w:ind w:left="4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0C4CEA">
      <w:start w:val="1"/>
      <w:numFmt w:val="bullet"/>
      <w:lvlText w:val="o"/>
      <w:lvlJc w:val="left"/>
      <w:pPr>
        <w:ind w:left="10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1E21100">
      <w:start w:val="1"/>
      <w:numFmt w:val="bullet"/>
      <w:lvlText w:val="▪"/>
      <w:lvlJc w:val="left"/>
      <w:pPr>
        <w:ind w:left="1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F463172">
      <w:start w:val="1"/>
      <w:numFmt w:val="bullet"/>
      <w:lvlText w:val="•"/>
      <w:lvlJc w:val="left"/>
      <w:pPr>
        <w:ind w:left="25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D07962">
      <w:start w:val="1"/>
      <w:numFmt w:val="bullet"/>
      <w:lvlText w:val="o"/>
      <w:lvlJc w:val="left"/>
      <w:pPr>
        <w:ind w:left="32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DA2027C">
      <w:start w:val="1"/>
      <w:numFmt w:val="bullet"/>
      <w:lvlText w:val="▪"/>
      <w:lvlJc w:val="left"/>
      <w:pPr>
        <w:ind w:left="39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886D832">
      <w:start w:val="1"/>
      <w:numFmt w:val="bullet"/>
      <w:lvlText w:val="•"/>
      <w:lvlJc w:val="left"/>
      <w:pPr>
        <w:ind w:left="46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E828AE">
      <w:start w:val="1"/>
      <w:numFmt w:val="bullet"/>
      <w:lvlText w:val="o"/>
      <w:lvlJc w:val="left"/>
      <w:pPr>
        <w:ind w:left="54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FBCD108">
      <w:start w:val="1"/>
      <w:numFmt w:val="bullet"/>
      <w:lvlText w:val="▪"/>
      <w:lvlJc w:val="left"/>
      <w:pPr>
        <w:ind w:left="61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4" w15:restartNumberingAfterBreak="0">
    <w:nsid w:val="771959B9"/>
    <w:multiLevelType w:val="hybridMultilevel"/>
    <w:tmpl w:val="CEF2A180"/>
    <w:lvl w:ilvl="0" w:tplc="49584CB8">
      <w:start w:val="7"/>
      <w:numFmt w:val="decimal"/>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082B94">
      <w:start w:val="5"/>
      <w:numFmt w:val="lowerLetter"/>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06C9372">
      <w:start w:val="1"/>
      <w:numFmt w:val="lowerRoman"/>
      <w:lvlText w:val="%3"/>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A8238FC">
      <w:start w:val="1"/>
      <w:numFmt w:val="decimal"/>
      <w:lvlText w:val="%4"/>
      <w:lvlJc w:val="left"/>
      <w:pPr>
        <w:ind w:left="2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84BE20">
      <w:start w:val="1"/>
      <w:numFmt w:val="lowerLetter"/>
      <w:lvlText w:val="%5"/>
      <w:lvlJc w:val="left"/>
      <w:pPr>
        <w:ind w:left="2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9180C54">
      <w:start w:val="1"/>
      <w:numFmt w:val="lowerRoman"/>
      <w:lvlText w:val="%6"/>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70A5062">
      <w:start w:val="1"/>
      <w:numFmt w:val="decimal"/>
      <w:lvlText w:val="%7"/>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AA3A84">
      <w:start w:val="1"/>
      <w:numFmt w:val="lowerLetter"/>
      <w:lvlText w:val="%8"/>
      <w:lvlJc w:val="left"/>
      <w:pPr>
        <w:ind w:left="5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120A534">
      <w:start w:val="1"/>
      <w:numFmt w:val="lowerRoman"/>
      <w:lvlText w:val="%9"/>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5" w15:restartNumberingAfterBreak="0">
    <w:nsid w:val="773D23F3"/>
    <w:multiLevelType w:val="hybridMultilevel"/>
    <w:tmpl w:val="AEDCA7D2"/>
    <w:lvl w:ilvl="0" w:tplc="C36C828C">
      <w:start w:val="1"/>
      <w:numFmt w:val="decimal"/>
      <w:lvlText w:val="%1."/>
      <w:lvlJc w:val="left"/>
      <w:pPr>
        <w:ind w:left="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A3EA5E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054380C">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1B69BE6">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C22200">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E36C110">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BAC02EE">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525412">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3ACBC9A">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6" w15:restartNumberingAfterBreak="0">
    <w:nsid w:val="78065609"/>
    <w:multiLevelType w:val="hybridMultilevel"/>
    <w:tmpl w:val="9B8E1C10"/>
    <w:lvl w:ilvl="0" w:tplc="05C251E6">
      <w:start w:val="17"/>
      <w:numFmt w:val="decimal"/>
      <w:lvlText w:val="%1."/>
      <w:lvlJc w:val="left"/>
      <w:pPr>
        <w:ind w:left="1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5631B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560FB4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9A8DD7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2253D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1DC192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A8C154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B6AF5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208AE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7" w15:restartNumberingAfterBreak="0">
    <w:nsid w:val="784836FB"/>
    <w:multiLevelType w:val="hybridMultilevel"/>
    <w:tmpl w:val="EE967596"/>
    <w:lvl w:ilvl="0" w:tplc="9086EC6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DF209A4">
      <w:start w:val="7"/>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88CB700">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1C84B04">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E8254A">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58C076">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38B570">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6AE3C42">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63C81AE">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8" w15:restartNumberingAfterBreak="0">
    <w:nsid w:val="792F45A9"/>
    <w:multiLevelType w:val="hybridMultilevel"/>
    <w:tmpl w:val="66F08110"/>
    <w:lvl w:ilvl="0" w:tplc="B17EDFAE">
      <w:start w:val="17"/>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F25EC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2CCBCA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5B4E23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4AC52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CC0415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D483B2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C831E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A438C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9" w15:restartNumberingAfterBreak="0">
    <w:nsid w:val="7A7F3732"/>
    <w:multiLevelType w:val="hybridMultilevel"/>
    <w:tmpl w:val="5808A7D8"/>
    <w:lvl w:ilvl="0" w:tplc="A1C0D358">
      <w:start w:val="1"/>
      <w:numFmt w:val="decimal"/>
      <w:lvlText w:val="%1."/>
      <w:lvlJc w:val="left"/>
      <w:pPr>
        <w:ind w:left="62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FAEB5A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CCE6EF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E34FD5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768E98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888579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00097E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9DC4C9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CC2E23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30" w15:restartNumberingAfterBreak="0">
    <w:nsid w:val="7AAF6A20"/>
    <w:multiLevelType w:val="hybridMultilevel"/>
    <w:tmpl w:val="126C0844"/>
    <w:lvl w:ilvl="0" w:tplc="8758AF94">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74529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5FC233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DB477C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8EE60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1E6F36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0186A3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2835D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82E334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1" w15:restartNumberingAfterBreak="0">
    <w:nsid w:val="7B6A5EB9"/>
    <w:multiLevelType w:val="hybridMultilevel"/>
    <w:tmpl w:val="5FEC4DB2"/>
    <w:lvl w:ilvl="0" w:tplc="0D42F478">
      <w:start w:val="11"/>
      <w:numFmt w:val="decimal"/>
      <w:lvlText w:val="%1."/>
      <w:lvlJc w:val="left"/>
      <w:pPr>
        <w:ind w:left="1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AEA878">
      <w:start w:val="1"/>
      <w:numFmt w:val="lowerLetter"/>
      <w:lvlText w:val="%2)"/>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7BEBB06">
      <w:start w:val="1"/>
      <w:numFmt w:val="lowerRoman"/>
      <w:lvlText w:val="%3"/>
      <w:lvlJc w:val="left"/>
      <w:pPr>
        <w:ind w:left="15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33ECBFE">
      <w:start w:val="1"/>
      <w:numFmt w:val="decimal"/>
      <w:lvlText w:val="%4"/>
      <w:lvlJc w:val="left"/>
      <w:pPr>
        <w:ind w:left="22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546990">
      <w:start w:val="1"/>
      <w:numFmt w:val="lowerLetter"/>
      <w:lvlText w:val="%5"/>
      <w:lvlJc w:val="left"/>
      <w:pPr>
        <w:ind w:left="2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5D40414">
      <w:start w:val="1"/>
      <w:numFmt w:val="lowerRoman"/>
      <w:lvlText w:val="%6"/>
      <w:lvlJc w:val="left"/>
      <w:pPr>
        <w:ind w:left="3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4260E56">
      <w:start w:val="1"/>
      <w:numFmt w:val="decimal"/>
      <w:lvlText w:val="%7"/>
      <w:lvlJc w:val="left"/>
      <w:pPr>
        <w:ind w:left="4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201304">
      <w:start w:val="1"/>
      <w:numFmt w:val="lowerLetter"/>
      <w:lvlText w:val="%8"/>
      <w:lvlJc w:val="left"/>
      <w:pPr>
        <w:ind w:left="5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6D0B546">
      <w:start w:val="1"/>
      <w:numFmt w:val="lowerRoman"/>
      <w:lvlText w:val="%9"/>
      <w:lvlJc w:val="left"/>
      <w:pPr>
        <w:ind w:left="5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2" w15:restartNumberingAfterBreak="0">
    <w:nsid w:val="7C116295"/>
    <w:multiLevelType w:val="hybridMultilevel"/>
    <w:tmpl w:val="8B582092"/>
    <w:lvl w:ilvl="0" w:tplc="DE54CCD2">
      <w:start w:val="6"/>
      <w:numFmt w:val="decimal"/>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F6F7A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11AC02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8B20D5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320D0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8048DB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37E0F6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8A1C4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290B52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3" w15:restartNumberingAfterBreak="0">
    <w:nsid w:val="7C9E09F5"/>
    <w:multiLevelType w:val="hybridMultilevel"/>
    <w:tmpl w:val="489015AA"/>
    <w:lvl w:ilvl="0" w:tplc="7EDE6806">
      <w:start w:val="9"/>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2081DE">
      <w:start w:val="5"/>
      <w:numFmt w:val="lowerLetter"/>
      <w:lvlText w:val="%2)"/>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746E65A">
      <w:start w:val="1"/>
      <w:numFmt w:val="lowerRoman"/>
      <w:lvlText w:val="%3"/>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C5C899A">
      <w:start w:val="1"/>
      <w:numFmt w:val="decimal"/>
      <w:lvlText w:val="%4"/>
      <w:lvlJc w:val="left"/>
      <w:pPr>
        <w:ind w:left="2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6CB87C">
      <w:start w:val="1"/>
      <w:numFmt w:val="lowerLetter"/>
      <w:lvlText w:val="%5"/>
      <w:lvlJc w:val="left"/>
      <w:pPr>
        <w:ind w:left="2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A8C8618">
      <w:start w:val="1"/>
      <w:numFmt w:val="lowerRoman"/>
      <w:lvlText w:val="%6"/>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C5CB344">
      <w:start w:val="1"/>
      <w:numFmt w:val="decimal"/>
      <w:lvlText w:val="%7"/>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66A77A">
      <w:start w:val="1"/>
      <w:numFmt w:val="lowerLetter"/>
      <w:lvlText w:val="%8"/>
      <w:lvlJc w:val="left"/>
      <w:pPr>
        <w:ind w:left="5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72A4F08">
      <w:start w:val="1"/>
      <w:numFmt w:val="lowerRoman"/>
      <w:lvlText w:val="%9"/>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4" w15:restartNumberingAfterBreak="0">
    <w:nsid w:val="7CB03131"/>
    <w:multiLevelType w:val="hybridMultilevel"/>
    <w:tmpl w:val="AE1AAAFC"/>
    <w:lvl w:ilvl="0" w:tplc="3B5A686C">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167C1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792838C">
      <w:start w:val="1"/>
      <w:numFmt w:val="lowerRoman"/>
      <w:lvlText w:val="%3"/>
      <w:lvlJc w:val="left"/>
      <w:pPr>
        <w:ind w:left="1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1AC0908">
      <w:start w:val="1"/>
      <w:numFmt w:val="decimal"/>
      <w:lvlText w:val="%4"/>
      <w:lvlJc w:val="left"/>
      <w:pPr>
        <w:ind w:left="21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D2BB5C">
      <w:start w:val="1"/>
      <w:numFmt w:val="lowerLetter"/>
      <w:lvlText w:val="%5"/>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B5ED3AA">
      <w:start w:val="1"/>
      <w:numFmt w:val="lowerRoman"/>
      <w:lvlText w:val="%6"/>
      <w:lvlJc w:val="left"/>
      <w:pPr>
        <w:ind w:left="35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412800A">
      <w:start w:val="1"/>
      <w:numFmt w:val="decimal"/>
      <w:lvlText w:val="%7"/>
      <w:lvlJc w:val="left"/>
      <w:pPr>
        <w:ind w:left="43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887676">
      <w:start w:val="1"/>
      <w:numFmt w:val="lowerLetter"/>
      <w:lvlText w:val="%8"/>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F56A950">
      <w:start w:val="1"/>
      <w:numFmt w:val="lowerRoman"/>
      <w:lvlText w:val="%9"/>
      <w:lvlJc w:val="left"/>
      <w:pPr>
        <w:ind w:left="57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5" w15:restartNumberingAfterBreak="0">
    <w:nsid w:val="7EE44444"/>
    <w:multiLevelType w:val="hybridMultilevel"/>
    <w:tmpl w:val="436E235C"/>
    <w:lvl w:ilvl="0" w:tplc="ED98A04E">
      <w:start w:val="1"/>
      <w:numFmt w:val="decimal"/>
      <w:lvlText w:val="%1."/>
      <w:lvlJc w:val="left"/>
      <w:pPr>
        <w:ind w:left="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DC66C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79C3CA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E4077D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D4331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C46303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F60F9E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BCE5D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28AC21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6" w15:restartNumberingAfterBreak="0">
    <w:nsid w:val="7F2744B0"/>
    <w:multiLevelType w:val="hybridMultilevel"/>
    <w:tmpl w:val="AE84AFA4"/>
    <w:lvl w:ilvl="0" w:tplc="C02CEC6C">
      <w:start w:val="1"/>
      <w:numFmt w:val="decimal"/>
      <w:lvlText w:val="%1."/>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FD43000">
      <w:start w:val="1"/>
      <w:numFmt w:val="lowerLetter"/>
      <w:lvlText w:val="%2)"/>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660A07E">
      <w:start w:val="1"/>
      <w:numFmt w:val="lowerRoman"/>
      <w:lvlText w:val="%3"/>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3F69C3A">
      <w:start w:val="1"/>
      <w:numFmt w:val="decimal"/>
      <w:lvlText w:val="%4"/>
      <w:lvlJc w:val="left"/>
      <w:pPr>
        <w:ind w:left="2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60EBAC">
      <w:start w:val="1"/>
      <w:numFmt w:val="lowerLetter"/>
      <w:lvlText w:val="%5"/>
      <w:lvlJc w:val="left"/>
      <w:pPr>
        <w:ind w:left="2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6CE92FA">
      <w:start w:val="1"/>
      <w:numFmt w:val="lowerRoman"/>
      <w:lvlText w:val="%6"/>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562C62E">
      <w:start w:val="1"/>
      <w:numFmt w:val="decimal"/>
      <w:lvlText w:val="%7"/>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3869D6">
      <w:start w:val="1"/>
      <w:numFmt w:val="lowerLetter"/>
      <w:lvlText w:val="%8"/>
      <w:lvlJc w:val="left"/>
      <w:pPr>
        <w:ind w:left="5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1306424">
      <w:start w:val="1"/>
      <w:numFmt w:val="lowerRoman"/>
      <w:lvlText w:val="%9"/>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7" w15:restartNumberingAfterBreak="0">
    <w:nsid w:val="7FDD2569"/>
    <w:multiLevelType w:val="hybridMultilevel"/>
    <w:tmpl w:val="E2AA1BCA"/>
    <w:lvl w:ilvl="0" w:tplc="62805988">
      <w:start w:val="21"/>
      <w:numFmt w:val="lowerLetter"/>
      <w:lvlText w:val="%1)"/>
      <w:lvlJc w:val="left"/>
      <w:pPr>
        <w:ind w:left="1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F465C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59A96B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C50910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ECF21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0C2624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618DF2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48DAA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6C4EE4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23"/>
  </w:num>
  <w:num w:numId="2">
    <w:abstractNumId w:val="209"/>
  </w:num>
  <w:num w:numId="3">
    <w:abstractNumId w:val="28"/>
  </w:num>
  <w:num w:numId="4">
    <w:abstractNumId w:val="58"/>
  </w:num>
  <w:num w:numId="5">
    <w:abstractNumId w:val="147"/>
  </w:num>
  <w:num w:numId="6">
    <w:abstractNumId w:val="89"/>
  </w:num>
  <w:num w:numId="7">
    <w:abstractNumId w:val="184"/>
  </w:num>
  <w:num w:numId="8">
    <w:abstractNumId w:val="87"/>
  </w:num>
  <w:num w:numId="9">
    <w:abstractNumId w:val="19"/>
  </w:num>
  <w:num w:numId="10">
    <w:abstractNumId w:val="143"/>
  </w:num>
  <w:num w:numId="11">
    <w:abstractNumId w:val="95"/>
  </w:num>
  <w:num w:numId="12">
    <w:abstractNumId w:val="62"/>
  </w:num>
  <w:num w:numId="13">
    <w:abstractNumId w:val="166"/>
  </w:num>
  <w:num w:numId="14">
    <w:abstractNumId w:val="47"/>
  </w:num>
  <w:num w:numId="15">
    <w:abstractNumId w:val="40"/>
  </w:num>
  <w:num w:numId="16">
    <w:abstractNumId w:val="32"/>
  </w:num>
  <w:num w:numId="17">
    <w:abstractNumId w:val="172"/>
  </w:num>
  <w:num w:numId="18">
    <w:abstractNumId w:val="69"/>
  </w:num>
  <w:num w:numId="19">
    <w:abstractNumId w:val="223"/>
  </w:num>
  <w:num w:numId="20">
    <w:abstractNumId w:val="159"/>
  </w:num>
  <w:num w:numId="21">
    <w:abstractNumId w:val="60"/>
  </w:num>
  <w:num w:numId="22">
    <w:abstractNumId w:val="156"/>
  </w:num>
  <w:num w:numId="23">
    <w:abstractNumId w:val="204"/>
  </w:num>
  <w:num w:numId="24">
    <w:abstractNumId w:val="88"/>
  </w:num>
  <w:num w:numId="25">
    <w:abstractNumId w:val="101"/>
  </w:num>
  <w:num w:numId="26">
    <w:abstractNumId w:val="103"/>
  </w:num>
  <w:num w:numId="27">
    <w:abstractNumId w:val="129"/>
  </w:num>
  <w:num w:numId="28">
    <w:abstractNumId w:val="137"/>
  </w:num>
  <w:num w:numId="29">
    <w:abstractNumId w:val="178"/>
  </w:num>
  <w:num w:numId="30">
    <w:abstractNumId w:val="64"/>
  </w:num>
  <w:num w:numId="31">
    <w:abstractNumId w:val="50"/>
  </w:num>
  <w:num w:numId="32">
    <w:abstractNumId w:val="82"/>
  </w:num>
  <w:num w:numId="33">
    <w:abstractNumId w:val="70"/>
  </w:num>
  <w:num w:numId="34">
    <w:abstractNumId w:val="92"/>
  </w:num>
  <w:num w:numId="35">
    <w:abstractNumId w:val="213"/>
  </w:num>
  <w:num w:numId="36">
    <w:abstractNumId w:val="44"/>
  </w:num>
  <w:num w:numId="37">
    <w:abstractNumId w:val="39"/>
  </w:num>
  <w:num w:numId="38">
    <w:abstractNumId w:val="221"/>
  </w:num>
  <w:num w:numId="39">
    <w:abstractNumId w:val="158"/>
  </w:num>
  <w:num w:numId="40">
    <w:abstractNumId w:val="2"/>
  </w:num>
  <w:num w:numId="41">
    <w:abstractNumId w:val="115"/>
  </w:num>
  <w:num w:numId="42">
    <w:abstractNumId w:val="37"/>
  </w:num>
  <w:num w:numId="43">
    <w:abstractNumId w:val="67"/>
  </w:num>
  <w:num w:numId="44">
    <w:abstractNumId w:val="114"/>
  </w:num>
  <w:num w:numId="45">
    <w:abstractNumId w:val="51"/>
  </w:num>
  <w:num w:numId="46">
    <w:abstractNumId w:val="31"/>
  </w:num>
  <w:num w:numId="47">
    <w:abstractNumId w:val="126"/>
  </w:num>
  <w:num w:numId="48">
    <w:abstractNumId w:val="7"/>
  </w:num>
  <w:num w:numId="49">
    <w:abstractNumId w:val="8"/>
  </w:num>
  <w:num w:numId="50">
    <w:abstractNumId w:val="128"/>
  </w:num>
  <w:num w:numId="51">
    <w:abstractNumId w:val="229"/>
  </w:num>
  <w:num w:numId="52">
    <w:abstractNumId w:val="225"/>
  </w:num>
  <w:num w:numId="53">
    <w:abstractNumId w:val="1"/>
  </w:num>
  <w:num w:numId="54">
    <w:abstractNumId w:val="132"/>
  </w:num>
  <w:num w:numId="55">
    <w:abstractNumId w:val="161"/>
  </w:num>
  <w:num w:numId="56">
    <w:abstractNumId w:val="214"/>
  </w:num>
  <w:num w:numId="57">
    <w:abstractNumId w:val="107"/>
  </w:num>
  <w:num w:numId="58">
    <w:abstractNumId w:val="33"/>
  </w:num>
  <w:num w:numId="59">
    <w:abstractNumId w:val="81"/>
  </w:num>
  <w:num w:numId="60">
    <w:abstractNumId w:val="176"/>
  </w:num>
  <w:num w:numId="61">
    <w:abstractNumId w:val="133"/>
  </w:num>
  <w:num w:numId="62">
    <w:abstractNumId w:val="160"/>
  </w:num>
  <w:num w:numId="63">
    <w:abstractNumId w:val="130"/>
  </w:num>
  <w:num w:numId="64">
    <w:abstractNumId w:val="236"/>
  </w:num>
  <w:num w:numId="65">
    <w:abstractNumId w:val="24"/>
  </w:num>
  <w:num w:numId="66">
    <w:abstractNumId w:val="234"/>
  </w:num>
  <w:num w:numId="67">
    <w:abstractNumId w:val="203"/>
  </w:num>
  <w:num w:numId="68">
    <w:abstractNumId w:val="46"/>
  </w:num>
  <w:num w:numId="69">
    <w:abstractNumId w:val="208"/>
  </w:num>
  <w:num w:numId="70">
    <w:abstractNumId w:val="83"/>
  </w:num>
  <w:num w:numId="71">
    <w:abstractNumId w:val="188"/>
  </w:num>
  <w:num w:numId="72">
    <w:abstractNumId w:val="85"/>
  </w:num>
  <w:num w:numId="73">
    <w:abstractNumId w:val="99"/>
  </w:num>
  <w:num w:numId="74">
    <w:abstractNumId w:val="3"/>
  </w:num>
  <w:num w:numId="75">
    <w:abstractNumId w:val="196"/>
  </w:num>
  <w:num w:numId="76">
    <w:abstractNumId w:val="169"/>
  </w:num>
  <w:num w:numId="77">
    <w:abstractNumId w:val="105"/>
  </w:num>
  <w:num w:numId="78">
    <w:abstractNumId w:val="192"/>
  </w:num>
  <w:num w:numId="79">
    <w:abstractNumId w:val="94"/>
  </w:num>
  <w:num w:numId="80">
    <w:abstractNumId w:val="177"/>
  </w:num>
  <w:num w:numId="81">
    <w:abstractNumId w:val="195"/>
  </w:num>
  <w:num w:numId="82">
    <w:abstractNumId w:val="151"/>
  </w:num>
  <w:num w:numId="83">
    <w:abstractNumId w:val="113"/>
  </w:num>
  <w:num w:numId="84">
    <w:abstractNumId w:val="21"/>
  </w:num>
  <w:num w:numId="85">
    <w:abstractNumId w:val="120"/>
  </w:num>
  <w:num w:numId="86">
    <w:abstractNumId w:val="100"/>
  </w:num>
  <w:num w:numId="87">
    <w:abstractNumId w:val="66"/>
  </w:num>
  <w:num w:numId="88">
    <w:abstractNumId w:val="138"/>
  </w:num>
  <w:num w:numId="89">
    <w:abstractNumId w:val="164"/>
  </w:num>
  <w:num w:numId="90">
    <w:abstractNumId w:val="14"/>
  </w:num>
  <w:num w:numId="91">
    <w:abstractNumId w:val="207"/>
  </w:num>
  <w:num w:numId="92">
    <w:abstractNumId w:val="68"/>
  </w:num>
  <w:num w:numId="93">
    <w:abstractNumId w:val="144"/>
  </w:num>
  <w:num w:numId="94">
    <w:abstractNumId w:val="210"/>
  </w:num>
  <w:num w:numId="95">
    <w:abstractNumId w:val="76"/>
  </w:num>
  <w:num w:numId="96">
    <w:abstractNumId w:val="122"/>
  </w:num>
  <w:num w:numId="97">
    <w:abstractNumId w:val="25"/>
  </w:num>
  <w:num w:numId="98">
    <w:abstractNumId w:val="168"/>
  </w:num>
  <w:num w:numId="99">
    <w:abstractNumId w:val="84"/>
  </w:num>
  <w:num w:numId="100">
    <w:abstractNumId w:val="49"/>
  </w:num>
  <w:num w:numId="101">
    <w:abstractNumId w:val="38"/>
  </w:num>
  <w:num w:numId="102">
    <w:abstractNumId w:val="211"/>
  </w:num>
  <w:num w:numId="103">
    <w:abstractNumId w:val="145"/>
  </w:num>
  <w:num w:numId="104">
    <w:abstractNumId w:val="18"/>
  </w:num>
  <w:num w:numId="105">
    <w:abstractNumId w:val="230"/>
  </w:num>
  <w:num w:numId="106">
    <w:abstractNumId w:val="222"/>
  </w:num>
  <w:num w:numId="107">
    <w:abstractNumId w:val="79"/>
  </w:num>
  <w:num w:numId="108">
    <w:abstractNumId w:val="117"/>
  </w:num>
  <w:num w:numId="109">
    <w:abstractNumId w:val="217"/>
  </w:num>
  <w:num w:numId="110">
    <w:abstractNumId w:val="112"/>
  </w:num>
  <w:num w:numId="111">
    <w:abstractNumId w:val="201"/>
  </w:num>
  <w:num w:numId="112">
    <w:abstractNumId w:val="194"/>
  </w:num>
  <w:num w:numId="113">
    <w:abstractNumId w:val="179"/>
  </w:num>
  <w:num w:numId="114">
    <w:abstractNumId w:val="54"/>
  </w:num>
  <w:num w:numId="115">
    <w:abstractNumId w:val="174"/>
  </w:num>
  <w:num w:numId="116">
    <w:abstractNumId w:val="181"/>
  </w:num>
  <w:num w:numId="117">
    <w:abstractNumId w:val="11"/>
  </w:num>
  <w:num w:numId="118">
    <w:abstractNumId w:val="148"/>
  </w:num>
  <w:num w:numId="119">
    <w:abstractNumId w:val="16"/>
  </w:num>
  <w:num w:numId="120">
    <w:abstractNumId w:val="86"/>
  </w:num>
  <w:num w:numId="121">
    <w:abstractNumId w:val="171"/>
  </w:num>
  <w:num w:numId="122">
    <w:abstractNumId w:val="175"/>
  </w:num>
  <w:num w:numId="123">
    <w:abstractNumId w:val="215"/>
  </w:num>
  <w:num w:numId="124">
    <w:abstractNumId w:val="15"/>
  </w:num>
  <w:num w:numId="125">
    <w:abstractNumId w:val="9"/>
  </w:num>
  <w:num w:numId="126">
    <w:abstractNumId w:val="124"/>
  </w:num>
  <w:num w:numId="127">
    <w:abstractNumId w:val="123"/>
  </w:num>
  <w:num w:numId="128">
    <w:abstractNumId w:val="26"/>
  </w:num>
  <w:num w:numId="129">
    <w:abstractNumId w:val="224"/>
  </w:num>
  <w:num w:numId="130">
    <w:abstractNumId w:val="90"/>
  </w:num>
  <w:num w:numId="131">
    <w:abstractNumId w:val="27"/>
  </w:num>
  <w:num w:numId="132">
    <w:abstractNumId w:val="232"/>
  </w:num>
  <w:num w:numId="133">
    <w:abstractNumId w:val="30"/>
  </w:num>
  <w:num w:numId="134">
    <w:abstractNumId w:val="165"/>
  </w:num>
  <w:num w:numId="135">
    <w:abstractNumId w:val="34"/>
  </w:num>
  <w:num w:numId="136">
    <w:abstractNumId w:val="57"/>
  </w:num>
  <w:num w:numId="137">
    <w:abstractNumId w:val="155"/>
  </w:num>
  <w:num w:numId="138">
    <w:abstractNumId w:val="5"/>
  </w:num>
  <w:num w:numId="139">
    <w:abstractNumId w:val="119"/>
  </w:num>
  <w:num w:numId="140">
    <w:abstractNumId w:val="75"/>
  </w:num>
  <w:num w:numId="141">
    <w:abstractNumId w:val="202"/>
  </w:num>
  <w:num w:numId="142">
    <w:abstractNumId w:val="6"/>
  </w:num>
  <w:num w:numId="143">
    <w:abstractNumId w:val="36"/>
  </w:num>
  <w:num w:numId="144">
    <w:abstractNumId w:val="43"/>
  </w:num>
  <w:num w:numId="145">
    <w:abstractNumId w:val="104"/>
  </w:num>
  <w:num w:numId="146">
    <w:abstractNumId w:val="91"/>
  </w:num>
  <w:num w:numId="147">
    <w:abstractNumId w:val="121"/>
  </w:num>
  <w:num w:numId="148">
    <w:abstractNumId w:val="180"/>
  </w:num>
  <w:num w:numId="149">
    <w:abstractNumId w:val="72"/>
  </w:num>
  <w:num w:numId="150">
    <w:abstractNumId w:val="0"/>
  </w:num>
  <w:num w:numId="151">
    <w:abstractNumId w:val="12"/>
  </w:num>
  <w:num w:numId="152">
    <w:abstractNumId w:val="106"/>
  </w:num>
  <w:num w:numId="153">
    <w:abstractNumId w:val="42"/>
  </w:num>
  <w:num w:numId="154">
    <w:abstractNumId w:val="162"/>
  </w:num>
  <w:num w:numId="155">
    <w:abstractNumId w:val="141"/>
  </w:num>
  <w:num w:numId="156">
    <w:abstractNumId w:val="220"/>
  </w:num>
  <w:num w:numId="157">
    <w:abstractNumId w:val="109"/>
  </w:num>
  <w:num w:numId="158">
    <w:abstractNumId w:val="191"/>
  </w:num>
  <w:num w:numId="159">
    <w:abstractNumId w:val="200"/>
  </w:num>
  <w:num w:numId="160">
    <w:abstractNumId w:val="55"/>
  </w:num>
  <w:num w:numId="161">
    <w:abstractNumId w:val="13"/>
  </w:num>
  <w:num w:numId="162">
    <w:abstractNumId w:val="199"/>
  </w:num>
  <w:num w:numId="163">
    <w:abstractNumId w:val="212"/>
  </w:num>
  <w:num w:numId="164">
    <w:abstractNumId w:val="118"/>
  </w:num>
  <w:num w:numId="165">
    <w:abstractNumId w:val="186"/>
  </w:num>
  <w:num w:numId="166">
    <w:abstractNumId w:val="183"/>
  </w:num>
  <w:num w:numId="167">
    <w:abstractNumId w:val="163"/>
  </w:num>
  <w:num w:numId="168">
    <w:abstractNumId w:val="233"/>
  </w:num>
  <w:num w:numId="169">
    <w:abstractNumId w:val="77"/>
  </w:num>
  <w:num w:numId="170">
    <w:abstractNumId w:val="173"/>
  </w:num>
  <w:num w:numId="171">
    <w:abstractNumId w:val="237"/>
  </w:num>
  <w:num w:numId="172">
    <w:abstractNumId w:val="154"/>
  </w:num>
  <w:num w:numId="173">
    <w:abstractNumId w:val="17"/>
  </w:num>
  <w:num w:numId="174">
    <w:abstractNumId w:val="193"/>
  </w:num>
  <w:num w:numId="175">
    <w:abstractNumId w:val="102"/>
  </w:num>
  <w:num w:numId="176">
    <w:abstractNumId w:val="136"/>
  </w:num>
  <w:num w:numId="177">
    <w:abstractNumId w:val="111"/>
  </w:num>
  <w:num w:numId="178">
    <w:abstractNumId w:val="170"/>
  </w:num>
  <w:num w:numId="179">
    <w:abstractNumId w:val="80"/>
  </w:num>
  <w:num w:numId="180">
    <w:abstractNumId w:val="142"/>
  </w:num>
  <w:num w:numId="181">
    <w:abstractNumId w:val="74"/>
  </w:num>
  <w:num w:numId="182">
    <w:abstractNumId w:val="216"/>
  </w:num>
  <w:num w:numId="183">
    <w:abstractNumId w:val="189"/>
  </w:num>
  <w:num w:numId="184">
    <w:abstractNumId w:val="116"/>
  </w:num>
  <w:num w:numId="185">
    <w:abstractNumId w:val="205"/>
  </w:num>
  <w:num w:numId="186">
    <w:abstractNumId w:val="29"/>
  </w:num>
  <w:num w:numId="187">
    <w:abstractNumId w:val="108"/>
  </w:num>
  <w:num w:numId="188">
    <w:abstractNumId w:val="153"/>
  </w:num>
  <w:num w:numId="189">
    <w:abstractNumId w:val="135"/>
  </w:num>
  <w:num w:numId="190">
    <w:abstractNumId w:val="4"/>
  </w:num>
  <w:num w:numId="191">
    <w:abstractNumId w:val="197"/>
  </w:num>
  <w:num w:numId="192">
    <w:abstractNumId w:val="150"/>
  </w:num>
  <w:num w:numId="193">
    <w:abstractNumId w:val="198"/>
  </w:num>
  <w:num w:numId="194">
    <w:abstractNumId w:val="41"/>
  </w:num>
  <w:num w:numId="195">
    <w:abstractNumId w:val="97"/>
  </w:num>
  <w:num w:numId="196">
    <w:abstractNumId w:val="45"/>
  </w:num>
  <w:num w:numId="197">
    <w:abstractNumId w:val="131"/>
  </w:num>
  <w:num w:numId="198">
    <w:abstractNumId w:val="63"/>
  </w:num>
  <w:num w:numId="199">
    <w:abstractNumId w:val="125"/>
  </w:num>
  <w:num w:numId="200">
    <w:abstractNumId w:val="127"/>
  </w:num>
  <w:num w:numId="201">
    <w:abstractNumId w:val="10"/>
  </w:num>
  <w:num w:numId="202">
    <w:abstractNumId w:val="185"/>
  </w:num>
  <w:num w:numId="203">
    <w:abstractNumId w:val="152"/>
  </w:num>
  <w:num w:numId="204">
    <w:abstractNumId w:val="140"/>
  </w:num>
  <w:num w:numId="205">
    <w:abstractNumId w:val="93"/>
  </w:num>
  <w:num w:numId="206">
    <w:abstractNumId w:val="35"/>
  </w:num>
  <w:num w:numId="207">
    <w:abstractNumId w:val="53"/>
  </w:num>
  <w:num w:numId="208">
    <w:abstractNumId w:val="48"/>
  </w:num>
  <w:num w:numId="209">
    <w:abstractNumId w:val="61"/>
  </w:num>
  <w:num w:numId="210">
    <w:abstractNumId w:val="78"/>
  </w:num>
  <w:num w:numId="211">
    <w:abstractNumId w:val="226"/>
  </w:num>
  <w:num w:numId="212">
    <w:abstractNumId w:val="65"/>
  </w:num>
  <w:num w:numId="213">
    <w:abstractNumId w:val="139"/>
  </w:num>
  <w:num w:numId="214">
    <w:abstractNumId w:val="22"/>
  </w:num>
  <w:num w:numId="215">
    <w:abstractNumId w:val="134"/>
  </w:num>
  <w:num w:numId="216">
    <w:abstractNumId w:val="149"/>
  </w:num>
  <w:num w:numId="217">
    <w:abstractNumId w:val="96"/>
  </w:num>
  <w:num w:numId="218">
    <w:abstractNumId w:val="98"/>
  </w:num>
  <w:num w:numId="219">
    <w:abstractNumId w:val="228"/>
  </w:num>
  <w:num w:numId="220">
    <w:abstractNumId w:val="190"/>
  </w:num>
  <w:num w:numId="221">
    <w:abstractNumId w:val="59"/>
  </w:num>
  <w:num w:numId="222">
    <w:abstractNumId w:val="206"/>
  </w:num>
  <w:num w:numId="223">
    <w:abstractNumId w:val="219"/>
  </w:num>
  <w:num w:numId="224">
    <w:abstractNumId w:val="20"/>
  </w:num>
  <w:num w:numId="225">
    <w:abstractNumId w:val="56"/>
  </w:num>
  <w:num w:numId="226">
    <w:abstractNumId w:val="146"/>
  </w:num>
  <w:num w:numId="227">
    <w:abstractNumId w:val="52"/>
  </w:num>
  <w:num w:numId="228">
    <w:abstractNumId w:val="182"/>
  </w:num>
  <w:num w:numId="229">
    <w:abstractNumId w:val="231"/>
  </w:num>
  <w:num w:numId="230">
    <w:abstractNumId w:val="227"/>
  </w:num>
  <w:num w:numId="231">
    <w:abstractNumId w:val="110"/>
  </w:num>
  <w:num w:numId="232">
    <w:abstractNumId w:val="157"/>
  </w:num>
  <w:num w:numId="233">
    <w:abstractNumId w:val="218"/>
  </w:num>
  <w:num w:numId="234">
    <w:abstractNumId w:val="187"/>
  </w:num>
  <w:num w:numId="235">
    <w:abstractNumId w:val="235"/>
  </w:num>
  <w:num w:numId="236">
    <w:abstractNumId w:val="71"/>
  </w:num>
  <w:num w:numId="237">
    <w:abstractNumId w:val="167"/>
  </w:num>
  <w:num w:numId="238">
    <w:abstractNumId w:val="73"/>
  </w:num>
  <w:numIdMacAtCleanup w:val="2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4CF"/>
    <w:rsid w:val="00B064CF"/>
    <w:rsid w:val="00E32F7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156692-828D-4239-80BF-5C3BA6DCB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7" w:line="247" w:lineRule="auto"/>
      <w:ind w:left="10"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97"/>
      <w:ind w:left="370" w:hanging="10"/>
      <w:outlineLvl w:val="0"/>
    </w:pPr>
    <w:rPr>
      <w:rFonts w:ascii="Arial" w:eastAsia="Arial" w:hAnsi="Arial" w:cs="Arial"/>
      <w:b/>
      <w:color w:val="000000"/>
      <w:u w:val="single" w:color="000000"/>
    </w:rPr>
  </w:style>
  <w:style w:type="paragraph" w:styleId="Ttulo2">
    <w:name w:val="heading 2"/>
    <w:next w:val="Normal"/>
    <w:link w:val="Ttulo2Car"/>
    <w:uiPriority w:val="9"/>
    <w:unhideWhenUsed/>
    <w:qFormat/>
    <w:pPr>
      <w:keepNext/>
      <w:keepLines/>
      <w:spacing w:after="109" w:line="249" w:lineRule="auto"/>
      <w:ind w:left="1133" w:hanging="10"/>
      <w:jc w:val="center"/>
      <w:outlineLvl w:val="1"/>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2"/>
      <w:u w:val="single" w:color="000000"/>
    </w:rPr>
  </w:style>
  <w:style w:type="character" w:customStyle="1" w:styleId="Ttulo2Car">
    <w:name w:val="Título 2 Car"/>
    <w:link w:val="Ttulo2"/>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9" Type="http://schemas.openxmlformats.org/officeDocument/2006/relationships/header" Target="header5.xml"/><Relationship Id="rId34" Type="http://schemas.openxmlformats.org/officeDocument/2006/relationships/footer" Target="footer1.xml"/><Relationship Id="rId42" Type="http://schemas.openxmlformats.org/officeDocument/2006/relationships/header" Target="header6.xml"/><Relationship Id="rId47" Type="http://schemas.openxmlformats.org/officeDocument/2006/relationships/image" Target="media/image7.jpg"/><Relationship Id="rId50" Type="http://schemas.openxmlformats.org/officeDocument/2006/relationships/image" Target="media/image8.jpg"/><Relationship Id="rId55" Type="http://schemas.openxmlformats.org/officeDocument/2006/relationships/footer" Target="footer8.xml"/><Relationship Id="rId63" Type="http://schemas.openxmlformats.org/officeDocument/2006/relationships/footer" Target="footer12.xml"/><Relationship Id="rId68" Type="http://schemas.openxmlformats.org/officeDocument/2006/relationships/header" Target="header13.xml"/><Relationship Id="rId7" Type="http://schemas.openxmlformats.org/officeDocument/2006/relationships/image" Target="media/image1.png"/><Relationship Id="rId71" Type="http://schemas.openxmlformats.org/officeDocument/2006/relationships/footer" Target="footer14.xml"/><Relationship Id="rId2" Type="http://schemas.openxmlformats.org/officeDocument/2006/relationships/styles" Target="styles.xm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footer" Target="footer4.xml"/><Relationship Id="rId45" Type="http://schemas.openxmlformats.org/officeDocument/2006/relationships/image" Target="media/image5.jpg"/><Relationship Id="rId53" Type="http://schemas.openxmlformats.org/officeDocument/2006/relationships/header" Target="header8.xml"/><Relationship Id="rId58" Type="http://schemas.openxmlformats.org/officeDocument/2006/relationships/header" Target="header10.xml"/><Relationship Id="rId66" Type="http://schemas.openxmlformats.org/officeDocument/2006/relationships/image" Target="media/image12.png"/><Relationship Id="rId74" Type="http://schemas.openxmlformats.org/officeDocument/2006/relationships/fontTable" Target="fontTable.xml"/><Relationship Id="rId5" Type="http://schemas.openxmlformats.org/officeDocument/2006/relationships/footnotes" Target="footnotes.xml"/><Relationship Id="rId36" Type="http://schemas.openxmlformats.org/officeDocument/2006/relationships/header" Target="header3.xml"/><Relationship Id="rId49" Type="http://schemas.openxmlformats.org/officeDocument/2006/relationships/image" Target="media/image50.jpg"/><Relationship Id="rId57" Type="http://schemas.openxmlformats.org/officeDocument/2006/relationships/footer" Target="footer9.xml"/><Relationship Id="rId61" Type="http://schemas.openxmlformats.org/officeDocument/2006/relationships/footer" Target="footer11.xml"/><Relationship Id="rId31" Type="http://schemas.openxmlformats.org/officeDocument/2006/relationships/image" Target="media/image0.png"/><Relationship Id="rId44" Type="http://schemas.openxmlformats.org/officeDocument/2006/relationships/image" Target="media/image4.png"/><Relationship Id="rId52" Type="http://schemas.openxmlformats.org/officeDocument/2006/relationships/header" Target="header7.xml"/><Relationship Id="rId60" Type="http://schemas.openxmlformats.org/officeDocument/2006/relationships/footer" Target="footer10.xml"/><Relationship Id="rId65" Type="http://schemas.openxmlformats.org/officeDocument/2006/relationships/image" Target="media/image11.jpg"/><Relationship Id="rId73" Type="http://schemas.openxmlformats.org/officeDocument/2006/relationships/footer" Target="footer15.xml"/><Relationship Id="rId4" Type="http://schemas.openxmlformats.org/officeDocument/2006/relationships/webSettings" Target="webSettings.xml"/><Relationship Id="rId35" Type="http://schemas.openxmlformats.org/officeDocument/2006/relationships/footer" Target="footer2.xml"/><Relationship Id="rId43" Type="http://schemas.openxmlformats.org/officeDocument/2006/relationships/footer" Target="footer6.xml"/><Relationship Id="rId48" Type="http://schemas.openxmlformats.org/officeDocument/2006/relationships/image" Target="media/image4.jpg"/><Relationship Id="rId56" Type="http://schemas.openxmlformats.org/officeDocument/2006/relationships/header" Target="header9.xml"/><Relationship Id="rId64" Type="http://schemas.openxmlformats.org/officeDocument/2006/relationships/image" Target="media/image10.jpg"/><Relationship Id="rId69" Type="http://schemas.openxmlformats.org/officeDocument/2006/relationships/header" Target="header14.xml"/><Relationship Id="rId51" Type="http://schemas.openxmlformats.org/officeDocument/2006/relationships/image" Target="media/image9.jpg"/><Relationship Id="rId72" Type="http://schemas.openxmlformats.org/officeDocument/2006/relationships/header" Target="header15.xml"/><Relationship Id="rId3" Type="http://schemas.openxmlformats.org/officeDocument/2006/relationships/settings" Target="settings.xml"/><Relationship Id="rId33" Type="http://schemas.openxmlformats.org/officeDocument/2006/relationships/header" Target="header2.xml"/><Relationship Id="rId38" Type="http://schemas.openxmlformats.org/officeDocument/2006/relationships/header" Target="header4.xml"/><Relationship Id="rId46" Type="http://schemas.openxmlformats.org/officeDocument/2006/relationships/image" Target="media/image6.jpg"/><Relationship Id="rId59" Type="http://schemas.openxmlformats.org/officeDocument/2006/relationships/header" Target="header11.xml"/><Relationship Id="rId67" Type="http://schemas.openxmlformats.org/officeDocument/2006/relationships/image" Target="media/image13.png"/><Relationship Id="rId41" Type="http://schemas.openxmlformats.org/officeDocument/2006/relationships/footer" Target="footer5.xml"/><Relationship Id="rId54" Type="http://schemas.openxmlformats.org/officeDocument/2006/relationships/footer" Target="footer7.xml"/><Relationship Id="rId62" Type="http://schemas.openxmlformats.org/officeDocument/2006/relationships/header" Target="header12.xml"/><Relationship Id="rId70" Type="http://schemas.openxmlformats.org/officeDocument/2006/relationships/footer" Target="footer13.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42" Type="http://schemas.openxmlformats.org/officeDocument/2006/relationships/image" Target="media/image1.jpg"/><Relationship Id="rId1" Type="http://schemas.openxmlformats.org/officeDocument/2006/relationships/image" Target="media/image2.png"/><Relationship Id="rId44" Type="http://schemas.openxmlformats.org/officeDocument/2006/relationships/image" Target="media/image3.jpg"/><Relationship Id="rId43" Type="http://schemas.openxmlformats.org/officeDocument/2006/relationships/image" Target="media/image20.png"/></Relationships>
</file>

<file path=word/_rels/header10.xml.rels><?xml version="1.0" encoding="UTF-8" standalone="yes"?>
<Relationships xmlns="http://schemas.openxmlformats.org/package/2006/relationships"><Relationship Id="rId42" Type="http://schemas.openxmlformats.org/officeDocument/2006/relationships/image" Target="media/image1.jpg"/><Relationship Id="rId1" Type="http://schemas.openxmlformats.org/officeDocument/2006/relationships/image" Target="media/image2.png"/><Relationship Id="rId44" Type="http://schemas.openxmlformats.org/officeDocument/2006/relationships/image" Target="media/image3.jpg"/><Relationship Id="rId43" Type="http://schemas.openxmlformats.org/officeDocument/2006/relationships/image" Target="media/image20.png"/></Relationships>
</file>

<file path=word/_rels/header11.xml.rels><?xml version="1.0" encoding="UTF-8" standalone="yes"?>
<Relationships xmlns="http://schemas.openxmlformats.org/package/2006/relationships"><Relationship Id="rId42" Type="http://schemas.openxmlformats.org/officeDocument/2006/relationships/image" Target="media/image1.jpg"/><Relationship Id="rId1" Type="http://schemas.openxmlformats.org/officeDocument/2006/relationships/image" Target="media/image2.png"/><Relationship Id="rId44" Type="http://schemas.openxmlformats.org/officeDocument/2006/relationships/image" Target="media/image3.jpg"/><Relationship Id="rId43" Type="http://schemas.openxmlformats.org/officeDocument/2006/relationships/image" Target="media/image20.png"/></Relationships>
</file>

<file path=word/_rels/header12.xml.rels><?xml version="1.0" encoding="UTF-8" standalone="yes"?>
<Relationships xmlns="http://schemas.openxmlformats.org/package/2006/relationships"><Relationship Id="rId42" Type="http://schemas.openxmlformats.org/officeDocument/2006/relationships/image" Target="media/image1.jpg"/><Relationship Id="rId1" Type="http://schemas.openxmlformats.org/officeDocument/2006/relationships/image" Target="media/image2.png"/><Relationship Id="rId44" Type="http://schemas.openxmlformats.org/officeDocument/2006/relationships/image" Target="media/image3.jpg"/><Relationship Id="rId43" Type="http://schemas.openxmlformats.org/officeDocument/2006/relationships/image" Target="media/image20.png"/></Relationships>
</file>

<file path=word/_rels/header13.xml.rels><?xml version="1.0" encoding="UTF-8" standalone="yes"?>
<Relationships xmlns="http://schemas.openxmlformats.org/package/2006/relationships"><Relationship Id="rId42" Type="http://schemas.openxmlformats.org/officeDocument/2006/relationships/image" Target="media/image1.jpg"/><Relationship Id="rId1" Type="http://schemas.openxmlformats.org/officeDocument/2006/relationships/image" Target="media/image2.png"/><Relationship Id="rId44" Type="http://schemas.openxmlformats.org/officeDocument/2006/relationships/image" Target="media/image3.jpg"/><Relationship Id="rId43" Type="http://schemas.openxmlformats.org/officeDocument/2006/relationships/image" Target="media/image20.png"/></Relationships>
</file>

<file path=word/_rels/header14.xml.rels><?xml version="1.0" encoding="UTF-8" standalone="yes"?>
<Relationships xmlns="http://schemas.openxmlformats.org/package/2006/relationships"><Relationship Id="rId42" Type="http://schemas.openxmlformats.org/officeDocument/2006/relationships/image" Target="media/image1.jpg"/><Relationship Id="rId1" Type="http://schemas.openxmlformats.org/officeDocument/2006/relationships/image" Target="media/image2.png"/><Relationship Id="rId44" Type="http://schemas.openxmlformats.org/officeDocument/2006/relationships/image" Target="media/image3.jpg"/><Relationship Id="rId43" Type="http://schemas.openxmlformats.org/officeDocument/2006/relationships/image" Target="media/image20.png"/></Relationships>
</file>

<file path=word/_rels/header15.xml.rels><?xml version="1.0" encoding="UTF-8" standalone="yes"?>
<Relationships xmlns="http://schemas.openxmlformats.org/package/2006/relationships"><Relationship Id="rId42" Type="http://schemas.openxmlformats.org/officeDocument/2006/relationships/image" Target="media/image1.jpg"/><Relationship Id="rId1" Type="http://schemas.openxmlformats.org/officeDocument/2006/relationships/image" Target="media/image2.png"/><Relationship Id="rId44" Type="http://schemas.openxmlformats.org/officeDocument/2006/relationships/image" Target="media/image3.jpg"/><Relationship Id="rId43" Type="http://schemas.openxmlformats.org/officeDocument/2006/relationships/image" Target="media/image20.png"/></Relationships>
</file>

<file path=word/_rels/header2.xml.rels><?xml version="1.0" encoding="UTF-8" standalone="yes"?>
<Relationships xmlns="http://schemas.openxmlformats.org/package/2006/relationships"><Relationship Id="rId42" Type="http://schemas.openxmlformats.org/officeDocument/2006/relationships/image" Target="media/image1.jpg"/><Relationship Id="rId1" Type="http://schemas.openxmlformats.org/officeDocument/2006/relationships/image" Target="media/image2.png"/><Relationship Id="rId44" Type="http://schemas.openxmlformats.org/officeDocument/2006/relationships/image" Target="media/image3.jpg"/><Relationship Id="rId43" Type="http://schemas.openxmlformats.org/officeDocument/2006/relationships/image" Target="media/image20.png"/></Relationships>
</file>

<file path=word/_rels/header3.xml.rels><?xml version="1.0" encoding="UTF-8" standalone="yes"?>
<Relationships xmlns="http://schemas.openxmlformats.org/package/2006/relationships"><Relationship Id="rId42" Type="http://schemas.openxmlformats.org/officeDocument/2006/relationships/image" Target="media/image1.jp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42" Type="http://schemas.openxmlformats.org/officeDocument/2006/relationships/image" Target="media/image1.jpg"/><Relationship Id="rId1" Type="http://schemas.openxmlformats.org/officeDocument/2006/relationships/image" Target="media/image2.png"/><Relationship Id="rId44" Type="http://schemas.openxmlformats.org/officeDocument/2006/relationships/image" Target="media/image3.jpg"/><Relationship Id="rId43" Type="http://schemas.openxmlformats.org/officeDocument/2006/relationships/image" Target="media/image20.png"/></Relationships>
</file>

<file path=word/_rels/header5.xml.rels><?xml version="1.0" encoding="UTF-8" standalone="yes"?>
<Relationships xmlns="http://schemas.openxmlformats.org/package/2006/relationships"><Relationship Id="rId42" Type="http://schemas.openxmlformats.org/officeDocument/2006/relationships/image" Target="media/image1.jpg"/><Relationship Id="rId1" Type="http://schemas.openxmlformats.org/officeDocument/2006/relationships/image" Target="media/image2.png"/><Relationship Id="rId44" Type="http://schemas.openxmlformats.org/officeDocument/2006/relationships/image" Target="media/image3.jpg"/><Relationship Id="rId43" Type="http://schemas.openxmlformats.org/officeDocument/2006/relationships/image" Target="media/image20.png"/></Relationships>
</file>

<file path=word/_rels/header6.xml.rels><?xml version="1.0" encoding="UTF-8" standalone="yes"?>
<Relationships xmlns="http://schemas.openxmlformats.org/package/2006/relationships"><Relationship Id="rId42" Type="http://schemas.openxmlformats.org/officeDocument/2006/relationships/image" Target="media/image1.jpg"/><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42" Type="http://schemas.openxmlformats.org/officeDocument/2006/relationships/image" Target="media/image1.jpg"/><Relationship Id="rId1" Type="http://schemas.openxmlformats.org/officeDocument/2006/relationships/image" Target="media/image2.png"/><Relationship Id="rId44" Type="http://schemas.openxmlformats.org/officeDocument/2006/relationships/image" Target="media/image3.jpg"/><Relationship Id="rId43" Type="http://schemas.openxmlformats.org/officeDocument/2006/relationships/image" Target="media/image20.png"/></Relationships>
</file>

<file path=word/_rels/header8.xml.rels><?xml version="1.0" encoding="UTF-8" standalone="yes"?>
<Relationships xmlns="http://schemas.openxmlformats.org/package/2006/relationships"><Relationship Id="rId42" Type="http://schemas.openxmlformats.org/officeDocument/2006/relationships/image" Target="media/image1.jpg"/><Relationship Id="rId1" Type="http://schemas.openxmlformats.org/officeDocument/2006/relationships/image" Target="media/image2.png"/><Relationship Id="rId44" Type="http://schemas.openxmlformats.org/officeDocument/2006/relationships/image" Target="media/image3.jpg"/><Relationship Id="rId43" Type="http://schemas.openxmlformats.org/officeDocument/2006/relationships/image" Target="media/image20.png"/></Relationships>
</file>

<file path=word/_rels/header9.xml.rels><?xml version="1.0" encoding="UTF-8" standalone="yes"?>
<Relationships xmlns="http://schemas.openxmlformats.org/package/2006/relationships"><Relationship Id="rId42" Type="http://schemas.openxmlformats.org/officeDocument/2006/relationships/image" Target="media/image1.jp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122385</Words>
  <Characters>673123</Characters>
  <Application>Microsoft Office Word</Application>
  <DocSecurity>0</DocSecurity>
  <Lines>5609</Lines>
  <Paragraphs>1587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793921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Aurelio Díaz Palenzuela</dc:creator>
  <cp:keywords/>
  <cp:lastModifiedBy>Aurelio Díaz Palenzuela</cp:lastModifiedBy>
  <cp:revision>2</cp:revision>
  <dcterms:created xsi:type="dcterms:W3CDTF">2024-01-17T09:10:00Z</dcterms:created>
  <dcterms:modified xsi:type="dcterms:W3CDTF">2024-01-17T09:10:00Z</dcterms:modified>
</cp:coreProperties>
</file>