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979" w:rsidRDefault="00B022A0">
      <w:pPr>
        <w:spacing w:after="39" w:line="259" w:lineRule="auto"/>
        <w:ind w:left="122"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EE0979" w:rsidRDefault="00B022A0">
      <w:pPr>
        <w:spacing w:after="161" w:line="259" w:lineRule="auto"/>
        <w:ind w:left="122" w:firstLine="0"/>
        <w:jc w:val="left"/>
      </w:pPr>
      <w:r>
        <w:rPr>
          <w:sz w:val="14"/>
        </w:rPr>
        <w:t xml:space="preserve"> </w:t>
      </w:r>
      <w:r>
        <w:rPr>
          <w:sz w:val="14"/>
        </w:rPr>
        <w:tab/>
        <w:t xml:space="preserve"> </w:t>
      </w:r>
      <w:r>
        <w:rPr>
          <w:sz w:val="14"/>
        </w:rPr>
        <w:tab/>
        <w:t xml:space="preserve"> </w:t>
      </w:r>
      <w:r>
        <w:rPr>
          <w:sz w:val="14"/>
        </w:rPr>
        <w:tab/>
        <w:t xml:space="preserve"> </w:t>
      </w:r>
    </w:p>
    <w:p w:rsidR="00EE0979" w:rsidRDefault="00B022A0">
      <w:pPr>
        <w:tabs>
          <w:tab w:val="center" w:pos="1138"/>
          <w:tab w:val="center" w:pos="3975"/>
          <w:tab w:val="center" w:pos="5792"/>
          <w:tab w:val="center" w:pos="7069"/>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27554" name="Group 22755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3" name="Shape 113"/>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554" style="width:477pt;height:2.04pt;mso-position-horizontal-relative:char;mso-position-vertical-relative:line" coordsize="60579,259">
                <v:shape id="Shape 113" style="position:absolute;width:60579;height:0;left:0;top:0;" coordsize="6057900,0" path="m0,0l6057900,0">
                  <v:stroke weight="2.04pt" endcap="square" joinstyle="miter" miterlimit="10" on="true" color="#993366"/>
                  <v:fill on="false" color="#000000" opacity="0"/>
                </v:shape>
              </v:group>
            </w:pict>
          </mc:Fallback>
        </mc:AlternateContent>
      </w:r>
    </w:p>
    <w:p w:rsidR="00EE0979" w:rsidRDefault="00B022A0">
      <w:pPr>
        <w:spacing w:after="0" w:line="259" w:lineRule="auto"/>
        <w:ind w:left="0" w:right="36" w:firstLine="0"/>
        <w:jc w:val="center"/>
      </w:pPr>
      <w:r>
        <w:rPr>
          <w:b/>
        </w:rPr>
        <w:t xml:space="preserve"> </w:t>
      </w:r>
    </w:p>
    <w:p w:rsidR="00EE0979" w:rsidRDefault="00B022A0">
      <w:pPr>
        <w:spacing w:after="0" w:line="259" w:lineRule="auto"/>
        <w:ind w:left="0" w:right="36" w:firstLine="0"/>
        <w:jc w:val="center"/>
      </w:pPr>
      <w:r>
        <w:rPr>
          <w:b/>
        </w:rPr>
        <w:t xml:space="preserve"> </w:t>
      </w:r>
    </w:p>
    <w:p w:rsidR="00EE0979" w:rsidRDefault="00B022A0">
      <w:pPr>
        <w:pStyle w:val="Ttulo1"/>
        <w:numPr>
          <w:ilvl w:val="0"/>
          <w:numId w:val="0"/>
        </w:numPr>
      </w:pPr>
      <w:r>
        <w:t xml:space="preserve">DE LA SESIÓN ORDINARIA CELEBRADA POR EL AYUNTAMIENTO PLENO EL DÍA 27 DE ABRIL DE 2023. SESIÓN Nº4/2023 </w:t>
      </w:r>
    </w:p>
    <w:p w:rsidR="00EE0979" w:rsidRDefault="00B022A0">
      <w:pPr>
        <w:spacing w:after="0" w:line="259" w:lineRule="auto"/>
        <w:ind w:left="0" w:right="38" w:firstLine="0"/>
        <w:jc w:val="center"/>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sz w:val="20"/>
        </w:rPr>
        <w:t xml:space="preserve"> </w:t>
      </w:r>
    </w:p>
    <w:p w:rsidR="00EE0979" w:rsidRDefault="00B022A0">
      <w:pPr>
        <w:spacing w:after="0" w:line="259" w:lineRule="auto"/>
        <w:ind w:left="14" w:firstLine="0"/>
        <w:jc w:val="left"/>
      </w:pPr>
      <w:r>
        <w:rPr>
          <w:sz w:val="20"/>
        </w:rPr>
        <w:t xml:space="preserve"> </w:t>
      </w:r>
    </w:p>
    <w:p w:rsidR="00EE0979" w:rsidRDefault="00B022A0">
      <w:pPr>
        <w:spacing w:after="0" w:line="259" w:lineRule="auto"/>
        <w:ind w:left="0" w:right="42" w:firstLine="0"/>
        <w:jc w:val="center"/>
      </w:pPr>
      <w:r>
        <w:rPr>
          <w:sz w:val="20"/>
        </w:rPr>
        <w:t xml:space="preserve"> </w:t>
      </w:r>
    </w:p>
    <w:p w:rsidR="00EE0979" w:rsidRDefault="00B022A0">
      <w:pPr>
        <w:spacing w:after="3" w:line="265" w:lineRule="auto"/>
        <w:ind w:left="624" w:right="711" w:hanging="10"/>
        <w:jc w:val="center"/>
      </w:pPr>
      <w:r>
        <w:rPr>
          <w:b/>
        </w:rPr>
        <w:t xml:space="preserve">SEÑORES ASISTENTES: </w:t>
      </w:r>
    </w:p>
    <w:p w:rsidR="00EE0979" w:rsidRDefault="00B022A0">
      <w:pPr>
        <w:spacing w:after="0" w:line="259" w:lineRule="auto"/>
        <w:ind w:left="2830" w:firstLine="0"/>
        <w:jc w:val="left"/>
      </w:pPr>
      <w:r>
        <w:rPr>
          <w:b/>
        </w:rPr>
        <w:t xml:space="preserve"> </w:t>
      </w:r>
    </w:p>
    <w:p w:rsidR="00EE0979" w:rsidRDefault="00B022A0">
      <w:pPr>
        <w:spacing w:after="0" w:line="259" w:lineRule="auto"/>
        <w:ind w:left="2830" w:firstLine="0"/>
        <w:jc w:val="left"/>
      </w:pPr>
      <w:r>
        <w:rPr>
          <w:b/>
        </w:rPr>
        <w:t xml:space="preserve"> </w:t>
      </w:r>
    </w:p>
    <w:p w:rsidR="00EE0979" w:rsidRDefault="00B022A0">
      <w:pPr>
        <w:ind w:right="100"/>
      </w:pPr>
      <w:r>
        <w:rPr>
          <w:b/>
        </w:rPr>
        <w:t xml:space="preserve">                                        Alcaldesa-Presidenta: </w:t>
      </w:r>
      <w:r>
        <w:t>Dª María Concepción Brito Núñez</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0" w:right="36" w:firstLine="0"/>
        <w:jc w:val="center"/>
      </w:pPr>
      <w:r>
        <w:rPr>
          <w:b/>
        </w:rPr>
        <w:t xml:space="preserve"> </w:t>
      </w:r>
    </w:p>
    <w:p w:rsidR="00EE0979" w:rsidRDefault="00B022A0">
      <w:pPr>
        <w:ind w:right="100"/>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               Grupo Popular: </w:t>
      </w:r>
      <w:r>
        <w:t xml:space="preserve">D. Andrés Rodríguez Delgado, D. Jacobo López Fariña, y D. David </w:t>
      </w:r>
    </w:p>
    <w:p w:rsidR="00EE0979" w:rsidRDefault="00B022A0">
      <w:pPr>
        <w:ind w:right="10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877824</wp:posOffset>
                </wp:positionH>
                <wp:positionV relativeFrom="page">
                  <wp:posOffset>440283</wp:posOffset>
                </wp:positionV>
                <wp:extent cx="904494" cy="915315"/>
                <wp:effectExtent l="0" t="0" r="0" b="0"/>
                <wp:wrapTopAndBottom/>
                <wp:docPr id="227552" name="Group 227552"/>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27552" style="width:71.22pt;height:72.072pt;position:absolute;mso-position-horizontal-relative:page;mso-position-horizontal:absolute;margin-left:69.12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t>Crego Chaves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               Grupo Mixto:</w:t>
      </w:r>
      <w:r>
        <w:t xml:space="preserve"> Dª Lourdes del Carmen Mondejar Rondón (Si Se Puede) Dª Ángela Cruz Perera y D. Emilio Atiénzar Armas (Coalición Canaria Partido Nacionalista Canario), y Dª Alicia Mercedes Marrero Meneses (Vecinos por Candelaria).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        </w:t>
      </w:r>
      <w:r>
        <w:rPr>
          <w:b/>
        </w:rPr>
        <w:t xml:space="preserve">        Secretario General: </w:t>
      </w:r>
      <w:r>
        <w:t>D. Octavio Manuel Fernández Hernández</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                Interventor:  </w:t>
      </w:r>
      <w:r>
        <w:t>D. Nicolás Rojo Garnica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3977"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63" w:line="259" w:lineRule="auto"/>
        <w:ind w:left="14" w:firstLine="0"/>
        <w:jc w:val="left"/>
      </w:pPr>
      <w:r>
        <w:t xml:space="preserve"> </w:t>
      </w:r>
    </w:p>
    <w:p w:rsidR="00EE0979" w:rsidRDefault="00B022A0">
      <w:pPr>
        <w:ind w:right="100"/>
      </w:pPr>
      <w:r>
        <w:t xml:space="preserve">En Candelaria, a veintisiete de abril de dos mil veintitrés, siendo las 9:15 horas, se constituyó el </w:t>
      </w:r>
    </w:p>
    <w:p w:rsidR="00EE0979" w:rsidRDefault="00B022A0">
      <w:pPr>
        <w:ind w:right="100"/>
      </w:pPr>
      <w:r>
        <w:t xml:space="preserve">Ayuntamiento Pleno en </w:t>
      </w:r>
      <w:r>
        <w:t>el Salón de Sesiones de la Casa Consistorial con 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720" w:line="259" w:lineRule="auto"/>
        <w:ind w:left="3977" w:firstLine="0"/>
        <w:jc w:val="left"/>
      </w:pPr>
      <w:r>
        <w:rPr>
          <w:sz w:val="20"/>
        </w:rPr>
        <w:t xml:space="preserve"> </w:t>
      </w:r>
    </w:p>
    <w:p w:rsidR="00EE0979" w:rsidRDefault="00B022A0">
      <w:pPr>
        <w:spacing w:after="0" w:line="259" w:lineRule="auto"/>
        <w:ind w:left="0" w:right="371"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27553" name="Group 22755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55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E0979" w:rsidRDefault="00B022A0">
      <w:pPr>
        <w:spacing w:after="89" w:line="241" w:lineRule="auto"/>
        <w:ind w:left="1979" w:right="2038" w:firstLine="0"/>
        <w:jc w:val="center"/>
      </w:pPr>
      <w:r>
        <w:rPr>
          <w:sz w:val="14"/>
        </w:rPr>
        <w:t xml:space="preserve">Avenida Constitución Nº 7. Código postal: 38530, Candelaria. Teléfono: 922.500.800. </w:t>
      </w:r>
      <w:r>
        <w:rPr>
          <w:b/>
          <w:sz w:val="14"/>
        </w:rPr>
        <w:t xml:space="preserve">www. candelaria. es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pStyle w:val="Ttulo1"/>
        <w:numPr>
          <w:ilvl w:val="0"/>
          <w:numId w:val="0"/>
        </w:numPr>
        <w:ind w:left="624" w:right="709"/>
      </w:pPr>
      <w:r>
        <w:t xml:space="preserve">ORDEN DEL DÍA </w:t>
      </w:r>
    </w:p>
    <w:p w:rsidR="00EE0979" w:rsidRDefault="00B022A0">
      <w:pPr>
        <w:spacing w:after="0" w:line="259" w:lineRule="auto"/>
        <w:ind w:left="0" w:right="36" w:firstLine="0"/>
        <w:jc w:val="center"/>
      </w:pPr>
      <w:r>
        <w:rPr>
          <w:b/>
        </w:rPr>
        <w:t xml:space="preserve"> </w:t>
      </w:r>
    </w:p>
    <w:p w:rsidR="00EE0979" w:rsidRDefault="00B022A0">
      <w:pPr>
        <w:ind w:right="100"/>
      </w:pPr>
      <w:r>
        <w:t xml:space="preserve">El debate íntegro de la sesión del pleno está disponible en: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hyperlink r:id="rId9">
        <w:r>
          <w:rPr>
            <w:b/>
            <w:color w:val="0000FF"/>
            <w:u w:val="single" w:color="0000FF"/>
          </w:rPr>
          <w:t>htt</w:t>
        </w:r>
        <w:r>
          <w:rPr>
            <w:b/>
            <w:color w:val="0000FF"/>
            <w:u w:val="single" w:color="0000FF"/>
          </w:rPr>
          <w:t>ps://www.youtube.com/watch?v=qdkkxX1zNvM</w:t>
        </w:r>
      </w:hyperlink>
      <w:hyperlink r:id="rId10">
        <w:r>
          <w:rPr>
            <w:rFonts w:ascii="Times New Roman" w:eastAsia="Times New Roman" w:hAnsi="Times New Roman" w:cs="Times New Roman"/>
            <w:sz w:val="24"/>
          </w:rPr>
          <w:t xml:space="preserve"> </w:t>
        </w:r>
      </w:hyperlink>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9" w:line="249" w:lineRule="auto"/>
        <w:ind w:left="384" w:right="94" w:hanging="10"/>
      </w:pPr>
      <w:r>
        <w:rPr>
          <w:b/>
        </w:rPr>
        <w:t xml:space="preserve">A) </w:t>
      </w:r>
      <w:r>
        <w:rPr>
          <w:b/>
          <w:u w:val="single" w:color="000000"/>
        </w:rPr>
        <w:t>Parte Resolutiva de la Sesión.</w:t>
      </w: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1.- </w:t>
      </w:r>
      <w:r>
        <w:rPr>
          <w:b/>
        </w:rPr>
        <w:t>Expediente 4140/2023. Propuesta del Concejal delegado de Hacienda de fecha 19 de abril de 2023 al Pleno del informe de Intervención de los resultados del control interno durante el ejercicio 2022.</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2.- Expediente 4071/2023.Propuesta del Concejal delegado</w:t>
      </w:r>
      <w:r>
        <w:rPr>
          <w:b/>
        </w:rPr>
        <w:t xml:space="preserve"> de Hacienda de fecha 14 de abril de 2023 al Pleno de toma de conocimiento del Informe de Intervención del periodo medio de pago del primer trimestre de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3.- </w:t>
      </w:r>
      <w:r>
        <w:rPr>
          <w:b/>
        </w:rPr>
        <w:t>Expediente 4072/2023. Propuesta del Concejal delegado de Hacienda de fecha 14 de abril de 2023 al Pleno sobre dación de cuenta del informe de Intervención de cumplimiento de plazos de la Ley 15/2010 correspondiente al primer trimestre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4.- Expedien</w:t>
      </w:r>
      <w:r>
        <w:rPr>
          <w:b/>
        </w:rPr>
        <w:t>te 4066/2023. Propuesta del Concejal delegado de Hacienda de fecha 19 de abril de 2023 al Pleno de dación de cuenta de la aprobación del Plan anual de control financiero del año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5.- Expediente 3880/2023. Propuesta del Concejal delegado de Hacienda</w:t>
      </w:r>
      <w:r>
        <w:rPr>
          <w:b/>
        </w:rPr>
        <w:t xml:space="preserve"> de 14 de abril de 2023 al Pleno de contrato programa sobre el marco de relaciones entre el Ayuntamiento de Candelaria, la Entidad Pública Empresarial “Gestión de Empresas y Servicios Municipales del Ayuntamiento de Candelaria, la Sociedad Mercantil” Empre</w:t>
      </w:r>
      <w:r>
        <w:rPr>
          <w:b/>
        </w:rPr>
        <w:t xml:space="preserve">sa de Inserción de Viviendas y Servicios Municipales de Candelaria, SL y la Fundación “Candelaria Solidaria”, para el ejercicio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6.- Expediente 2752/2019. Propuesta del Concejal delegado de Hacienda de 19 de abril de 2023 al Pleno de revisión de pr</w:t>
      </w:r>
      <w:r>
        <w:rPr>
          <w:b/>
        </w:rPr>
        <w:t xml:space="preserve">ecios del contrato de gestión de servicios públicos bajo la modalidad de concesión del servicio de recogida de residuos sólidos urbanos a favor de la empresa Urbaser S.A adjudicado por acuerdo del pleno de 29 de diciembre de 2000.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7.-  Propuesta del Con</w:t>
      </w:r>
      <w:r>
        <w:rPr>
          <w:b/>
        </w:rPr>
        <w:t xml:space="preserve">cejal delegado de Hacienda al Pleno con fecha 19 de abril de 2023 de expediente de modificación presupuestaria nº 4029/2023 por una cantidad total de 4.223.072,19 euros.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lastRenderedPageBreak/>
        <w:t>8.- Expediente 2118/2021. Propuesta de la Alcaldesa-Presidenta de 14 de abril de 20</w:t>
      </w:r>
      <w:r>
        <w:rPr>
          <w:b/>
        </w:rPr>
        <w:t xml:space="preserve">23 al Pleno de subsanación de la toma de conocimiento del documento ambiental del PAMU Tenerife Tour S.A.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9.- Expediente 7020/2021. Propuesta de la Alcaldesa-Presidenta de fecha 19 de abril de 2023 sobre la cesión temporal al Cabildo Insular de Tenerife</w:t>
      </w:r>
      <w:r>
        <w:rPr>
          <w:b/>
        </w:rPr>
        <w:t xml:space="preserve"> de los bienes descritos en el informe técnico emitido por la Arquitecta municipal con fecha 13 de abril de 2023, con el objeto de destinarlos a la ejecución del proyecto “Proyecto de remodelación de la Plaza de la Patrona de Canarias y su entorno, canaliz</w:t>
      </w:r>
      <w:r>
        <w:rPr>
          <w:b/>
        </w:rPr>
        <w:t xml:space="preserve">ación de cauce e implantación de obras hidráulicas.”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10.- Expediente 482/2019. Propuesta de la Alcaldesa-Presidenta de 13 de abril de 2023 al Pleno de miembros de la Comisión de seguimiento en Representación del Ayuntamiento de Candelaria para la ejecuc</w:t>
      </w:r>
      <w:r>
        <w:rPr>
          <w:b/>
        </w:rPr>
        <w:t>ión de las obras contenidas en el proyecto de remodelación de la Plaza de La Patrona.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11.- Expediente 4437/2023. Moción del Grupo Mixto con registro de entrada nº (2023-E-RE3130) de 18 de abril de 2023 para el apoyo a la iniciativa legislativa popular a</w:t>
      </w:r>
      <w:r>
        <w:rPr>
          <w:b/>
        </w:rPr>
        <w:t xml:space="preserve"> favor de la regularización extraordinaria de población migrante.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12.- Urgencias.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URGENCIAS 1. Exp.4740/2023. PROPUESTA DEL CONCEJAL DELEGADO DE HACIENDA DE MODIFICACIÓN PRESUPUESTARIA 4740/2023 FINANCIADO CON REMANENTE DE TESORERÍA PARA GASTOS GENER</w:t>
      </w:r>
      <w:r>
        <w:rPr>
          <w:b/>
        </w:rPr>
        <w:t xml:space="preserve">ALES POR IMPORTE DE 133.504,85 EUROS PARA LA OBRA SKATE PARK DE CANDELARIA.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URGENCIAS P2.- Expediente 1178/2021. – PRÓRROGA DEL CONTRATO BASADO PARA EL SUMINISTRO DE ELECTRICIDAD EN ALTA Y BAJA TENSIÓN DESDE EL DÍA 6 DE MAYO DE 2023 HASTA EL DÍA 6 DE MA</w:t>
      </w:r>
      <w:r>
        <w:rPr>
          <w:b/>
        </w:rPr>
        <w:t>YO DE 2024 APLICÁNDOSE LOS PRECIOS REVISADOS CONFORME A LO ESTABLECIDO EN LA CLÁUSULA 16.3 DEL PLIEGO DE CLÁUSULAS ADMINISTRATIVAS.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URGENCIAS P3.- Expediente 99/2023. Concesión de ayudas al programa de incentivos a proyectos piloto de comunidades energé</w:t>
      </w:r>
      <w:r>
        <w:rPr>
          <w:b/>
        </w:rPr>
        <w:t xml:space="preserve">ticas (Programa CE Implementa) en el marco del PRTR.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numPr>
          <w:ilvl w:val="0"/>
          <w:numId w:val="1"/>
        </w:numPr>
        <w:spacing w:after="9" w:line="249" w:lineRule="auto"/>
        <w:ind w:right="94" w:hanging="360"/>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13.- Dación de Cuenta de los Decretos de la Alcaldía-Presidencia y de los Concejales delegados. </w:t>
      </w:r>
    </w:p>
    <w:p w:rsidR="00EE0979" w:rsidRDefault="00B022A0">
      <w:pPr>
        <w:spacing w:after="0" w:line="259" w:lineRule="auto"/>
        <w:ind w:left="14" w:firstLine="0"/>
        <w:jc w:val="left"/>
      </w:pPr>
      <w:r>
        <w:rPr>
          <w:b/>
        </w:rPr>
        <w:t xml:space="preserve"> </w:t>
      </w:r>
    </w:p>
    <w:p w:rsidR="00EE0979" w:rsidRDefault="00B022A0">
      <w:pPr>
        <w:spacing w:after="6"/>
        <w:ind w:right="175" w:hanging="10"/>
      </w:pPr>
      <w:r>
        <w:rPr>
          <w:b/>
        </w:rPr>
        <w:t xml:space="preserve">14.-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cal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numPr>
          <w:ilvl w:val="0"/>
          <w:numId w:val="1"/>
        </w:numPr>
        <w:spacing w:after="9" w:line="249" w:lineRule="auto"/>
        <w:ind w:right="94" w:hanging="360"/>
      </w:pPr>
      <w:r>
        <w:rPr>
          <w:b/>
          <w:u w:val="single" w:color="000000"/>
        </w:rPr>
        <w:t>Ruegos y preguntas</w:t>
      </w:r>
      <w:r>
        <w:rPr>
          <w:b/>
        </w:rPr>
        <w:t>.</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15.- Ruegos y preguntas.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9" w:line="249" w:lineRule="auto"/>
        <w:ind w:left="384" w:right="94" w:hanging="10"/>
      </w:pPr>
      <w:r>
        <w:rPr>
          <w:b/>
        </w:rPr>
        <w:t xml:space="preserve">A) </w:t>
      </w:r>
      <w:r>
        <w:rPr>
          <w:b/>
          <w:u w:val="single" w:color="000000"/>
        </w:rPr>
        <w:t>Parte Resolutiva de la Sesión.</w:t>
      </w: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722" w:firstLine="0"/>
        <w:jc w:val="left"/>
      </w:pPr>
      <w:r>
        <w:t xml:space="preserve"> </w:t>
      </w:r>
    </w:p>
    <w:p w:rsidR="00EE0979" w:rsidRDefault="00B022A0">
      <w:pPr>
        <w:spacing w:after="91" w:line="250" w:lineRule="auto"/>
        <w:ind w:left="9" w:right="102" w:hanging="10"/>
      </w:pPr>
      <w:r>
        <w:rPr>
          <w:b/>
          <w:sz w:val="24"/>
        </w:rPr>
        <w:t xml:space="preserve">1-. </w:t>
      </w:r>
      <w:r>
        <w:rPr>
          <w:b/>
          <w:sz w:val="24"/>
        </w:rPr>
        <w:t>Expediente 4140/2023. Propuesta del Concejal delegado de Hacienda de fecha 19 de abril de 2023 al Pleno del informe de Intervención de los resultados del control interno durante el ejercicio 2022.</w:t>
      </w:r>
      <w:r>
        <w:t xml:space="preserve"> </w:t>
      </w:r>
    </w:p>
    <w:p w:rsidR="00EE0979" w:rsidRDefault="00B022A0">
      <w:pPr>
        <w:spacing w:after="98" w:line="259" w:lineRule="auto"/>
        <w:ind w:left="14" w:firstLine="0"/>
        <w:jc w:val="left"/>
      </w:pPr>
      <w:r>
        <w:rPr>
          <w:b/>
        </w:rPr>
        <w:t xml:space="preserve"> </w:t>
      </w:r>
    </w:p>
    <w:p w:rsidR="00EE0979" w:rsidRDefault="00B022A0">
      <w:pPr>
        <w:spacing w:after="128"/>
        <w:ind w:right="99" w:hanging="10"/>
      </w:pPr>
      <w:r>
        <w:rPr>
          <w:b/>
        </w:rPr>
        <w:t xml:space="preserve">Consta en el expediente Informe de Intervención emitido </w:t>
      </w:r>
      <w:r>
        <w:rPr>
          <w:b/>
        </w:rPr>
        <w:t>por Don Nicolás Rojo Garnica, que desempeña el puesto de trabajo de Interventor Municipal, de 19 de abril de 2023, del siguiente tenor literal:</w:t>
      </w:r>
      <w:r>
        <w:t xml:space="preserve"> </w:t>
      </w:r>
    </w:p>
    <w:p w:rsidR="00EE0979" w:rsidRDefault="00B022A0">
      <w:pPr>
        <w:spacing w:after="232" w:line="259" w:lineRule="auto"/>
        <w:ind w:left="14" w:firstLine="0"/>
        <w:jc w:val="left"/>
      </w:pPr>
      <w:r>
        <w:rPr>
          <w:rFonts w:ascii="Times New Roman" w:eastAsia="Times New Roman" w:hAnsi="Times New Roman" w:cs="Times New Roman"/>
          <w:sz w:val="24"/>
        </w:rPr>
        <w:t xml:space="preserve"> </w:t>
      </w:r>
    </w:p>
    <w:p w:rsidR="00EE0979" w:rsidRDefault="00B022A0">
      <w:pPr>
        <w:pStyle w:val="Ttulo1"/>
        <w:numPr>
          <w:ilvl w:val="0"/>
          <w:numId w:val="0"/>
        </w:numPr>
        <w:ind w:left="624" w:right="712"/>
      </w:pPr>
      <w:r>
        <w:t xml:space="preserve">“INFORME DE INTERVENCIÓN </w:t>
      </w:r>
    </w:p>
    <w:p w:rsidR="00EE0979" w:rsidRDefault="00B022A0">
      <w:pPr>
        <w:spacing w:after="0" w:line="259" w:lineRule="auto"/>
        <w:ind w:left="14" w:firstLine="0"/>
        <w:jc w:val="left"/>
      </w:pPr>
      <w:r>
        <w:rPr>
          <w:b/>
        </w:rPr>
        <w:t xml:space="preserve"> </w:t>
      </w:r>
    </w:p>
    <w:p w:rsidR="00EE0979" w:rsidRDefault="00B022A0">
      <w:pPr>
        <w:spacing w:after="9" w:line="249" w:lineRule="auto"/>
        <w:ind w:left="9" w:right="94" w:hanging="10"/>
      </w:pPr>
      <w:r>
        <w:rPr>
          <w:b/>
          <w:u w:val="single" w:color="000000"/>
        </w:rPr>
        <w:t>INFORME RESUMEN DE LOS RESULTADOS DEL CONTROL INTERNO DURANTE 2022</w:t>
      </w:r>
      <w:r>
        <w:rPr>
          <w:b/>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27684" name="Group 22768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555" name="Shape 55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684" style="width:477.1pt;height:2.04pt;mso-position-horizontal-relative:char;mso-position-vertical-relative:line" coordsize="60591,259">
                <v:shape id="Shape 555"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0" w:line="259" w:lineRule="auto"/>
        <w:ind w:left="14" w:firstLine="0"/>
        <w:jc w:val="left"/>
      </w:pPr>
      <w:r>
        <w:t xml:space="preserve"> </w:t>
      </w:r>
      <w:r>
        <w:tab/>
        <w:t xml:space="preserve"> </w:t>
      </w:r>
    </w:p>
    <w:p w:rsidR="00EE0979" w:rsidRDefault="00B022A0">
      <w:pPr>
        <w:spacing w:after="0" w:line="259" w:lineRule="auto"/>
        <w:ind w:left="14" w:firstLine="0"/>
        <w:jc w:val="left"/>
      </w:pPr>
      <w:r>
        <w:t xml:space="preserve"> </w:t>
      </w:r>
    </w:p>
    <w:p w:rsidR="00EE0979" w:rsidRDefault="00B022A0">
      <w:pPr>
        <w:tabs>
          <w:tab w:val="center" w:pos="1836"/>
        </w:tabs>
        <w:spacing w:after="6"/>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rPr>
        <w:t>1.</w:t>
      </w:r>
      <w:r>
        <w:rPr>
          <w:b/>
        </w:rPr>
        <w:t>- INTRODUCCIÓN.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 xml:space="preserve">El art. 37 del Real Decreto 424/2017, de 28 de abril, por el que se regula el régimen jurídico, del control interno en las entidades del Sector Público Local (en adelante, RCI) indica que: </w:t>
      </w:r>
    </w:p>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rPr>
          <w:i/>
        </w:rPr>
        <w:t xml:space="preserve"> </w:t>
      </w:r>
    </w:p>
    <w:p w:rsidR="00EE0979" w:rsidRDefault="00B022A0">
      <w:pPr>
        <w:numPr>
          <w:ilvl w:val="0"/>
          <w:numId w:val="2"/>
        </w:numPr>
        <w:ind w:right="98" w:hanging="10"/>
      </w:pPr>
      <w:r>
        <w:rPr>
          <w:i/>
        </w:rPr>
        <w:t xml:space="preserve">El órgano interventor deberá elaborar con carácter anual y con ocasión de la aprobación de la cuenta general, </w:t>
      </w:r>
      <w:r>
        <w:rPr>
          <w:b/>
          <w:i/>
        </w:rPr>
        <w:t xml:space="preserve">el informe resumen de los resultados del control interno </w:t>
      </w:r>
      <w:r>
        <w:rPr>
          <w:i/>
        </w:rPr>
        <w:t>señalado en el artículo 213 del Texto Refundido de la Ley reguladora de las Haciendas Loc</w:t>
      </w:r>
      <w:r>
        <w:rPr>
          <w:i/>
        </w:rPr>
        <w:t>ales.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2"/>
        </w:numPr>
        <w:spacing w:after="10" w:line="248" w:lineRule="auto"/>
        <w:ind w:right="98" w:hanging="10"/>
      </w:pPr>
      <w:r>
        <w:rPr>
          <w:i/>
        </w:rPr>
        <w:t xml:space="preserve">El informe resumen </w:t>
      </w:r>
      <w:r>
        <w:rPr>
          <w:b/>
          <w:i/>
        </w:rPr>
        <w:t xml:space="preserve">será remitido al Pleno, a través del Presidente de la Corporación, y a la Intervención General de la Administración del Estado en el curso del primer cuatrimestre </w:t>
      </w:r>
      <w:r>
        <w:rPr>
          <w:i/>
        </w:rPr>
        <w:t xml:space="preserve">de cada año </w:t>
      </w:r>
      <w:r>
        <w:rPr>
          <w:b/>
          <w:i/>
        </w:rPr>
        <w:t>y contendrá los resultados más significativos derivad</w:t>
      </w:r>
      <w:r>
        <w:rPr>
          <w:b/>
          <w:i/>
        </w:rPr>
        <w:t>os de las de las actuaciones de control financiero y de función interventora realizadas en el ejercicio anterior</w:t>
      </w:r>
      <w:r>
        <w:rPr>
          <w:i/>
        </w:rPr>
        <w:t>.</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2"/>
        </w:numPr>
        <w:ind w:right="98" w:hanging="10"/>
      </w:pPr>
      <w:r>
        <w:rPr>
          <w:i/>
        </w:rPr>
        <w:t xml:space="preserve">La </w:t>
      </w:r>
      <w:r>
        <w:rPr>
          <w:b/>
          <w:i/>
        </w:rPr>
        <w:t xml:space="preserve">Intervención General de la Administración del Estado dictará las instrucciones </w:t>
      </w:r>
      <w:r>
        <w:rPr>
          <w:i/>
        </w:rPr>
        <w:t xml:space="preserve">a las que habrán de ajustarse el contenido, estructura y </w:t>
      </w:r>
      <w:r>
        <w:rPr>
          <w:i/>
        </w:rPr>
        <w:t>formato del informe resumen y deberá crear un inventario público que recoja los informes recibidos de las Entidades Locales.”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ind w:right="100"/>
      </w:pPr>
      <w:r>
        <w:t xml:space="preserve">Por tanto, el ejercicio 2022, constituye el ejercicio de control. </w:t>
      </w:r>
    </w:p>
    <w:p w:rsidR="00EE0979" w:rsidRDefault="00B022A0">
      <w:pPr>
        <w:spacing w:after="0" w:line="259" w:lineRule="auto"/>
        <w:ind w:left="14" w:firstLine="0"/>
        <w:jc w:val="left"/>
      </w:pPr>
      <w:r>
        <w:rPr>
          <w:i/>
        </w:rPr>
        <w:t xml:space="preserve"> </w:t>
      </w:r>
    </w:p>
    <w:p w:rsidR="00EE0979" w:rsidRDefault="00B022A0">
      <w:pPr>
        <w:ind w:right="100"/>
      </w:pPr>
      <w:r>
        <w:t xml:space="preserve">A su vez, el art. 38 RCI indica: </w:t>
      </w:r>
    </w:p>
    <w:p w:rsidR="00EE0979" w:rsidRDefault="00B022A0">
      <w:pPr>
        <w:spacing w:after="0" w:line="259" w:lineRule="auto"/>
        <w:ind w:left="14" w:firstLine="0"/>
        <w:jc w:val="left"/>
      </w:pPr>
      <w:r>
        <w:t xml:space="preserve"> </w:t>
      </w:r>
    </w:p>
    <w:p w:rsidR="00EE0979" w:rsidRDefault="00B022A0">
      <w:pPr>
        <w:numPr>
          <w:ilvl w:val="0"/>
          <w:numId w:val="3"/>
        </w:numPr>
        <w:spacing w:after="10" w:line="248" w:lineRule="auto"/>
        <w:ind w:right="98" w:hanging="10"/>
      </w:pPr>
      <w:r>
        <w:rPr>
          <w:i/>
        </w:rPr>
        <w:t xml:space="preserve">El Presidente de la </w:t>
      </w:r>
      <w:r>
        <w:rPr>
          <w:b/>
          <w:i/>
        </w:rPr>
        <w:t xml:space="preserve">Corporación formalizará un plan de acción que determine las medidas a adoptar para subsanar las debilidades, deficiencias, errores e incumplimientos que se pongan de manifiesto en el informe resumen </w:t>
      </w:r>
      <w:r>
        <w:rPr>
          <w:i/>
        </w:rPr>
        <w:t>referido en el artículo anterior.</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3"/>
        </w:numPr>
        <w:ind w:right="98" w:hanging="10"/>
      </w:pPr>
      <w:r>
        <w:rPr>
          <w:i/>
        </w:rPr>
        <w:t>El plan de acción se</w:t>
      </w:r>
      <w:r>
        <w:rPr>
          <w:i/>
        </w:rPr>
        <w:t xml:space="preserve"> elaborará en el </w:t>
      </w:r>
      <w:r>
        <w:rPr>
          <w:b/>
          <w:i/>
        </w:rPr>
        <w:t xml:space="preserve">plazo máximo de 3 meses desde la remisión del informe resumen al Pleno </w:t>
      </w:r>
      <w:r>
        <w:rPr>
          <w:i/>
        </w:rPr>
        <w:t>y contendrá las medidas de corrección adoptadas, el responsable de implementarlas y el calendario de actuaciones a realizar, relativos tanto a la gestión de la propia C</w:t>
      </w:r>
      <w:r>
        <w:rPr>
          <w:i/>
        </w:rPr>
        <w:t>orporación como a la de los organismos y entidades públicas adscritas o dependientes y de las que ejerza la tutela.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3"/>
        </w:numPr>
        <w:ind w:right="98" w:hanging="10"/>
      </w:pPr>
      <w:r>
        <w:rPr>
          <w:i/>
        </w:rPr>
        <w:t xml:space="preserve">El plan de acción </w:t>
      </w:r>
      <w:r>
        <w:rPr>
          <w:b/>
          <w:i/>
        </w:rPr>
        <w:t>será remitido al órgano interventor de la Entidad Local</w:t>
      </w:r>
      <w:r>
        <w:rPr>
          <w:i/>
        </w:rPr>
        <w:t>, que valorará su adecuación para solventar las deficiencias señ</w:t>
      </w:r>
      <w:r>
        <w:rPr>
          <w:i/>
        </w:rPr>
        <w:t>aladas y en su caso los resultados obtenidos, e informará al Pleno sobre la situación de la corrección de las debilidades puestas de manifiesto en el ejercicio del control interno, permitiendo así que el Pleno realice un seguimiento periódico de las medida</w:t>
      </w:r>
      <w:r>
        <w:rPr>
          <w:i/>
        </w:rPr>
        <w:t>s correctoras implantadas para la mejora de la gestión económico financiera.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3"/>
        </w:numPr>
        <w:ind w:right="98" w:hanging="10"/>
      </w:pPr>
      <w:r>
        <w:rPr>
          <w:i/>
        </w:rPr>
        <w:t>En la remisión anual a la Intervención General de la Administración del Estado del informe resumen de los resultados del control interno se informará, asimismo, sobre la correc</w:t>
      </w:r>
      <w:r>
        <w:rPr>
          <w:i/>
        </w:rPr>
        <w:t xml:space="preserve">ción de las debilidades puestas de manifiesto.” </w:t>
      </w:r>
    </w:p>
    <w:p w:rsidR="00EE0979" w:rsidRDefault="00B022A0">
      <w:pPr>
        <w:spacing w:after="0" w:line="259" w:lineRule="auto"/>
        <w:ind w:left="14" w:firstLine="0"/>
        <w:jc w:val="left"/>
      </w:pPr>
      <w:r>
        <w:rPr>
          <w:b/>
        </w:rPr>
        <w:t xml:space="preserve"> </w:t>
      </w:r>
    </w:p>
    <w:p w:rsidR="00EE0979" w:rsidRDefault="00B022A0">
      <w:pPr>
        <w:ind w:left="14" w:right="100" w:firstLine="708"/>
      </w:pPr>
      <w:r>
        <w:t>Con fecha 2 de abril de 2020 de la Intervención General de la Administración del Estado, se establecen las Instrucciones a las que habrá que ajustarse el contenido, estructura y formato del Informe Resumen</w:t>
      </w:r>
      <w: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 xml:space="preserve">Se ejercerá un Control Financiero Permanente y Auditoria Pública, así como de la Función Interventora.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2.- ALCANCE DEL INFORME RESUMEN. - </w:t>
      </w:r>
    </w:p>
    <w:p w:rsidR="00EE0979" w:rsidRDefault="00B022A0">
      <w:pPr>
        <w:spacing w:after="0" w:line="259" w:lineRule="auto"/>
        <w:ind w:left="14" w:firstLine="0"/>
        <w:jc w:val="left"/>
      </w:pPr>
      <w:r>
        <w:rPr>
          <w:b/>
        </w:rPr>
        <w:t xml:space="preserve"> </w:t>
      </w:r>
    </w:p>
    <w:p w:rsidR="00EE0979" w:rsidRDefault="00B022A0">
      <w:pPr>
        <w:ind w:left="14" w:right="100" w:firstLine="708"/>
      </w:pPr>
      <w:r>
        <w:t>El informe resumen debe contener los resultados más significativos derivados de las actuaciones de contro</w:t>
      </w:r>
      <w:r>
        <w:t>l financiero y de función interventora realizadas por el órgano interventor sobre todas las entidades que forman parte del Sector Público del Ayuntamiento de Candelaria, incluido los entes dependientes, en el ejercicio anterior, esto es, la Entidad Pública</w:t>
      </w:r>
      <w:r>
        <w:t xml:space="preserve"> Empresarial de Gestión de Empresas y Servicios Públicos del Ayuntamiento de Candelaria, la Sociedad Municipal de Viviendas y Servicios Municipales de Candelaria SLU. y de la Fundación Candesol</w:t>
      </w:r>
      <w:r>
        <w:rPr>
          <w:b/>
        </w:rPr>
        <w:t>.</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Los objetivos del informe son, en consonancia con el infor</w:t>
      </w:r>
      <w:r>
        <w:t xml:space="preserve">me resumen de la Intervención General del Estado: </w:t>
      </w:r>
    </w:p>
    <w:p w:rsidR="00EE0979" w:rsidRDefault="00B022A0">
      <w:pPr>
        <w:spacing w:after="16" w:line="259" w:lineRule="auto"/>
        <w:ind w:left="722" w:firstLine="0"/>
        <w:jc w:val="left"/>
      </w:pPr>
      <w:r>
        <w:t xml:space="preserve"> </w:t>
      </w:r>
    </w:p>
    <w:p w:rsidR="00EE0979" w:rsidRDefault="00B022A0">
      <w:pPr>
        <w:numPr>
          <w:ilvl w:val="0"/>
          <w:numId w:val="4"/>
        </w:numPr>
        <w:ind w:left="153" w:right="100" w:hanging="139"/>
      </w:pPr>
      <w:r>
        <w:t xml:space="preserve">Facilitar una valoración global de la gestión controlada. </w:t>
      </w:r>
    </w:p>
    <w:p w:rsidR="00EE0979" w:rsidRDefault="00B022A0">
      <w:pPr>
        <w:spacing w:after="0" w:line="259" w:lineRule="auto"/>
        <w:ind w:left="14" w:firstLine="0"/>
        <w:jc w:val="left"/>
      </w:pPr>
      <w:r>
        <w:t xml:space="preserve"> </w:t>
      </w:r>
    </w:p>
    <w:p w:rsidR="00EE0979" w:rsidRDefault="00B022A0">
      <w:pPr>
        <w:numPr>
          <w:ilvl w:val="0"/>
          <w:numId w:val="4"/>
        </w:numPr>
        <w:ind w:left="153" w:right="100" w:hanging="139"/>
      </w:pPr>
      <w:r>
        <w:t xml:space="preserve">Introducir mejoras de la gestión poniendo de manifiesto las áreas, actividades o actuaciones de gestión en las que se hayan detectado debilidades, deficiencias, errores o incumplimientos. </w:t>
      </w:r>
    </w:p>
    <w:p w:rsidR="00EE0979" w:rsidRDefault="00B022A0">
      <w:pPr>
        <w:spacing w:after="11" w:line="259" w:lineRule="auto"/>
        <w:ind w:left="14" w:firstLine="0"/>
        <w:jc w:val="left"/>
      </w:pPr>
      <w:r>
        <w:t xml:space="preserve"> </w:t>
      </w:r>
    </w:p>
    <w:p w:rsidR="00EE0979" w:rsidRDefault="00B022A0">
      <w:pPr>
        <w:numPr>
          <w:ilvl w:val="0"/>
          <w:numId w:val="4"/>
        </w:numPr>
        <w:ind w:left="153" w:right="100" w:hanging="139"/>
      </w:pPr>
      <w:r>
        <w:t>Dar trascendencia a los resultados del control más allá del concr</w:t>
      </w:r>
      <w:r>
        <w:t xml:space="preserve">eto órgano de gestión responsable directo: Intervención General del Estado, ciudadanos, Pleno de la Corporación, etc. </w:t>
      </w:r>
    </w:p>
    <w:p w:rsidR="00EE0979" w:rsidRDefault="00B022A0">
      <w:pPr>
        <w:spacing w:after="0" w:line="259" w:lineRule="auto"/>
        <w:ind w:left="14" w:firstLine="0"/>
        <w:jc w:val="left"/>
      </w:pPr>
      <w:r>
        <w:t xml:space="preserve"> </w:t>
      </w:r>
    </w:p>
    <w:p w:rsidR="00EE0979" w:rsidRDefault="00B022A0">
      <w:pPr>
        <w:ind w:left="14" w:right="100" w:firstLine="708"/>
      </w:pPr>
      <w:r>
        <w:t>Se trata de resaltar y resumir en un solo documento los resultados más llamativos de las actuaciones de control, a fin de que la Alcald</w:t>
      </w:r>
      <w:r>
        <w:t xml:space="preserve">esa de la entidad pueda proponer un Plan de Acción sobre estos resultados. </w:t>
      </w:r>
    </w:p>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3.- CONCLUSIONES Y RECOMENDACIONES. </w:t>
      </w:r>
    </w:p>
    <w:p w:rsidR="00EE0979" w:rsidRDefault="00B022A0">
      <w:pPr>
        <w:spacing w:after="0" w:line="259" w:lineRule="auto"/>
        <w:ind w:left="14" w:firstLine="0"/>
        <w:jc w:val="left"/>
      </w:pPr>
      <w:r>
        <w:rPr>
          <w:b/>
        </w:rPr>
        <w:t xml:space="preserve"> </w:t>
      </w:r>
    </w:p>
    <w:p w:rsidR="00EE0979" w:rsidRDefault="00B022A0">
      <w:pPr>
        <w:numPr>
          <w:ilvl w:val="1"/>
          <w:numId w:val="4"/>
        </w:numPr>
        <w:spacing w:after="166"/>
        <w:ind w:right="99" w:hanging="360"/>
      </w:pPr>
      <w:r>
        <w:rPr>
          <w:b/>
        </w:rPr>
        <w:t xml:space="preserve">FUNCIÓN INTERVENTORA. </w:t>
      </w:r>
    </w:p>
    <w:p w:rsidR="00EE0979" w:rsidRDefault="00B022A0">
      <w:pPr>
        <w:spacing w:after="0" w:line="259" w:lineRule="auto"/>
        <w:ind w:left="734" w:firstLine="0"/>
        <w:jc w:val="left"/>
      </w:pPr>
      <w:r>
        <w:t xml:space="preserve"> </w:t>
      </w:r>
    </w:p>
    <w:p w:rsidR="00EE0979" w:rsidRDefault="00B022A0">
      <w:pPr>
        <w:ind w:left="14" w:right="100" w:firstLine="348"/>
      </w:pPr>
      <w:r>
        <w:t xml:space="preserve">Conforme el artículo 3.2 del RCI, la función interventora tiene por objeto controlar los actos de la Entidad Local y de sus organismos autónomos, cualquiera que sea su calificación, que den lugar al reconocimiento de derechos o a la realización de gastos, </w:t>
      </w:r>
      <w:r>
        <w:t xml:space="preserve">así como los ingresos y pagos que de ellos se deriven, y la inversión o aplicación en general de sus fondos públicos, con el fin de asegurar que su gestión se ajuste a las disposiciones aplicables en cada caso.  </w:t>
      </w:r>
    </w:p>
    <w:p w:rsidR="00EE0979" w:rsidRDefault="00B022A0">
      <w:pPr>
        <w:spacing w:after="0" w:line="259" w:lineRule="auto"/>
        <w:ind w:left="362" w:firstLine="0"/>
        <w:jc w:val="left"/>
      </w:pPr>
      <w:r>
        <w:t xml:space="preserve"> </w:t>
      </w:r>
    </w:p>
    <w:p w:rsidR="00EE0979" w:rsidRDefault="00B022A0">
      <w:pPr>
        <w:spacing w:after="354"/>
        <w:ind w:left="14" w:right="100" w:firstLine="348"/>
      </w:pPr>
      <w:r>
        <w:t>Por tanto, esta función, se ejercerá sobr</w:t>
      </w:r>
      <w:r>
        <w:t xml:space="preserve">e el Ayuntamiento de Candelaria, pero no sobre los entes dependientes, sobre los que se ejerce, de acuerdo con la normativa legal vigente, un control financiero. No obstante, se ha decidido por acuerdo plenario ejercer esta fiscalización previa a Epelcan, </w:t>
      </w:r>
      <w:r>
        <w:t xml:space="preserve">extendiéndose también a la Sociedad municipal. </w:t>
      </w:r>
    </w:p>
    <w:p w:rsidR="00EE0979" w:rsidRDefault="00B022A0">
      <w:pPr>
        <w:spacing w:after="349"/>
        <w:ind w:right="100"/>
      </w:pPr>
      <w:r>
        <w:t xml:space="preserve">Si bien el artículo 17 del RCI, que regula la Exención de fiscalización previa a: </w:t>
      </w:r>
    </w:p>
    <w:p w:rsidR="00EE0979" w:rsidRDefault="00B022A0">
      <w:pPr>
        <w:numPr>
          <w:ilvl w:val="1"/>
          <w:numId w:val="5"/>
        </w:numPr>
        <w:spacing w:after="171"/>
        <w:ind w:left="635" w:right="100" w:hanging="261"/>
      </w:pPr>
      <w:r>
        <w:t xml:space="preserve">Los gastos de material no inventariable. </w:t>
      </w:r>
    </w:p>
    <w:p w:rsidR="00EE0979" w:rsidRDefault="00B022A0">
      <w:pPr>
        <w:numPr>
          <w:ilvl w:val="1"/>
          <w:numId w:val="5"/>
        </w:numPr>
        <w:spacing w:after="169"/>
        <w:ind w:left="635" w:right="100" w:hanging="261"/>
      </w:pPr>
      <w:r>
        <w:t xml:space="preserve">Los contratos menores. </w:t>
      </w:r>
    </w:p>
    <w:p w:rsidR="00EE0979" w:rsidRDefault="00B022A0">
      <w:pPr>
        <w:numPr>
          <w:ilvl w:val="1"/>
          <w:numId w:val="5"/>
        </w:numPr>
        <w:ind w:left="635" w:right="100" w:hanging="261"/>
      </w:pPr>
      <w:r>
        <w:t>Los gastos de carácter periódico y demás de tracto sucesivo</w:t>
      </w:r>
      <w:r>
        <w:t xml:space="preserve">, una vez fiscalizado el gasto </w:t>
      </w:r>
    </w:p>
    <w:p w:rsidR="00EE0979" w:rsidRDefault="00B022A0">
      <w:pPr>
        <w:spacing w:after="171"/>
        <w:ind w:right="100"/>
      </w:pPr>
      <w:r>
        <w:t xml:space="preserve">correspondiente al período inicial del acto o contrato del que deriven o sus modificaciones. </w:t>
      </w:r>
    </w:p>
    <w:p w:rsidR="00EE0979" w:rsidRDefault="00B022A0">
      <w:pPr>
        <w:ind w:left="14" w:right="100" w:firstLine="360"/>
      </w:pPr>
      <w:r>
        <w:t xml:space="preserve">Se ejerce esta fiscalización en las fases de aprobación del gasto, verificando el contenido de los citados gastos, principalmente </w:t>
      </w:r>
      <w:r>
        <w:t>los contratos menores, poniéndose de manifiesto que todos los expedientes contienen el informe del órgano de contratación, señalando que no se está alterando el objeto del contrato y justificando la necesidad del contrato, además que no se está superando e</w:t>
      </w:r>
      <w:r>
        <w:t xml:space="preserve">l umbral económico fijado en el artículo 118.1 de la Ley 9/2017 de 8 de noviembre, de Contratos del Sector Público. </w:t>
      </w:r>
    </w:p>
    <w:p w:rsidR="00EE0979" w:rsidRDefault="00B022A0">
      <w:pPr>
        <w:spacing w:after="0" w:line="259" w:lineRule="auto"/>
        <w:ind w:left="374" w:firstLine="0"/>
        <w:jc w:val="left"/>
      </w:pPr>
      <w:r>
        <w:t xml:space="preserve"> </w:t>
      </w:r>
    </w:p>
    <w:p w:rsidR="00EE0979" w:rsidRDefault="00B022A0">
      <w:pPr>
        <w:ind w:left="14" w:right="100" w:firstLine="708"/>
      </w:pPr>
      <w:r>
        <w:t xml:space="preserve">No obstante, se pone de manifiesto la existencia de un gran número de contratos menores municipales de competencia obligatoria. Sería recomendable someter a concurrencia pública la realización de las obras, servicios y suministros, dados sus efectos en la </w:t>
      </w:r>
      <w:r>
        <w:t xml:space="preserve">sostenibilidad de las Cuentas municipales.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A través del siguiente cuadro, se pone de manifiesto el elevado número de contratos menores, superior a los años anteriores, en el ejercicio 2022: </w:t>
      </w:r>
    </w:p>
    <w:p w:rsidR="00EE0979" w:rsidRDefault="00B022A0">
      <w:pPr>
        <w:spacing w:after="0" w:line="259" w:lineRule="auto"/>
        <w:ind w:left="722" w:firstLine="0"/>
        <w:jc w:val="left"/>
      </w:pPr>
      <w:r>
        <w:t xml:space="preserve"> </w:t>
      </w:r>
    </w:p>
    <w:tbl>
      <w:tblPr>
        <w:tblStyle w:val="TableGrid"/>
        <w:tblW w:w="5103" w:type="dxa"/>
        <w:tblInd w:w="2395" w:type="dxa"/>
        <w:tblCellMar>
          <w:top w:w="7" w:type="dxa"/>
          <w:left w:w="108" w:type="dxa"/>
          <w:bottom w:w="0" w:type="dxa"/>
          <w:right w:w="54" w:type="dxa"/>
        </w:tblCellMar>
        <w:tblLook w:val="04A0" w:firstRow="1" w:lastRow="0" w:firstColumn="1" w:lastColumn="0" w:noHBand="0" w:noVBand="1"/>
      </w:tblPr>
      <w:tblGrid>
        <w:gridCol w:w="2269"/>
        <w:gridCol w:w="2834"/>
      </w:tblGrid>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ENTIDAD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CONTRATOS MENORES </w:t>
            </w:r>
          </w:p>
        </w:tc>
      </w:tr>
      <w:tr w:rsidR="00EE0979">
        <w:trPr>
          <w:trHeight w:val="47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AYUNTAMIENTO DE CANDELARIA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 xml:space="preserve">2.270 </w:t>
            </w:r>
          </w:p>
        </w:tc>
      </w:tr>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EPELCAN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 xml:space="preserve">76 </w:t>
            </w:r>
          </w:p>
        </w:tc>
      </w:tr>
      <w:tr w:rsidR="00EE0979">
        <w:trPr>
          <w:trHeight w:val="471"/>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2107"/>
              </w:tabs>
              <w:spacing w:after="0" w:line="259" w:lineRule="auto"/>
              <w:ind w:left="0" w:firstLine="0"/>
              <w:jc w:val="left"/>
            </w:pPr>
            <w:r>
              <w:rPr>
                <w:sz w:val="20"/>
              </w:rPr>
              <w:t xml:space="preserve">EMPRESA </w:t>
            </w:r>
            <w:r>
              <w:rPr>
                <w:sz w:val="20"/>
              </w:rPr>
              <w:tab/>
              <w:t xml:space="preserve">DE </w:t>
            </w:r>
          </w:p>
          <w:p w:rsidR="00EE0979" w:rsidRDefault="00B022A0">
            <w:pPr>
              <w:spacing w:after="0" w:line="259" w:lineRule="auto"/>
              <w:ind w:left="0" w:firstLine="0"/>
              <w:jc w:val="left"/>
            </w:pPr>
            <w:r>
              <w:rPr>
                <w:sz w:val="20"/>
              </w:rPr>
              <w:t xml:space="preserve">INSERCIÓN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 xml:space="preserve">86 </w:t>
            </w:r>
          </w:p>
        </w:tc>
      </w:tr>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FUNDACIÓN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 xml:space="preserve">43 </w:t>
            </w:r>
          </w:p>
        </w:tc>
      </w:tr>
    </w:tbl>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En este sentido, se requiere potenciar el área de contratación, con el fin de que la Técnica de Contratación, que asume la Jefatura de esta área, disponga de mayor personal a su responsabilidad, para disminuir lo máximo posible, la realización de contratos</w:t>
      </w:r>
      <w:r>
        <w:t xml:space="preserve"> menores, restringiéndolo para servicios y suministros que no sean de prestación sucesiva, esto es, para casos esporádicos y excepcionales, que no se puedan prever. Han aumentado el número de contratos menores, respecto el año anterior, en 230. </w:t>
      </w:r>
    </w:p>
    <w:p w:rsidR="00EE0979" w:rsidRDefault="00B022A0">
      <w:pPr>
        <w:spacing w:after="0" w:line="259" w:lineRule="auto"/>
        <w:ind w:left="14" w:firstLine="0"/>
        <w:jc w:val="left"/>
      </w:pPr>
      <w:r>
        <w:t xml:space="preserve"> </w:t>
      </w:r>
    </w:p>
    <w:p w:rsidR="00EE0979" w:rsidRDefault="00B022A0">
      <w:pPr>
        <w:ind w:left="14" w:right="100" w:firstLine="360"/>
      </w:pPr>
      <w:r>
        <w:t>Asimismo</w:t>
      </w:r>
      <w:r>
        <w:t xml:space="preserve">, surge la necesidad de realizar el seguimiento de los contratos municipales, sometidos a concesión administrativa, a efectos de su control y sanción, en su caso. Lo más adecuado es la creación de un servicio o departamento especializado en el seguimiento </w:t>
      </w:r>
      <w:r>
        <w:t xml:space="preserve">de al menos los grandes contratos tanto desde el punto de vista técnico como económico y legal. </w:t>
      </w:r>
    </w:p>
    <w:p w:rsidR="00EE0979" w:rsidRDefault="00B022A0">
      <w:pPr>
        <w:spacing w:after="0" w:line="259" w:lineRule="auto"/>
        <w:ind w:left="374" w:firstLine="0"/>
        <w:jc w:val="left"/>
      </w:pPr>
      <w:r>
        <w:t xml:space="preserve"> </w:t>
      </w:r>
    </w:p>
    <w:p w:rsidR="00EE0979" w:rsidRDefault="00B022A0">
      <w:pPr>
        <w:ind w:left="14" w:right="100" w:firstLine="360"/>
      </w:pPr>
      <w:r>
        <w:t>Durante el ejercicio 2022, no ha habido resoluciones adoptadas por el Presidente de la Entidad Local contrarias a los reparos efectuados.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numPr>
          <w:ilvl w:val="1"/>
          <w:numId w:val="4"/>
        </w:numPr>
        <w:spacing w:after="6"/>
        <w:ind w:right="99" w:hanging="360"/>
      </w:pPr>
      <w:r>
        <w:rPr>
          <w:b/>
        </w:rPr>
        <w:t xml:space="preserve">CONTROL FINANCIERO. </w:t>
      </w:r>
    </w:p>
    <w:p w:rsidR="00EE0979" w:rsidRDefault="00B022A0">
      <w:pPr>
        <w:spacing w:after="160" w:line="259" w:lineRule="auto"/>
        <w:ind w:left="734" w:firstLine="0"/>
        <w:jc w:val="left"/>
      </w:pPr>
      <w:r>
        <w:rPr>
          <w:b/>
        </w:rPr>
        <w:t xml:space="preserve"> </w:t>
      </w:r>
    </w:p>
    <w:p w:rsidR="00EE0979" w:rsidRDefault="00B022A0">
      <w:pPr>
        <w:spacing w:after="174"/>
        <w:ind w:left="14" w:right="100" w:firstLine="360"/>
      </w:pPr>
      <w:r>
        <w:t>Conforme el artículo 3.3 del RCI, el control financiero tiene por objeto verificar el funcionamiento de los servicios del sector público local en el aspecto económico financiero para comprobar el cumplimiento de la normativa y direct</w:t>
      </w:r>
      <w:r>
        <w:t>rices que los rigen y, en general, que su gestión se ajusta a los principios de buena gestión financiera, comprobando que la gestión de los recursos públicos se encuentra orientada por la eficacia, la eficiencia, la economía, la calidad y la transparencia,</w:t>
      </w:r>
      <w:r>
        <w:t xml:space="preserve"> y por los principios de estabilidad presupuestaria y sostenibilidad financiera en el uso de los recursos públicos locales. </w:t>
      </w:r>
    </w:p>
    <w:p w:rsidR="00EE0979" w:rsidRDefault="00B022A0">
      <w:pPr>
        <w:spacing w:after="171"/>
        <w:ind w:left="14" w:right="100" w:firstLine="360"/>
      </w:pPr>
      <w:r>
        <w:t>El control financiero así definido comprende las modalidades de control permanente y la auditoría pública, incluyéndose en ambas el</w:t>
      </w:r>
      <w:r>
        <w:t xml:space="preserve"> control de eficacia referido en el artículo 213 del texto refundido de la Ley de las Haciendas Locales. </w:t>
      </w:r>
    </w:p>
    <w:p w:rsidR="00EE0979" w:rsidRDefault="00B022A0">
      <w:pPr>
        <w:ind w:left="14" w:right="100" w:firstLine="360"/>
      </w:pPr>
      <w:r>
        <w:t>Con respecto al último Plan Anual de Control Financiero aprobado, que concretaba varias actuaciones, que se detallan a continuación, valorando el resu</w:t>
      </w:r>
      <w:r>
        <w:t xml:space="preserve">ltado de las mismas: </w:t>
      </w:r>
    </w:p>
    <w:p w:rsidR="00EE0979" w:rsidRDefault="00B022A0">
      <w:pPr>
        <w:spacing w:after="0" w:line="259" w:lineRule="auto"/>
        <w:ind w:left="374" w:firstLine="0"/>
        <w:jc w:val="left"/>
      </w:pPr>
      <w:r>
        <w:t xml:space="preserve"> </w:t>
      </w:r>
    </w:p>
    <w:p w:rsidR="00EE0979" w:rsidRDefault="00B022A0">
      <w:pPr>
        <w:ind w:left="379" w:right="100"/>
      </w:pPr>
      <w:r>
        <w:t>A)</w:t>
      </w:r>
      <w:r>
        <w:rPr>
          <w:b/>
        </w:rPr>
        <w:t xml:space="preserve"> </w:t>
      </w:r>
      <w:r>
        <w:t>ACTUACIONES DE CONTROL PERMANENTE DERIVADOS OBLIGACIÓN LEGAL</w:t>
      </w:r>
      <w:r>
        <w:rPr>
          <w:rFonts w:ascii="Times New Roman" w:eastAsia="Times New Roman" w:hAnsi="Times New Roman" w:cs="Times New Roman"/>
          <w:sz w:val="24"/>
        </w:rPr>
        <w:t xml:space="preserve"> </w:t>
      </w:r>
    </w:p>
    <w:p w:rsidR="00EE0979" w:rsidRDefault="00B022A0">
      <w:pPr>
        <w:spacing w:after="0" w:line="259" w:lineRule="auto"/>
        <w:ind w:left="374" w:firstLine="0"/>
        <w:jc w:val="left"/>
      </w:pPr>
      <w:r>
        <w:t xml:space="preserve"> </w:t>
      </w:r>
    </w:p>
    <w:p w:rsidR="00EE0979" w:rsidRDefault="00B022A0">
      <w:pPr>
        <w:spacing w:after="2" w:line="234" w:lineRule="auto"/>
        <w:ind w:left="-1" w:right="98" w:firstLine="360"/>
      </w:pPr>
      <w:r>
        <w:rPr>
          <w:i/>
          <w:u w:val="single" w:color="000000"/>
        </w:rPr>
        <w:t>1.- Actuaciones previstas en las normas presupuestarias y reguladoras de la gestión económica</w:t>
      </w:r>
      <w:r>
        <w:rPr>
          <w:i/>
        </w:rPr>
        <w:t xml:space="preserve"> </w:t>
      </w:r>
      <w:r>
        <w:rPr>
          <w:i/>
          <w:u w:val="single" w:color="000000"/>
        </w:rPr>
        <w:t>del sector público local atribuidas al órgano interventor, tales como P</w:t>
      </w:r>
      <w:r>
        <w:rPr>
          <w:i/>
          <w:u w:val="single" w:color="000000"/>
        </w:rPr>
        <w:t>resupuesto municipal,</w:t>
      </w:r>
      <w:r>
        <w:rPr>
          <w:i/>
        </w:rPr>
        <w:t xml:space="preserve"> </w:t>
      </w:r>
      <w:r>
        <w:rPr>
          <w:i/>
          <w:u w:val="single" w:color="000000"/>
        </w:rPr>
        <w:t>modificaciones presupuestarias, liquidaciones del Presupuesto general.</w:t>
      </w:r>
      <w:r>
        <w:rPr>
          <w:rFonts w:ascii="Times New Roman" w:eastAsia="Times New Roman" w:hAnsi="Times New Roman" w:cs="Times New Roman"/>
          <w:sz w:val="24"/>
        </w:rPr>
        <w:t xml:space="preserve"> </w:t>
      </w:r>
    </w:p>
    <w:p w:rsidR="00EE0979" w:rsidRDefault="00B022A0">
      <w:pPr>
        <w:spacing w:after="0" w:line="259" w:lineRule="auto"/>
        <w:ind w:left="374" w:firstLine="0"/>
        <w:jc w:val="left"/>
      </w:pPr>
      <w:r>
        <w:t xml:space="preserve"> </w:t>
      </w:r>
    </w:p>
    <w:p w:rsidR="00EE0979" w:rsidRDefault="00B022A0">
      <w:pPr>
        <w:ind w:left="14" w:right="100" w:firstLine="360"/>
      </w:pPr>
      <w:r>
        <w:t>En el año 2022, el Presupuesto municipal, se aprobó por acuerdo plenario de 28 de abril de 2022, tramitándose un total de 67 modificaciones presupuestarias (cua</w:t>
      </w:r>
      <w:r>
        <w:t>tro menos que en el año anterior: 26 generaciones de crédito por ingreso (por importe de 5.476.530,28 Euros), 28 Transferencias de crédito (por importe de 1.102.643,09 Euros), 10 créditos extraordinario/Suplementos de crédito (por la cantidad de 11.762.386</w:t>
      </w:r>
      <w:r>
        <w:t xml:space="preserve">,25 Euros) y 3 Incorporación de crédito por ingreso (un total de 11.459.778,37 Euros). </w:t>
      </w:r>
    </w:p>
    <w:p w:rsidR="00EE0979" w:rsidRDefault="00B022A0">
      <w:pPr>
        <w:spacing w:after="0" w:line="259" w:lineRule="auto"/>
        <w:ind w:left="374" w:firstLine="0"/>
        <w:jc w:val="left"/>
      </w:pPr>
      <w:r>
        <w:t xml:space="preserve"> </w:t>
      </w:r>
    </w:p>
    <w:p w:rsidR="00EE0979" w:rsidRDefault="00B022A0">
      <w:pPr>
        <w:ind w:left="379" w:right="100"/>
      </w:pPr>
      <w:r>
        <w:t xml:space="preserve">Por Decreto 550/2022, de 1 de marzo, se aprobó la Liquidación del Presupuesto municipal del año 2022, destacando las siguientes magnitudes: </w:t>
      </w:r>
    </w:p>
    <w:p w:rsidR="00EE0979" w:rsidRDefault="00B022A0">
      <w:pPr>
        <w:spacing w:after="0" w:line="259" w:lineRule="auto"/>
        <w:ind w:left="374" w:firstLine="0"/>
        <w:jc w:val="left"/>
      </w:pPr>
      <w:r>
        <w:t xml:space="preserve"> </w:t>
      </w:r>
    </w:p>
    <w:p w:rsidR="00EE0979" w:rsidRDefault="00B022A0">
      <w:pPr>
        <w:numPr>
          <w:ilvl w:val="1"/>
          <w:numId w:val="6"/>
        </w:numPr>
        <w:ind w:right="100" w:hanging="360"/>
      </w:pPr>
      <w:r>
        <w:t xml:space="preserve">Remanente de Tesorería para Gastos Generales:23.408.195,38 Euros. </w:t>
      </w:r>
    </w:p>
    <w:p w:rsidR="00EE0979" w:rsidRDefault="00B022A0">
      <w:pPr>
        <w:numPr>
          <w:ilvl w:val="1"/>
          <w:numId w:val="6"/>
        </w:numPr>
        <w:ind w:right="100" w:hanging="360"/>
      </w:pPr>
      <w:r>
        <w:t xml:space="preserve">Ahorro Neto: 4.856.988,11 Euros. </w:t>
      </w:r>
    </w:p>
    <w:p w:rsidR="00EE0979" w:rsidRDefault="00B022A0">
      <w:pPr>
        <w:numPr>
          <w:ilvl w:val="1"/>
          <w:numId w:val="6"/>
        </w:numPr>
        <w:ind w:right="100" w:hanging="360"/>
      </w:pPr>
      <w:r>
        <w:t xml:space="preserve">Endeudamiento a Largo Plazo: 0,00 Euros. </w:t>
      </w:r>
    </w:p>
    <w:p w:rsidR="00EE0979" w:rsidRDefault="00B022A0">
      <w:pPr>
        <w:numPr>
          <w:ilvl w:val="1"/>
          <w:numId w:val="6"/>
        </w:numPr>
        <w:ind w:right="100" w:hanging="360"/>
      </w:pPr>
      <w:r>
        <w:t xml:space="preserve">Estabilidad Presupuestaria: 4.609.533,31 Euros. </w:t>
      </w:r>
    </w:p>
    <w:p w:rsidR="00EE0979" w:rsidRDefault="00B022A0">
      <w:pPr>
        <w:numPr>
          <w:ilvl w:val="1"/>
          <w:numId w:val="6"/>
        </w:numPr>
        <w:ind w:right="100" w:hanging="360"/>
      </w:pPr>
      <w:r>
        <w:t xml:space="preserve">Protocolo Déficit Excesivo: 1.491.043,27 Euros, un 5,38 %. </w:t>
      </w:r>
    </w:p>
    <w:p w:rsidR="00EE0979" w:rsidRDefault="00B022A0">
      <w:pPr>
        <w:spacing w:after="0" w:line="259" w:lineRule="auto"/>
        <w:ind w:left="14" w:firstLine="0"/>
        <w:jc w:val="left"/>
      </w:pPr>
      <w:r>
        <w:t xml:space="preserve"> </w:t>
      </w:r>
    </w:p>
    <w:p w:rsidR="00EE0979" w:rsidRDefault="00B022A0">
      <w:pPr>
        <w:ind w:left="14" w:right="100" w:firstLine="360"/>
      </w:pPr>
      <w:r>
        <w:t>La</w:t>
      </w:r>
      <w:r>
        <w:t xml:space="preserve">s cuentas de la Empresa de Inserción de Viviendas y Servicios Municipales SL, han puesto de manifiesto un resultado positivo de 1.125,97 Euros, un Fondo de Maniobra de 200.620,54 Euros, no tiene deuda financiera y una situación de estabilidad. </w:t>
      </w:r>
    </w:p>
    <w:p w:rsidR="00EE0979" w:rsidRDefault="00B022A0">
      <w:pPr>
        <w:spacing w:after="0" w:line="259" w:lineRule="auto"/>
        <w:ind w:left="14" w:firstLine="0"/>
        <w:jc w:val="left"/>
      </w:pPr>
      <w:r>
        <w:t xml:space="preserve"> </w:t>
      </w:r>
    </w:p>
    <w:p w:rsidR="00EE0979" w:rsidRDefault="00B022A0">
      <w:pPr>
        <w:ind w:left="14" w:right="100" w:firstLine="360"/>
      </w:pPr>
      <w:r>
        <w:t>En el cas</w:t>
      </w:r>
      <w:r>
        <w:t xml:space="preserve">o de las cuentas Fundación, las cuentas ponen de manifiesto un resultado negativo de 6.954,60 Euros, no tiene deuda financiera y una situación de equilibrio financiero. </w:t>
      </w:r>
    </w:p>
    <w:p w:rsidR="00EE0979" w:rsidRDefault="00B022A0">
      <w:pPr>
        <w:spacing w:after="0" w:line="259" w:lineRule="auto"/>
        <w:ind w:left="374" w:firstLine="0"/>
        <w:jc w:val="left"/>
      </w:pPr>
      <w:r>
        <w:t xml:space="preserve"> </w:t>
      </w:r>
    </w:p>
    <w:p w:rsidR="00EE0979" w:rsidRDefault="00B022A0">
      <w:pPr>
        <w:ind w:left="379" w:right="100"/>
      </w:pPr>
      <w:r>
        <w:t xml:space="preserve">Está pendiente de aprobación, las cuentas de la Entidad Pública Empresarial. </w:t>
      </w:r>
    </w:p>
    <w:p w:rsidR="00EE0979" w:rsidRDefault="00B022A0">
      <w:pPr>
        <w:spacing w:after="0" w:line="259" w:lineRule="auto"/>
        <w:ind w:left="374" w:firstLine="0"/>
        <w:jc w:val="left"/>
      </w:pPr>
      <w:r>
        <w:t xml:space="preserve"> </w:t>
      </w:r>
    </w:p>
    <w:p w:rsidR="00EE0979" w:rsidRDefault="00B022A0">
      <w:pPr>
        <w:spacing w:after="0" w:line="259" w:lineRule="auto"/>
        <w:ind w:left="374" w:firstLine="0"/>
        <w:jc w:val="left"/>
      </w:pPr>
      <w:r>
        <w:t xml:space="preserve"> </w:t>
      </w:r>
    </w:p>
    <w:p w:rsidR="00EE0979" w:rsidRDefault="00B022A0">
      <w:pPr>
        <w:spacing w:after="2" w:line="234" w:lineRule="auto"/>
        <w:ind w:left="9" w:right="98" w:hanging="10"/>
      </w:pPr>
      <w:r>
        <w:rPr>
          <w:i/>
          <w:u w:val="single" w:color="000000"/>
        </w:rPr>
        <w:t xml:space="preserve">  </w:t>
      </w:r>
      <w:r>
        <w:rPr>
          <w:i/>
          <w:u w:val="single" w:color="000000"/>
        </w:rPr>
        <w:t xml:space="preserve">    2.- Verificación que los correspondientes registros contables de facturas cumplen con las</w:t>
      </w:r>
      <w:r>
        <w:rPr>
          <w:i/>
        </w:rPr>
        <w:t xml:space="preserve"> </w:t>
      </w:r>
      <w:r>
        <w:rPr>
          <w:i/>
          <w:u w:val="single" w:color="000000"/>
        </w:rPr>
        <w:t>condiciones de funcionamiento previstas en esta Ley 25/2013 de impulso de la factura electrónica</w:t>
      </w:r>
      <w:r>
        <w:rPr>
          <w:i/>
        </w:rPr>
        <w:t xml:space="preserve"> </w:t>
      </w:r>
      <w:r>
        <w:rPr>
          <w:i/>
          <w:u w:val="single" w:color="000000"/>
        </w:rPr>
        <w:t>y creación del registro contable de facturas y su normativa de de</w:t>
      </w:r>
      <w:r>
        <w:rPr>
          <w:i/>
          <w:u w:val="single" w:color="000000"/>
        </w:rPr>
        <w:t>sarrollo.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El Registro Contable de Facturas municipal, está conectado al Punto General de Entrada de Facturas electrónicas de la Administración General del Estado (FAC-e), por lo que las facturas electrónicas presentadas a través del mismo, son remitida</w:t>
      </w:r>
      <w:r>
        <w:t xml:space="preserve">s, electrónicamente, mediante un servicio proporcionado por dicho punto, al Registro Contable de Facturas, dando lugar su anotación a la asignación de un código de identificación en el citado Registro. </w:t>
      </w:r>
    </w:p>
    <w:p w:rsidR="00EE0979" w:rsidRDefault="00B022A0">
      <w:pPr>
        <w:spacing w:after="0" w:line="259" w:lineRule="auto"/>
        <w:ind w:left="14" w:firstLine="0"/>
        <w:jc w:val="left"/>
      </w:pPr>
      <w:r>
        <w:t xml:space="preserve"> </w:t>
      </w:r>
    </w:p>
    <w:p w:rsidR="00EE0979" w:rsidRDefault="00B022A0">
      <w:pPr>
        <w:ind w:right="100"/>
      </w:pPr>
      <w:r>
        <w:t xml:space="preserve"> Dichas facturas son descargadas por cada Concejalí</w:t>
      </w:r>
      <w:r>
        <w:t xml:space="preserve">a y una vez conformadas por las mismas, mediante firma electrónica, son remitidas al área económica para su tramitación, que realiza las relaciones contables, para su reconocimiento y pago. </w:t>
      </w:r>
    </w:p>
    <w:p w:rsidR="00EE0979" w:rsidRDefault="00B022A0">
      <w:pPr>
        <w:spacing w:after="0" w:line="259" w:lineRule="auto"/>
        <w:ind w:left="14" w:firstLine="0"/>
        <w:jc w:val="left"/>
      </w:pPr>
      <w:r>
        <w:t xml:space="preserve"> </w:t>
      </w:r>
    </w:p>
    <w:p w:rsidR="00EE0979" w:rsidRDefault="00B022A0">
      <w:pPr>
        <w:ind w:left="14" w:right="100" w:firstLine="708"/>
      </w:pPr>
      <w:r>
        <w:t>Se ha verificado que las facturas registradas en el FAC-</w:t>
      </w:r>
      <w:r>
        <w:t xml:space="preserve">e y con destino al Ayuntamiento, no quedan retenidas, permitiendo al proveedor conocer el estado último de la factura por ellos registrada: registrada en Registro Contable de Facturas, Contabilizada, Pagada, Rechazada o Anulada. </w:t>
      </w:r>
    </w:p>
    <w:p w:rsidR="00EE0979" w:rsidRDefault="00B022A0">
      <w:pPr>
        <w:spacing w:after="0" w:line="259" w:lineRule="auto"/>
        <w:ind w:left="722" w:firstLine="0"/>
        <w:jc w:val="left"/>
      </w:pPr>
      <w:r>
        <w:t xml:space="preserve"> </w:t>
      </w:r>
    </w:p>
    <w:p w:rsidR="00EE0979" w:rsidRDefault="00B022A0">
      <w:pPr>
        <w:ind w:left="14" w:right="100" w:firstLine="708"/>
      </w:pPr>
      <w:r>
        <w:t>Asimismo, se ha puesto d</w:t>
      </w:r>
      <w:r>
        <w:t xml:space="preserve">e manifiesto que el tiempo medio de inscripción de facturas electrónicas en el Registro Contable de facturas, es prácticamente automático.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 xml:space="preserve">      3.- Seguimiento de la ejecución presupuestaria y verificación del cumplimiento de los objetivos</w:t>
      </w:r>
      <w:r>
        <w:rPr>
          <w:i/>
        </w:rPr>
        <w:t xml:space="preserve"> </w:t>
      </w:r>
      <w:r>
        <w:rPr>
          <w:i/>
          <w:u w:val="single" w:color="000000"/>
        </w:rPr>
        <w:t>asignado</w:t>
      </w:r>
      <w:r>
        <w:rPr>
          <w:i/>
          <w:u w:val="single" w:color="000000"/>
        </w:rPr>
        <w:t>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 xml:space="preserve">Se remite al Pleno municipal información de la ejecución del presupuesto, con carácter trimestral, acompañado de los movimientos y situación de tesorería.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4.-  Control de las Subvenciones y Ayudas Públicas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114"/>
        <w:ind w:right="100"/>
      </w:pPr>
      <w:r>
        <w:t>En cumplimiento del artículo 44 de l</w:t>
      </w:r>
      <w:r>
        <w:t xml:space="preserve">a Ley General de Subvenciones, se ha efectuado un Control Financiero de las subvenciones otorgadas, debidamente justificadas, sin que se haya procedido a reintegro alguno. </w:t>
      </w:r>
    </w:p>
    <w:p w:rsidR="00EE0979" w:rsidRDefault="00B022A0">
      <w:pPr>
        <w:spacing w:after="98" w:line="259" w:lineRule="auto"/>
        <w:ind w:left="14" w:firstLine="0"/>
        <w:jc w:val="left"/>
      </w:pPr>
      <w:r>
        <w:t xml:space="preserve"> </w:t>
      </w:r>
    </w:p>
    <w:p w:rsidR="00EE0979" w:rsidRDefault="00B022A0">
      <w:pPr>
        <w:spacing w:after="111"/>
        <w:ind w:right="100"/>
      </w:pPr>
      <w:r>
        <w:t>B) ACTUACIONES DE CONTROL PERMANENTE DERIVADOS DE UN ANÁLISIS DE RIESGOS, PREVIST</w:t>
      </w:r>
      <w:r>
        <w:t xml:space="preserve">OS EN EL PLAN ANUAL DE CONTROL FINANCIERO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i/>
        </w:rPr>
        <w:t xml:space="preserve"> </w:t>
      </w:r>
    </w:p>
    <w:p w:rsidR="00EE0979" w:rsidRDefault="00B022A0">
      <w:pPr>
        <w:ind w:left="9" w:right="98" w:hanging="10"/>
      </w:pPr>
      <w:r>
        <w:rPr>
          <w:i/>
        </w:rPr>
        <w:t xml:space="preserve">1.- Generalizar la elaboración de Pliegos, minimizando la tramitación de contratos menores para casos concretos. </w:t>
      </w:r>
    </w:p>
    <w:p w:rsidR="00EE0979" w:rsidRDefault="00B022A0">
      <w:pPr>
        <w:spacing w:after="0" w:line="259" w:lineRule="auto"/>
        <w:ind w:left="14" w:firstLine="0"/>
        <w:jc w:val="left"/>
      </w:pPr>
      <w:r>
        <w:t xml:space="preserve"> </w:t>
      </w:r>
    </w:p>
    <w:p w:rsidR="00EE0979" w:rsidRDefault="00B022A0">
      <w:pPr>
        <w:ind w:left="14" w:right="100" w:firstLine="708"/>
      </w:pPr>
      <w:r>
        <w:t xml:space="preserve">No se ha cumplido durante el ejercicio 2022, una vez puesto de manifiesto la gran cantidad de Contratos menores tramitados y las pocas licitaciones realizadas. </w:t>
      </w:r>
    </w:p>
    <w:p w:rsidR="00EE0979" w:rsidRDefault="00B022A0">
      <w:pPr>
        <w:spacing w:after="0" w:line="259" w:lineRule="auto"/>
        <w:ind w:left="14" w:firstLine="0"/>
        <w:jc w:val="left"/>
      </w:pPr>
      <w:r>
        <w:t xml:space="preserve"> </w:t>
      </w:r>
    </w:p>
    <w:p w:rsidR="00EE0979" w:rsidRDefault="00B022A0">
      <w:pPr>
        <w:ind w:left="9" w:right="98" w:hanging="10"/>
      </w:pPr>
      <w:r>
        <w:rPr>
          <w:i/>
        </w:rPr>
        <w:t>2.- Nombramiento de Responsables del Contrato, que supervise que el contrato se ejecuta, conf</w:t>
      </w:r>
      <w:r>
        <w:rPr>
          <w:i/>
        </w:rPr>
        <w:t xml:space="preserve">orme el Pliego y estudie la estructura de costes. </w:t>
      </w:r>
    </w:p>
    <w:p w:rsidR="00EE0979" w:rsidRDefault="00B022A0">
      <w:pPr>
        <w:spacing w:after="0" w:line="259" w:lineRule="auto"/>
        <w:ind w:left="14" w:firstLine="0"/>
        <w:jc w:val="left"/>
      </w:pPr>
      <w:r>
        <w:rPr>
          <w:i/>
        </w:rPr>
        <w:t xml:space="preserve"> </w:t>
      </w:r>
    </w:p>
    <w:p w:rsidR="00EE0979" w:rsidRDefault="00B022A0">
      <w:pPr>
        <w:ind w:right="100"/>
      </w:pPr>
      <w:r>
        <w:t xml:space="preserve"> Si bien hay nombrado un responsable del contrato en la concesión del servicio de recogida de Residuos Sólidos Urbanos y Limpieza Viaria, no le consta a este interventor, que se haya iniciado ninguna act</w:t>
      </w:r>
      <w:r>
        <w:t xml:space="preserve">uación para exigir a la empresa los incumplimientos en la ejecución del contrato y de las reclamaciones de este Ayuntamiento contra la empresa.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3.- Concienciación de la importancia de elaborar anualmente los Presupuestos. </w:t>
      </w:r>
    </w:p>
    <w:p w:rsidR="00EE0979" w:rsidRDefault="00B022A0">
      <w:pPr>
        <w:spacing w:after="0" w:line="259" w:lineRule="auto"/>
        <w:ind w:left="14" w:firstLine="0"/>
        <w:jc w:val="left"/>
      </w:pPr>
      <w:r>
        <w:rPr>
          <w:i/>
        </w:rPr>
        <w:t xml:space="preserve"> </w:t>
      </w:r>
    </w:p>
    <w:p w:rsidR="00EE0979" w:rsidRDefault="00B022A0">
      <w:pPr>
        <w:ind w:left="14" w:right="100" w:firstLine="708"/>
      </w:pPr>
      <w:r>
        <w:t xml:space="preserve">Se han elaborado y aprobado </w:t>
      </w:r>
      <w:r>
        <w:t xml:space="preserve">los presupuestos generales para el 2020, 2021 y 2022, pero sería recomendable su aprobación en los plazos previstos legalmente. </w:t>
      </w:r>
    </w:p>
    <w:p w:rsidR="00EE0979" w:rsidRDefault="00B022A0">
      <w:pPr>
        <w:spacing w:after="0" w:line="259" w:lineRule="auto"/>
        <w:ind w:left="14" w:firstLine="0"/>
        <w:jc w:val="left"/>
      </w:pPr>
      <w:r>
        <w:t xml:space="preserve"> </w:t>
      </w:r>
    </w:p>
    <w:p w:rsidR="00EE0979" w:rsidRDefault="00B022A0">
      <w:pPr>
        <w:ind w:left="9" w:right="98" w:hanging="10"/>
      </w:pPr>
      <w:r>
        <w:rPr>
          <w:i/>
        </w:rPr>
        <w:t>4.- Minimización de la cuenta 413 relativa a las obligaciones devengadas no contabilizadas de años anteriores a cierre del ej</w:t>
      </w:r>
      <w:r>
        <w:rPr>
          <w:i/>
        </w:rPr>
        <w:t xml:space="preserve">ercicio. </w:t>
      </w:r>
    </w:p>
    <w:p w:rsidR="00EE0979" w:rsidRDefault="00B022A0">
      <w:pPr>
        <w:spacing w:after="0" w:line="259" w:lineRule="auto"/>
        <w:ind w:left="14" w:firstLine="0"/>
        <w:jc w:val="left"/>
      </w:pPr>
      <w:r>
        <w:rPr>
          <w:i/>
        </w:rPr>
        <w:t xml:space="preserve"> </w:t>
      </w:r>
    </w:p>
    <w:p w:rsidR="00EE0979" w:rsidRDefault="00B022A0">
      <w:pPr>
        <w:spacing w:after="111"/>
        <w:ind w:left="14" w:right="100" w:firstLine="708"/>
      </w:pPr>
      <w:r>
        <w:t>Conforme el principio de devengo del Sistema Europeo de Cuentas, que implica la imputación de cualquier gasto efectivamente realizado con independencia del momento en que se decida su imputación presupuestaria, las cantidades abonadas en el eje</w:t>
      </w:r>
      <w:r>
        <w:t>rcicio en la cuenta 413 “acreedores por operaciones pendientes de aplicar a presupuesto” darán lugar a ajustes de mayores empleos no financieros mientras que las cantidades abonadas con signo negativo, es decir aplicadas a presupuesto, implicarán ajustes d</w:t>
      </w:r>
      <w:r>
        <w:t xml:space="preserve">e menores empleos no financieros.  </w:t>
      </w:r>
    </w:p>
    <w:p w:rsidR="00EE0979" w:rsidRDefault="00B022A0">
      <w:pPr>
        <w:spacing w:after="111"/>
        <w:ind w:right="100"/>
      </w:pPr>
      <w:r>
        <w:t xml:space="preserve"> La partida 413 relativa a los gastos pendientes de aplicar al presupuesto, el Saldo Final de la cuenta 41300, en el ejercicio 2022 el Saldo Final de la cuenta 41300, por importe de 393.412,98 Euros, es menor que el sald</w:t>
      </w:r>
      <w:r>
        <w:t xml:space="preserve">o inicial de la citada cuenta, que asciende a 143.418,08 Euros. </w:t>
      </w:r>
    </w:p>
    <w:p w:rsidR="00EE0979" w:rsidRDefault="00B022A0">
      <w:pPr>
        <w:ind w:left="14" w:right="100" w:firstLine="708"/>
      </w:pPr>
      <w:r>
        <w:t>Por tanto, ha habido un empeoramiento de esta cuenta, año a año, que representa las facturas que no se han imputado a la contabilidad a 31 de diciembre, por importe de 249.994,90 Euros, si bi</w:t>
      </w:r>
      <w:r>
        <w:t xml:space="preserve">en la misma es consecuencia de la entrada de facturas los días 30 y 31 de diciembre, sin posibilidad material para su contabilización antes de final de año. </w:t>
      </w:r>
    </w:p>
    <w:p w:rsidR="00EE0979" w:rsidRDefault="00B022A0">
      <w:pPr>
        <w:spacing w:after="0" w:line="259" w:lineRule="auto"/>
        <w:ind w:left="14" w:firstLine="0"/>
        <w:jc w:val="left"/>
      </w:pPr>
      <w:r>
        <w:rPr>
          <w:i/>
        </w:rPr>
        <w:t xml:space="preserve">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5.- </w:t>
      </w:r>
      <w:r>
        <w:rPr>
          <w:i/>
        </w:rPr>
        <w:t xml:space="preserve">Verificación de la gestión del Inventario y su conciliación con la contabilidad patrimonial. </w:t>
      </w:r>
    </w:p>
    <w:p w:rsidR="00EE0979" w:rsidRDefault="00B022A0">
      <w:pPr>
        <w:spacing w:after="0" w:line="259" w:lineRule="auto"/>
        <w:ind w:left="14" w:firstLine="0"/>
        <w:jc w:val="left"/>
      </w:pPr>
      <w:r>
        <w:rPr>
          <w:i/>
        </w:rPr>
        <w:t xml:space="preserve"> </w:t>
      </w:r>
    </w:p>
    <w:p w:rsidR="00EE0979" w:rsidRDefault="00B022A0">
      <w:pPr>
        <w:spacing w:after="6" w:line="252" w:lineRule="auto"/>
        <w:ind w:left="298" w:right="517" w:hanging="10"/>
        <w:jc w:val="center"/>
      </w:pPr>
      <w:r>
        <w:t xml:space="preserve">Se está realizando un importante trabajo de actualización del inventario municipal. </w:t>
      </w:r>
    </w:p>
    <w:p w:rsidR="00EE0979" w:rsidRDefault="00B022A0">
      <w:pPr>
        <w:spacing w:after="0" w:line="259" w:lineRule="auto"/>
        <w:ind w:left="14" w:firstLine="0"/>
        <w:jc w:val="left"/>
      </w:pPr>
      <w:r>
        <w:t xml:space="preserve"> </w:t>
      </w:r>
    </w:p>
    <w:p w:rsidR="00EE0979" w:rsidRDefault="00B022A0">
      <w:pPr>
        <w:ind w:left="9" w:right="98" w:hanging="10"/>
      </w:pPr>
      <w:r>
        <w:rPr>
          <w:i/>
        </w:rPr>
        <w:t>6.- Elaboración de las bases para selección técnicos de administración ge</w:t>
      </w:r>
      <w:r>
        <w:rPr>
          <w:i/>
        </w:rPr>
        <w:t xml:space="preserve">neral </w:t>
      </w:r>
    </w:p>
    <w:p w:rsidR="00EE0979" w:rsidRDefault="00B022A0">
      <w:pPr>
        <w:spacing w:after="0" w:line="259" w:lineRule="auto"/>
        <w:ind w:left="14" w:firstLine="0"/>
        <w:jc w:val="left"/>
      </w:pPr>
      <w:r>
        <w:t xml:space="preserve"> </w:t>
      </w:r>
    </w:p>
    <w:p w:rsidR="00EE0979" w:rsidRDefault="00B022A0">
      <w:pPr>
        <w:ind w:right="100"/>
      </w:pPr>
      <w:r>
        <w:t xml:space="preserve">No consta.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C) AUDITORÍA PÚBLICA </w:t>
      </w:r>
    </w:p>
    <w:p w:rsidR="00EE0979" w:rsidRDefault="00B022A0">
      <w:pPr>
        <w:spacing w:after="0" w:line="259" w:lineRule="auto"/>
        <w:ind w:left="14" w:firstLine="0"/>
        <w:jc w:val="left"/>
      </w:pPr>
      <w:r>
        <w:t xml:space="preserve"> </w:t>
      </w:r>
    </w:p>
    <w:p w:rsidR="00EE0979" w:rsidRDefault="00B022A0">
      <w:pPr>
        <w:ind w:left="14" w:right="100" w:firstLine="708"/>
      </w:pPr>
      <w:r>
        <w:t>Por Decreto 1527/2021 de 2 de junio se adjudicó la contratación del servicio de colaboración con la Intervención Municipal para la realización de las auditorías públicas de cuentas anuales, de cumplimiento y</w:t>
      </w:r>
      <w:r>
        <w:t xml:space="preserve"> operativa, dentro del control financiero del Ayuntamiento de Candelaria referido a los ejercicios 2020 y 2021. No obstante, solamente se dispone de los datos de Auditoría correspondientes al 2021. Las correspondientes al ejercicio 2022 (al igual que las d</w:t>
      </w:r>
      <w:r>
        <w:t>e los ejercicios 2023, 2024 y 2025), fueron adjudicadas por Decreto 454/2023 de 22 de febrero, no han sido auditadas en el momento del presente informe. No obstante, de acuerdos con los estados contables observados, se mantienen algunas incidencias y otras</w:t>
      </w:r>
      <w:r>
        <w:t xml:space="preserve"> han sido resueltas.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0" w:line="248" w:lineRule="auto"/>
        <w:ind w:left="9" w:right="95" w:hanging="10"/>
      </w:pPr>
      <w:r>
        <w:rPr>
          <w:b/>
          <w:i/>
        </w:rPr>
        <w:t xml:space="preserve">1.- Epelcan. </w:t>
      </w:r>
    </w:p>
    <w:p w:rsidR="00EE0979" w:rsidRDefault="00B022A0">
      <w:pPr>
        <w:spacing w:after="0" w:line="259" w:lineRule="auto"/>
        <w:ind w:left="14" w:firstLine="0"/>
        <w:jc w:val="left"/>
      </w:pPr>
      <w:r>
        <w:t xml:space="preserve"> </w:t>
      </w:r>
    </w:p>
    <w:p w:rsidR="00EE0979" w:rsidRDefault="00B022A0">
      <w:pPr>
        <w:ind w:left="14" w:right="100" w:firstLine="708"/>
      </w:pPr>
      <w:r>
        <w:t>Los informes de Auditoría de Cuentas Anuales, son favorables con salvedades, relativos a la falta de valoración de elementos del inmovilizado material, el no recuento del comic, sus nulas ventas y falta de correccion</w:t>
      </w:r>
      <w:r>
        <w:t xml:space="preserve">es valorativas. </w:t>
      </w:r>
    </w:p>
    <w:p w:rsidR="00EE0979" w:rsidRDefault="00B022A0">
      <w:pPr>
        <w:spacing w:after="0" w:line="259" w:lineRule="auto"/>
        <w:ind w:left="722" w:firstLine="0"/>
        <w:jc w:val="left"/>
      </w:pPr>
      <w:r>
        <w:t xml:space="preserve"> </w:t>
      </w:r>
    </w:p>
    <w:p w:rsidR="00EE0979" w:rsidRDefault="00B022A0">
      <w:pPr>
        <w:ind w:left="727" w:right="100"/>
      </w:pPr>
      <w:r>
        <w:t xml:space="preserve"> Las auditorías de cumplimiento, ponen de manifiesto las siguientes incidencias: </w:t>
      </w:r>
    </w:p>
    <w:p w:rsidR="00EE0979" w:rsidRDefault="00B022A0">
      <w:pPr>
        <w:spacing w:after="0" w:line="259" w:lineRule="auto"/>
        <w:ind w:left="722" w:firstLine="0"/>
        <w:jc w:val="left"/>
      </w:pPr>
      <w:r>
        <w:t xml:space="preserve"> </w:t>
      </w:r>
    </w:p>
    <w:p w:rsidR="00EE0979" w:rsidRDefault="00B022A0">
      <w:pPr>
        <w:numPr>
          <w:ilvl w:val="0"/>
          <w:numId w:val="7"/>
        </w:numPr>
        <w:ind w:right="100" w:hanging="360"/>
      </w:pPr>
      <w:r>
        <w:t xml:space="preserve">Los ingresos y los gastos guardan correspondencia con los estatutos de la entidad, que se ha dado cumplimiento con las obligaciones de distintos ámbitos a las cuales está sujeta la empresa así como el cumplimiento del marco jurídico del sector público.  </w:t>
      </w:r>
    </w:p>
    <w:p w:rsidR="00EE0979" w:rsidRDefault="00B022A0">
      <w:pPr>
        <w:numPr>
          <w:ilvl w:val="0"/>
          <w:numId w:val="7"/>
        </w:numPr>
        <w:ind w:right="100" w:hanging="360"/>
      </w:pPr>
      <w:r>
        <w:t>L</w:t>
      </w:r>
      <w:r>
        <w:t xml:space="preserve">as Cuentas Anuales se aprobaron fuera de plazo.  </w:t>
      </w:r>
    </w:p>
    <w:p w:rsidR="00EE0979" w:rsidRDefault="00B022A0">
      <w:pPr>
        <w:numPr>
          <w:ilvl w:val="0"/>
          <w:numId w:val="7"/>
        </w:numPr>
        <w:ind w:right="100" w:hanging="360"/>
      </w:pPr>
      <w:r>
        <w:t xml:space="preserve">No existe planificación económica de objetivos ni evaluación de resultados.  </w:t>
      </w:r>
    </w:p>
    <w:p w:rsidR="00EE0979" w:rsidRDefault="00B022A0">
      <w:pPr>
        <w:numPr>
          <w:ilvl w:val="0"/>
          <w:numId w:val="7"/>
        </w:numPr>
        <w:ind w:right="100" w:hanging="360"/>
      </w:pPr>
      <w:r>
        <w:t xml:space="preserve">No hay un plan de formación del personal.  </w:t>
      </w:r>
    </w:p>
    <w:p w:rsidR="00EE0979" w:rsidRDefault="00B022A0">
      <w:pPr>
        <w:numPr>
          <w:ilvl w:val="0"/>
          <w:numId w:val="7"/>
        </w:numPr>
        <w:ind w:right="100" w:hanging="360"/>
      </w:pPr>
      <w:r>
        <w:t>No existe un documento formal que defina las actividades y responsabilidades de gest</w:t>
      </w:r>
      <w:r>
        <w:t xml:space="preserve">ión y control.  </w:t>
      </w:r>
    </w:p>
    <w:p w:rsidR="00EE0979" w:rsidRDefault="00B022A0">
      <w:pPr>
        <w:numPr>
          <w:ilvl w:val="0"/>
          <w:numId w:val="7"/>
        </w:numPr>
        <w:ind w:right="100" w:hanging="360"/>
      </w:pPr>
      <w:r>
        <w:t xml:space="preserve">Las tarifas/precios no se revisan periódicamente.  </w:t>
      </w:r>
    </w:p>
    <w:p w:rsidR="00EE0979" w:rsidRDefault="00B022A0">
      <w:pPr>
        <w:numPr>
          <w:ilvl w:val="0"/>
          <w:numId w:val="7"/>
        </w:numPr>
        <w:ind w:right="100" w:hanging="360"/>
      </w:pPr>
      <w:r>
        <w:t xml:space="preserve">No se hace un seguimiento de las cuentas pendientes de cobro.  </w:t>
      </w:r>
    </w:p>
    <w:p w:rsidR="00EE0979" w:rsidRDefault="00B022A0">
      <w:pPr>
        <w:numPr>
          <w:ilvl w:val="0"/>
          <w:numId w:val="7"/>
        </w:numPr>
        <w:ind w:right="100" w:hanging="360"/>
      </w:pPr>
      <w:r>
        <w:t xml:space="preserve">No se realizan conciliaciones periódicas de las cuentas bancarias. </w:t>
      </w:r>
    </w:p>
    <w:p w:rsidR="00EE0979" w:rsidRDefault="00B022A0">
      <w:pPr>
        <w:spacing w:after="0" w:line="259" w:lineRule="auto"/>
        <w:ind w:left="1433" w:firstLine="0"/>
        <w:jc w:val="left"/>
      </w:pPr>
      <w:r>
        <w:t xml:space="preserve"> </w:t>
      </w:r>
    </w:p>
    <w:p w:rsidR="00EE0979" w:rsidRDefault="00B022A0">
      <w:pPr>
        <w:ind w:right="100"/>
      </w:pPr>
      <w:r>
        <w:t xml:space="preserve"> En cuanto a las Auditorías Operativas, que verifica </w:t>
      </w:r>
      <w:r>
        <w:t xml:space="preserve">aspectos de eficacia, eficiencia y economía de la empresa auditada, señalan: </w:t>
      </w:r>
    </w:p>
    <w:p w:rsidR="00EE0979" w:rsidRDefault="00B022A0">
      <w:pPr>
        <w:spacing w:after="0" w:line="259" w:lineRule="auto"/>
        <w:ind w:left="14" w:firstLine="0"/>
        <w:jc w:val="left"/>
      </w:pPr>
      <w:r>
        <w:t xml:space="preserve"> </w:t>
      </w:r>
    </w:p>
    <w:p w:rsidR="00EE0979" w:rsidRDefault="00B022A0">
      <w:pPr>
        <w:ind w:left="14" w:right="100" w:firstLine="708"/>
      </w:pPr>
      <w:r>
        <w:t>En referencia a la eficacia, la entidad planifica su actividad anualmente mediante la aprobación de programas racionalmente definidos conforme a sus recursos y estructura y que</w:t>
      </w:r>
      <w:r>
        <w:t xml:space="preserve"> son necesarios para la consecución del objeto social de la entidad.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Con respecto a la economía y la eficiencia, los gastos incurridos son adecuados al nivel de actividad y a la estructura de la entidad, si bien los gastos de personal, experimentan un </w:t>
      </w:r>
      <w:r>
        <w:t xml:space="preserve">descenso durante los últimos años, muy inferior al descenso que registra la cifra de negocios (por lo tanto, la actividad) y este desajuste podría evidenciar una pérdida de eficiencia en el desarrollo de las actividades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Finalmente, en el ámbito de los sistemas y procedimientos, la entidad dispone de una contabilidad analítica adecuada mediante la cual se identifican los ingresos, gastos y resultados de cada una de las actividades que se llevan a cabo. No se ha verificado </w:t>
      </w:r>
      <w:r>
        <w:t xml:space="preserve">el ajuste de los procedimientos internos de control al marco legal al no disponerse de un manual que los defina. </w:t>
      </w:r>
    </w:p>
    <w:p w:rsidR="00EE0979" w:rsidRDefault="00B022A0">
      <w:pPr>
        <w:spacing w:after="0" w:line="259" w:lineRule="auto"/>
        <w:ind w:left="14" w:firstLine="0"/>
        <w:jc w:val="left"/>
      </w:pPr>
      <w:r>
        <w:t xml:space="preserve"> </w:t>
      </w:r>
    </w:p>
    <w:p w:rsidR="00EE0979" w:rsidRDefault="00B022A0">
      <w:pPr>
        <w:spacing w:after="10" w:line="248" w:lineRule="auto"/>
        <w:ind w:left="9" w:right="95" w:hanging="10"/>
      </w:pPr>
      <w:r>
        <w:rPr>
          <w:b/>
          <w:i/>
        </w:rPr>
        <w:t xml:space="preserve">2.- Empresa de Inserción de Viviendas y Servicios Municipales de Candelaria SL </w:t>
      </w:r>
    </w:p>
    <w:p w:rsidR="00EE0979" w:rsidRDefault="00B022A0">
      <w:pPr>
        <w:spacing w:after="0" w:line="259" w:lineRule="auto"/>
        <w:ind w:left="14" w:firstLine="0"/>
        <w:jc w:val="left"/>
      </w:pPr>
      <w:r>
        <w:t xml:space="preserve"> </w:t>
      </w:r>
    </w:p>
    <w:p w:rsidR="00EE0979" w:rsidRDefault="00B022A0">
      <w:pPr>
        <w:ind w:left="14" w:right="100" w:firstLine="708"/>
      </w:pPr>
      <w:r>
        <w:t>Los informes de Auditorías de Cuentas Anuales, han sido fa</w:t>
      </w:r>
      <w:r>
        <w:t>vorables, ya que las cuentas, expresan, en todos los aspectos significativos, la imagen fiel del patrimonio y de la situación financiera de la Entidad a 31 de diciembre, así como de sus resultados correspondientes al ejercicio anual terminado en dicha fech</w:t>
      </w:r>
      <w:r>
        <w:t>a, de conformidad con el marco normativo de información financiera que resulta de aplicación.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Las Auditoría de Cumplimiento, que refleja las mismas conclusiones que la entidad pública, expresa las siguientes incidencias: </w:t>
      </w:r>
    </w:p>
    <w:p w:rsidR="00EE0979" w:rsidRDefault="00B022A0">
      <w:pPr>
        <w:spacing w:after="12" w:line="259" w:lineRule="auto"/>
        <w:ind w:left="14" w:firstLine="0"/>
        <w:jc w:val="left"/>
      </w:pPr>
      <w:r>
        <w:t xml:space="preserve"> </w:t>
      </w:r>
    </w:p>
    <w:p w:rsidR="00EE0979" w:rsidRDefault="00B022A0">
      <w:pPr>
        <w:numPr>
          <w:ilvl w:val="0"/>
          <w:numId w:val="8"/>
        </w:numPr>
        <w:ind w:right="100" w:hanging="163"/>
      </w:pPr>
      <w:r>
        <w:t>No existe una planificación explícita de la tesorería.</w:t>
      </w:r>
      <w:r>
        <w:rPr>
          <w:rFonts w:ascii="Times New Roman" w:eastAsia="Times New Roman" w:hAnsi="Times New Roman" w:cs="Times New Roman"/>
          <w:sz w:val="24"/>
        </w:rPr>
        <w:t xml:space="preserve"> </w:t>
      </w:r>
    </w:p>
    <w:p w:rsidR="00EE0979" w:rsidRDefault="00B022A0">
      <w:pPr>
        <w:numPr>
          <w:ilvl w:val="0"/>
          <w:numId w:val="8"/>
        </w:numPr>
        <w:ind w:right="100" w:hanging="163"/>
      </w:pPr>
      <w:r>
        <w:t xml:space="preserve">No se realizan conciliaciones periódicas de las cuentas bancarias.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En cuanto a las Auditorías Operativa, en referencia a la eficacia, se han verificado que la entidad planifica su actividad anualm</w:t>
      </w:r>
      <w:r>
        <w:t xml:space="preserve">ente mediante la aprobación de programas racionalmente definidos conforme a los recursos y estructura de la entidad y que son necesarios para la consecución del objeto social de la entidad.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La ejecución de los programas y la consecución de los objetivo</w:t>
      </w:r>
      <w:r>
        <w:t xml:space="preserve">s quedan suficientemente evaluados en la memoria anual y en los indicadores descritos en ella.  </w:t>
      </w:r>
    </w:p>
    <w:p w:rsidR="00EE0979" w:rsidRDefault="00B022A0">
      <w:pPr>
        <w:spacing w:after="0" w:line="259" w:lineRule="auto"/>
        <w:ind w:left="14" w:firstLine="0"/>
        <w:jc w:val="left"/>
      </w:pPr>
      <w:r>
        <w:t xml:space="preserve"> </w:t>
      </w:r>
    </w:p>
    <w:p w:rsidR="00EE0979" w:rsidRDefault="00B022A0">
      <w:pPr>
        <w:ind w:right="100"/>
      </w:pPr>
      <w:r>
        <w:t>Con respecto a la economía y la eficiencia, se ha comprobado que los gastos de personal y medios materiales son adecuados al nivel de actividad y a la estruc</w:t>
      </w:r>
      <w:r>
        <w:t xml:space="preserve">tura de la entidad.  </w:t>
      </w:r>
    </w:p>
    <w:p w:rsidR="00EE0979" w:rsidRDefault="00B022A0">
      <w:pPr>
        <w:spacing w:after="0" w:line="259" w:lineRule="auto"/>
        <w:ind w:left="14" w:firstLine="0"/>
        <w:jc w:val="left"/>
      </w:pPr>
      <w:r>
        <w:t xml:space="preserve"> </w:t>
      </w:r>
    </w:p>
    <w:p w:rsidR="00EE0979" w:rsidRDefault="00B022A0">
      <w:pPr>
        <w:ind w:right="100"/>
      </w:pPr>
      <w:r>
        <w:t xml:space="preserve">Finalmente, en el ámbito de los sistemas y procedimientos, la entidad dispone de una contabilidad analítica mediante la cual identifica los ingresos, gastos y resultados de cada una de las actividades que se llevan a cabo. No se ha </w:t>
      </w:r>
      <w:r>
        <w:t xml:space="preserve">verificado el ajuste de los procedimientos internos de control al marco legal al no disponerse de un manual que los defina.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10" w:line="248" w:lineRule="auto"/>
        <w:ind w:left="9" w:right="95" w:hanging="10"/>
      </w:pPr>
      <w:r>
        <w:rPr>
          <w:b/>
          <w:i/>
        </w:rPr>
        <w:t xml:space="preserve">3.- Fundación Candesol.- </w:t>
      </w:r>
    </w:p>
    <w:p w:rsidR="00EE0979" w:rsidRDefault="00B022A0">
      <w:pPr>
        <w:spacing w:after="0" w:line="259" w:lineRule="auto"/>
        <w:ind w:left="14" w:firstLine="0"/>
        <w:jc w:val="left"/>
      </w:pPr>
      <w:r>
        <w:rPr>
          <w:b/>
          <w:i/>
        </w:rPr>
        <w:t xml:space="preserve"> </w:t>
      </w:r>
    </w:p>
    <w:p w:rsidR="00EE0979" w:rsidRDefault="00B022A0">
      <w:pPr>
        <w:ind w:left="14" w:right="100" w:firstLine="708"/>
      </w:pPr>
      <w:r>
        <w:t>Las Auditorías de cuentas anuales han sido favorables expresando que las cuentas anuales, reflejan una imagen fiel del patrimonio y de la situación financiera, así como de sus resultados al ejercicio anual terminado, de conformidad con el marco normativo q</w:t>
      </w:r>
      <w:r>
        <w:t>ue resulta de aplicación.</w:t>
      </w:r>
      <w:r>
        <w:rPr>
          <w:rFonts w:ascii="Times New Roman" w:eastAsia="Times New Roman" w:hAnsi="Times New Roman" w:cs="Times New Roman"/>
          <w:sz w:val="24"/>
        </w:rPr>
        <w:t xml:space="preserve"> </w:t>
      </w:r>
    </w:p>
    <w:p w:rsidR="00EE0979" w:rsidRDefault="00B022A0">
      <w:pPr>
        <w:ind w:left="14" w:right="100" w:firstLine="708"/>
      </w:pPr>
      <w:r>
        <w:t>En cuanto a las Auditorías de Cumplimiento, se han comprobado que los ingresos y los gastos guardan correspondencia con los estatutos de la entidad, que se ha dado cumplimiento con las obligaciones de distintos ámbitos a las cual</w:t>
      </w:r>
      <w:r>
        <w:t xml:space="preserve">es está sujeta la Fundación, así como el cumplimiento del marco jurídico del sector público. </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En el ámbito de las subvenciones recibidas, se han verificado los contratos-programas suscritos con el Ayuntamiento, así como la resolución del Servicio Canari</w:t>
      </w:r>
      <w:r>
        <w:t xml:space="preserve">o de Empleo en el otorgamiento de su subvención correspondiente.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En el área del control interno, analizaron los procedimientos de control de diferentes áreas críticas de la entidad.  </w:t>
      </w:r>
    </w:p>
    <w:p w:rsidR="00EE0979" w:rsidRDefault="00B022A0">
      <w:pPr>
        <w:spacing w:after="0" w:line="259" w:lineRule="auto"/>
        <w:ind w:left="722" w:firstLine="0"/>
        <w:jc w:val="left"/>
      </w:pPr>
      <w:r>
        <w:t xml:space="preserve">  </w:t>
      </w:r>
    </w:p>
    <w:p w:rsidR="00EE0979" w:rsidRDefault="00B022A0">
      <w:pPr>
        <w:ind w:left="14" w:right="100" w:firstLine="360"/>
      </w:pPr>
      <w:r>
        <w:t>Por último, en cuanto a las Auditorías Operativas, se han comprob</w:t>
      </w:r>
      <w:r>
        <w:t xml:space="preserve">ado que las actividades y procesos internos de la entidad se han desarrollado conforme a los principios de buena gestión generalmente aceptados.  </w:t>
      </w:r>
    </w:p>
    <w:p w:rsidR="00EE0979" w:rsidRDefault="00B022A0">
      <w:pPr>
        <w:spacing w:after="0" w:line="259" w:lineRule="auto"/>
        <w:ind w:left="14" w:firstLine="0"/>
        <w:jc w:val="left"/>
      </w:pPr>
      <w:r>
        <w:t xml:space="preserve"> </w:t>
      </w:r>
    </w:p>
    <w:p w:rsidR="00EE0979" w:rsidRDefault="00B022A0">
      <w:pPr>
        <w:ind w:left="14" w:right="100" w:firstLine="708"/>
      </w:pPr>
      <w:r>
        <w:t>En referencia a la eficacia, se han verificado que la entidad planifica su actividad anualmente mediante la</w:t>
      </w:r>
      <w:r>
        <w:t xml:space="preserve"> aprobación de programas racionalmente definidos conforme a los recursos y estructura de la entidad y que son necesarios para la consecución del objeto social de la entidad. La ejecución de los programas y la consecución de los objetivos quedan suficientem</w:t>
      </w:r>
      <w:r>
        <w:t xml:space="preserve">ente evaluados en la memoria anual y en los indicadores descritos en ella.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Con respecto a la economía y la eficiencia, se ha comprobado que los gastos de personal y medios materiales son adecuados al nivel de actividad y a la estructura de la entidad. </w:t>
      </w:r>
      <w: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Finalmente, en el ámbito de los sistemas y procedimientos, se ha examinado que la entidad dispone de una contabilidad analítica mediante la cual identifica los ingresos, gastos y resultados de cada una de las actividades que se llevan a cabo. La entida</w:t>
      </w:r>
      <w:r>
        <w:t xml:space="preserve">d desarrolla sus actividades de acuerdo con los procedimientos internos de control, que están adecuadamente diseñados conforme al marco legal que le es de aplicación.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rPr>
          <w:b/>
        </w:rPr>
        <w:t xml:space="preserve"> </w:t>
      </w:r>
    </w:p>
    <w:p w:rsidR="00EE0979" w:rsidRDefault="00B022A0">
      <w:pPr>
        <w:spacing w:after="6"/>
        <w:ind w:right="99" w:hanging="10"/>
      </w:pPr>
      <w:r>
        <w:rPr>
          <w:b/>
        </w:rPr>
        <w:t xml:space="preserve">4.- DEFICIENCIAS QUE REQUIEREN DE MEDIDAS CORRECTORAS A TRAVÉS DE UN PLAN DE ACCIÓN </w:t>
      </w:r>
    </w:p>
    <w:p w:rsidR="00EE0979" w:rsidRDefault="00B022A0">
      <w:pPr>
        <w:spacing w:after="0" w:line="259" w:lineRule="auto"/>
        <w:ind w:left="14" w:firstLine="0"/>
        <w:jc w:val="left"/>
      </w:pPr>
      <w:r>
        <w:t xml:space="preserve"> </w:t>
      </w:r>
    </w:p>
    <w:p w:rsidR="00EE0979" w:rsidRDefault="00B022A0">
      <w:pPr>
        <w:numPr>
          <w:ilvl w:val="0"/>
          <w:numId w:val="9"/>
        </w:numPr>
        <w:ind w:right="100" w:hanging="360"/>
      </w:pPr>
      <w:r>
        <w:t xml:space="preserve">Fortalecimiento del Área de Contratación, con más medios personales. </w:t>
      </w:r>
    </w:p>
    <w:p w:rsidR="00EE0979" w:rsidRDefault="00B022A0">
      <w:pPr>
        <w:numPr>
          <w:ilvl w:val="0"/>
          <w:numId w:val="9"/>
        </w:numPr>
        <w:ind w:right="100" w:hanging="360"/>
      </w:pPr>
      <w:r>
        <w:t xml:space="preserve">Disminución de los contratos menores para aquellos supuestos de servicios y suministros de prestación no sucesiva. </w:t>
      </w:r>
    </w:p>
    <w:p w:rsidR="00EE0979" w:rsidRDefault="00B022A0">
      <w:pPr>
        <w:numPr>
          <w:ilvl w:val="0"/>
          <w:numId w:val="9"/>
        </w:numPr>
        <w:ind w:right="100" w:hanging="360"/>
      </w:pPr>
      <w:r>
        <w:t xml:space="preserve">Control de los gastos de personal. </w:t>
      </w:r>
    </w:p>
    <w:p w:rsidR="00EE0979" w:rsidRDefault="00B022A0">
      <w:pPr>
        <w:numPr>
          <w:ilvl w:val="0"/>
          <w:numId w:val="9"/>
        </w:numPr>
        <w:ind w:right="100" w:hanging="360"/>
      </w:pPr>
      <w:r>
        <w:t>Potenciación de los ingresos pa</w:t>
      </w:r>
      <w:r>
        <w:t xml:space="preserve">ra hacer frente a unos gastos obligatorios cada vez más importantes. </w:t>
      </w:r>
    </w:p>
    <w:p w:rsidR="00EE0979" w:rsidRDefault="00B022A0">
      <w:pPr>
        <w:spacing w:after="0" w:line="259" w:lineRule="auto"/>
        <w:ind w:left="734" w:firstLine="0"/>
        <w:jc w:val="left"/>
      </w:pPr>
      <w:r>
        <w:t xml:space="preserve"> </w:t>
      </w:r>
    </w:p>
    <w:p w:rsidR="00EE0979" w:rsidRDefault="00B022A0">
      <w:pPr>
        <w:spacing w:after="6"/>
        <w:ind w:right="99" w:hanging="10"/>
      </w:pPr>
      <w:r>
        <w:rPr>
          <w:b/>
        </w:rPr>
        <w:t xml:space="preserve">5.- VALORACIÓN GLOBAL DE LA GESTIÓN ECONÓMICO FINANCIERA </w:t>
      </w:r>
    </w:p>
    <w:p w:rsidR="00EE0979" w:rsidRDefault="00B022A0">
      <w:pPr>
        <w:spacing w:after="0" w:line="259" w:lineRule="auto"/>
        <w:ind w:left="14" w:firstLine="0"/>
        <w:jc w:val="left"/>
      </w:pPr>
      <w:r>
        <w:rPr>
          <w:b/>
        </w:rPr>
        <w:t xml:space="preserve"> </w:t>
      </w:r>
    </w:p>
    <w:p w:rsidR="00EE0979" w:rsidRDefault="00B022A0">
      <w:pPr>
        <w:ind w:left="14" w:right="100" w:firstLine="708"/>
      </w:pPr>
      <w:r>
        <w:t>Sin perjuicio de las deficiencias detectadas, que hay que corregir a través de un Plan de Acción Municipal, se puede valorar positivamente la gestión económico financiera durante el ejercicio 2022, a falta de los datos de la Entidad Pública Empresarial, pa</w:t>
      </w:r>
      <w:r>
        <w:t xml:space="preserve">ra este último año.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6.- VALORACIÓN DE UN PLAN DE ACCIÓN </w:t>
      </w:r>
    </w:p>
    <w:p w:rsidR="00EE0979" w:rsidRDefault="00B022A0">
      <w:pPr>
        <w:spacing w:after="0" w:line="259" w:lineRule="auto"/>
        <w:ind w:left="14" w:firstLine="0"/>
        <w:jc w:val="left"/>
      </w:pPr>
      <w:r>
        <w:t xml:space="preserve"> </w:t>
      </w:r>
    </w:p>
    <w:p w:rsidR="00EE0979" w:rsidRDefault="00B022A0">
      <w:pPr>
        <w:ind w:left="14" w:right="100" w:firstLine="360"/>
      </w:pPr>
      <w:r>
        <w:t xml:space="preserve">Debe elaborarse, después del Informe Resumen, un Plan de Acción, que será valorado por este interventor.  </w:t>
      </w:r>
    </w:p>
    <w:p w:rsidR="00EE0979" w:rsidRDefault="00B022A0">
      <w:pPr>
        <w:spacing w:after="0" w:line="259" w:lineRule="auto"/>
        <w:ind w:left="14" w:firstLine="0"/>
        <w:jc w:val="left"/>
      </w:pPr>
      <w:r>
        <w:t xml:space="preserve"> </w:t>
      </w:r>
    </w:p>
    <w:p w:rsidR="00EE0979" w:rsidRDefault="00B022A0">
      <w:pPr>
        <w:spacing w:after="153"/>
        <w:ind w:left="14" w:right="100" w:firstLine="360"/>
      </w:pPr>
      <w:r>
        <w:t>En este sentido, conforme el artículo 38 del Real Decreto 424/2017 de 28 de abril, po</w:t>
      </w:r>
      <w:r>
        <w:t>r el que se regula el régimen jurídico del control interno en las entidades del Sector Público Local, se regula que el Presidente de la Corporación formalizará un plan de acción que determine las medidas a adoptar para subsanar las debilidades, deficiencia</w:t>
      </w:r>
      <w:r>
        <w:t xml:space="preserve">s, errores e incumplimientos que se pongan de manifiesto en el informe resumen referido en el artículo anterior y será elaborado, en el plazo máximo de 3 meses desde la remisión del informe resumen al Pleno y contendrá las medidas de corrección adoptadas, </w:t>
      </w:r>
      <w:r>
        <w:t>el responsable de implementarlas y el calendario de actuaciones a realizar, relativos tanto a la gestión de la propia Corporación como a la de los organismos y entidades públicas adscritas o dependientes y de las que ejerza la tutela.</w:t>
      </w:r>
      <w:r>
        <w:rPr>
          <w:rFonts w:ascii="Times New Roman" w:eastAsia="Times New Roman" w:hAnsi="Times New Roman" w:cs="Times New Roman"/>
          <w:sz w:val="24"/>
        </w:rPr>
        <w:t xml:space="preserve"> </w:t>
      </w:r>
    </w:p>
    <w:p w:rsidR="00EE0979" w:rsidRDefault="00B022A0">
      <w:pPr>
        <w:spacing w:after="172"/>
        <w:ind w:left="14" w:right="100" w:firstLine="360"/>
      </w:pPr>
      <w:r>
        <w:t>El citado Plan de acción, será remitido al órgano interventor de la Entidad Local, que valorará su adecuación para solventar las deficiencias señaladas y en su caso los resultados obtenidos, e informará al Pleno sobre la situación de la corrección de las d</w:t>
      </w:r>
      <w:r>
        <w:t xml:space="preserve">ebilidades puestas de manifiesto en el ejercicio del control interno, permitiendo así que el Pleno realice un seguimiento periódico de las medidas correctoras implantadas para la mejora de la gestión económico financiera. </w:t>
      </w:r>
    </w:p>
    <w:p w:rsidR="00EE0979" w:rsidRDefault="00B022A0">
      <w:pPr>
        <w:spacing w:after="171"/>
        <w:ind w:left="14" w:right="100" w:firstLine="708"/>
      </w:pPr>
      <w:r>
        <w:t>En la remisión anual a la Interve</w:t>
      </w:r>
      <w:r>
        <w:t xml:space="preserve">nción General de la Administración del Estado del informe resumen de los resultados del control interno se informará, asimismo, sobre la corrección de las debilidades puestas de manifiesto. </w:t>
      </w:r>
    </w:p>
    <w:p w:rsidR="00EE0979" w:rsidRDefault="00B022A0">
      <w:pPr>
        <w:spacing w:after="0" w:line="259" w:lineRule="auto"/>
        <w:ind w:left="14" w:firstLine="0"/>
        <w:jc w:val="left"/>
      </w:pPr>
      <w:r>
        <w:t xml:space="preserve"> </w:t>
      </w:r>
    </w:p>
    <w:p w:rsidR="00EE0979" w:rsidRDefault="00B022A0">
      <w:pPr>
        <w:spacing w:after="3" w:line="259" w:lineRule="auto"/>
        <w:ind w:left="10" w:right="111" w:hanging="10"/>
        <w:jc w:val="right"/>
      </w:pPr>
      <w:r>
        <w:t>Es cuanto se tiene a bien informar y recomendar a efectos de cu</w:t>
      </w:r>
      <w:r>
        <w:t xml:space="preserve">mplir el mandato normativo </w:t>
      </w:r>
    </w:p>
    <w:p w:rsidR="00EE0979" w:rsidRDefault="00B022A0">
      <w:pPr>
        <w:ind w:right="100"/>
      </w:pPr>
      <w:r>
        <w:t xml:space="preserve">del art. 37 RCI.” </w:t>
      </w:r>
    </w:p>
    <w:p w:rsidR="00EE0979" w:rsidRDefault="00B022A0">
      <w:pPr>
        <w:spacing w:after="0" w:line="259" w:lineRule="auto"/>
        <w:ind w:left="722" w:firstLine="0"/>
        <w:jc w:val="left"/>
      </w:pPr>
      <w:r>
        <w:t xml:space="preserve"> </w:t>
      </w:r>
    </w:p>
    <w:p w:rsidR="00EE0979" w:rsidRDefault="00B022A0">
      <w:pPr>
        <w:spacing w:after="0" w:line="259" w:lineRule="auto"/>
        <w:ind w:left="10" w:firstLine="0"/>
        <w:jc w:val="left"/>
      </w:pPr>
      <w:r>
        <w:t xml:space="preserve"> </w:t>
      </w:r>
    </w:p>
    <w:p w:rsidR="00EE0979" w:rsidRDefault="00B022A0">
      <w:pPr>
        <w:spacing w:after="6"/>
        <w:ind w:right="99" w:hanging="10"/>
      </w:pPr>
      <w:r>
        <w:rPr>
          <w:b/>
        </w:rPr>
        <w:t xml:space="preserve">     Consta en el expediente propuesta del Concejal delegado de Hacienda, D. Airam Pérez Chinea, de fecha 19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19" w:line="259" w:lineRule="auto"/>
        <w:ind w:left="14" w:firstLine="0"/>
        <w:jc w:val="left"/>
      </w:pPr>
      <w:r>
        <w:rPr>
          <w:b/>
        </w:rPr>
        <w:t xml:space="preserve"> </w:t>
      </w:r>
    </w:p>
    <w:p w:rsidR="00EE0979" w:rsidRDefault="00B022A0">
      <w:pPr>
        <w:pStyle w:val="Ttulo1"/>
        <w:numPr>
          <w:ilvl w:val="0"/>
          <w:numId w:val="0"/>
        </w:numPr>
        <w:ind w:left="624" w:right="704"/>
      </w:pPr>
      <w:r>
        <w:t>“PROPUESTA DEL CONCEJAL DELEGADO DE HAC</w:t>
      </w:r>
      <w:r>
        <w:t xml:space="preserve">IENDA </w:t>
      </w:r>
    </w:p>
    <w:p w:rsidR="00EE0979" w:rsidRDefault="00B022A0">
      <w:pPr>
        <w:spacing w:after="100" w:line="259" w:lineRule="auto"/>
        <w:ind w:left="14" w:firstLine="0"/>
        <w:jc w:val="left"/>
      </w:pPr>
      <w:r>
        <w:rPr>
          <w:b/>
        </w:rPr>
        <w:t xml:space="preserve"> </w:t>
      </w:r>
    </w:p>
    <w:p w:rsidR="00EE0979" w:rsidRDefault="00B022A0">
      <w:pPr>
        <w:spacing w:after="9" w:line="249" w:lineRule="auto"/>
        <w:ind w:left="9" w:right="94" w:hanging="10"/>
      </w:pPr>
      <w:r>
        <w:rPr>
          <w:b/>
        </w:rPr>
        <w:t xml:space="preserve">Asunto: </w:t>
      </w:r>
      <w:r>
        <w:rPr>
          <w:b/>
          <w:u w:val="single" w:color="000000"/>
        </w:rPr>
        <w:t>INFORME RESUMEN DE LOS RESULTADOS DEL CONTROL INTERNO DURANTE</w:t>
      </w:r>
      <w:r>
        <w:rPr>
          <w:b/>
        </w:rPr>
        <w:t xml:space="preserve"> </w:t>
      </w:r>
    </w:p>
    <w:p w:rsidR="00EE0979" w:rsidRDefault="00B022A0">
      <w:pPr>
        <w:spacing w:after="9" w:line="249" w:lineRule="auto"/>
        <w:ind w:left="9" w:right="94" w:hanging="10"/>
      </w:pPr>
      <w:r>
        <w:rPr>
          <w:b/>
          <w:u w:val="single" w:color="000000"/>
        </w:rPr>
        <w:t>2022</w:t>
      </w:r>
      <w:r>
        <w:rPr>
          <w:rFonts w:ascii="Courier New" w:eastAsia="Courier New" w:hAnsi="Courier New" w:cs="Courier New"/>
          <w:sz w:val="31"/>
          <w:vertAlign w:val="subscript"/>
        </w:rP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r>
        <w:rPr>
          <w:rFonts w:ascii="Calibri" w:eastAsia="Calibri" w:hAnsi="Calibri" w:cs="Calibri"/>
          <w:noProof/>
        </w:rPr>
        <mc:AlternateContent>
          <mc:Choice Requires="wpg">
            <w:drawing>
              <wp:inline distT="0" distB="0" distL="0" distR="0">
                <wp:extent cx="6059170" cy="25908"/>
                <wp:effectExtent l="0" t="0" r="0" b="0"/>
                <wp:docPr id="237154" name="Group 23715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615" name="Shape 161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7154" style="width:477.1pt;height:2.04pt;mso-position-horizontal-relative:char;mso-position-vertical-relative:line" coordsize="60591,259">
                <v:shape id="Shape 1615"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107" w:line="259" w:lineRule="auto"/>
        <w:ind w:left="298" w:firstLine="0"/>
        <w:jc w:val="left"/>
      </w:pPr>
      <w:r>
        <w:rPr>
          <w:b/>
        </w:rPr>
        <w:t xml:space="preserve"> </w:t>
      </w:r>
      <w:r>
        <w:rPr>
          <w:b/>
        </w:rPr>
        <w:tab/>
        <w:t xml:space="preserve"> </w:t>
      </w:r>
      <w:r>
        <w:rPr>
          <w:b/>
        </w:rPr>
        <w:tab/>
      </w:r>
      <w:r>
        <w:t xml:space="preserve"> </w:t>
      </w:r>
    </w:p>
    <w:p w:rsidR="00EE0979" w:rsidRDefault="00B022A0">
      <w:pPr>
        <w:ind w:right="100"/>
      </w:pPr>
      <w:r>
        <w:rPr>
          <w:b/>
        </w:rPr>
        <w:t xml:space="preserve"> </w:t>
      </w:r>
      <w:r>
        <w:t xml:space="preserve"> Visto el Informe Resumen de los Resultados de Control Interno correspondiente al ejercicio 2020-2021, con el tenor literal siguiente:</w:t>
      </w:r>
      <w:r>
        <w:rPr>
          <w:rFonts w:ascii="Courier New" w:eastAsia="Courier New" w:hAnsi="Courier New" w:cs="Courier New"/>
          <w:sz w:val="31"/>
          <w:vertAlign w:val="subscript"/>
        </w:rPr>
        <w:t xml:space="preserve"> </w:t>
      </w:r>
    </w:p>
    <w:p w:rsidR="00EE0979" w:rsidRDefault="00B022A0">
      <w:pPr>
        <w:spacing w:after="111" w:line="259" w:lineRule="auto"/>
        <w:ind w:left="14" w:firstLine="0"/>
        <w:jc w:val="left"/>
      </w:pPr>
      <w:r>
        <w:t xml:space="preserve"> </w:t>
      </w:r>
    </w:p>
    <w:p w:rsidR="00EE0979" w:rsidRDefault="00B022A0">
      <w:pPr>
        <w:tabs>
          <w:tab w:val="center" w:pos="759"/>
          <w:tab w:val="center" w:pos="2544"/>
        </w:tabs>
        <w:spacing w:after="6"/>
        <w:ind w:left="0" w:firstLine="0"/>
        <w:jc w:val="left"/>
      </w:pPr>
      <w:r>
        <w:t xml:space="preserve"> </w:t>
      </w:r>
      <w:r>
        <w:tab/>
        <w:t xml:space="preserve">“ </w:t>
      </w:r>
      <w:r>
        <w:tab/>
      </w:r>
      <w:r>
        <w:rPr>
          <w:b/>
        </w:rPr>
        <w:t xml:space="preserve">1.- </w:t>
      </w:r>
      <w:r>
        <w:rPr>
          <w:b/>
        </w:rPr>
        <w:t>INTRODUCCIÓN.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El art. 37 del Real Decreto 424/2017, de 28 de abril, por el que se regula el régimen jurídico, del control interno en las entidades del Sector Público Local (en adelante, RCI) indica que: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i/>
        </w:rPr>
        <w:t xml:space="preserve"> </w:t>
      </w:r>
    </w:p>
    <w:p w:rsidR="00EE0979" w:rsidRDefault="00B022A0">
      <w:pPr>
        <w:numPr>
          <w:ilvl w:val="0"/>
          <w:numId w:val="10"/>
        </w:numPr>
        <w:ind w:right="98" w:hanging="10"/>
      </w:pPr>
      <w:r>
        <w:rPr>
          <w:i/>
        </w:rPr>
        <w:t>El órgano interventor deberá elaborar con carácter anual y con ocasión de la aprobación de la cuenta general, el informe resumen de los resultados del control interno señalado en el artículo 213 del Texto Refundido de la Ley reguladora de las Haciendas Loc</w:t>
      </w:r>
      <w:r>
        <w:rPr>
          <w:i/>
        </w:rPr>
        <w:t xml:space="preserve">ales. </w:t>
      </w:r>
    </w:p>
    <w:p w:rsidR="00EE0979" w:rsidRDefault="00B022A0">
      <w:pPr>
        <w:spacing w:after="0" w:line="259" w:lineRule="auto"/>
        <w:ind w:left="14" w:firstLine="0"/>
        <w:jc w:val="left"/>
      </w:pPr>
      <w:r>
        <w:rPr>
          <w:i/>
        </w:rPr>
        <w:t xml:space="preserve"> </w:t>
      </w:r>
    </w:p>
    <w:p w:rsidR="00EE0979" w:rsidRDefault="00B022A0">
      <w:pPr>
        <w:numPr>
          <w:ilvl w:val="0"/>
          <w:numId w:val="10"/>
        </w:numPr>
        <w:ind w:right="98" w:hanging="10"/>
      </w:pPr>
      <w:r>
        <w:rPr>
          <w:i/>
        </w:rPr>
        <w:t>El informe resumen será remitido al Pleno, a través del Presidente de la Corporación, y a la Intervención General de la Administración del Estado en el curso del primer cuatrimestre de cada año y contendrá los resultados más significativos derivad</w:t>
      </w:r>
      <w:r>
        <w:rPr>
          <w:i/>
        </w:rPr>
        <w:t xml:space="preserve">os de las de las actuaciones de control financiero y de función interventora realizadas en el ejercicio anterior. </w:t>
      </w:r>
    </w:p>
    <w:p w:rsidR="00EE0979" w:rsidRDefault="00B022A0">
      <w:pPr>
        <w:spacing w:after="0" w:line="259" w:lineRule="auto"/>
        <w:ind w:left="14" w:firstLine="0"/>
        <w:jc w:val="left"/>
      </w:pPr>
      <w:r>
        <w:rPr>
          <w:i/>
        </w:rPr>
        <w:t xml:space="preserve"> </w:t>
      </w:r>
    </w:p>
    <w:p w:rsidR="00EE0979" w:rsidRDefault="00B022A0">
      <w:pPr>
        <w:numPr>
          <w:ilvl w:val="0"/>
          <w:numId w:val="10"/>
        </w:numPr>
        <w:ind w:right="98" w:hanging="10"/>
      </w:pPr>
      <w:r>
        <w:rPr>
          <w:i/>
        </w:rPr>
        <w:t xml:space="preserve">La Intervención General de la Administración del Estado dictará las instrucciones a las que habrán de ajustarse el contenido, estructura y </w:t>
      </w:r>
      <w:r>
        <w:rPr>
          <w:i/>
        </w:rPr>
        <w:t xml:space="preserve">formato del informe resumen y deberá crear un inventario público que recoja los informes recibidos de las Entidades Locales.” </w:t>
      </w:r>
    </w:p>
    <w:p w:rsidR="00EE0979" w:rsidRDefault="00B022A0">
      <w:pPr>
        <w:spacing w:after="0" w:line="259" w:lineRule="auto"/>
        <w:ind w:left="14" w:firstLine="0"/>
        <w:jc w:val="left"/>
      </w:pPr>
      <w:r>
        <w:rPr>
          <w:i/>
        </w:rPr>
        <w:t xml:space="preserve"> </w:t>
      </w:r>
    </w:p>
    <w:p w:rsidR="00EE0979" w:rsidRDefault="00B022A0">
      <w:pPr>
        <w:ind w:right="100"/>
      </w:pPr>
      <w:r>
        <w:t xml:space="preserve">Por tanto, el ejercicio 2022, constituye el ejercicio de control. </w:t>
      </w:r>
    </w:p>
    <w:p w:rsidR="00EE0979" w:rsidRDefault="00B022A0">
      <w:pPr>
        <w:spacing w:after="0" w:line="259" w:lineRule="auto"/>
        <w:ind w:left="14" w:firstLine="0"/>
        <w:jc w:val="left"/>
      </w:pPr>
      <w:r>
        <w:rPr>
          <w:i/>
        </w:rPr>
        <w:t xml:space="preserve"> </w:t>
      </w:r>
    </w:p>
    <w:p w:rsidR="00EE0979" w:rsidRDefault="00B022A0">
      <w:pPr>
        <w:ind w:right="100"/>
      </w:pPr>
      <w:r>
        <w:t xml:space="preserve">A su vez, el art. 38 RCI indica: </w:t>
      </w:r>
    </w:p>
    <w:p w:rsidR="00EE0979" w:rsidRDefault="00B022A0">
      <w:pPr>
        <w:spacing w:after="0" w:line="259" w:lineRule="auto"/>
        <w:ind w:left="14" w:firstLine="0"/>
        <w:jc w:val="left"/>
      </w:pPr>
      <w:r>
        <w:t xml:space="preserve"> </w:t>
      </w:r>
    </w:p>
    <w:p w:rsidR="00EE0979" w:rsidRDefault="00B022A0">
      <w:pPr>
        <w:numPr>
          <w:ilvl w:val="0"/>
          <w:numId w:val="11"/>
        </w:numPr>
        <w:ind w:right="98" w:hanging="10"/>
      </w:pPr>
      <w:r>
        <w:rPr>
          <w:i/>
        </w:rPr>
        <w:t>El Presidente de la Co</w:t>
      </w:r>
      <w:r>
        <w:rPr>
          <w:i/>
        </w:rPr>
        <w:t xml:space="preserve">rporación formalizará un plan de acción que determine las medidas a adoptar para subsanar las debilidades, deficiencias, errores e incumplimientos que se pongan de manifiesto en el informe resumen referido en el artículo anterior. </w:t>
      </w:r>
    </w:p>
    <w:p w:rsidR="00EE0979" w:rsidRDefault="00B022A0">
      <w:pPr>
        <w:spacing w:after="0" w:line="259" w:lineRule="auto"/>
        <w:ind w:left="14" w:firstLine="0"/>
        <w:jc w:val="left"/>
      </w:pPr>
      <w:r>
        <w:rPr>
          <w:i/>
        </w:rPr>
        <w:t xml:space="preserve"> </w:t>
      </w:r>
    </w:p>
    <w:p w:rsidR="00EE0979" w:rsidRDefault="00B022A0">
      <w:pPr>
        <w:numPr>
          <w:ilvl w:val="0"/>
          <w:numId w:val="11"/>
        </w:numPr>
        <w:ind w:right="98" w:hanging="10"/>
      </w:pPr>
      <w:r>
        <w:rPr>
          <w:i/>
        </w:rPr>
        <w:t>El plan de acción se e</w:t>
      </w:r>
      <w:r>
        <w:rPr>
          <w:i/>
        </w:rPr>
        <w:t>laborará en el plazo máximo de 3 meses desde la remisión del informe resumen al Pleno y contendrá las medidas de corrección adoptadas, el responsable de implementarlas y el calendario de actuaciones a realizar, relativos tanto a la gestión de la propia Cor</w:t>
      </w:r>
      <w:r>
        <w:rPr>
          <w:i/>
        </w:rPr>
        <w:t xml:space="preserve">poración como a la de los organismos y entidades públicas adscritas o dependientes y de las que ejerza la tutela. </w:t>
      </w:r>
    </w:p>
    <w:p w:rsidR="00EE0979" w:rsidRDefault="00B022A0">
      <w:pPr>
        <w:spacing w:after="0" w:line="259" w:lineRule="auto"/>
        <w:ind w:left="14" w:firstLine="0"/>
        <w:jc w:val="left"/>
      </w:pPr>
      <w:r>
        <w:rPr>
          <w:i/>
        </w:rPr>
        <w:t xml:space="preserve"> </w:t>
      </w:r>
    </w:p>
    <w:p w:rsidR="00EE0979" w:rsidRDefault="00B022A0">
      <w:pPr>
        <w:numPr>
          <w:ilvl w:val="0"/>
          <w:numId w:val="11"/>
        </w:numPr>
        <w:ind w:right="98" w:hanging="10"/>
      </w:pPr>
      <w:r>
        <w:rPr>
          <w:i/>
        </w:rPr>
        <w:t>El plan de acción será remitido al órgano interventor de la Entidad Local, que valorará su adecuación para solventar las deficiencias señal</w:t>
      </w:r>
      <w:r>
        <w:rPr>
          <w:i/>
        </w:rPr>
        <w:t xml:space="preserve">adas y en su caso los resultados obtenidos, e informará al Pleno sobre la situación de la corrección de las debilidades puestas de manifiesto en el ejercicio del control interno, permitiendo así que el Pleno realice un seguimiento periódico de las medidas </w:t>
      </w:r>
      <w:r>
        <w:rPr>
          <w:i/>
        </w:rPr>
        <w:t xml:space="preserve">correctoras implantadas para la mejora de la gestión económico financiera. </w:t>
      </w:r>
    </w:p>
    <w:p w:rsidR="00EE0979" w:rsidRDefault="00B022A0">
      <w:pPr>
        <w:spacing w:after="0" w:line="259" w:lineRule="auto"/>
        <w:ind w:left="14" w:firstLine="0"/>
        <w:jc w:val="left"/>
      </w:pPr>
      <w:r>
        <w:rPr>
          <w:i/>
        </w:rPr>
        <w:t xml:space="preserve"> </w:t>
      </w:r>
    </w:p>
    <w:p w:rsidR="00EE0979" w:rsidRDefault="00B022A0">
      <w:pPr>
        <w:numPr>
          <w:ilvl w:val="0"/>
          <w:numId w:val="11"/>
        </w:numPr>
        <w:ind w:right="98" w:hanging="10"/>
      </w:pPr>
      <w:r>
        <w:rPr>
          <w:i/>
        </w:rPr>
        <w:t>En la remisión anual a la Intervención General de la Administración del Estado del informe resumen de los resultados del control interno se informará, asimismo, sobre la correcci</w:t>
      </w:r>
      <w:r>
        <w:rPr>
          <w:i/>
        </w:rPr>
        <w:t xml:space="preserve">ón de las debilidades puestas de manifiesto.” </w:t>
      </w:r>
    </w:p>
    <w:p w:rsidR="00EE0979" w:rsidRDefault="00B022A0">
      <w:pPr>
        <w:spacing w:after="0" w:line="259" w:lineRule="auto"/>
        <w:ind w:left="14" w:firstLine="0"/>
        <w:jc w:val="left"/>
      </w:pPr>
      <w:r>
        <w:t xml:space="preserve"> </w:t>
      </w:r>
    </w:p>
    <w:p w:rsidR="00EE0979" w:rsidRDefault="00B022A0">
      <w:pPr>
        <w:ind w:right="100"/>
      </w:pPr>
      <w:r>
        <w:t>Con fecha 2 de abril de 2020 de la Intervención General de la Administración del Estado, se establecen las Instrucciones a las que habrán que ajustarse el contenido, estructura y formato del Informe Resumen.</w:t>
      </w: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Se ejercerá un Control Financiero Permanente y Auditoria Pública, así como de la Función Interventora. </w:t>
      </w:r>
    </w:p>
    <w:p w:rsidR="00EE0979" w:rsidRDefault="00B022A0">
      <w:pPr>
        <w:spacing w:after="0" w:line="259" w:lineRule="auto"/>
        <w:ind w:left="14" w:firstLine="0"/>
        <w:jc w:val="left"/>
      </w:pPr>
      <w:r>
        <w:t xml:space="preserve"> </w:t>
      </w:r>
    </w:p>
    <w:p w:rsidR="00EE0979" w:rsidRDefault="00B022A0">
      <w:pPr>
        <w:ind w:right="100"/>
      </w:pPr>
      <w:r>
        <w:t xml:space="preserve">2.- ALCANCE DEL INFORME RESUMEN. - </w:t>
      </w:r>
    </w:p>
    <w:p w:rsidR="00EE0979" w:rsidRDefault="00B022A0">
      <w:pPr>
        <w:spacing w:after="0" w:line="259" w:lineRule="auto"/>
        <w:ind w:left="14" w:firstLine="0"/>
        <w:jc w:val="left"/>
      </w:pPr>
      <w:r>
        <w:t xml:space="preserve"> </w:t>
      </w:r>
    </w:p>
    <w:p w:rsidR="00EE0979" w:rsidRDefault="00B022A0">
      <w:pPr>
        <w:ind w:right="100"/>
      </w:pPr>
      <w:r>
        <w:t>El informe resumen debe contener los resultados más significativos derivados de las actuaciones de control financiero y de función interventora realizadas por el órgano interventor sobre todas las entidades que forman parte del Sector Público del Ayuntamie</w:t>
      </w:r>
      <w:r>
        <w:t xml:space="preserve">nto de Candelaria, incluido los entes dependientes, en el ejercicio anterior, esto es, la Entidad Pública Empresarial de Gestión de Empresas y Servicios Públicos del Ayuntamiento de Candelaria, la Sociedad Municipal de Viviendas y Servicios Municipales de </w:t>
      </w:r>
      <w:r>
        <w:t xml:space="preserve">Candelaria SLU. y de la Fundación Candesol. </w:t>
      </w:r>
    </w:p>
    <w:p w:rsidR="00EE0979" w:rsidRDefault="00B022A0">
      <w:pPr>
        <w:spacing w:after="0" w:line="259" w:lineRule="auto"/>
        <w:ind w:left="14" w:firstLine="0"/>
        <w:jc w:val="left"/>
      </w:pPr>
      <w:r>
        <w:t xml:space="preserve"> </w:t>
      </w:r>
    </w:p>
    <w:p w:rsidR="00EE0979" w:rsidRDefault="00B022A0">
      <w:pPr>
        <w:ind w:right="100"/>
      </w:pPr>
      <w:r>
        <w:t xml:space="preserve">Los objetivos del informe son, en consonancia con el informe resumen de la Intervención General del Estado: </w:t>
      </w:r>
    </w:p>
    <w:p w:rsidR="00EE0979" w:rsidRDefault="00B022A0">
      <w:pPr>
        <w:spacing w:after="0" w:line="259" w:lineRule="auto"/>
        <w:ind w:left="14" w:firstLine="0"/>
        <w:jc w:val="left"/>
      </w:pPr>
      <w:r>
        <w:t xml:space="preserve"> </w:t>
      </w:r>
    </w:p>
    <w:p w:rsidR="00EE0979" w:rsidRDefault="00B022A0">
      <w:pPr>
        <w:numPr>
          <w:ilvl w:val="0"/>
          <w:numId w:val="12"/>
        </w:numPr>
        <w:ind w:left="153" w:right="100" w:hanging="139"/>
      </w:pPr>
      <w:r>
        <w:t xml:space="preserve">Facilitar una valoración global de la gestión controlada. </w:t>
      </w:r>
    </w:p>
    <w:p w:rsidR="00EE0979" w:rsidRDefault="00B022A0">
      <w:pPr>
        <w:spacing w:after="0" w:line="259" w:lineRule="auto"/>
        <w:ind w:left="14" w:firstLine="0"/>
        <w:jc w:val="left"/>
      </w:pPr>
      <w:r>
        <w:t xml:space="preserve"> </w:t>
      </w:r>
    </w:p>
    <w:p w:rsidR="00EE0979" w:rsidRDefault="00B022A0">
      <w:pPr>
        <w:numPr>
          <w:ilvl w:val="0"/>
          <w:numId w:val="12"/>
        </w:numPr>
        <w:ind w:left="153" w:right="100" w:hanging="139"/>
      </w:pPr>
      <w:r>
        <w:t>Introducir mejoras de la gestión poni</w:t>
      </w:r>
      <w:r>
        <w:t xml:space="preserve">endo de manifiesto las áreas, actividades o actuaciones de gestión en las que se hayan detectado debilidades, deficiencias, errores o incumplimientos. </w:t>
      </w:r>
    </w:p>
    <w:p w:rsidR="00EE0979" w:rsidRDefault="00B022A0">
      <w:pPr>
        <w:spacing w:after="0" w:line="259" w:lineRule="auto"/>
        <w:ind w:left="14" w:firstLine="0"/>
        <w:jc w:val="left"/>
      </w:pPr>
      <w:r>
        <w:t xml:space="preserve"> </w:t>
      </w:r>
    </w:p>
    <w:p w:rsidR="00EE0979" w:rsidRDefault="00B022A0">
      <w:pPr>
        <w:numPr>
          <w:ilvl w:val="0"/>
          <w:numId w:val="12"/>
        </w:numPr>
        <w:ind w:left="153" w:right="100" w:hanging="139"/>
      </w:pPr>
      <w:r>
        <w:t>Dar trascendencia a los resultados del control más allá del concreto órgano de gestión responsable dir</w:t>
      </w:r>
      <w:r>
        <w:t xml:space="preserve">ecto: Intervención General del Estado, ciudadanos, Pleno de la Corporación, etc. </w:t>
      </w:r>
    </w:p>
    <w:p w:rsidR="00EE0979" w:rsidRDefault="00B022A0">
      <w:pPr>
        <w:spacing w:after="0" w:line="259" w:lineRule="auto"/>
        <w:ind w:left="14" w:firstLine="0"/>
        <w:jc w:val="left"/>
      </w:pPr>
      <w:r>
        <w:t xml:space="preserve"> </w:t>
      </w:r>
    </w:p>
    <w:p w:rsidR="00EE0979" w:rsidRDefault="00B022A0">
      <w:pPr>
        <w:ind w:right="100"/>
      </w:pPr>
      <w:r>
        <w:t>Se trata de resaltar y resumir en un solo documento los resultados más llamativos de las actuaciones de control, a fin de que la Alcaldesa de la entidad pueda proponer un P</w:t>
      </w:r>
      <w:r>
        <w:t xml:space="preserve">lan de Acción sobre estos resultados. </w:t>
      </w:r>
    </w:p>
    <w:p w:rsidR="00EE0979" w:rsidRDefault="00B022A0">
      <w:pPr>
        <w:spacing w:after="0" w:line="259" w:lineRule="auto"/>
        <w:ind w:left="14" w:firstLine="0"/>
        <w:jc w:val="left"/>
      </w:pPr>
      <w:r>
        <w:t xml:space="preserve"> </w:t>
      </w:r>
    </w:p>
    <w:p w:rsidR="00EE0979" w:rsidRDefault="00B022A0">
      <w:pPr>
        <w:ind w:right="100"/>
      </w:pPr>
      <w:r>
        <w:t xml:space="preserve">3.- CONCLUSIONES Y RECOMENDACIONES. </w:t>
      </w:r>
    </w:p>
    <w:p w:rsidR="00EE0979" w:rsidRDefault="00B022A0">
      <w:pPr>
        <w:spacing w:after="0" w:line="259" w:lineRule="auto"/>
        <w:ind w:left="14" w:firstLine="0"/>
        <w:jc w:val="left"/>
      </w:pPr>
      <w:r>
        <w:t xml:space="preserve"> </w:t>
      </w:r>
    </w:p>
    <w:p w:rsidR="00EE0979" w:rsidRDefault="00B022A0">
      <w:pPr>
        <w:ind w:left="379" w:right="100"/>
      </w:pPr>
      <w:r>
        <w:t xml:space="preserve">C. FUNCIÓN INTERVENTORA. </w:t>
      </w:r>
    </w:p>
    <w:p w:rsidR="00EE0979" w:rsidRDefault="00B022A0">
      <w:pPr>
        <w:spacing w:after="0" w:line="259" w:lineRule="auto"/>
        <w:ind w:left="14" w:firstLine="0"/>
        <w:jc w:val="left"/>
      </w:pPr>
      <w:r>
        <w:t xml:space="preserve"> </w:t>
      </w:r>
    </w:p>
    <w:p w:rsidR="00EE0979" w:rsidRDefault="00B022A0">
      <w:pPr>
        <w:ind w:right="100"/>
      </w:pPr>
      <w:r>
        <w:t>Conforme el artículo 3.2 del RCI, la función interventora tiene por objeto controlar los actos de la Entidad Local y de sus organismos autónomos, cu</w:t>
      </w:r>
      <w:r>
        <w:t xml:space="preserve">alquiera que sea su calificación, que den lugar al reconocimiento de derechos o a la realización de gastos, así como los ingresos y pagos que de ellos se deriven, y la inversión o aplicación en general de sus fondos públicos, con el fin de asegurar que su </w:t>
      </w:r>
      <w:r>
        <w:t xml:space="preserve">gestión se ajuste a las disposiciones aplicables en cada caso.  </w:t>
      </w:r>
    </w:p>
    <w:p w:rsidR="00EE0979" w:rsidRDefault="00B022A0">
      <w:pPr>
        <w:spacing w:after="0" w:line="259" w:lineRule="auto"/>
        <w:ind w:left="14" w:firstLine="0"/>
        <w:jc w:val="left"/>
      </w:pPr>
      <w:r>
        <w:t xml:space="preserve"> </w:t>
      </w:r>
    </w:p>
    <w:p w:rsidR="00EE0979" w:rsidRDefault="00B022A0">
      <w:pPr>
        <w:ind w:right="100"/>
      </w:pPr>
      <w:r>
        <w:t>Por tanto, esta función, se ejercerá sobre el Ayuntamiento de Candelaria, pero no sobre los entes dependientes, sobre los que se ejerce, de acuerdo con la normativa legal vigente, un contro</w:t>
      </w:r>
      <w:r>
        <w:t xml:space="preserve">l financiero. No obstante, se ha decidido por acuerdo plenario ejercer esta fiscalización previa a Epelcan, extendiéndose también a la Sociedad municipal. </w:t>
      </w:r>
    </w:p>
    <w:p w:rsidR="00EE0979" w:rsidRDefault="00B022A0">
      <w:pPr>
        <w:ind w:right="1808"/>
      </w:pPr>
      <w:r>
        <w:t>Si bien el artículo 17 del RCI, que regula la Exención de fiscalización previa a: a) Los gastos de m</w:t>
      </w:r>
      <w:r>
        <w:t xml:space="preserve">aterial no inventariable. </w:t>
      </w:r>
    </w:p>
    <w:p w:rsidR="00EE0979" w:rsidRDefault="00B022A0">
      <w:pPr>
        <w:numPr>
          <w:ilvl w:val="0"/>
          <w:numId w:val="13"/>
        </w:numPr>
        <w:ind w:right="100" w:hanging="259"/>
      </w:pPr>
      <w:r>
        <w:t xml:space="preserve">Los contratos menores. </w:t>
      </w:r>
    </w:p>
    <w:p w:rsidR="00EE0979" w:rsidRDefault="00B022A0">
      <w:pPr>
        <w:numPr>
          <w:ilvl w:val="0"/>
          <w:numId w:val="13"/>
        </w:numPr>
        <w:ind w:right="100" w:hanging="259"/>
      </w:pPr>
      <w:r>
        <w:t xml:space="preserve">Los gastos de carácter periódico y demás de tracto sucesivo, una vez fiscalizado el gasto correspondiente al período inicial del acto o contrato del que deriven o sus modificaciones. </w:t>
      </w:r>
    </w:p>
    <w:p w:rsidR="00EE0979" w:rsidRDefault="00B022A0">
      <w:pPr>
        <w:ind w:right="100"/>
      </w:pPr>
      <w:r>
        <w:t>Se ejerce esta fiscalización en las fases de aprobación del gasto, verificando el contenido de los citados gastos, principalmente los contratos menores, poniéndose de manifiesto que todos los expedientes contienen el informe del órgano de contratación, señ</w:t>
      </w:r>
      <w:r>
        <w:t xml:space="preserve">alando que no se está alterando el objeto del contrato y justificando la necesidad del contrato, además que no se está superando el umbral económico fijado en el artículo 118.1 de la Ley 9/2017 de 8 de noviembre, de Contratos del Sector Público. </w:t>
      </w:r>
    </w:p>
    <w:p w:rsidR="00EE0979" w:rsidRDefault="00B022A0">
      <w:pPr>
        <w:spacing w:after="0" w:line="259" w:lineRule="auto"/>
        <w:ind w:left="14" w:firstLine="0"/>
        <w:jc w:val="left"/>
      </w:pPr>
      <w:r>
        <w:t xml:space="preserve"> </w:t>
      </w:r>
    </w:p>
    <w:p w:rsidR="00EE0979" w:rsidRDefault="00B022A0">
      <w:pPr>
        <w:ind w:right="100"/>
      </w:pPr>
      <w:r>
        <w:t xml:space="preserve">No obstante, se pone de manifiesto la existencia de un gran número de contratos menores municipales de competencia obligatoria. Sería recomendable someter a concurrencia pública la realización de las obras, servicios y suministros, dados sus efectos en la </w:t>
      </w:r>
      <w:r>
        <w:t xml:space="preserve">sostenibilidad de las Cuentas municipales. </w:t>
      </w:r>
    </w:p>
    <w:p w:rsidR="00EE0979" w:rsidRDefault="00B022A0">
      <w:pPr>
        <w:spacing w:after="0" w:line="259" w:lineRule="auto"/>
        <w:ind w:left="14" w:firstLine="0"/>
        <w:jc w:val="left"/>
      </w:pPr>
      <w:r>
        <w:t xml:space="preserve"> </w:t>
      </w:r>
    </w:p>
    <w:p w:rsidR="00EE0979" w:rsidRDefault="00B022A0">
      <w:pPr>
        <w:ind w:right="100"/>
      </w:pPr>
      <w:r>
        <w:t xml:space="preserve">A través del siguiente cuadro, se pone de manifiesto el elevado número de contratos menores, superior a los años anteriores, en el ejercicio 2022: </w:t>
      </w:r>
    </w:p>
    <w:p w:rsidR="00EE0979" w:rsidRDefault="00B022A0">
      <w:pPr>
        <w:spacing w:after="0" w:line="259" w:lineRule="auto"/>
        <w:ind w:left="14" w:firstLine="0"/>
        <w:jc w:val="left"/>
      </w:pPr>
      <w:r>
        <w:t xml:space="preserve"> </w:t>
      </w:r>
    </w:p>
    <w:tbl>
      <w:tblPr>
        <w:tblStyle w:val="TableGrid"/>
        <w:tblW w:w="5103" w:type="dxa"/>
        <w:tblInd w:w="2395" w:type="dxa"/>
        <w:tblCellMar>
          <w:top w:w="9" w:type="dxa"/>
          <w:left w:w="108" w:type="dxa"/>
          <w:bottom w:w="0" w:type="dxa"/>
          <w:right w:w="54" w:type="dxa"/>
        </w:tblCellMar>
        <w:tblLook w:val="04A0" w:firstRow="1" w:lastRow="0" w:firstColumn="1" w:lastColumn="0" w:noHBand="0" w:noVBand="1"/>
      </w:tblPr>
      <w:tblGrid>
        <w:gridCol w:w="2269"/>
        <w:gridCol w:w="2834"/>
      </w:tblGrid>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ENTIDAD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CONTRATOS MENORES </w:t>
            </w:r>
          </w:p>
        </w:tc>
      </w:tr>
      <w:tr w:rsidR="00EE0979">
        <w:trPr>
          <w:trHeight w:val="47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AYUNTAMIENTO DE CANDELARIA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2.2</w:t>
            </w:r>
            <w:r>
              <w:rPr>
                <w:sz w:val="20"/>
              </w:rPr>
              <w:t xml:space="preserve">70 </w:t>
            </w:r>
          </w:p>
        </w:tc>
      </w:tr>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EPELCAN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76 </w:t>
            </w:r>
          </w:p>
        </w:tc>
      </w:tr>
      <w:tr w:rsidR="00EE0979">
        <w:trPr>
          <w:trHeight w:val="47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2107"/>
              </w:tabs>
              <w:spacing w:after="0" w:line="259" w:lineRule="auto"/>
              <w:ind w:left="0" w:firstLine="0"/>
              <w:jc w:val="left"/>
            </w:pPr>
            <w:r>
              <w:rPr>
                <w:sz w:val="20"/>
              </w:rPr>
              <w:t xml:space="preserve">EMPRESA </w:t>
            </w:r>
            <w:r>
              <w:rPr>
                <w:sz w:val="20"/>
              </w:rPr>
              <w:tab/>
              <w:t xml:space="preserve">DE </w:t>
            </w:r>
          </w:p>
          <w:p w:rsidR="00EE0979" w:rsidRDefault="00B022A0">
            <w:pPr>
              <w:spacing w:after="0" w:line="259" w:lineRule="auto"/>
              <w:ind w:left="0" w:firstLine="0"/>
              <w:jc w:val="left"/>
            </w:pPr>
            <w:r>
              <w:rPr>
                <w:sz w:val="20"/>
              </w:rPr>
              <w:t xml:space="preserve">INSERCIÓN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86 </w:t>
            </w:r>
          </w:p>
        </w:tc>
      </w:tr>
      <w:tr w:rsidR="00EE0979">
        <w:trPr>
          <w:trHeight w:val="240"/>
        </w:trPr>
        <w:tc>
          <w:tcPr>
            <w:tcW w:w="226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FUNDACIÓN </w:t>
            </w:r>
          </w:p>
        </w:tc>
        <w:tc>
          <w:tcPr>
            <w:tcW w:w="283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43 </w:t>
            </w:r>
          </w:p>
        </w:tc>
      </w:tr>
    </w:tbl>
    <w:p w:rsidR="00EE0979" w:rsidRDefault="00B022A0">
      <w:pPr>
        <w:spacing w:after="0" w:line="259" w:lineRule="auto"/>
        <w:ind w:left="14" w:firstLine="0"/>
        <w:jc w:val="left"/>
      </w:pPr>
      <w:r>
        <w:t xml:space="preserve"> </w:t>
      </w:r>
    </w:p>
    <w:p w:rsidR="00EE0979" w:rsidRDefault="00B022A0">
      <w:pPr>
        <w:ind w:right="100"/>
      </w:pPr>
      <w:r>
        <w:t>En este sentido, se requiere potenciar el área de contratación, con el fin de que la Técnica de Contratación, que asume la Jefatura de esta área, disponga de mayor personal a su responsabilidad, para disminuir lo máximo posible, la realización de contratos</w:t>
      </w:r>
      <w:r>
        <w:t xml:space="preserve"> menores, restringiéndolo para servicios y suministros que no sean de prestación sucesiva, esto es, para casos esporádicos y excepcionales, que no se puedan prever. Han aumentado el número de contratos menores, respecto el año anterior, en 230. </w:t>
      </w:r>
    </w:p>
    <w:p w:rsidR="00EE0979" w:rsidRDefault="00B022A0">
      <w:pPr>
        <w:spacing w:after="0" w:line="259" w:lineRule="auto"/>
        <w:ind w:left="14" w:firstLine="0"/>
        <w:jc w:val="left"/>
      </w:pPr>
      <w:r>
        <w:t xml:space="preserve"> </w:t>
      </w:r>
    </w:p>
    <w:p w:rsidR="00EE0979" w:rsidRDefault="00B022A0">
      <w:pPr>
        <w:ind w:right="100"/>
      </w:pPr>
      <w:r>
        <w:t>Asimismo</w:t>
      </w:r>
      <w:r>
        <w:t xml:space="preserve">, surge la necesidad de realizar el seguimiento de los contratos municipales, sometidos a concesión administrativa, a efectos de su control y sanción, en su caso. Lo más adecuado es la creación de un servicio o departamento especializado en el seguimiento </w:t>
      </w:r>
      <w:r>
        <w:t xml:space="preserve">de al menos los grandes contratos tanto desde el punto de vista técnico como económico y legal. </w:t>
      </w:r>
    </w:p>
    <w:p w:rsidR="00EE0979" w:rsidRDefault="00B022A0">
      <w:pPr>
        <w:spacing w:after="0" w:line="259" w:lineRule="auto"/>
        <w:ind w:left="14" w:firstLine="0"/>
        <w:jc w:val="left"/>
      </w:pPr>
      <w:r>
        <w:t xml:space="preserve"> </w:t>
      </w:r>
    </w:p>
    <w:p w:rsidR="00EE0979" w:rsidRDefault="00B022A0">
      <w:pPr>
        <w:ind w:right="100"/>
      </w:pPr>
      <w:r>
        <w:t xml:space="preserve">Durante el ejercicio 2022, no ha habido resoluciones adoptadas por el Presidente de la Entidad Local contrarias a los reparos efectuados. </w:t>
      </w:r>
    </w:p>
    <w:p w:rsidR="00EE0979" w:rsidRDefault="00B022A0">
      <w:pPr>
        <w:spacing w:after="0" w:line="259" w:lineRule="auto"/>
        <w:ind w:left="14" w:firstLine="0"/>
        <w:jc w:val="left"/>
      </w:pPr>
      <w:r>
        <w:t xml:space="preserve"> </w:t>
      </w:r>
    </w:p>
    <w:p w:rsidR="00EE0979" w:rsidRDefault="00B022A0">
      <w:pPr>
        <w:ind w:left="379" w:right="100"/>
      </w:pPr>
      <w:r>
        <w:t xml:space="preserve">D. </w:t>
      </w:r>
      <w:r>
        <w:t xml:space="preserve">CONTROL FINANCIERO. </w:t>
      </w:r>
    </w:p>
    <w:p w:rsidR="00EE0979" w:rsidRDefault="00B022A0">
      <w:pPr>
        <w:spacing w:after="0" w:line="259" w:lineRule="auto"/>
        <w:ind w:left="14" w:firstLine="0"/>
        <w:jc w:val="left"/>
      </w:pPr>
      <w:r>
        <w:t xml:space="preserve"> </w:t>
      </w:r>
    </w:p>
    <w:p w:rsidR="00EE0979" w:rsidRDefault="00B022A0">
      <w:pPr>
        <w:ind w:right="100"/>
      </w:pPr>
      <w:r>
        <w:t>Conforme el artículo 3.3 del RCI, el control financiero tiene por objeto verificar el funcionamiento de los servicios del sector público local en el aspecto económico financiero para comprobar el cumplimiento de la normativa y direct</w:t>
      </w:r>
      <w:r>
        <w:t>rices que los rigen y, en general, que su gestión se ajusta a los principios de buena gestión financiera, comprobando que la gestión de los recursos públicos se encuentra orientada por la eficacia, la eficiencia, la economía, la calidad y la transparencia,</w:t>
      </w:r>
      <w:r>
        <w:t xml:space="preserve"> y por los principios de estabilidad presupuestaria y sostenibilidad financiera en el uso de los recursos públicos locales. </w:t>
      </w:r>
    </w:p>
    <w:p w:rsidR="00EE0979" w:rsidRDefault="00B022A0">
      <w:pPr>
        <w:ind w:right="100"/>
      </w:pPr>
      <w:r>
        <w:t>El control financiero así definido comprende las modalidades de control permanente y la auditoría pública, incluyéndose en ambas el</w:t>
      </w:r>
      <w:r>
        <w:t xml:space="preserve"> control de eficacia referido en el artículo 213 del texto refundido de la Ley de las Haciendas Locales. </w:t>
      </w:r>
    </w:p>
    <w:p w:rsidR="00EE0979" w:rsidRDefault="00B022A0">
      <w:pPr>
        <w:ind w:right="100"/>
      </w:pPr>
      <w:r>
        <w:t>Con respecto al último Plan Anual de Control Financiero aprobado, que concretaba varias actuaciones, que se detallan a continuación, valorando el resu</w:t>
      </w:r>
      <w:r>
        <w:t xml:space="preserve">ltado de las mismas: </w:t>
      </w:r>
    </w:p>
    <w:p w:rsidR="00EE0979" w:rsidRDefault="00B022A0">
      <w:pPr>
        <w:spacing w:after="0" w:line="259" w:lineRule="auto"/>
        <w:ind w:left="14" w:firstLine="0"/>
        <w:jc w:val="left"/>
      </w:pPr>
      <w:r>
        <w:t xml:space="preserve"> </w:t>
      </w:r>
    </w:p>
    <w:p w:rsidR="00EE0979" w:rsidRDefault="00B022A0">
      <w:pPr>
        <w:ind w:right="100"/>
      </w:pPr>
      <w:r>
        <w:t xml:space="preserve">A) ACTUACIONES DE CONTROL PERMANENTE DERIVADOS OBLIGACIÓN LEGAL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1.- Actuaciones previstas en las normas presupuestarias y reguladoras de la gestión económica</w:t>
      </w:r>
      <w:r>
        <w:rPr>
          <w:i/>
        </w:rPr>
        <w:t xml:space="preserve"> </w:t>
      </w:r>
      <w:r>
        <w:rPr>
          <w:i/>
          <w:u w:val="single" w:color="000000"/>
        </w:rPr>
        <w:t>del sector público local atribuidas al órgano interventor, tales como P</w:t>
      </w:r>
      <w:r>
        <w:rPr>
          <w:i/>
          <w:u w:val="single" w:color="000000"/>
        </w:rPr>
        <w:t>resupuesto municipal,</w:t>
      </w:r>
      <w:r>
        <w:rPr>
          <w:i/>
        </w:rPr>
        <w:t xml:space="preserve"> </w:t>
      </w:r>
      <w:r>
        <w:rPr>
          <w:i/>
          <w:u w:val="single" w:color="000000"/>
        </w:rPr>
        <w:t>modificaciones presupuestarias, liquidaciones del Presupuesto general.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En el año 2022, el Presupuesto municipal, se aprobó por acuerdo plenario de 28 de abril de 2022, tramitándose un total de 67 modificaciones presupuestarias (cua</w:t>
      </w:r>
      <w:r>
        <w:t>tro menos que en el año anterior: 26 generaciones de crédito por ingreso (por importe de 5.476.530,28 Euros), 28 Transferencias de crédito (por importe de 1.102.643,09 Euros), 10 créditos extraordinario/Suplementos de crédito (por la cantidad de 11.762.386</w:t>
      </w:r>
      <w:r>
        <w:t xml:space="preserve">,25 Euros) y 3 Incorporación de crédito por ingreso (un total de 11.459.778,37 Euros). </w:t>
      </w:r>
    </w:p>
    <w:p w:rsidR="00EE0979" w:rsidRDefault="00B022A0">
      <w:pPr>
        <w:spacing w:after="0" w:line="259" w:lineRule="auto"/>
        <w:ind w:left="14" w:firstLine="0"/>
        <w:jc w:val="left"/>
      </w:pPr>
      <w:r>
        <w:t xml:space="preserve"> </w:t>
      </w:r>
    </w:p>
    <w:p w:rsidR="00EE0979" w:rsidRDefault="00B022A0">
      <w:pPr>
        <w:ind w:right="100"/>
      </w:pPr>
      <w:r>
        <w:t xml:space="preserve">Por Decreto 550/2022, de 1 de marzo, se aprobó la Liquidación del Presupuesto municipal del año 2022, destacando las siguientes magnitudes: </w:t>
      </w:r>
    </w:p>
    <w:p w:rsidR="00EE0979" w:rsidRDefault="00B022A0">
      <w:pPr>
        <w:spacing w:after="0" w:line="259" w:lineRule="auto"/>
        <w:ind w:left="14" w:firstLine="0"/>
        <w:jc w:val="left"/>
      </w:pPr>
      <w:r>
        <w:t xml:space="preserve"> </w:t>
      </w:r>
    </w:p>
    <w:p w:rsidR="00EE0979" w:rsidRDefault="00B022A0">
      <w:pPr>
        <w:numPr>
          <w:ilvl w:val="0"/>
          <w:numId w:val="14"/>
        </w:numPr>
        <w:ind w:right="100" w:hanging="360"/>
      </w:pPr>
      <w:r>
        <w:t xml:space="preserve">Remanente de Tesorería </w:t>
      </w:r>
      <w:r>
        <w:t xml:space="preserve">para Gastos Generales:23.408.195,38 Euros. </w:t>
      </w:r>
    </w:p>
    <w:p w:rsidR="00EE0979" w:rsidRDefault="00B022A0">
      <w:pPr>
        <w:numPr>
          <w:ilvl w:val="0"/>
          <w:numId w:val="14"/>
        </w:numPr>
        <w:ind w:right="100" w:hanging="360"/>
      </w:pPr>
      <w:r>
        <w:t xml:space="preserve">Ahorro Neto: 4.856.988,11 Euros. </w:t>
      </w:r>
    </w:p>
    <w:p w:rsidR="00EE0979" w:rsidRDefault="00B022A0">
      <w:pPr>
        <w:numPr>
          <w:ilvl w:val="0"/>
          <w:numId w:val="14"/>
        </w:numPr>
        <w:ind w:right="100" w:hanging="360"/>
      </w:pPr>
      <w:r>
        <w:t xml:space="preserve">Endeudamiento a Largo Plazo: 0,00 Euros. </w:t>
      </w:r>
    </w:p>
    <w:p w:rsidR="00EE0979" w:rsidRDefault="00B022A0">
      <w:pPr>
        <w:numPr>
          <w:ilvl w:val="0"/>
          <w:numId w:val="14"/>
        </w:numPr>
        <w:ind w:right="100" w:hanging="360"/>
      </w:pPr>
      <w:r>
        <w:t xml:space="preserve">Estabilidad Presupuestaria: 4.609.533,31 Euros. </w:t>
      </w:r>
    </w:p>
    <w:p w:rsidR="00EE0979" w:rsidRDefault="00B022A0">
      <w:pPr>
        <w:numPr>
          <w:ilvl w:val="0"/>
          <w:numId w:val="14"/>
        </w:numPr>
        <w:ind w:right="100" w:hanging="360"/>
      </w:pPr>
      <w:r>
        <w:t xml:space="preserve">Protocolo Déficit Excesivo: 1.491.043,27 Euros, un 5,38 %. </w:t>
      </w:r>
    </w:p>
    <w:p w:rsidR="00EE0979" w:rsidRDefault="00B022A0">
      <w:pPr>
        <w:spacing w:after="0" w:line="259" w:lineRule="auto"/>
        <w:ind w:left="14" w:firstLine="0"/>
        <w:jc w:val="left"/>
      </w:pPr>
      <w:r>
        <w:t xml:space="preserve"> </w:t>
      </w:r>
    </w:p>
    <w:p w:rsidR="00EE0979" w:rsidRDefault="00B022A0">
      <w:pPr>
        <w:ind w:right="100"/>
      </w:pPr>
      <w:r>
        <w:t xml:space="preserve">Las cuentas de la Empresa de Inserción de Viviendas y Servicios Municipales SL, han puesto de manifiesto un resultado positivo de 1.125,97 Euros, un Fondo de Maniobra de 200.620,54 Euros, no tiene deuda financiera y una situación de estabilidad. </w:t>
      </w:r>
    </w:p>
    <w:p w:rsidR="00EE0979" w:rsidRDefault="00B022A0">
      <w:pPr>
        <w:spacing w:after="0" w:line="259" w:lineRule="auto"/>
        <w:ind w:left="14" w:firstLine="0"/>
        <w:jc w:val="left"/>
      </w:pPr>
      <w:r>
        <w:t xml:space="preserve"> </w:t>
      </w:r>
    </w:p>
    <w:p w:rsidR="00EE0979" w:rsidRDefault="00B022A0">
      <w:pPr>
        <w:ind w:right="100"/>
      </w:pPr>
      <w:r>
        <w:t>En el c</w:t>
      </w:r>
      <w:r>
        <w:t xml:space="preserve">aso de las cuentas Fundación, las cuentas ponen de manifiesto un resultado negativo de 6.954,60 Euros, no tiene deuda financiera y una situación de equilibrio financiero. </w:t>
      </w:r>
    </w:p>
    <w:p w:rsidR="00EE0979" w:rsidRDefault="00B022A0">
      <w:pPr>
        <w:spacing w:after="0" w:line="259" w:lineRule="auto"/>
        <w:ind w:left="14" w:firstLine="0"/>
        <w:jc w:val="left"/>
      </w:pPr>
      <w:r>
        <w:t xml:space="preserve"> </w:t>
      </w:r>
    </w:p>
    <w:p w:rsidR="00EE0979" w:rsidRDefault="00B022A0">
      <w:pPr>
        <w:ind w:right="100"/>
      </w:pPr>
      <w:r>
        <w:t xml:space="preserve">Está pendiente de aprobación, las cuentas de la Entidad Pública Empresarial.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 xml:space="preserve">      2.- Verificación que los correspondientes registros contables de facturas cumplen con las</w:t>
      </w:r>
      <w:r>
        <w:rPr>
          <w:i/>
        </w:rPr>
        <w:t xml:space="preserve"> </w:t>
      </w:r>
      <w:r>
        <w:rPr>
          <w:i/>
          <w:u w:val="single" w:color="000000"/>
        </w:rPr>
        <w:t>condiciones de funcionamiento previstas en esta Ley 25/2013 de impulso de la factura electrónica</w:t>
      </w:r>
      <w:r>
        <w:rPr>
          <w:i/>
        </w:rPr>
        <w:t xml:space="preserve"> </w:t>
      </w:r>
      <w:r>
        <w:rPr>
          <w:i/>
          <w:u w:val="single" w:color="000000"/>
        </w:rPr>
        <w:t xml:space="preserve">y creación del registro contable de facturas y su normativa de </w:t>
      </w:r>
      <w:r>
        <w:rPr>
          <w:i/>
          <w:u w:val="single" w:color="000000"/>
        </w:rPr>
        <w:t>desarrollo.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El Registro Contable de Facturas municipal, está conectado al Punto General de Entrada de Facturas electrónicas de la Administración General del Estado (FAC-e), por lo que las facturas electrónicas presentadas a través del mismo, son remiti</w:t>
      </w:r>
      <w:r>
        <w:t xml:space="preserve">das, electrónicamente, mediante un servicio proporcionado por dicho punto, al Registro Contable de Facturas, dando lugar su anotación a la asignación de un código de identificación en el citado Registro. </w:t>
      </w:r>
    </w:p>
    <w:p w:rsidR="00EE0979" w:rsidRDefault="00B022A0">
      <w:pPr>
        <w:spacing w:after="0" w:line="259" w:lineRule="auto"/>
        <w:ind w:left="14" w:firstLine="0"/>
        <w:jc w:val="left"/>
      </w:pPr>
      <w:r>
        <w:t xml:space="preserve"> </w:t>
      </w:r>
    </w:p>
    <w:p w:rsidR="00EE0979" w:rsidRDefault="00B022A0">
      <w:pPr>
        <w:ind w:right="100"/>
      </w:pPr>
      <w:r>
        <w:t xml:space="preserve"> Dichas facturas son descargadas por cada Conceja</w:t>
      </w:r>
      <w:r>
        <w:t xml:space="preserve">lía y una vez conformadas por las mismas, mediante firma electrónica, son remitidas al área económica para su tramitación, que realiza las relaciones contables, para su reconocimiento y pago. </w:t>
      </w:r>
    </w:p>
    <w:p w:rsidR="00EE0979" w:rsidRDefault="00B022A0">
      <w:pPr>
        <w:spacing w:after="0" w:line="259" w:lineRule="auto"/>
        <w:ind w:left="14" w:firstLine="0"/>
        <w:jc w:val="left"/>
      </w:pPr>
      <w:r>
        <w:t xml:space="preserve"> </w:t>
      </w:r>
    </w:p>
    <w:p w:rsidR="00EE0979" w:rsidRDefault="00B022A0">
      <w:pPr>
        <w:ind w:right="100"/>
      </w:pPr>
      <w:r>
        <w:t>Se ha verificado que las facturas registradas en el FAC-e y c</w:t>
      </w:r>
      <w:r>
        <w:t xml:space="preserve">on destino al Ayuntamiento, no quedan retenidas, permitiendo al proveedor conocer el estado último de la factura por ellos registrada: </w:t>
      </w:r>
    </w:p>
    <w:p w:rsidR="00EE0979" w:rsidRDefault="00B022A0">
      <w:pPr>
        <w:ind w:right="100"/>
      </w:pPr>
      <w:r>
        <w:t xml:space="preserve">registrada en Registro Contable de Facturas, Contabilizada, Pagada, Rechazada o Anulada. </w:t>
      </w:r>
    </w:p>
    <w:p w:rsidR="00EE0979" w:rsidRDefault="00B022A0">
      <w:pPr>
        <w:spacing w:after="0" w:line="259" w:lineRule="auto"/>
        <w:ind w:left="14" w:firstLine="0"/>
        <w:jc w:val="left"/>
      </w:pPr>
      <w:r>
        <w:t xml:space="preserve"> </w:t>
      </w:r>
    </w:p>
    <w:p w:rsidR="00EE0979" w:rsidRDefault="00B022A0">
      <w:pPr>
        <w:ind w:right="100"/>
      </w:pPr>
      <w:r>
        <w:t>Asimismo, se ha puesto de ma</w:t>
      </w:r>
      <w:r>
        <w:t xml:space="preserve">nifiesto que el tiempo medio de inscripción de facturas electrónicas en el Registro Contable de facturas, es prácticamente automático.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 xml:space="preserve">      3.- Seguimiento de la ejecución presupuestaria y verificación del cumplimiento de los objetivos</w:t>
      </w:r>
      <w:r>
        <w:rPr>
          <w:i/>
        </w:rPr>
        <w:t xml:space="preserve"> </w:t>
      </w:r>
      <w:r>
        <w:rPr>
          <w:i/>
          <w:u w:val="single" w:color="000000"/>
        </w:rPr>
        <w:t>asignados.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Se remite al Pleno municipal información de la ejecución del presupuesto, con carácter trimestral, acompañado de los movimientos y situación de tesorería.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2" w:line="234" w:lineRule="auto"/>
        <w:ind w:left="9" w:right="98" w:hanging="10"/>
      </w:pPr>
      <w:r>
        <w:rPr>
          <w:i/>
          <w:u w:val="single" w:color="000000"/>
        </w:rPr>
        <w:t>4.-  Control de las Subvenciones y Ayudas Públicas</w:t>
      </w:r>
      <w:r>
        <w:rPr>
          <w:i/>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En cumplimiento del artículo 44 de la Ley General de Subvenciones, se ha efectuado un Control Financiero de las subvenciones otorgadas, debidamente justificadas, sin que se haya procedido a reintegro alguno. </w:t>
      </w:r>
    </w:p>
    <w:p w:rsidR="00EE0979" w:rsidRDefault="00B022A0">
      <w:pPr>
        <w:spacing w:after="0" w:line="259" w:lineRule="auto"/>
        <w:ind w:left="14" w:firstLine="0"/>
        <w:jc w:val="left"/>
      </w:pPr>
      <w:r>
        <w:t xml:space="preserve"> </w:t>
      </w:r>
    </w:p>
    <w:p w:rsidR="00EE0979" w:rsidRDefault="00B022A0">
      <w:pPr>
        <w:ind w:right="100"/>
      </w:pPr>
      <w:r>
        <w:t>B) ACTUACIONES DE CONTROL PERMANENTE DERIVADO</w:t>
      </w:r>
      <w:r>
        <w:t xml:space="preserve">S DE UN ANÁLISIS DE RIESGOS, previstos en EL plan anual de control finANCIERO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i/>
        </w:rPr>
        <w:t xml:space="preserve"> </w:t>
      </w:r>
    </w:p>
    <w:p w:rsidR="00EE0979" w:rsidRDefault="00B022A0">
      <w:pPr>
        <w:ind w:left="9" w:right="98" w:hanging="10"/>
      </w:pPr>
      <w:r>
        <w:rPr>
          <w:i/>
        </w:rPr>
        <w:t xml:space="preserve">1.- Generalizar la elaboración de Pliegos, minimizando la tramitación de contratos menores para casos concretos. </w:t>
      </w:r>
    </w:p>
    <w:p w:rsidR="00EE0979" w:rsidRDefault="00B022A0">
      <w:pPr>
        <w:spacing w:after="0" w:line="259" w:lineRule="auto"/>
        <w:ind w:left="14" w:firstLine="0"/>
        <w:jc w:val="left"/>
      </w:pPr>
      <w:r>
        <w:t xml:space="preserve"> </w:t>
      </w:r>
    </w:p>
    <w:p w:rsidR="00EE0979" w:rsidRDefault="00B022A0">
      <w:pPr>
        <w:ind w:right="100"/>
      </w:pPr>
      <w:r>
        <w:t>No se ha cumplido durante el ejercicio 2022, una vez pues</w:t>
      </w:r>
      <w:r>
        <w:t xml:space="preserve">to de manifiesto la gran cantidad de Contratos menores tramitados y las pocas licitaciones realizadas.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2.- Nombramiento de Responsables del Contrato, que supervise que el contrato se ejecuta, conforme el Pliego y estudie la estructura de costes. </w:t>
      </w:r>
    </w:p>
    <w:p w:rsidR="00EE0979" w:rsidRDefault="00B022A0">
      <w:pPr>
        <w:spacing w:after="0" w:line="259" w:lineRule="auto"/>
        <w:ind w:left="14" w:firstLine="0"/>
        <w:jc w:val="left"/>
      </w:pPr>
      <w:r>
        <w:rPr>
          <w:i/>
        </w:rPr>
        <w:t xml:space="preserve"> </w:t>
      </w:r>
    </w:p>
    <w:p w:rsidR="00EE0979" w:rsidRDefault="00B022A0">
      <w:pPr>
        <w:ind w:right="100"/>
      </w:pPr>
      <w:r>
        <w:t xml:space="preserve"> </w:t>
      </w:r>
      <w:r>
        <w:t>Si bien hay nombrado un responsable del contrato en la concesión del servicio de recogida de Residuos Sólidos Urbanos y Limpieza Viaria, no le consta a este interventor, que se haya iniciado ninguna actuación para exigir a la empresa los incumplimientos en</w:t>
      </w:r>
      <w:r>
        <w:t xml:space="preserve"> la ejecución del contrato y de las reclamaciones de este Ayuntamiento contra la empresa.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3.- Concienciación de la importancia de elaborar anualmente los Presupuestos. </w:t>
      </w:r>
    </w:p>
    <w:p w:rsidR="00EE0979" w:rsidRDefault="00B022A0">
      <w:pPr>
        <w:spacing w:after="0" w:line="259" w:lineRule="auto"/>
        <w:ind w:left="14" w:firstLine="0"/>
        <w:jc w:val="left"/>
      </w:pPr>
      <w:r>
        <w:rPr>
          <w:i/>
        </w:rPr>
        <w:t xml:space="preserve"> </w:t>
      </w:r>
    </w:p>
    <w:p w:rsidR="00EE0979" w:rsidRDefault="00B022A0">
      <w:pPr>
        <w:ind w:right="100"/>
      </w:pPr>
      <w:r>
        <w:t xml:space="preserve">Se han elaborado y aprobado los presupuestos generales para el 2020, 2021 y 2022, </w:t>
      </w:r>
      <w:r>
        <w:t xml:space="preserve">pero sería recomendable su aprobación en los plazos previstos legalmente.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4.- Minimización de la cuenta 413 relativa a las obligaciones devengadas no contabilizadas de años anteriores a cierre del ejercicio. </w:t>
      </w:r>
    </w:p>
    <w:p w:rsidR="00EE0979" w:rsidRDefault="00B022A0">
      <w:pPr>
        <w:spacing w:after="0" w:line="259" w:lineRule="auto"/>
        <w:ind w:left="14" w:firstLine="0"/>
        <w:jc w:val="left"/>
      </w:pPr>
      <w:r>
        <w:rPr>
          <w:i/>
        </w:rPr>
        <w:t xml:space="preserve"> </w:t>
      </w:r>
    </w:p>
    <w:p w:rsidR="00EE0979" w:rsidRDefault="00B022A0">
      <w:pPr>
        <w:ind w:right="100"/>
      </w:pPr>
      <w:r>
        <w:t>Conforme el principio de devengo del Siste</w:t>
      </w:r>
      <w:r>
        <w:t>ma Europeo de Cuentas, que implica la imputación de cualquier gasto efectivamente realizado con independencia del momento en que se decida su imputación presupuestaria, las cantidades abonadas en el ejercicio en la cuenta 413 “acreedores por operaciones pe</w:t>
      </w:r>
      <w:r>
        <w:t xml:space="preserve">ndientes de aplicar a presupuesto” darán lugar a ajustes de mayores empleos no financieros mientras que las cantidades abonadas con signo negativo, es decir aplicadas a presupuesto, implicarán ajustes de menores empleos no financieros.  </w:t>
      </w:r>
    </w:p>
    <w:p w:rsidR="00EE0979" w:rsidRDefault="00B022A0">
      <w:pPr>
        <w:ind w:right="100"/>
      </w:pPr>
      <w:r>
        <w:t xml:space="preserve"> </w:t>
      </w:r>
      <w:r>
        <w:t>La partida 413 relativa a los gastos pendientes de aplicar al presupuesto, el Saldo Final de la cuenta 41300, en el ejercicio 2022 el Saldo Final de la cuenta 41300, por importe de 393.412,98 Euros, es menor que el saldo inicial de la citada cuenta, que as</w:t>
      </w:r>
      <w:r>
        <w:t>ciende a 143.418,08 Euros. Por tanto, ha habido un empeoramiento de esta cuenta, año a año, que representa las facturas que no se han imputado a la contabilidad a 31 de diciembre, por importe de 249.994,90 Euros, si bien la misma es consecuencia de la entr</w:t>
      </w:r>
      <w:r>
        <w:t xml:space="preserve">ada de facturas los días 30 y 31 de diciembre, sin posibilidad material para su contabilización antes de final de año. </w:t>
      </w:r>
    </w:p>
    <w:p w:rsidR="00EE0979" w:rsidRDefault="00B022A0">
      <w:pPr>
        <w:spacing w:after="0" w:line="259" w:lineRule="auto"/>
        <w:ind w:left="14" w:firstLine="0"/>
        <w:jc w:val="left"/>
      </w:pPr>
      <w:r>
        <w:rPr>
          <w:i/>
        </w:rPr>
        <w:t xml:space="preserve">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5.- Verificación de la gestión del Inventario y su conciliación con la contabilidad patrimonial. </w:t>
      </w:r>
    </w:p>
    <w:p w:rsidR="00EE0979" w:rsidRDefault="00B022A0">
      <w:pPr>
        <w:spacing w:after="0" w:line="259" w:lineRule="auto"/>
        <w:ind w:left="14" w:firstLine="0"/>
        <w:jc w:val="left"/>
      </w:pPr>
      <w:r>
        <w:rPr>
          <w:i/>
        </w:rPr>
        <w:t xml:space="preserve"> </w:t>
      </w:r>
    </w:p>
    <w:p w:rsidR="00EE0979" w:rsidRDefault="00B022A0">
      <w:pPr>
        <w:ind w:right="100"/>
      </w:pPr>
      <w:r>
        <w:t>Se está realizando un importante</w:t>
      </w:r>
      <w:r>
        <w:t xml:space="preserve"> trabajo de actualización del inventario municipal.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6.- Elaboración de las bases para selección técnicos de administración general </w:t>
      </w:r>
    </w:p>
    <w:p w:rsidR="00EE0979" w:rsidRDefault="00B022A0">
      <w:pPr>
        <w:spacing w:after="0" w:line="259" w:lineRule="auto"/>
        <w:ind w:left="14" w:firstLine="0"/>
        <w:jc w:val="left"/>
      </w:pPr>
      <w:r>
        <w:t xml:space="preserve"> </w:t>
      </w:r>
    </w:p>
    <w:p w:rsidR="00EE0979" w:rsidRDefault="00B022A0">
      <w:pPr>
        <w:ind w:right="100"/>
      </w:pPr>
      <w:r>
        <w:t xml:space="preserve">No consta. </w:t>
      </w:r>
    </w:p>
    <w:p w:rsidR="00EE0979" w:rsidRDefault="00B022A0">
      <w:pPr>
        <w:spacing w:after="0" w:line="259" w:lineRule="auto"/>
        <w:ind w:left="14" w:firstLine="0"/>
        <w:jc w:val="left"/>
      </w:pPr>
      <w:r>
        <w:t xml:space="preserve"> </w:t>
      </w:r>
    </w:p>
    <w:p w:rsidR="00EE0979" w:rsidRDefault="00B022A0">
      <w:pPr>
        <w:ind w:right="100"/>
      </w:pPr>
      <w:r>
        <w:t xml:space="preserve">C) AUDITORÍA PÚBLICA </w:t>
      </w:r>
    </w:p>
    <w:p w:rsidR="00EE0979" w:rsidRDefault="00B022A0">
      <w:pPr>
        <w:spacing w:after="0" w:line="259" w:lineRule="auto"/>
        <w:ind w:left="14" w:firstLine="0"/>
        <w:jc w:val="left"/>
      </w:pPr>
      <w:r>
        <w:t xml:space="preserve"> </w:t>
      </w:r>
    </w:p>
    <w:p w:rsidR="00EE0979" w:rsidRDefault="00B022A0">
      <w:pPr>
        <w:ind w:right="100"/>
      </w:pPr>
      <w:r>
        <w:t>Por Decreto 1527/2021 de 2 de junio se adjudicó la contratación del servicio de c</w:t>
      </w:r>
      <w:r>
        <w:t>olaboración con la Intervención Municipal para la realización de las auditorías públicas de cuentas anuales, de cumplimiento y operativa, dentro del control financiero del Ayuntamiento de Candelaria referido a los ejercicios 2020 y 2021. No obstante, solam</w:t>
      </w:r>
      <w:r>
        <w:t>ente se dispone de los datos de Auditoría correspondientes al 2021. Las correspondientes al ejercicio 2022 (al igual que las de los ejercicios 2023, 2024 y 2025), fueron adjudicadas por Decreto 454/2023 de 22 de febrero, no han sido auditadas en el momento</w:t>
      </w:r>
      <w:r>
        <w:t xml:space="preserve"> del presente informe. No obstante, de acuerdos con los estados contables observados, se mantienen algunas incidencias y otras han sido resueltas.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1.- Epelcan. </w:t>
      </w:r>
    </w:p>
    <w:p w:rsidR="00EE0979" w:rsidRDefault="00B022A0">
      <w:pPr>
        <w:spacing w:after="0" w:line="259" w:lineRule="auto"/>
        <w:ind w:left="14" w:firstLine="0"/>
        <w:jc w:val="left"/>
      </w:pPr>
      <w:r>
        <w:t xml:space="preserve"> </w:t>
      </w:r>
    </w:p>
    <w:p w:rsidR="00EE0979" w:rsidRDefault="00B022A0">
      <w:pPr>
        <w:ind w:right="100"/>
      </w:pPr>
      <w:r>
        <w:t>Los informes de Auditoría de Cuentas Anuales, son favorables con salvedades, relativos a l</w:t>
      </w:r>
      <w:r>
        <w:t xml:space="preserve">a falta de valoración de elementos del inmovilizado material, el no recuento del comic, sus nulas ventas y falta de correcciones valorativas. </w:t>
      </w:r>
    </w:p>
    <w:p w:rsidR="00EE0979" w:rsidRDefault="00B022A0">
      <w:pPr>
        <w:spacing w:after="0" w:line="259" w:lineRule="auto"/>
        <w:ind w:left="14" w:firstLine="0"/>
        <w:jc w:val="left"/>
      </w:pPr>
      <w:r>
        <w:t xml:space="preserve"> </w:t>
      </w:r>
    </w:p>
    <w:p w:rsidR="00EE0979" w:rsidRDefault="00B022A0">
      <w:pPr>
        <w:ind w:right="100"/>
      </w:pPr>
      <w:r>
        <w:t xml:space="preserve"> Las auditorías de cumplimiento, ponen de manifiesto las siguientes incidencias: </w:t>
      </w:r>
    </w:p>
    <w:p w:rsidR="00EE0979" w:rsidRDefault="00B022A0">
      <w:pPr>
        <w:spacing w:after="0" w:line="259" w:lineRule="auto"/>
        <w:ind w:left="14" w:firstLine="0"/>
        <w:jc w:val="left"/>
      </w:pPr>
      <w:r>
        <w:t xml:space="preserve"> </w:t>
      </w:r>
    </w:p>
    <w:p w:rsidR="00EE0979" w:rsidRDefault="00B022A0">
      <w:pPr>
        <w:numPr>
          <w:ilvl w:val="0"/>
          <w:numId w:val="15"/>
        </w:numPr>
        <w:ind w:right="100" w:hanging="360"/>
      </w:pPr>
      <w:r>
        <w:t>Los ingresos y los gastos g</w:t>
      </w:r>
      <w:r>
        <w:t xml:space="preserve">uardan correspondencia con los estatutos de la entidad, que se ha dado cumplimiento con las obligaciones de distintos ámbitos a las cuales está sujeta la empresa así como el cumplimiento del marco jurídico del sector público.  </w:t>
      </w:r>
    </w:p>
    <w:p w:rsidR="00EE0979" w:rsidRDefault="00B022A0">
      <w:pPr>
        <w:numPr>
          <w:ilvl w:val="0"/>
          <w:numId w:val="15"/>
        </w:numPr>
        <w:ind w:right="100" w:hanging="360"/>
      </w:pPr>
      <w:r>
        <w:t>Las Cuentas Anuales se aprob</w:t>
      </w:r>
      <w:r>
        <w:t xml:space="preserve">aron fuera de plazo.  </w:t>
      </w:r>
    </w:p>
    <w:p w:rsidR="00EE0979" w:rsidRDefault="00B022A0">
      <w:pPr>
        <w:numPr>
          <w:ilvl w:val="0"/>
          <w:numId w:val="15"/>
        </w:numPr>
        <w:ind w:right="100" w:hanging="360"/>
      </w:pPr>
      <w:r>
        <w:t xml:space="preserve">No existe planificación económica de objetivos ni evaluación de resultados.  </w:t>
      </w:r>
    </w:p>
    <w:p w:rsidR="00EE0979" w:rsidRDefault="00B022A0">
      <w:pPr>
        <w:numPr>
          <w:ilvl w:val="0"/>
          <w:numId w:val="15"/>
        </w:numPr>
        <w:ind w:right="100" w:hanging="360"/>
      </w:pPr>
      <w:r>
        <w:t xml:space="preserve">No hay un plan de formación del personal.  </w:t>
      </w:r>
    </w:p>
    <w:p w:rsidR="00EE0979" w:rsidRDefault="00B022A0">
      <w:pPr>
        <w:numPr>
          <w:ilvl w:val="0"/>
          <w:numId w:val="15"/>
        </w:numPr>
        <w:ind w:right="100" w:hanging="360"/>
      </w:pPr>
      <w:r>
        <w:t xml:space="preserve">No existe un documento formal que defina las actividades y responsabilidades de gestión y control.  </w:t>
      </w:r>
    </w:p>
    <w:p w:rsidR="00EE0979" w:rsidRDefault="00B022A0">
      <w:pPr>
        <w:numPr>
          <w:ilvl w:val="0"/>
          <w:numId w:val="15"/>
        </w:numPr>
        <w:ind w:right="100" w:hanging="360"/>
      </w:pPr>
      <w:r>
        <w:t xml:space="preserve">Las tarifas/precios no se revisan periódicamente.  </w:t>
      </w:r>
    </w:p>
    <w:p w:rsidR="00EE0979" w:rsidRDefault="00B022A0">
      <w:pPr>
        <w:numPr>
          <w:ilvl w:val="0"/>
          <w:numId w:val="15"/>
        </w:numPr>
        <w:ind w:right="100" w:hanging="360"/>
      </w:pPr>
      <w:r>
        <w:t xml:space="preserve">No se hace un seguimiento de las cuentas pendientes de cobro.  </w:t>
      </w:r>
    </w:p>
    <w:p w:rsidR="00EE0979" w:rsidRDefault="00B022A0">
      <w:pPr>
        <w:numPr>
          <w:ilvl w:val="0"/>
          <w:numId w:val="15"/>
        </w:numPr>
        <w:ind w:right="100" w:hanging="360"/>
      </w:pPr>
      <w:r>
        <w:t xml:space="preserve">No se realizan conciliaciones periódicas de las cuentas bancarias. </w:t>
      </w:r>
    </w:p>
    <w:p w:rsidR="00EE0979" w:rsidRDefault="00B022A0">
      <w:pPr>
        <w:spacing w:after="0" w:line="259" w:lineRule="auto"/>
        <w:ind w:left="14" w:firstLine="0"/>
        <w:jc w:val="left"/>
      </w:pPr>
      <w:r>
        <w:t xml:space="preserve"> </w:t>
      </w:r>
    </w:p>
    <w:p w:rsidR="00EE0979" w:rsidRDefault="00B022A0">
      <w:pPr>
        <w:ind w:right="100"/>
      </w:pPr>
      <w:r>
        <w:t xml:space="preserve"> En cuanto a las Auditorías Operativas, que verifica aspectos de efica</w:t>
      </w:r>
      <w:r>
        <w:t xml:space="preserve">cia, eficiencia y economía de la empresa auditada, señalan: </w:t>
      </w:r>
    </w:p>
    <w:p w:rsidR="00EE0979" w:rsidRDefault="00B022A0">
      <w:pPr>
        <w:spacing w:after="0" w:line="259" w:lineRule="auto"/>
        <w:ind w:left="14" w:firstLine="0"/>
        <w:jc w:val="left"/>
      </w:pPr>
      <w:r>
        <w:t xml:space="preserve"> </w:t>
      </w:r>
    </w:p>
    <w:p w:rsidR="00EE0979" w:rsidRDefault="00B022A0">
      <w:pPr>
        <w:ind w:right="100"/>
      </w:pPr>
      <w:r>
        <w:t>En referencia a la eficacia, la entidad planifica su actividad anualmente mediante la aprobación de programas racionalmente definidos conforme a sus recursos y estructura y que son necesarios p</w:t>
      </w:r>
      <w:r>
        <w:t xml:space="preserve">ara la consecución del objeto social de la entidad.  </w:t>
      </w:r>
    </w:p>
    <w:p w:rsidR="00EE0979" w:rsidRDefault="00B022A0">
      <w:pPr>
        <w:spacing w:after="0" w:line="259" w:lineRule="auto"/>
        <w:ind w:left="14" w:firstLine="0"/>
        <w:jc w:val="left"/>
      </w:pPr>
      <w:r>
        <w:t xml:space="preserve"> </w:t>
      </w:r>
    </w:p>
    <w:p w:rsidR="00EE0979" w:rsidRDefault="00B022A0">
      <w:pPr>
        <w:ind w:right="100"/>
      </w:pPr>
      <w:r>
        <w:t xml:space="preserve">Con respecto a la economía y la eficiencia, los gastos incurridos son adecuados al nivel de actividad y a la estructura de la entidad, si bien los gastos de personal, experimentan un descenso durante </w:t>
      </w:r>
      <w:r>
        <w:t xml:space="preserve">los últimos años, muy inferior al descenso que registra la cifra de negocios (por lo tanto, la actividad) y este desajuste podría evidenciar una pérdida de eficiencia en el desarrollo de las actividades </w:t>
      </w:r>
    </w:p>
    <w:p w:rsidR="00EE0979" w:rsidRDefault="00B022A0">
      <w:pPr>
        <w:spacing w:after="0" w:line="259" w:lineRule="auto"/>
        <w:ind w:left="14" w:firstLine="0"/>
        <w:jc w:val="left"/>
      </w:pPr>
      <w:r>
        <w:t xml:space="preserve"> </w:t>
      </w:r>
    </w:p>
    <w:p w:rsidR="00EE0979" w:rsidRDefault="00B022A0">
      <w:pPr>
        <w:ind w:right="100"/>
      </w:pPr>
      <w:r>
        <w:t>Finalmente, en el ámbito de los sistemas y procedi</w:t>
      </w:r>
      <w:r>
        <w:t>mientos, la entidad dispone de una contabilidad analítica adecuada mediante la cual se identifican los ingresos, gastos y resultados de cada una de las actividades que se llevan a cabo. No se ha verificado el ajuste de los procedimientos internos de contro</w:t>
      </w:r>
      <w:r>
        <w:t xml:space="preserve">l al marco legal al no disponerse de un manual que los defina.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2.- Empresa de Inserción de Viviendas y Servicios Municipales de Candelaria SL </w:t>
      </w:r>
    </w:p>
    <w:p w:rsidR="00EE0979" w:rsidRDefault="00B022A0">
      <w:pPr>
        <w:spacing w:after="0" w:line="259" w:lineRule="auto"/>
        <w:ind w:left="14" w:firstLine="0"/>
        <w:jc w:val="left"/>
      </w:pPr>
      <w:r>
        <w:t xml:space="preserve"> </w:t>
      </w:r>
    </w:p>
    <w:p w:rsidR="00EE0979" w:rsidRDefault="00B022A0">
      <w:pPr>
        <w:ind w:right="100"/>
      </w:pPr>
      <w:r>
        <w:t>Los informes de Auditorías de Cuentas Anuales, han sido favorables, ya que las cuentas, expresan, en todos los aspectos significativos, la imagen fiel del patrimonio y de la situación financiera de la Entidad a 31 de diciembre, así como de sus resultados c</w:t>
      </w:r>
      <w:r>
        <w:t xml:space="preserve">orrespondientes al ejercicio anual terminado en dicha fecha, de conformidad con el marco normativo de información financiera que resulta de aplicación. </w:t>
      </w:r>
    </w:p>
    <w:p w:rsidR="00EE0979" w:rsidRDefault="00B022A0">
      <w:pPr>
        <w:spacing w:after="0" w:line="259" w:lineRule="auto"/>
        <w:ind w:left="14" w:firstLine="0"/>
        <w:jc w:val="left"/>
      </w:pPr>
      <w:r>
        <w:t xml:space="preserve"> </w:t>
      </w:r>
    </w:p>
    <w:p w:rsidR="00EE0979" w:rsidRDefault="00B022A0">
      <w:pPr>
        <w:ind w:right="100"/>
      </w:pPr>
      <w:r>
        <w:t xml:space="preserve"> Las Auditoría de Cumplimiento, que refleja las mismas conclusiones que la entidad pública, expresa l</w:t>
      </w:r>
      <w:r>
        <w:t xml:space="preserve">as siguientes incidencias: </w:t>
      </w:r>
    </w:p>
    <w:p w:rsidR="00EE0979" w:rsidRDefault="00B022A0">
      <w:pPr>
        <w:spacing w:after="9" w:line="259" w:lineRule="auto"/>
        <w:ind w:left="14" w:firstLine="0"/>
        <w:jc w:val="left"/>
      </w:pPr>
      <w:r>
        <w:t xml:space="preserve"> </w:t>
      </w:r>
    </w:p>
    <w:p w:rsidR="00EE0979" w:rsidRDefault="00B022A0">
      <w:pPr>
        <w:numPr>
          <w:ilvl w:val="0"/>
          <w:numId w:val="16"/>
        </w:numPr>
        <w:ind w:right="100" w:hanging="163"/>
      </w:pPr>
      <w:r>
        <w:t>No existe una planificación explícita de la tesorería.</w:t>
      </w:r>
      <w:r>
        <w:rPr>
          <w:rFonts w:ascii="Times New Roman" w:eastAsia="Times New Roman" w:hAnsi="Times New Roman" w:cs="Times New Roman"/>
          <w:sz w:val="24"/>
        </w:rPr>
        <w:t xml:space="preserve"> </w:t>
      </w:r>
    </w:p>
    <w:p w:rsidR="00EE0979" w:rsidRDefault="00B022A0">
      <w:pPr>
        <w:numPr>
          <w:ilvl w:val="0"/>
          <w:numId w:val="16"/>
        </w:numPr>
        <w:ind w:right="100" w:hanging="163"/>
      </w:pPr>
      <w:r>
        <w:t xml:space="preserve">No se realizan conciliaciones periódicas de las cuentas bancarias.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En cuanto a las Auditorías Operativa, en referencia a la eficacia, se han verificado que la entidad planifica su actividad anualmente mediante la aprobación de programas racionalmente definidos conforme a los recursos y estructura de la entidad y que son n</w:t>
      </w:r>
      <w:r>
        <w:t xml:space="preserve">ecesarios para la consecución del objeto social de la entidad.  </w:t>
      </w:r>
    </w:p>
    <w:p w:rsidR="00EE0979" w:rsidRDefault="00B022A0">
      <w:pPr>
        <w:spacing w:after="0" w:line="259" w:lineRule="auto"/>
        <w:ind w:left="14" w:firstLine="0"/>
        <w:jc w:val="left"/>
      </w:pPr>
      <w:r>
        <w:t xml:space="preserve"> </w:t>
      </w:r>
    </w:p>
    <w:p w:rsidR="00EE0979" w:rsidRDefault="00B022A0">
      <w:pPr>
        <w:ind w:right="100"/>
      </w:pPr>
      <w:r>
        <w:t xml:space="preserve">La ejecución de los programas y la consecución de los objetivos quedan suficientemente evaluados en la memoria anual y en los indicadores descritos en ella.  </w:t>
      </w:r>
    </w:p>
    <w:p w:rsidR="00EE0979" w:rsidRDefault="00B022A0">
      <w:pPr>
        <w:ind w:right="100"/>
      </w:pPr>
      <w:r>
        <w:t>Con respecto a la economía y l</w:t>
      </w:r>
      <w:r>
        <w:t xml:space="preserve">a eficiencia, se ha comprobado que los gastos de personal y medios materiales son adecuados al nivel de actividad y a la estructura de la entidad.  </w:t>
      </w:r>
    </w:p>
    <w:p w:rsidR="00EE0979" w:rsidRDefault="00B022A0">
      <w:pPr>
        <w:spacing w:after="0" w:line="259" w:lineRule="auto"/>
        <w:ind w:left="14" w:firstLine="0"/>
        <w:jc w:val="left"/>
      </w:pPr>
      <w:r>
        <w:t xml:space="preserve"> </w:t>
      </w:r>
    </w:p>
    <w:p w:rsidR="00EE0979" w:rsidRDefault="00B022A0">
      <w:pPr>
        <w:ind w:right="100"/>
      </w:pPr>
      <w:r>
        <w:t>Finalmente, en el ámbito de los sistemas y procedimientos, la entidad dispone de una contabilidad analíti</w:t>
      </w:r>
      <w:r>
        <w:t xml:space="preserve">ca mediante la cual identifica los ingresos, gastos y resultados de cada una de las actividades que se llevan a cabo. No se ha verificado el ajuste de los procedimientos internos de control al marco legal al no disponerse de un manual que los defina. </w:t>
      </w:r>
    </w:p>
    <w:p w:rsidR="00EE0979" w:rsidRDefault="00B022A0">
      <w:pPr>
        <w:ind w:left="9" w:right="98" w:hanging="10"/>
      </w:pPr>
      <w:r>
        <w:rPr>
          <w:i/>
        </w:rPr>
        <w:t xml:space="preserve">3.- </w:t>
      </w:r>
      <w:r>
        <w:rPr>
          <w:i/>
        </w:rPr>
        <w:t xml:space="preserve">Fundación Candesol.- </w:t>
      </w:r>
    </w:p>
    <w:p w:rsidR="00EE0979" w:rsidRDefault="00B022A0">
      <w:pPr>
        <w:spacing w:after="0" w:line="259" w:lineRule="auto"/>
        <w:ind w:left="14" w:firstLine="0"/>
        <w:jc w:val="left"/>
      </w:pPr>
      <w:r>
        <w:rPr>
          <w:i/>
        </w:rPr>
        <w:t xml:space="preserve"> </w:t>
      </w:r>
    </w:p>
    <w:p w:rsidR="00EE0979" w:rsidRDefault="00B022A0">
      <w:pPr>
        <w:ind w:right="100"/>
      </w:pPr>
      <w:r>
        <w:t xml:space="preserve">Las Auditorías de cuentas anuales han sido favorables expresando que las cuentas anuales, reflejan una imagen fiel del patrimonio y de la situación financiera, así como de sus resultados al ejercicio anual terminado, de conformidad </w:t>
      </w:r>
      <w:r>
        <w:t xml:space="preserve">con el marco normativo que resulta de aplicación. </w:t>
      </w:r>
    </w:p>
    <w:p w:rsidR="00EE0979" w:rsidRDefault="00B022A0">
      <w:pPr>
        <w:spacing w:after="0" w:line="259" w:lineRule="auto"/>
        <w:ind w:left="14" w:firstLine="0"/>
        <w:jc w:val="left"/>
      </w:pPr>
      <w:r>
        <w:t xml:space="preserve"> </w:t>
      </w:r>
    </w:p>
    <w:p w:rsidR="00EE0979" w:rsidRDefault="00B022A0">
      <w:pPr>
        <w:ind w:right="100"/>
      </w:pPr>
      <w:r>
        <w:t>En cuanto a las Auditorías de Cumplimiento, se han comprobado que los ingresos y los gastos guardan correspondencia con los estatutos de la entidad, que se ha dado cumplimiento con las obligaciones de di</w:t>
      </w:r>
      <w:r>
        <w:t xml:space="preserve">stintos ámbitos a las cuales está sujeta la Fundación así como el cumplimiento del marco jurídico del sector público.  </w:t>
      </w:r>
    </w:p>
    <w:p w:rsidR="00EE0979" w:rsidRDefault="00B022A0">
      <w:pPr>
        <w:spacing w:after="0" w:line="259" w:lineRule="auto"/>
        <w:ind w:left="14" w:firstLine="0"/>
        <w:jc w:val="left"/>
      </w:pPr>
      <w:r>
        <w:t xml:space="preserve"> </w:t>
      </w:r>
    </w:p>
    <w:p w:rsidR="00EE0979" w:rsidRDefault="00B022A0">
      <w:pPr>
        <w:ind w:right="100"/>
      </w:pPr>
      <w:r>
        <w:t>En el ámbito de las subvenciones recibidas, se han verificado los contratos-programas suscritos con el Ayuntamiento, así como la resol</w:t>
      </w:r>
      <w:r>
        <w:t xml:space="preserve">ución del Servicio Canario de Empleo en el otorgamiento de su subvención correspondiente.  </w:t>
      </w:r>
    </w:p>
    <w:p w:rsidR="00EE0979" w:rsidRDefault="00B022A0">
      <w:pPr>
        <w:spacing w:after="0" w:line="259" w:lineRule="auto"/>
        <w:ind w:left="14" w:firstLine="0"/>
        <w:jc w:val="left"/>
      </w:pPr>
      <w:r>
        <w:t xml:space="preserve"> </w:t>
      </w:r>
    </w:p>
    <w:p w:rsidR="00EE0979" w:rsidRDefault="00B022A0">
      <w:pPr>
        <w:ind w:right="100"/>
      </w:pPr>
      <w:r>
        <w:t xml:space="preserve">En el área del control interno, analizaron los procedimientos de control de diferentes áreas críticas de la entidad.  </w:t>
      </w:r>
    </w:p>
    <w:p w:rsidR="00EE0979" w:rsidRDefault="00B022A0">
      <w:pPr>
        <w:spacing w:after="0" w:line="259" w:lineRule="auto"/>
        <w:ind w:left="14" w:firstLine="0"/>
        <w:jc w:val="left"/>
      </w:pPr>
      <w:r>
        <w:t xml:space="preserve">  </w:t>
      </w:r>
    </w:p>
    <w:p w:rsidR="00EE0979" w:rsidRDefault="00B022A0">
      <w:pPr>
        <w:ind w:right="100"/>
      </w:pPr>
      <w:r>
        <w:t>Por último, en cuanto a las Auditorías O</w:t>
      </w:r>
      <w:r>
        <w:t xml:space="preserve">perativas, se han comprobado que las actividades y procesos internos de la entidad se han desarrollado conforme a los principios de buena gestión generalmente aceptados.  </w:t>
      </w:r>
    </w:p>
    <w:p w:rsidR="00EE0979" w:rsidRDefault="00B022A0">
      <w:pPr>
        <w:spacing w:after="0" w:line="259" w:lineRule="auto"/>
        <w:ind w:left="14" w:firstLine="0"/>
        <w:jc w:val="left"/>
      </w:pPr>
      <w:r>
        <w:t xml:space="preserve"> </w:t>
      </w:r>
    </w:p>
    <w:p w:rsidR="00EE0979" w:rsidRDefault="00B022A0">
      <w:pPr>
        <w:ind w:right="100"/>
      </w:pPr>
      <w:r>
        <w:t>En referencia a la eficacia, se han verificado que la entidad planifica su activid</w:t>
      </w:r>
      <w:r>
        <w:t>ad anualmente mediante la aprobación de programas racionalmente definidos conforme a los recursos y estructura de la entidad y que son necesarios para la consecución del objeto social de la entidad. La ejecución de los programas y la consecución de los obj</w:t>
      </w:r>
      <w:r>
        <w:t xml:space="preserve">etivos quedan suficientemente evaluados en la memoria anual y en los indicadores descritos en ella.  </w:t>
      </w:r>
    </w:p>
    <w:p w:rsidR="00EE0979" w:rsidRDefault="00B022A0">
      <w:pPr>
        <w:spacing w:after="0" w:line="259" w:lineRule="auto"/>
        <w:ind w:left="14" w:firstLine="0"/>
        <w:jc w:val="left"/>
      </w:pPr>
      <w:r>
        <w:t xml:space="preserve"> </w:t>
      </w:r>
    </w:p>
    <w:p w:rsidR="00EE0979" w:rsidRDefault="00B022A0">
      <w:pPr>
        <w:ind w:right="100"/>
      </w:pPr>
      <w:r>
        <w:t xml:space="preserve">Con respecto a la economía y la eficiencia, se ha comprobado que los gastos de personal y medios materiales son adecuados al nivel de actividad y a la estructura de la entidad.  </w:t>
      </w:r>
    </w:p>
    <w:p w:rsidR="00EE0979" w:rsidRDefault="00B022A0">
      <w:pPr>
        <w:spacing w:after="0" w:line="259" w:lineRule="auto"/>
        <w:ind w:left="14" w:firstLine="0"/>
        <w:jc w:val="left"/>
      </w:pPr>
      <w:r>
        <w:t xml:space="preserve"> </w:t>
      </w:r>
    </w:p>
    <w:p w:rsidR="00EE0979" w:rsidRDefault="00B022A0">
      <w:pPr>
        <w:ind w:right="100"/>
      </w:pPr>
      <w:r>
        <w:t xml:space="preserve">Finalmente, en el ámbito de los sistemas y procedimientos, se ha examinado </w:t>
      </w:r>
      <w:r>
        <w:t>que la entidad dispone de una contabilidad analítica mediante la cual identifica los ingresos, gastos y resultados de cada una de las actividades que se llevan a cabo. La entidad desarrolla sus actividades de acuerdo con los procedimientos internos de cont</w:t>
      </w:r>
      <w:r>
        <w:t xml:space="preserve">rol, que están adecuadamente diseñados conforme al marco legal que le es de aplicación.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4.- DEFICIENCIAS QUE REQUIEREN DE MEDIDAS CORRECTORAS A TRAVÉS DE UN PLAN DE ACCIÓN </w:t>
      </w:r>
    </w:p>
    <w:p w:rsidR="00EE0979" w:rsidRDefault="00B022A0">
      <w:pPr>
        <w:spacing w:after="0" w:line="259" w:lineRule="auto"/>
        <w:ind w:left="14" w:firstLine="0"/>
        <w:jc w:val="left"/>
      </w:pPr>
      <w:r>
        <w:t xml:space="preserve"> </w:t>
      </w:r>
    </w:p>
    <w:p w:rsidR="00EE0979" w:rsidRDefault="00B022A0">
      <w:pPr>
        <w:numPr>
          <w:ilvl w:val="0"/>
          <w:numId w:val="17"/>
        </w:numPr>
        <w:ind w:right="100" w:hanging="360"/>
      </w:pPr>
      <w:r>
        <w:t xml:space="preserve">Fortalecimiento del Área de Contratación, con más medios personales. </w:t>
      </w:r>
    </w:p>
    <w:p w:rsidR="00EE0979" w:rsidRDefault="00B022A0">
      <w:pPr>
        <w:numPr>
          <w:ilvl w:val="0"/>
          <w:numId w:val="17"/>
        </w:numPr>
        <w:ind w:right="100" w:hanging="360"/>
      </w:pPr>
      <w:r>
        <w:t>Dismin</w:t>
      </w:r>
      <w:r>
        <w:t xml:space="preserve">ución de los contratos menores para aquellos supuestos de servicios y suministros de prestación no sucesiva. </w:t>
      </w:r>
    </w:p>
    <w:p w:rsidR="00EE0979" w:rsidRDefault="00B022A0">
      <w:pPr>
        <w:numPr>
          <w:ilvl w:val="0"/>
          <w:numId w:val="17"/>
        </w:numPr>
        <w:ind w:right="100" w:hanging="360"/>
      </w:pPr>
      <w:r>
        <w:t xml:space="preserve">Control de los gastos de personal. </w:t>
      </w:r>
    </w:p>
    <w:p w:rsidR="00EE0979" w:rsidRDefault="00B022A0">
      <w:pPr>
        <w:numPr>
          <w:ilvl w:val="0"/>
          <w:numId w:val="17"/>
        </w:numPr>
        <w:ind w:right="100" w:hanging="360"/>
      </w:pPr>
      <w:r>
        <w:t xml:space="preserve">Potenciación de los ingresos para hacer frente a unos gastos obligatorios cada vez más importantes. </w:t>
      </w:r>
    </w:p>
    <w:p w:rsidR="00EE0979" w:rsidRDefault="00B022A0">
      <w:pPr>
        <w:spacing w:after="0" w:line="259" w:lineRule="auto"/>
        <w:ind w:left="14" w:firstLine="0"/>
        <w:jc w:val="left"/>
      </w:pPr>
      <w:r>
        <w:t xml:space="preserve"> </w:t>
      </w:r>
    </w:p>
    <w:p w:rsidR="00EE0979" w:rsidRDefault="00B022A0">
      <w:pPr>
        <w:ind w:right="100"/>
      </w:pPr>
      <w:r>
        <w:t>5.- VAL</w:t>
      </w:r>
      <w:r>
        <w:t xml:space="preserve">ORACIÓN GLOBAL DE LA GESTIÓN ECONÓMICO FINANCIERA </w:t>
      </w:r>
    </w:p>
    <w:p w:rsidR="00EE0979" w:rsidRDefault="00B022A0">
      <w:pPr>
        <w:spacing w:after="0" w:line="259" w:lineRule="auto"/>
        <w:ind w:left="14" w:firstLine="0"/>
        <w:jc w:val="left"/>
      </w:pPr>
      <w:r>
        <w:t xml:space="preserve"> </w:t>
      </w:r>
    </w:p>
    <w:p w:rsidR="00EE0979" w:rsidRDefault="00B022A0">
      <w:pPr>
        <w:ind w:right="100"/>
      </w:pPr>
      <w:r>
        <w:t>Sin perjuicio de las deficiencias detectadas, que hay que corregir a través de un Plan de Acción Municipal, se puede valorar positivamente la gestión económico financiera durante el ejercicio 2022, a falta de los datos de la Entidad Pública Empresarial, pa</w:t>
      </w:r>
      <w:r>
        <w:t xml:space="preserve">ra este último año. </w:t>
      </w:r>
    </w:p>
    <w:p w:rsidR="00EE0979" w:rsidRDefault="00B022A0">
      <w:pPr>
        <w:spacing w:after="0" w:line="259" w:lineRule="auto"/>
        <w:ind w:left="14" w:firstLine="0"/>
        <w:jc w:val="left"/>
      </w:pPr>
      <w:r>
        <w:t xml:space="preserve"> </w:t>
      </w:r>
    </w:p>
    <w:p w:rsidR="00EE0979" w:rsidRDefault="00B022A0">
      <w:pPr>
        <w:ind w:right="100"/>
      </w:pPr>
      <w:r>
        <w:t xml:space="preserve">6.- VALORACIÓN DE UN PLAN DE ACCIÓN </w:t>
      </w:r>
    </w:p>
    <w:p w:rsidR="00EE0979" w:rsidRDefault="00B022A0">
      <w:pPr>
        <w:spacing w:after="0" w:line="259" w:lineRule="auto"/>
        <w:ind w:left="14" w:firstLine="0"/>
        <w:jc w:val="left"/>
      </w:pPr>
      <w:r>
        <w:t xml:space="preserve"> </w:t>
      </w:r>
    </w:p>
    <w:p w:rsidR="00EE0979" w:rsidRDefault="00B022A0">
      <w:pPr>
        <w:ind w:right="100"/>
      </w:pPr>
      <w:r>
        <w:t xml:space="preserve">Debe elaborarse, después del Informe Resumen, un Plan de Acción, que será valorado por este interventor.  </w:t>
      </w:r>
    </w:p>
    <w:p w:rsidR="00EE0979" w:rsidRDefault="00B022A0">
      <w:pPr>
        <w:spacing w:after="0" w:line="259" w:lineRule="auto"/>
        <w:ind w:left="14" w:firstLine="0"/>
        <w:jc w:val="left"/>
      </w:pPr>
      <w:r>
        <w:t xml:space="preserve"> </w:t>
      </w:r>
    </w:p>
    <w:p w:rsidR="00EE0979" w:rsidRDefault="00B022A0">
      <w:pPr>
        <w:ind w:right="100"/>
      </w:pPr>
      <w:r>
        <w:t>En este sentido, conforme el artículo 38 del Real Decreto 424/2017 de 28 de abril, po</w:t>
      </w:r>
      <w:r>
        <w:t>r el que se regula el régimen jurídico del control interno en las entidades del Sector Público Local, se regula que el Presidente de la Corporación formalizará un plan de acción que determine las medidas a adoptar para subsanar las debilidades, deficiencia</w:t>
      </w:r>
      <w:r>
        <w:t xml:space="preserve">s, errores e incumplimientos que se pongan de manifiesto en el informe resumen referido en el artículo anterior y será elaborado, en el plazo máximo de 3 meses desde la remisión del informe resumen al Pleno y contendrá las medidas de corrección adoptadas, </w:t>
      </w:r>
      <w:r>
        <w:t xml:space="preserve">el responsable de implementarlas y el calendario de actuaciones a realizar, relativos tanto a la gestión de la propia Corporación como a la de los organismos y entidades públicas adscritas o dependientes y de las que ejerza la tutela. </w:t>
      </w:r>
    </w:p>
    <w:p w:rsidR="00EE0979" w:rsidRDefault="00B022A0">
      <w:pPr>
        <w:ind w:right="100"/>
      </w:pPr>
      <w:r>
        <w:t>El citado Plan de ac</w:t>
      </w:r>
      <w:r>
        <w:t>ción, será remitido al órgano interventor de la Entidad Local, que valorará su adecuación para solventar las deficiencias señaladas y en su caso los resultados obtenidos, e informará al Pleno sobre la situación de la corrección de las debilidades puestas d</w:t>
      </w:r>
      <w:r>
        <w:t xml:space="preserve">e manifiesto en el ejercicio del control interno, permitiendo así que el Pleno realice un seguimiento periódico de las medidas correctoras implantadas para la mejora de la gestión económico financiera. </w:t>
      </w:r>
    </w:p>
    <w:p w:rsidR="00EE0979" w:rsidRDefault="00B022A0">
      <w:pPr>
        <w:ind w:right="100"/>
      </w:pPr>
      <w:r>
        <w:t xml:space="preserve">En la remisión anual a la Intervención General de la </w:t>
      </w:r>
      <w:r>
        <w:t xml:space="preserve">Administración del Estado del informe resumen de los resultados del control interno se informará, asimismo, sobre la corrección de las debilidades puestas de manifiesto. </w:t>
      </w:r>
    </w:p>
    <w:p w:rsidR="00EE0979" w:rsidRDefault="00B022A0">
      <w:pPr>
        <w:spacing w:after="0" w:line="259" w:lineRule="auto"/>
        <w:ind w:left="14" w:firstLine="0"/>
        <w:jc w:val="left"/>
      </w:pPr>
      <w:r>
        <w:t xml:space="preserve"> </w:t>
      </w:r>
    </w:p>
    <w:p w:rsidR="00EE0979" w:rsidRDefault="00B022A0">
      <w:pPr>
        <w:ind w:right="100"/>
      </w:pPr>
      <w:r>
        <w:t>Es cuanto se tiene a bien informar y recomendar a efectos de cumplir el mandato nor</w:t>
      </w:r>
      <w:r>
        <w:t>mativo del art. 37 RCI</w:t>
      </w:r>
      <w:r>
        <w:rPr>
          <w:b/>
        </w:rPr>
        <w:t>.</w:t>
      </w:r>
      <w:r>
        <w:t>”.</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115"/>
        <w:ind w:left="14" w:right="100" w:firstLine="708"/>
      </w:pPr>
      <w:r>
        <w:t xml:space="preserve">Por ello, esta Concejalía Delegada de Hacienda, PROPONE al Ayuntamiento Pleno, la adopción del siguiente ACUERDO: </w:t>
      </w:r>
    </w:p>
    <w:p w:rsidR="00EE0979" w:rsidRDefault="00B022A0">
      <w:pPr>
        <w:spacing w:after="95" w:line="259" w:lineRule="auto"/>
        <w:ind w:left="14" w:firstLine="0"/>
        <w:jc w:val="left"/>
      </w:pPr>
      <w:r>
        <w:t xml:space="preserve"> </w:t>
      </w:r>
    </w:p>
    <w:p w:rsidR="00EE0979" w:rsidRDefault="00B022A0">
      <w:pPr>
        <w:spacing w:after="110"/>
        <w:ind w:right="100"/>
      </w:pPr>
      <w:r>
        <w:rPr>
          <w:b/>
        </w:rPr>
        <w:t xml:space="preserve">Punto único: </w:t>
      </w:r>
      <w:r>
        <w:t>Dar cuenta al Ayuntamiento Pleno,</w:t>
      </w:r>
      <w:r>
        <w:rPr>
          <w:b/>
        </w:rPr>
        <w:t xml:space="preserve"> </w:t>
      </w:r>
      <w:r>
        <w:t xml:space="preserve">a efectos informativos, del Informe Resumen de los Resultados de Control Interno correspondiente al ejercicio 2020-2021, de conformidad con el artículo 37.2 del </w:t>
      </w:r>
      <w:hyperlink r:id="rId11">
        <w:r>
          <w:t xml:space="preserve">Real Decreto 424/2017, </w:t>
        </w:r>
        <w:r>
          <w:t>de 28 de abril,</w:t>
        </w:r>
      </w:hyperlink>
      <w:r>
        <w:t xml:space="preserve"> por el que se regula el régimen jurídico del control interno en las entidades del Sector Público Local.”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Los 7</w:t>
      </w:r>
      <w:r>
        <w:t xml:space="preserve"> integrantes de la Comisión Informativa quedaron enterados: </w:t>
      </w:r>
    </w:p>
    <w:p w:rsidR="00EE0979" w:rsidRDefault="00B022A0">
      <w:pPr>
        <w:spacing w:after="0" w:line="259" w:lineRule="auto"/>
        <w:ind w:left="14" w:firstLine="0"/>
        <w:jc w:val="left"/>
      </w:pPr>
      <w:r>
        <w:t xml:space="preserve"> </w:t>
      </w:r>
    </w:p>
    <w:p w:rsidR="00EE0979" w:rsidRDefault="00B022A0">
      <w:pPr>
        <w:ind w:right="100"/>
      </w:pPr>
      <w:r>
        <w:t xml:space="preserve">Los 4 concejales del Grupo Socialista: Doña María Concepción Brito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El concejal del </w:t>
      </w:r>
      <w:r>
        <w:t xml:space="preserve">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La unanimidad de los 18 concejales presentes quedaron enterados: </w:t>
      </w:r>
    </w:p>
    <w:p w:rsidR="00EE0979" w:rsidRDefault="00B022A0">
      <w:pPr>
        <w:spacing w:after="0" w:line="259" w:lineRule="auto"/>
        <w:ind w:left="14" w:firstLine="0"/>
        <w:jc w:val="left"/>
      </w:pPr>
      <w:r>
        <w:t xml:space="preserve"> </w:t>
      </w:r>
    </w:p>
    <w:p w:rsidR="00EE0979" w:rsidRDefault="00B022A0">
      <w:pPr>
        <w:ind w:right="100"/>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Popular: Don Andrés Rodríguez Delgado, Don Jacobo López Fariña y Don David</w:t>
      </w:r>
      <w:r>
        <w:t xml:space="preserve">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1"/>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1 de la concejal del Grupo Mixto (VxC): Doña</w:t>
      </w:r>
      <w:r>
        <w:t xml:space="preserve">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33" w:firstLine="0"/>
        <w:jc w:val="left"/>
      </w:pPr>
      <w:r>
        <w:rPr>
          <w:b/>
        </w:rPr>
        <w:t xml:space="preserve"> </w:t>
      </w:r>
    </w:p>
    <w:p w:rsidR="00EE0979" w:rsidRDefault="00B022A0">
      <w:pPr>
        <w:spacing w:after="6"/>
        <w:ind w:left="1443" w:right="99" w:hanging="10"/>
      </w:pPr>
      <w:r>
        <w:rPr>
          <w:b/>
        </w:rPr>
        <w:t xml:space="preserve">   ACUERDO DEL PLENO DE 27 DE ABRIL DE 2023.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Punto único: Dar cuenta al Ayuntamiento Pleno,</w:t>
      </w:r>
      <w:r>
        <w:t xml:space="preserve"> </w:t>
      </w:r>
      <w:r>
        <w:rPr>
          <w:b/>
        </w:rPr>
        <w:t>a efectos informativos, del</w:t>
      </w:r>
      <w:r>
        <w:t xml:space="preserve"> </w:t>
      </w:r>
      <w:r>
        <w:rPr>
          <w:b/>
        </w:rPr>
        <w:t>Informe Resumen de los Resultados de Control Interno correspondiente al ejercicio 2020-2021</w:t>
      </w:r>
      <w:r>
        <w:t>,</w:t>
      </w:r>
      <w:r>
        <w:rPr>
          <w:b/>
        </w:rPr>
        <w:t xml:space="preserve"> de conformidad con el artículo 37.2 del </w:t>
      </w:r>
      <w:hyperlink r:id="rId12">
        <w:r>
          <w:rPr>
            <w:b/>
          </w:rPr>
          <w:t>Real Decreto 424/2017, de 28 de abril,</w:t>
        </w:r>
      </w:hyperlink>
      <w:r>
        <w:rPr>
          <w:b/>
        </w:rPr>
        <w:t xml:space="preserve"> por el que se regula el régimen jurídico del control interno en las entidades del Sector Público Local.</w:t>
      </w:r>
      <w:r>
        <w:rPr>
          <w:rFonts w:ascii="Times New Roman" w:eastAsia="Times New Roman" w:hAnsi="Times New Roman" w:cs="Times New Roman"/>
          <w:sz w:val="24"/>
        </w:rPr>
        <w:t xml:space="preserve"> </w:t>
      </w:r>
    </w:p>
    <w:p w:rsidR="00EE0979" w:rsidRDefault="00B022A0">
      <w:pPr>
        <w:spacing w:after="98" w:line="259" w:lineRule="auto"/>
        <w:ind w:left="14"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91" w:line="250" w:lineRule="auto"/>
        <w:ind w:left="9" w:right="102" w:hanging="10"/>
      </w:pPr>
      <w:r>
        <w:rPr>
          <w:b/>
          <w:sz w:val="24"/>
        </w:rPr>
        <w:t>2- Expediente 4071/2023. Propuesta del Concejal delegado de Hacienda de fecha 14 de abril de 2023 al Pleno de toma de conocimiento del Informe de Intervención del periodo medio de pago del tercer trimestre de 2023.</w:t>
      </w:r>
      <w:r>
        <w:t xml:space="preserve"> </w:t>
      </w:r>
    </w:p>
    <w:p w:rsidR="00EE0979" w:rsidRDefault="00B022A0">
      <w:pPr>
        <w:spacing w:after="79" w:line="259" w:lineRule="auto"/>
        <w:ind w:left="14" w:firstLine="0"/>
        <w:jc w:val="left"/>
      </w:pPr>
      <w:r>
        <w:rPr>
          <w:b/>
          <w:sz w:val="24"/>
        </w:rPr>
        <w:t xml:space="preserve"> </w:t>
      </w:r>
    </w:p>
    <w:p w:rsidR="00EE0979" w:rsidRDefault="00B022A0">
      <w:pPr>
        <w:spacing w:after="111"/>
        <w:ind w:left="9" w:right="99" w:firstLine="708"/>
      </w:pPr>
      <w:r>
        <w:rPr>
          <w:b/>
        </w:rPr>
        <w:t>Consta en el expedient</w:t>
      </w:r>
      <w:r>
        <w:rPr>
          <w:b/>
        </w:rPr>
        <w:t>e Informe de Intervención emitido por Don Nicolás Rojo Garnica, que desempeña el puesto de trabajo de Interventor Municipal, de 14 de abril de 2023, del siguiente tenor literal:</w:t>
      </w:r>
      <w:r>
        <w:t xml:space="preserve"> </w:t>
      </w:r>
    </w:p>
    <w:p w:rsidR="00EE0979" w:rsidRDefault="00B022A0">
      <w:pPr>
        <w:spacing w:after="103" w:line="259" w:lineRule="auto"/>
        <w:ind w:left="14" w:firstLine="0"/>
        <w:jc w:val="left"/>
      </w:pPr>
      <w:r>
        <w:rPr>
          <w:b/>
        </w:rPr>
        <w:t xml:space="preserve"> </w:t>
      </w:r>
    </w:p>
    <w:p w:rsidR="00EE0979" w:rsidRDefault="00B022A0">
      <w:pPr>
        <w:pStyle w:val="Ttulo1"/>
        <w:numPr>
          <w:ilvl w:val="0"/>
          <w:numId w:val="0"/>
        </w:numPr>
        <w:spacing w:after="93"/>
        <w:ind w:left="624" w:right="706"/>
      </w:pPr>
      <w:r>
        <w:rPr>
          <w:b w:val="0"/>
        </w:rPr>
        <w:t>“</w:t>
      </w:r>
      <w:r>
        <w:t>INFORME</w:t>
      </w:r>
      <w:r>
        <w:rPr>
          <w:b w:val="0"/>
        </w:rPr>
        <w:t xml:space="preserve"> </w:t>
      </w:r>
    </w:p>
    <w:p w:rsidR="00EE0979" w:rsidRDefault="00B022A0">
      <w:pPr>
        <w:spacing w:after="114"/>
        <w:ind w:right="99" w:hanging="10"/>
      </w:pPr>
      <w:r>
        <w:rPr>
          <w:b/>
        </w:rPr>
        <w:t xml:space="preserve">Visto el expediente antedicho, el funcionario D. Nicolás Rojo Garnica, que desempeña el puesto de trabajo de Interventor, emite el siguiente informe: </w:t>
      </w:r>
    </w:p>
    <w:p w:rsidR="00EE0979" w:rsidRDefault="00B022A0">
      <w:pPr>
        <w:spacing w:after="95" w:line="259" w:lineRule="auto"/>
        <w:ind w:left="14" w:firstLine="0"/>
        <w:jc w:val="left"/>
      </w:pPr>
      <w:r>
        <w:t xml:space="preserve"> </w:t>
      </w:r>
    </w:p>
    <w:p w:rsidR="00EE0979" w:rsidRDefault="00B022A0">
      <w:pPr>
        <w:pStyle w:val="Ttulo1"/>
        <w:numPr>
          <w:ilvl w:val="0"/>
          <w:numId w:val="0"/>
        </w:numPr>
        <w:spacing w:after="97"/>
        <w:ind w:left="624" w:right="710"/>
      </w:pPr>
      <w:r>
        <w:t>Antecedentes de hecho</w:t>
      </w:r>
      <w:r>
        <w:rPr>
          <w:b w:val="0"/>
        </w:rPr>
        <w:t xml:space="preserve"> </w:t>
      </w:r>
    </w:p>
    <w:p w:rsidR="00EE0979" w:rsidRDefault="00B022A0">
      <w:pPr>
        <w:spacing w:after="114"/>
        <w:ind w:right="100"/>
      </w:pPr>
      <w:r>
        <w:t xml:space="preserve">I.- Ha sido remitida a esta intervención, información de los entes dependientes </w:t>
      </w:r>
      <w:r>
        <w:t xml:space="preserve">para el cálculo del periodo medio de pago del Primer trimestre del ejercicio 2023. </w:t>
      </w:r>
    </w:p>
    <w:p w:rsidR="00EE0979" w:rsidRDefault="00B022A0">
      <w:pPr>
        <w:spacing w:after="96" w:line="259" w:lineRule="auto"/>
        <w:ind w:left="14" w:firstLine="0"/>
        <w:jc w:val="left"/>
      </w:pPr>
      <w:r>
        <w:t xml:space="preserve"> </w:t>
      </w:r>
    </w:p>
    <w:p w:rsidR="00EE0979" w:rsidRDefault="00B022A0">
      <w:pPr>
        <w:pStyle w:val="Ttulo1"/>
        <w:numPr>
          <w:ilvl w:val="0"/>
          <w:numId w:val="0"/>
        </w:numPr>
        <w:spacing w:after="109"/>
        <w:ind w:left="624" w:right="711"/>
      </w:pPr>
      <w:r>
        <w:t xml:space="preserve">Fundamentos de derecho </w:t>
      </w:r>
      <w:r>
        <w:rPr>
          <w:b w:val="0"/>
        </w:rPr>
        <w:t xml:space="preserve"> </w:t>
      </w:r>
    </w:p>
    <w:p w:rsidR="00EE0979" w:rsidRDefault="00B022A0">
      <w:pPr>
        <w:spacing w:after="110" w:line="249" w:lineRule="auto"/>
        <w:ind w:left="9" w:right="98" w:hanging="10"/>
      </w:pPr>
      <w:r>
        <w:rPr>
          <w:rFonts w:ascii="Times New Roman" w:eastAsia="Times New Roman" w:hAnsi="Times New Roman" w:cs="Times New Roman"/>
          <w:sz w:val="24"/>
        </w:rPr>
        <w:t xml:space="preserve">Primero.- </w:t>
      </w:r>
      <w:r>
        <w:rPr>
          <w:rFonts w:ascii="Times New Roman" w:eastAsia="Times New Roman" w:hAnsi="Times New Roman" w:cs="Times New Roman"/>
          <w:sz w:val="24"/>
        </w:rPr>
        <w:t>En cumplimiento de la Disposición Final 2ª, apartado 3º de la Ley Orgánica 2/2012, de 27 de abril, de Estabilidad Presupuestaria y Sostenibilidad Financiera (</w:t>
      </w:r>
      <w:r>
        <w:rPr>
          <w:rFonts w:ascii="Times New Roman" w:eastAsia="Times New Roman" w:hAnsi="Times New Roman" w:cs="Times New Roman"/>
          <w:i/>
          <w:sz w:val="24"/>
        </w:rPr>
        <w:t xml:space="preserve">que señala que por Orden del Ministro de Hacienda y Administraciones Públicas, se desarrollará la </w:t>
      </w:r>
      <w:r>
        <w:rPr>
          <w:rFonts w:ascii="Times New Roman" w:eastAsia="Times New Roman" w:hAnsi="Times New Roman" w:cs="Times New Roman"/>
          <w:i/>
          <w:sz w:val="24"/>
        </w:rPr>
        <w:t>metodología de cálculo del Periodo Medio de Pago a proveedores de las Administraciones Públicas conforme a criterios homogéneos y que tendrá en cuenta los pagos efectuados y las operaciones pendientes de pago</w:t>
      </w:r>
      <w:r>
        <w:rPr>
          <w:rFonts w:ascii="Times New Roman" w:eastAsia="Times New Roman" w:hAnsi="Times New Roman" w:cs="Times New Roman"/>
          <w:sz w:val="24"/>
        </w:rPr>
        <w:t>), se ha publicado, con fecha 30 de julio de 201</w:t>
      </w:r>
      <w:r>
        <w:rPr>
          <w:rFonts w:ascii="Times New Roman" w:eastAsia="Times New Roman" w:hAnsi="Times New Roman" w:cs="Times New Roman"/>
          <w:sz w:val="24"/>
        </w:rPr>
        <w:t>4, el Real Decreto 635/2014, de 25 de julio, por el que se desarrolla la Metodología de cálculo del Periodo Medio de Pago a proveedores de las Administraciones Públicas y las condiciones y el procedimiento de retención de recursos de los regímenes de finan</w:t>
      </w:r>
      <w:r>
        <w:rPr>
          <w:rFonts w:ascii="Times New Roman" w:eastAsia="Times New Roman" w:hAnsi="Times New Roman" w:cs="Times New Roman"/>
          <w:sz w:val="24"/>
        </w:rPr>
        <w:t xml:space="preserve">ciación previstos en la Ley Orgánica 2/2012 de 27 de abril, de Estabilidad Presupuestaria y Sostenibilidad Financiera, posteriormente modificado por el Real Decreto 1040/2017 de 22 de diciembre. </w:t>
      </w:r>
    </w:p>
    <w:p w:rsidR="00EE0979" w:rsidRDefault="00B022A0">
      <w:pPr>
        <w:spacing w:after="110" w:line="249" w:lineRule="auto"/>
        <w:ind w:left="9" w:right="98" w:hanging="10"/>
      </w:pPr>
      <w:r>
        <w:rPr>
          <w:rFonts w:ascii="Times New Roman" w:eastAsia="Times New Roman" w:hAnsi="Times New Roman" w:cs="Times New Roman"/>
          <w:sz w:val="24"/>
        </w:rPr>
        <w:t xml:space="preserve"> La última reforma de la Ley Orgánica 2/2012, de 27 de abril</w:t>
      </w:r>
      <w:r>
        <w:rPr>
          <w:rFonts w:ascii="Times New Roman" w:eastAsia="Times New Roman" w:hAnsi="Times New Roman" w:cs="Times New Roman"/>
          <w:sz w:val="24"/>
        </w:rPr>
        <w:t xml:space="preserve">, redefinió el principio de sostenibilidad financiera incluyendo no sólo el control de deuda pública, sino también el control de la deuda comercial. </w:t>
      </w:r>
    </w:p>
    <w:p w:rsidR="00EE0979" w:rsidRDefault="00B022A0">
      <w:pPr>
        <w:spacing w:after="110" w:line="249" w:lineRule="auto"/>
        <w:ind w:left="9" w:right="98" w:hanging="10"/>
      </w:pPr>
      <w:r>
        <w:rPr>
          <w:rFonts w:ascii="Times New Roman" w:eastAsia="Times New Roman" w:hAnsi="Times New Roman" w:cs="Times New Roman"/>
          <w:sz w:val="24"/>
        </w:rPr>
        <w:t xml:space="preserve"> La Ley Orgánica de Control de la Deuda Comercial, modifica la Ley Orgánica 2/2012, de 27 de abril, introd</w:t>
      </w:r>
      <w:r>
        <w:rPr>
          <w:rFonts w:ascii="Times New Roman" w:eastAsia="Times New Roman" w:hAnsi="Times New Roman" w:cs="Times New Roman"/>
          <w:sz w:val="24"/>
        </w:rPr>
        <w:t xml:space="preserve">uciendo el concepto del Periodo Medio de Pago, como expresión del volumen de deuda comercial y establece la obligación de que todas las Administraciones Públicas hagan público su periodo Medio de Pago. </w:t>
      </w:r>
    </w:p>
    <w:p w:rsidR="00EE0979" w:rsidRDefault="00B022A0">
      <w:pPr>
        <w:ind w:right="100"/>
      </w:pPr>
      <w:r>
        <w:t xml:space="preserve"> El Real Decreto 1040/2017, de 22 de diciembre, de 25</w:t>
      </w:r>
      <w:r>
        <w:t xml:space="preserve"> de julio, mide el retraso en el pago de la deuda comercial en términos económicos, como indicador distinto respecto del periodo legal de pago en la Ley 3/2004 de 29 de diciembre, por la que se establecen medidas de lucha contra la morosidad en las operaci</w:t>
      </w:r>
      <w:r>
        <w:t xml:space="preserve">ones comerciales.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125"/>
        <w:ind w:left="624" w:right="709"/>
      </w:pPr>
      <w:r>
        <w:t xml:space="preserve">CONCLUSIONES </w:t>
      </w:r>
    </w:p>
    <w:p w:rsidR="00EE0979" w:rsidRDefault="00B022A0">
      <w:pPr>
        <w:spacing w:after="93"/>
        <w:ind w:right="100"/>
      </w:pPr>
      <w:r>
        <w:rPr>
          <w:rFonts w:ascii="Times New Roman" w:eastAsia="Times New Roman" w:hAnsi="Times New Roman" w:cs="Times New Roman"/>
          <w:b/>
          <w:sz w:val="24"/>
        </w:rPr>
        <w:t>I</w:t>
      </w:r>
      <w:r>
        <w:rPr>
          <w:b/>
        </w:rPr>
        <w:t xml:space="preserve">.- </w:t>
      </w:r>
      <w:r>
        <w:t xml:space="preserve">El procedimiento de cálculo del Periodo Medio de Pago se define en el Real Decreto 1040/2017, de 22 de diciembre, por el que se modifica el Real Decreto 635/2014, de 25 de julio, por el que se desarrolla la metodología de cálculo del periodo medio de pago </w:t>
      </w:r>
      <w:r>
        <w:t>a proveedores de las Administraciones Públicas y las condiciones y el procedimiento de retención de recursos de los regímenes de financiación, previstos en la Ley Orgánica 2/2012, de 27 de abril, de Estabilidad Presupuestaria y Sostenibilidad Financiera.</w:t>
      </w:r>
      <w:r>
        <w:rPr>
          <w:rFonts w:ascii="Times New Roman" w:eastAsia="Times New Roman" w:hAnsi="Times New Roman" w:cs="Times New Roman"/>
          <w:sz w:val="24"/>
        </w:rPr>
        <w:t xml:space="preserve"> </w:t>
      </w:r>
    </w:p>
    <w:p w:rsidR="00EE0979" w:rsidRDefault="00B022A0">
      <w:pPr>
        <w:spacing w:after="126"/>
        <w:ind w:right="100"/>
      </w:pPr>
      <w:r>
        <w:t xml:space="preserve">En este sentido, el procedimiento de cálculo es el siguiente: </w:t>
      </w:r>
    </w:p>
    <w:p w:rsidR="00EE0979" w:rsidRDefault="00B022A0">
      <w:pPr>
        <w:spacing w:after="120"/>
        <w:ind w:left="9" w:right="98" w:hanging="10"/>
      </w:pPr>
      <w:r>
        <w:rPr>
          <w:i/>
        </w:rPr>
        <w:t>“1. A los efectos del cálculo del periodo medio de pago global al que se refiere el artículo anterior, el periodo medio de pago de cada entidad se calculará de acuerdo con la siguiente fórmula:</w:t>
      </w:r>
      <w:r>
        <w:rPr>
          <w:i/>
        </w:rPr>
        <w:t xml:space="preserve"> </w:t>
      </w:r>
    </w:p>
    <w:p w:rsidR="00EE0979" w:rsidRDefault="00B022A0">
      <w:pPr>
        <w:spacing w:after="26" w:line="259" w:lineRule="auto"/>
        <w:ind w:left="0" w:right="777" w:firstLine="0"/>
        <w:jc w:val="right"/>
      </w:pPr>
      <w:r>
        <w:rPr>
          <w:noProof/>
        </w:rPr>
        <w:drawing>
          <wp:inline distT="0" distB="0" distL="0" distR="0">
            <wp:extent cx="5146549" cy="876300"/>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13"/>
                    <a:stretch>
                      <a:fillRect/>
                    </a:stretch>
                  </pic:blipFill>
                  <pic:spPr>
                    <a:xfrm>
                      <a:off x="0" y="0"/>
                      <a:ext cx="5146549" cy="87630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122"/>
        <w:ind w:left="-1" w:right="98" w:firstLine="360"/>
      </w:pPr>
      <w:r>
        <w:rPr>
          <w:i/>
        </w:rPr>
        <w:t xml:space="preserve">2. Para los pagos realizados en el mes, se calculará el ratio de las operaciones pagadas de acuerdo con la siguiente fórmula: </w:t>
      </w:r>
    </w:p>
    <w:p w:rsidR="00EE0979" w:rsidRDefault="00B022A0">
      <w:pPr>
        <w:spacing w:after="24" w:line="259" w:lineRule="auto"/>
        <w:ind w:left="0" w:right="784" w:firstLine="0"/>
        <w:jc w:val="right"/>
      </w:pPr>
      <w:r>
        <w:rPr>
          <w:noProof/>
        </w:rPr>
        <w:drawing>
          <wp:inline distT="0" distB="0" distL="0" distR="0">
            <wp:extent cx="5143501" cy="655320"/>
            <wp:effectExtent l="0" t="0" r="0" b="0"/>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14"/>
                    <a:stretch>
                      <a:fillRect/>
                    </a:stretch>
                  </pic:blipFill>
                  <pic:spPr>
                    <a:xfrm>
                      <a:off x="0" y="0"/>
                      <a:ext cx="5143501" cy="65532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109"/>
        <w:ind w:left="308" w:right="98" w:hanging="10"/>
      </w:pPr>
      <w:r>
        <w:rPr>
          <w:i/>
        </w:rPr>
        <w:t xml:space="preserve">Se entenderá por número de días de pago, los días naturales transcurridos desde: </w:t>
      </w:r>
    </w:p>
    <w:p w:rsidR="00EE0979" w:rsidRDefault="00B022A0">
      <w:pPr>
        <w:numPr>
          <w:ilvl w:val="0"/>
          <w:numId w:val="18"/>
        </w:numPr>
        <w:spacing w:after="9" w:line="249" w:lineRule="auto"/>
        <w:ind w:right="100" w:hanging="278"/>
        <w:jc w:val="right"/>
      </w:pPr>
      <w:r>
        <w:rPr>
          <w:i/>
        </w:rPr>
        <w:t>La fecha de aprobación de las certifica</w:t>
      </w:r>
      <w:r>
        <w:rPr>
          <w:i/>
        </w:rPr>
        <w:t xml:space="preserve">ciones de obra hasta la fecha de pago material por </w:t>
      </w:r>
    </w:p>
    <w:p w:rsidR="00EE0979" w:rsidRDefault="00B022A0">
      <w:pPr>
        <w:spacing w:after="109"/>
        <w:ind w:left="9" w:right="98" w:hanging="10"/>
      </w:pPr>
      <w:r>
        <w:rPr>
          <w:i/>
        </w:rPr>
        <w:t xml:space="preserve">parte de la Administración. </w:t>
      </w:r>
    </w:p>
    <w:p w:rsidR="00EE0979" w:rsidRDefault="00B022A0">
      <w:pPr>
        <w:numPr>
          <w:ilvl w:val="0"/>
          <w:numId w:val="18"/>
        </w:numPr>
        <w:spacing w:after="9" w:line="249" w:lineRule="auto"/>
        <w:ind w:right="100" w:hanging="278"/>
        <w:jc w:val="right"/>
      </w:pPr>
      <w:r>
        <w:rPr>
          <w:i/>
        </w:rPr>
        <w:t>La fecha de aprobación de los documentos que acrediten la conformidad con los bienes en-</w:t>
      </w:r>
    </w:p>
    <w:p w:rsidR="00EE0979" w:rsidRDefault="00B022A0">
      <w:pPr>
        <w:spacing w:after="111"/>
        <w:ind w:left="9" w:right="98" w:hanging="10"/>
      </w:pPr>
      <w:r>
        <w:rPr>
          <w:i/>
        </w:rPr>
        <w:t xml:space="preserve">tregados o servicios prestados, hasta la fecha de pago material por parte de la Administración. </w:t>
      </w:r>
    </w:p>
    <w:p w:rsidR="00EE0979" w:rsidRDefault="00B022A0">
      <w:pPr>
        <w:numPr>
          <w:ilvl w:val="0"/>
          <w:numId w:val="18"/>
        </w:numPr>
        <w:spacing w:after="9" w:line="249" w:lineRule="auto"/>
        <w:ind w:right="100" w:hanging="278"/>
        <w:jc w:val="right"/>
      </w:pPr>
      <w:r>
        <w:rPr>
          <w:i/>
        </w:rPr>
        <w:t xml:space="preserve">La fecha de entrada de la factura en el registro administrativo, según conste en el registro </w:t>
      </w:r>
    </w:p>
    <w:p w:rsidR="00EE0979" w:rsidRDefault="00B022A0">
      <w:pPr>
        <w:spacing w:after="114"/>
        <w:ind w:left="9" w:right="98" w:hanging="10"/>
      </w:pPr>
      <w:r>
        <w:rPr>
          <w:i/>
        </w:rPr>
        <w:t>contable de facturas o sistema equivalente, hasta la fecha de pag</w:t>
      </w:r>
      <w:r>
        <w:rPr>
          <w:i/>
        </w:rPr>
        <w:t>o material por parte de la Administración, en los supuestos en los que o bien no resulte de aplicación un procedimiento de aceptación o comprobación de los bienes o servicios prestados o bien la factura se reciba con posterioridad a la aprobación de la con</w:t>
      </w:r>
      <w:r>
        <w:rPr>
          <w:i/>
        </w:rPr>
        <w:t xml:space="preserve">formidad. </w:t>
      </w:r>
    </w:p>
    <w:p w:rsidR="00EE0979" w:rsidRDefault="00B022A0">
      <w:pPr>
        <w:spacing w:after="114"/>
        <w:ind w:left="-1" w:right="98" w:firstLine="283"/>
      </w:pPr>
      <w:r>
        <w:rPr>
          <w:i/>
        </w:rPr>
        <w:t xml:space="preserve">En los supuestos en los que no haya obligación de disponer de registro contable, se tomará la fecha de recepción de la factura en el correspondiente registro administrativo. </w:t>
      </w:r>
    </w:p>
    <w:p w:rsidR="00EE0979" w:rsidRDefault="00B022A0">
      <w:pPr>
        <w:spacing w:after="114"/>
        <w:ind w:left="-1" w:right="98" w:firstLine="283"/>
      </w:pPr>
      <w:r>
        <w:rPr>
          <w:i/>
        </w:rPr>
        <w:t>En el caso de las facturas que se paguen con cargo al Fondo de Liquide</w:t>
      </w:r>
      <w:r>
        <w:rPr>
          <w:i/>
        </w:rPr>
        <w:t>z Autonómico o con cargo a la retención de importes a satisfacer por los recursos de los regímenes de financiación para pagar directamente a los proveedores, se considerará como fecha de pago material la fecha de la propuesta de pago definitiva formulada p</w:t>
      </w:r>
      <w:r>
        <w:rPr>
          <w:i/>
        </w:rPr>
        <w:t xml:space="preserve">or la Comunidad Autónoma o la Corporación Local, según corresponda. </w:t>
      </w:r>
    </w:p>
    <w:p w:rsidR="00EE0979" w:rsidRDefault="00B022A0">
      <w:pPr>
        <w:ind w:left="14" w:right="100" w:firstLine="283"/>
      </w:pPr>
      <w:r>
        <w:t xml:space="preserve">De conformidad con lo expuesto en el punto anterior, el cómputo del plazo se debe realizar de forma ordinaria para las contrataciones, exceptuando las obras, desde la fecha de aprobación </w:t>
      </w:r>
      <w:r>
        <w:t xml:space="preserve">de los documentos que acrediten la conformidad con los bienes entregados o servicios prestados, hasta la fecha de pago material por parte de la Administración. Para el caso de las obras, desde la fecha de aprobación de las certificaciones de obra hasta la </w:t>
      </w:r>
      <w:r>
        <w:t xml:space="preserve">fecha de pago material por parte de la Administración.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II.- Periodo Medio de Pago del Ayuntamiento de Candelaria. Primer trimestre 2023: De conformidad con la información extraída del aplicativo contable el 11 de abril de 2023, el PMP del Ayuntamiento </w:t>
      </w:r>
      <w:r>
        <w:t>es el siguiente: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5021" w:type="dxa"/>
        <w:tblInd w:w="19" w:type="dxa"/>
        <w:tblCellMar>
          <w:top w:w="21" w:type="dxa"/>
          <w:left w:w="161" w:type="dxa"/>
          <w:bottom w:w="8" w:type="dxa"/>
          <w:right w:w="110" w:type="dxa"/>
        </w:tblCellMar>
        <w:tblLook w:val="04A0" w:firstRow="1" w:lastRow="0" w:firstColumn="1" w:lastColumn="0" w:noHBand="0" w:noVBand="1"/>
      </w:tblPr>
      <w:tblGrid>
        <w:gridCol w:w="3161"/>
        <w:gridCol w:w="1860"/>
      </w:tblGrid>
      <w:tr w:rsidR="00EE0979">
        <w:trPr>
          <w:trHeight w:val="266"/>
        </w:trPr>
        <w:tc>
          <w:tcPr>
            <w:tcW w:w="31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3" w:firstLine="0"/>
              <w:jc w:val="center"/>
            </w:pPr>
            <w:r>
              <w:rPr>
                <w:sz w:val="20"/>
              </w:rPr>
              <w:t xml:space="preserve">20,94 </w:t>
            </w:r>
          </w:p>
        </w:tc>
      </w:tr>
      <w:tr w:rsidR="00EE0979">
        <w:trPr>
          <w:trHeight w:val="264"/>
        </w:trPr>
        <w:tc>
          <w:tcPr>
            <w:tcW w:w="31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3" w:firstLine="0"/>
              <w:jc w:val="center"/>
            </w:pPr>
            <w:r>
              <w:rPr>
                <w:sz w:val="20"/>
              </w:rPr>
              <w:t xml:space="preserve">4.271.691,18 </w:t>
            </w:r>
          </w:p>
        </w:tc>
      </w:tr>
      <w:tr w:rsidR="00EE0979">
        <w:trPr>
          <w:trHeight w:val="389"/>
        </w:trPr>
        <w:tc>
          <w:tcPr>
            <w:tcW w:w="3161"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3" w:firstLine="0"/>
              <w:jc w:val="center"/>
            </w:pPr>
            <w:r>
              <w:rPr>
                <w:sz w:val="20"/>
              </w:rPr>
              <w:t xml:space="preserve">42,90 </w:t>
            </w:r>
          </w:p>
        </w:tc>
      </w:tr>
      <w:tr w:rsidR="00EE0979">
        <w:trPr>
          <w:trHeight w:val="550"/>
        </w:trPr>
        <w:tc>
          <w:tcPr>
            <w:tcW w:w="3161"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5" w:firstLine="0"/>
              <w:jc w:val="center"/>
            </w:pPr>
            <w:r>
              <w:rPr>
                <w:sz w:val="20"/>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3" w:firstLine="0"/>
              <w:jc w:val="center"/>
            </w:pPr>
            <w:r>
              <w:rPr>
                <w:sz w:val="20"/>
              </w:rPr>
              <w:t xml:space="preserve">1.314.101,99 </w:t>
            </w:r>
          </w:p>
        </w:tc>
      </w:tr>
      <w:tr w:rsidR="00EE0979">
        <w:trPr>
          <w:trHeight w:val="295"/>
        </w:trPr>
        <w:tc>
          <w:tcPr>
            <w:tcW w:w="31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rPr>
                <w:b/>
                <w:sz w:val="20"/>
              </w:rPr>
              <w:t xml:space="preserve">Resultado PMP </w:t>
            </w:r>
            <w:r>
              <w:rPr>
                <w:b/>
                <w:sz w:val="20"/>
                <w:vertAlign w:val="subscript"/>
              </w:rPr>
              <w:t>AYTO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b/>
                <w:sz w:val="20"/>
              </w:rPr>
              <w:t xml:space="preserve">26,11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t xml:space="preserve">III.- Periodo Medio </w:t>
      </w:r>
      <w:r>
        <w:t>de Pago EPELCAN. Primer trimestre 2023: De conformidad con los cálculos remitidos por la entidad pública empresarial, el PMP de EPELCAN es el siguiente es el siguiente: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tbl>
      <w:tblPr>
        <w:tblStyle w:val="TableGrid"/>
        <w:tblW w:w="5019" w:type="dxa"/>
        <w:tblInd w:w="1759" w:type="dxa"/>
        <w:tblCellMar>
          <w:top w:w="50" w:type="dxa"/>
          <w:left w:w="161" w:type="dxa"/>
          <w:bottom w:w="6" w:type="dxa"/>
          <w:right w:w="108" w:type="dxa"/>
        </w:tblCellMar>
        <w:tblLook w:val="04A0" w:firstRow="1" w:lastRow="0" w:firstColumn="1" w:lastColumn="0" w:noHBand="0" w:noVBand="1"/>
      </w:tblPr>
      <w:tblGrid>
        <w:gridCol w:w="3159"/>
        <w:gridCol w:w="1860"/>
      </w:tblGrid>
      <w:tr w:rsidR="00EE0979">
        <w:trPr>
          <w:trHeight w:val="324"/>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55,84 </w:t>
            </w:r>
          </w:p>
        </w:tc>
      </w:tr>
      <w:tr w:rsidR="00EE0979">
        <w:trPr>
          <w:trHeight w:val="326"/>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12.460,01 </w:t>
            </w:r>
          </w:p>
        </w:tc>
      </w:tr>
      <w:tr w:rsidR="00EE0979">
        <w:trPr>
          <w:trHeight w:val="324"/>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2,53 </w:t>
            </w:r>
          </w:p>
        </w:tc>
      </w:tr>
      <w:tr w:rsidR="00EE0979">
        <w:trPr>
          <w:trHeight w:val="326"/>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5.501,89 </w:t>
            </w:r>
          </w:p>
        </w:tc>
      </w:tr>
      <w:tr w:rsidR="00EE0979">
        <w:trPr>
          <w:trHeight w:val="324"/>
        </w:trPr>
        <w:tc>
          <w:tcPr>
            <w:tcW w:w="3159"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6" w:firstLine="0"/>
              <w:jc w:val="center"/>
            </w:pPr>
            <w:r>
              <w:rPr>
                <w:b/>
                <w:sz w:val="20"/>
              </w:rPr>
              <w:t>Resultado PMP</w:t>
            </w:r>
            <w:r>
              <w:rPr>
                <w:b/>
                <w:sz w:val="20"/>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b/>
                <w:sz w:val="20"/>
              </w:rPr>
              <w:t xml:space="preserve">39,52 </w:t>
            </w:r>
          </w:p>
        </w:tc>
      </w:tr>
    </w:tbl>
    <w:p w:rsidR="00EE0979" w:rsidRDefault="00B022A0">
      <w:pPr>
        <w:spacing w:after="14" w:line="259" w:lineRule="auto"/>
        <w:ind w:left="14" w:firstLine="0"/>
        <w:jc w:val="left"/>
      </w:pPr>
      <w:r>
        <w:rPr>
          <w:sz w:val="20"/>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E0979" w:rsidRDefault="00B022A0">
      <w:pPr>
        <w:ind w:right="100"/>
      </w:pPr>
      <w:r>
        <w:t xml:space="preserve">III.- Periodo Medio de Pago VIVIENDAS Y SERVICIOS MUNICIPALES DE CANDELARIA SL. </w:t>
      </w:r>
    </w:p>
    <w:p w:rsidR="00EE0979" w:rsidRDefault="00B022A0">
      <w:pPr>
        <w:ind w:right="100"/>
      </w:pPr>
      <w:r>
        <w:t>Primer trimestre 2023: De conformidad con los cálculos remitidos por la entidad pública empresarial, el PMP de la entidad VIVIENDAS Y SERVICIOS MUNICIPALES DE CANDELARIA SL, es el siguiente: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tbl>
      <w:tblPr>
        <w:tblStyle w:val="TableGrid"/>
        <w:tblW w:w="5019" w:type="dxa"/>
        <w:tblInd w:w="1759" w:type="dxa"/>
        <w:tblCellMar>
          <w:top w:w="50" w:type="dxa"/>
          <w:left w:w="161" w:type="dxa"/>
          <w:bottom w:w="6" w:type="dxa"/>
          <w:right w:w="108" w:type="dxa"/>
        </w:tblCellMar>
        <w:tblLook w:val="04A0" w:firstRow="1" w:lastRow="0" w:firstColumn="1" w:lastColumn="0" w:noHBand="0" w:noVBand="1"/>
      </w:tblPr>
      <w:tblGrid>
        <w:gridCol w:w="3159"/>
        <w:gridCol w:w="1860"/>
      </w:tblGrid>
      <w:tr w:rsidR="00EE0979">
        <w:trPr>
          <w:trHeight w:val="326"/>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17,79 </w:t>
            </w:r>
          </w:p>
        </w:tc>
      </w:tr>
      <w:tr w:rsidR="00EE0979">
        <w:trPr>
          <w:trHeight w:val="324"/>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 xml:space="preserve">15.026,84 </w:t>
            </w:r>
          </w:p>
        </w:tc>
      </w:tr>
      <w:tr w:rsidR="00EE0979">
        <w:trPr>
          <w:trHeight w:val="324"/>
        </w:trPr>
        <w:tc>
          <w:tcPr>
            <w:tcW w:w="31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9,69 </w:t>
            </w:r>
          </w:p>
        </w:tc>
      </w:tr>
      <w:tr w:rsidR="00EE0979">
        <w:trPr>
          <w:trHeight w:val="341"/>
        </w:trPr>
        <w:tc>
          <w:tcPr>
            <w:tcW w:w="3159"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5" w:firstLine="0"/>
              <w:jc w:val="center"/>
            </w:pPr>
            <w:r>
              <w:rPr>
                <w:sz w:val="20"/>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2.721,51 </w:t>
            </w:r>
          </w:p>
        </w:tc>
      </w:tr>
      <w:tr w:rsidR="00EE0979">
        <w:trPr>
          <w:trHeight w:val="326"/>
        </w:trPr>
        <w:tc>
          <w:tcPr>
            <w:tcW w:w="3159"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6" w:firstLine="0"/>
              <w:jc w:val="center"/>
            </w:pPr>
            <w:r>
              <w:rPr>
                <w:b/>
                <w:sz w:val="20"/>
              </w:rPr>
              <w:t>Resultado PMP</w:t>
            </w:r>
            <w:r>
              <w:rPr>
                <w:b/>
                <w:sz w:val="20"/>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b/>
                <w:sz w:val="20"/>
              </w:rPr>
              <w:t xml:space="preserve">16,54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p w:rsidR="00EE0979" w:rsidRDefault="00B022A0">
      <w:pPr>
        <w:ind w:right="100"/>
      </w:pPr>
      <w:r>
        <w:t xml:space="preserve">IV.- </w:t>
      </w:r>
      <w:r>
        <w:t>Periodo Medio de Pago FUNDACIÓN CANARIA CANDELARIA (CANDESOL). Cuarto trimestre 2021: De conformidad con la información remitida por la entidad dependiente, el PMP de la entidad FUNDACIÓN CANARIA CANDELARIA (CANDESOL), es el siguiente: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5022" w:type="dxa"/>
        <w:tblInd w:w="2285" w:type="dxa"/>
        <w:tblCellMar>
          <w:top w:w="21" w:type="dxa"/>
          <w:left w:w="163" w:type="dxa"/>
          <w:bottom w:w="0" w:type="dxa"/>
          <w:right w:w="108" w:type="dxa"/>
        </w:tblCellMar>
        <w:tblLook w:val="04A0" w:firstRow="1" w:lastRow="0" w:firstColumn="1" w:lastColumn="0" w:noHBand="0" w:noVBand="1"/>
      </w:tblPr>
      <w:tblGrid>
        <w:gridCol w:w="3162"/>
        <w:gridCol w:w="1860"/>
      </w:tblGrid>
      <w:tr w:rsidR="00EE0979">
        <w:trPr>
          <w:trHeight w:val="326"/>
        </w:trPr>
        <w:tc>
          <w:tcPr>
            <w:tcW w:w="31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Ratio medio</w:t>
            </w:r>
            <w:r>
              <w:rPr>
                <w:sz w:val="20"/>
              </w:rPr>
              <w:t xml:space="preserve">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4,65 </w:t>
            </w:r>
          </w:p>
        </w:tc>
      </w:tr>
      <w:tr w:rsidR="00EE0979">
        <w:trPr>
          <w:trHeight w:val="324"/>
        </w:trPr>
        <w:tc>
          <w:tcPr>
            <w:tcW w:w="31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4" w:firstLine="0"/>
              <w:jc w:val="center"/>
            </w:pPr>
            <w:r>
              <w:rPr>
                <w:sz w:val="20"/>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7.529,08 </w:t>
            </w:r>
          </w:p>
        </w:tc>
      </w:tr>
      <w:tr w:rsidR="00EE0979">
        <w:trPr>
          <w:trHeight w:val="264"/>
        </w:trPr>
        <w:tc>
          <w:tcPr>
            <w:tcW w:w="31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2 </w:t>
            </w:r>
          </w:p>
        </w:tc>
      </w:tr>
      <w:tr w:rsidR="00EE0979">
        <w:trPr>
          <w:trHeight w:val="266"/>
        </w:trPr>
        <w:tc>
          <w:tcPr>
            <w:tcW w:w="31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4" w:firstLine="0"/>
              <w:jc w:val="center"/>
            </w:pPr>
            <w:r>
              <w:rPr>
                <w:sz w:val="20"/>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8.487,85 </w:t>
            </w:r>
          </w:p>
        </w:tc>
      </w:tr>
      <w:tr w:rsidR="00EE0979">
        <w:trPr>
          <w:trHeight w:val="295"/>
        </w:trPr>
        <w:tc>
          <w:tcPr>
            <w:tcW w:w="31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b/>
                <w:sz w:val="20"/>
              </w:rPr>
              <w:t>Resultado PMP</w:t>
            </w:r>
            <w:r>
              <w:rPr>
                <w:b/>
                <w:sz w:val="20"/>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0" w:firstLine="0"/>
              <w:jc w:val="center"/>
            </w:pPr>
            <w:r>
              <w:rPr>
                <w:b/>
                <w:sz w:val="20"/>
              </w:rPr>
              <w:t xml:space="preserve">3,24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color w:val="272923"/>
        </w:rPr>
        <w:t xml:space="preserve">De conformidad con los datos anteriores, se obtiene el siguiente resultado global: </w:t>
      </w:r>
    </w:p>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tbl>
      <w:tblPr>
        <w:tblStyle w:val="TableGrid"/>
        <w:tblW w:w="8502" w:type="dxa"/>
        <w:tblInd w:w="94" w:type="dxa"/>
        <w:tblCellMar>
          <w:top w:w="11" w:type="dxa"/>
          <w:left w:w="70" w:type="dxa"/>
          <w:bottom w:w="0" w:type="dxa"/>
          <w:right w:w="8" w:type="dxa"/>
        </w:tblCellMar>
        <w:tblLook w:val="04A0" w:firstRow="1" w:lastRow="0" w:firstColumn="1" w:lastColumn="0" w:noHBand="0" w:noVBand="1"/>
      </w:tblPr>
      <w:tblGrid>
        <w:gridCol w:w="1607"/>
        <w:gridCol w:w="1253"/>
        <w:gridCol w:w="1570"/>
        <w:gridCol w:w="1378"/>
        <w:gridCol w:w="1702"/>
        <w:gridCol w:w="992"/>
      </w:tblGrid>
      <w:tr w:rsidR="00EE0979">
        <w:trPr>
          <w:trHeight w:val="1277"/>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3" w:firstLine="0"/>
              <w:jc w:val="center"/>
            </w:pPr>
            <w: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6" w:firstLine="0"/>
              <w:jc w:val="center"/>
            </w:pPr>
            <w:r>
              <w:t xml:space="preserve">Ratio </w:t>
            </w:r>
          </w:p>
          <w:p w:rsidR="00EE0979" w:rsidRDefault="00B022A0">
            <w:pPr>
              <w:spacing w:after="0" w:line="259" w:lineRule="auto"/>
              <w:ind w:left="48" w:firstLine="0"/>
              <w:jc w:val="left"/>
            </w:pPr>
            <w:r>
              <w:t>Operacion</w:t>
            </w:r>
          </w:p>
          <w:p w:rsidR="00EE0979" w:rsidRDefault="00B022A0">
            <w:pPr>
              <w:spacing w:after="0" w:line="259" w:lineRule="auto"/>
              <w:ind w:left="0" w:right="64" w:firstLine="0"/>
              <w:jc w:val="center"/>
            </w:pPr>
            <w:r>
              <w:t xml:space="preserve">es  </w:t>
            </w:r>
          </w:p>
          <w:p w:rsidR="00EE0979" w:rsidRDefault="00B022A0">
            <w:pPr>
              <w:spacing w:after="0" w:line="259" w:lineRule="auto"/>
              <w:ind w:left="120" w:firstLine="0"/>
              <w:jc w:val="left"/>
            </w:pPr>
            <w: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6" w:firstLine="0"/>
              <w:jc w:val="center"/>
            </w:pPr>
            <w:r>
              <w:t xml:space="preserve">Ratio </w:t>
            </w:r>
          </w:p>
          <w:p w:rsidR="00EE0979" w:rsidRDefault="00B022A0">
            <w:pPr>
              <w:spacing w:after="0" w:line="259" w:lineRule="auto"/>
              <w:ind w:left="48" w:firstLine="0"/>
              <w:jc w:val="left"/>
            </w:pPr>
            <w:r>
              <w:t>Operacione</w:t>
            </w:r>
          </w:p>
          <w:p w:rsidR="00EE0979" w:rsidRDefault="00B022A0">
            <w:pPr>
              <w:spacing w:after="0" w:line="259" w:lineRule="auto"/>
              <w:ind w:left="0" w:right="67" w:firstLine="0"/>
              <w:jc w:val="center"/>
            </w:pPr>
            <w:r>
              <w:t xml:space="preserve">s  </w:t>
            </w:r>
          </w:p>
          <w:p w:rsidR="00EE0979" w:rsidRDefault="00B022A0">
            <w:pPr>
              <w:spacing w:after="0" w:line="259" w:lineRule="auto"/>
              <w:ind w:left="0" w:firstLine="0"/>
              <w:jc w:val="center"/>
            </w:pPr>
            <w: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87" w:firstLine="0"/>
              <w:jc w:val="left"/>
            </w:pPr>
            <w:r>
              <w:t xml:space="preserve">PMP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1" w:firstLine="0"/>
              <w:jc w:val="center"/>
            </w:pPr>
            <w:r>
              <w:t xml:space="preserve">20,94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72" w:firstLine="0"/>
              <w:jc w:val="left"/>
            </w:pPr>
            <w:r>
              <w:t xml:space="preserve">4.271.691,18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1" w:firstLine="0"/>
              <w:jc w:val="center"/>
            </w:pPr>
            <w:r>
              <w:t xml:space="preserve">42,90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37" w:firstLine="0"/>
              <w:jc w:val="left"/>
            </w:pPr>
            <w:r>
              <w:t xml:space="preserve">1.314.101,99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2" w:firstLine="0"/>
              <w:jc w:val="center"/>
            </w:pPr>
            <w:r>
              <w:t xml:space="preserve">26,11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3" w:firstLine="0"/>
              <w:jc w:val="center"/>
            </w:pPr>
            <w: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1" w:firstLine="0"/>
              <w:jc w:val="center"/>
            </w:pPr>
            <w:r>
              <w:t xml:space="preserve">55,84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center"/>
            </w:pPr>
            <w:r>
              <w:t xml:space="preserve">12.460,01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2,53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5.501,89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center"/>
            </w:pPr>
            <w:r>
              <w:t xml:space="preserve">39,52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1" w:firstLine="0"/>
              <w:jc w:val="center"/>
            </w:pPr>
            <w:r>
              <w:t xml:space="preserve">17,79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center"/>
            </w:pPr>
            <w:r>
              <w:t xml:space="preserve">15.026,84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9,69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2.721,51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center"/>
            </w:pPr>
            <w:r>
              <w:t xml:space="preserve">16,54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30" w:firstLine="0"/>
              <w:jc w:val="left"/>
            </w:pPr>
            <w: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4,65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1" w:firstLine="0"/>
              <w:jc w:val="center"/>
            </w:pPr>
            <w:r>
              <w:t xml:space="preserve">7.529,08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4" w:firstLine="0"/>
              <w:jc w:val="center"/>
            </w:pPr>
            <w:r>
              <w:t xml:space="preserve">8.487,85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62" w:firstLine="0"/>
              <w:jc w:val="center"/>
            </w:pPr>
            <w:r>
              <w:t xml:space="preserve">3,24 </w:t>
            </w:r>
          </w:p>
        </w:tc>
      </w:tr>
      <w:tr w:rsidR="00EE0979">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25"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3"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79" w:firstLine="0"/>
              <w:jc w:val="left"/>
            </w:pPr>
            <w:r>
              <w:rPr>
                <w:b/>
              </w:rPr>
              <w:t xml:space="preserve">4.306.707,11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3"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137" w:firstLine="0"/>
              <w:jc w:val="left"/>
            </w:pPr>
            <w:r>
              <w:rPr>
                <w:b/>
              </w:rPr>
              <w:t xml:space="preserve">1.330.813,24 </w:t>
            </w:r>
          </w:p>
          <w:p w:rsidR="00EE0979" w:rsidRDefault="00B022A0">
            <w:pPr>
              <w:spacing w:after="0" w:line="259" w:lineRule="auto"/>
              <w:ind w:left="0" w:right="2" w:firstLine="0"/>
              <w:jc w:val="center"/>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center"/>
            </w:pPr>
            <w:r>
              <w:rPr>
                <w:b/>
              </w:rPr>
              <w:t xml:space="preserve">26,05 </w:t>
            </w:r>
          </w:p>
        </w:tc>
      </w:tr>
    </w:tbl>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p w:rsidR="00EE0979" w:rsidRDefault="00B022A0">
      <w:pPr>
        <w:spacing w:after="98" w:line="259" w:lineRule="auto"/>
        <w:ind w:left="14" w:firstLine="0"/>
        <w:jc w:val="left"/>
      </w:pPr>
      <w:r>
        <w:rPr>
          <w:b/>
        </w:rPr>
        <w:t xml:space="preserve"> </w:t>
      </w:r>
    </w:p>
    <w:p w:rsidR="00EE0979" w:rsidRDefault="00B022A0">
      <w:pPr>
        <w:spacing w:after="6"/>
        <w:ind w:right="99" w:hanging="10"/>
      </w:pPr>
      <w:r>
        <w:rPr>
          <w:b/>
        </w:rPr>
        <w:t xml:space="preserve">    </w:t>
      </w:r>
      <w:r>
        <w:rPr>
          <w:b/>
        </w:rPr>
        <w:t xml:space="preserve">Consta en el expediente propuesta del Concejal delegado de Hacienda, D. Airam Pérez Chinea, de fecha 14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19" w:line="259" w:lineRule="auto"/>
        <w:ind w:left="14" w:firstLine="0"/>
        <w:jc w:val="left"/>
      </w:pPr>
      <w:r>
        <w:rPr>
          <w:b/>
        </w:rPr>
        <w:t xml:space="preserve"> </w:t>
      </w:r>
    </w:p>
    <w:p w:rsidR="00EE0979" w:rsidRDefault="00B022A0">
      <w:pPr>
        <w:pStyle w:val="Ttulo1"/>
        <w:numPr>
          <w:ilvl w:val="0"/>
          <w:numId w:val="0"/>
        </w:numPr>
        <w:spacing w:after="212"/>
        <w:ind w:left="624" w:right="713"/>
      </w:pPr>
      <w:r>
        <w:t xml:space="preserve">“PROPUESTA DEL CONCEJAL DELEGADO DE HACIENDA </w:t>
      </w:r>
    </w:p>
    <w:p w:rsidR="00EE0979" w:rsidRDefault="00B022A0">
      <w:pPr>
        <w:spacing w:after="59"/>
        <w:ind w:right="99" w:hanging="10"/>
      </w:pPr>
      <w:r>
        <w:rPr>
          <w:b/>
        </w:rPr>
        <w:t>ASUNTO: Informe del Interventor municipal</w:t>
      </w:r>
      <w:r>
        <w:rPr>
          <w:b/>
          <w:i/>
        </w:rPr>
        <w:t>,</w:t>
      </w:r>
      <w:r>
        <w:rPr>
          <w:b/>
        </w:rPr>
        <w:t xml:space="preserve"> del Pe</w:t>
      </w:r>
      <w:r>
        <w:rPr>
          <w:b/>
        </w:rPr>
        <w:t>riodo Medio de Pago del Primer Trimestre de 2023 conforme el Real Decreto 1040/2017, de 22 de diciembre del Ayuntamiento de Candelaria</w:t>
      </w:r>
      <w:r>
        <w:rPr>
          <w:i/>
          <w:sz w:val="28"/>
        </w:rP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2"/>
        <w:ind w:left="624" w:right="707"/>
      </w:pPr>
      <w:r>
        <w:t xml:space="preserve">Consideraciones </w:t>
      </w:r>
    </w:p>
    <w:p w:rsidR="00EE0979" w:rsidRDefault="00B022A0">
      <w:pPr>
        <w:spacing w:after="96"/>
        <w:ind w:right="100"/>
      </w:pPr>
      <w:r>
        <w:rPr>
          <w:b/>
        </w:rPr>
        <w:t>Única.-</w:t>
      </w:r>
      <w:r>
        <w:t xml:space="preserve"> En cumplimiento de la Disposición Final 2ª, apartado 3º de la Ley Orgánica 2/2012, de 27 de a</w:t>
      </w:r>
      <w:r>
        <w:t>bril, de Estabilidad Presupuestaria y Sostenibilidad Financiera (</w:t>
      </w:r>
      <w:r>
        <w:rPr>
          <w:i/>
        </w:rPr>
        <w:t>que señala que por Orden del Ministro de Hacienda y Administraciones Públicas, se desarrollará la metodología de cálculo del Periodo Medio de Pago a proveedores de las Administraciones Públicas conforme a criterios homogéneos y que tendrá en cuenta los pag</w:t>
      </w:r>
      <w:r>
        <w:rPr>
          <w:i/>
        </w:rPr>
        <w:t>os efectuados y las operaciones pendientes de pago</w:t>
      </w:r>
      <w:r>
        <w:t>), se ha publicado, con fecha 30 de julio de 2014, el Real Decreto 635/2014, de 25 de julio, por el que se desarrolla la Metodología de cálculo del Periodo Medio de Pago a proveedores de las Administracione</w:t>
      </w:r>
      <w:r>
        <w:t>s Públicas y las condiciones y el procedimiento de retención de recursos de los regímenes de financiación previstos en la Ley Orgánica 2/2012 de 27 de abril, de Estabilidad Presupuestaria y Sostenibilidad Financiera, posteriormente modificado por el Real D</w:t>
      </w:r>
      <w:r>
        <w:t>ecreto 1040/2017 de 22 de diciembre.</w:t>
      </w:r>
      <w:r>
        <w:rPr>
          <w:rFonts w:ascii="Times New Roman" w:eastAsia="Times New Roman" w:hAnsi="Times New Roman" w:cs="Times New Roman"/>
          <w:sz w:val="24"/>
        </w:rPr>
        <w:t xml:space="preserve"> </w:t>
      </w:r>
    </w:p>
    <w:p w:rsidR="00EE0979" w:rsidRDefault="00B022A0">
      <w:pPr>
        <w:spacing w:after="114"/>
        <w:ind w:right="100"/>
      </w:pPr>
      <w:r>
        <w:t xml:space="preserve"> La última reforma de la Ley Orgánica 2/2012, de 27 de abril, redefinió el principio de sostenibilidad financiera incluyendo no sólo el control de deuda pública, sino también el control de la deuda comercial. </w:t>
      </w:r>
    </w:p>
    <w:p w:rsidR="00EE0979" w:rsidRDefault="00B022A0">
      <w:pPr>
        <w:spacing w:after="111"/>
        <w:ind w:right="100"/>
      </w:pPr>
      <w:r>
        <w:t xml:space="preserve"> La Ley </w:t>
      </w:r>
      <w:r>
        <w:t>Orgánica de Control de la Deuda Comercial, modifica la Ley Orgánica 2/2012, de 27 de abril, introduciendo el concepto del Periodo Medio de Pago, como expresión del volumen de deuda comercial y establece la obligación de que todas las Administraciones Públi</w:t>
      </w:r>
      <w:r>
        <w:t xml:space="preserve">cas hagan público su periodo Medio de Pago. </w:t>
      </w:r>
    </w:p>
    <w:p w:rsidR="00EE0979" w:rsidRDefault="00B022A0">
      <w:pPr>
        <w:spacing w:after="155"/>
        <w:ind w:right="100"/>
      </w:pPr>
      <w:r>
        <w:t xml:space="preserve"> El Real Decreto 1040/2017, de 22 de diciembre, de 25 de julio, mide el retraso en el pago de la deuda comercial en términos económicos, como indicador distinto respecto del periodo legal de pago en la Ley 3/200</w:t>
      </w:r>
      <w:r>
        <w:t xml:space="preserve">4 de 29 de diciembre, por la que se establecen medidas de lucha contra la morosidad en las operaciones comerciales. </w:t>
      </w:r>
    </w:p>
    <w:p w:rsidR="00EE0979" w:rsidRDefault="00B022A0">
      <w:pPr>
        <w:spacing w:after="107"/>
        <w:ind w:left="14" w:right="100" w:firstLine="708"/>
      </w:pPr>
      <w:r>
        <w:t>Es por lo que, visto el informe emitido por la intervención Municipal, de fecha 14 de abril de 2022, para el primer trimestre, esta Concejalía delegada de Hacienda PROPONE:</w:t>
      </w:r>
      <w:r>
        <w:rPr>
          <w:sz w:val="24"/>
        </w:rPr>
        <w:t xml:space="preserve"> </w:t>
      </w:r>
    </w:p>
    <w:p w:rsidR="00EE0979" w:rsidRDefault="00B022A0">
      <w:pPr>
        <w:spacing w:after="111"/>
        <w:ind w:left="9" w:right="42" w:hanging="10"/>
        <w:jc w:val="left"/>
      </w:pPr>
      <w:r>
        <w:rPr>
          <w:b/>
        </w:rPr>
        <w:t>Primero</w:t>
      </w:r>
      <w:r>
        <w:t>: Dar cuenta al Pleno del Periodo Medio de Pago previsto en el Real Decreto</w:t>
      </w:r>
      <w:r>
        <w:t xml:space="preserve"> 1040/2017, de 22 de diciembre, por el que se desarrolla la Metodología de cálculo del Periodo Medio de Pago a proveedores de las Administraciones Públicas y las condiciones y el procedimiento de retención de recursos de los regímenes de financiación previ</w:t>
      </w:r>
      <w:r>
        <w:t xml:space="preserve">stos en la Ley Orgánica 2/2012 de 27 de abril, de Estabilidad Presupuestaria y Sostenibilidad Financiera, correspondiente al Primer Trimestre del año 2023, que presenta el siguiente detalle: </w:t>
      </w:r>
    </w:p>
    <w:p w:rsidR="00EE0979" w:rsidRDefault="00B022A0">
      <w:pPr>
        <w:spacing w:after="0" w:line="259" w:lineRule="auto"/>
        <w:ind w:left="14" w:firstLine="0"/>
        <w:jc w:val="left"/>
      </w:pPr>
      <w:r>
        <w:t xml:space="preserve"> </w:t>
      </w:r>
    </w:p>
    <w:tbl>
      <w:tblPr>
        <w:tblStyle w:val="TableGrid"/>
        <w:tblW w:w="8502" w:type="dxa"/>
        <w:tblInd w:w="94" w:type="dxa"/>
        <w:tblCellMar>
          <w:top w:w="9" w:type="dxa"/>
          <w:left w:w="108" w:type="dxa"/>
          <w:bottom w:w="0" w:type="dxa"/>
          <w:right w:w="12" w:type="dxa"/>
        </w:tblCellMar>
        <w:tblLook w:val="04A0" w:firstRow="1" w:lastRow="0" w:firstColumn="1" w:lastColumn="0" w:noHBand="0" w:noVBand="1"/>
      </w:tblPr>
      <w:tblGrid>
        <w:gridCol w:w="1607"/>
        <w:gridCol w:w="1253"/>
        <w:gridCol w:w="1570"/>
        <w:gridCol w:w="1378"/>
        <w:gridCol w:w="1702"/>
        <w:gridCol w:w="992"/>
      </w:tblGrid>
      <w:tr w:rsidR="00EE0979">
        <w:trPr>
          <w:trHeight w:val="929"/>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1" w:firstLine="0"/>
              <w:jc w:val="center"/>
            </w:pPr>
            <w:r>
              <w:rPr>
                <w:sz w:val="20"/>
              </w:rPr>
              <w:t xml:space="preserve">Ratio </w:t>
            </w:r>
          </w:p>
          <w:p w:rsidR="00EE0979" w:rsidRDefault="00B022A0">
            <w:pPr>
              <w:spacing w:after="0" w:line="259" w:lineRule="auto"/>
              <w:ind w:left="0" w:firstLine="0"/>
              <w:jc w:val="left"/>
            </w:pPr>
            <w:r>
              <w:rPr>
                <w:sz w:val="20"/>
              </w:rPr>
              <w:t>Operacione</w:t>
            </w:r>
          </w:p>
          <w:p w:rsidR="00EE0979" w:rsidRDefault="00B022A0">
            <w:pPr>
              <w:spacing w:after="0" w:line="259" w:lineRule="auto"/>
              <w:ind w:left="0" w:right="103" w:firstLine="0"/>
              <w:jc w:val="center"/>
            </w:pPr>
            <w:r>
              <w:rPr>
                <w:sz w:val="20"/>
              </w:rPr>
              <w:t xml:space="preserve">s  </w:t>
            </w:r>
          </w:p>
          <w:p w:rsidR="00EE0979" w:rsidRDefault="00B022A0">
            <w:pPr>
              <w:spacing w:after="0" w:line="259" w:lineRule="auto"/>
              <w:ind w:left="0" w:right="103" w:firstLine="0"/>
              <w:jc w:val="center"/>
            </w:pPr>
            <w:r>
              <w:rPr>
                <w:sz w:val="20"/>
              </w:rP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rPr>
                <w:sz w:val="20"/>
              </w:rPr>
              <w:t>Importe Pagos Realizad</w:t>
            </w:r>
            <w:r>
              <w:rPr>
                <w:sz w:val="20"/>
              </w:rPr>
              <w:t xml:space="preserve">os </w:t>
            </w:r>
          </w:p>
        </w:tc>
        <w:tc>
          <w:tcPr>
            <w:tcW w:w="137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1" w:firstLine="0"/>
              <w:jc w:val="center"/>
            </w:pPr>
            <w:r>
              <w:rPr>
                <w:sz w:val="20"/>
              </w:rPr>
              <w:t xml:space="preserve">Ratio </w:t>
            </w:r>
          </w:p>
          <w:p w:rsidR="00EE0979" w:rsidRDefault="00B022A0">
            <w:pPr>
              <w:spacing w:after="0" w:line="259" w:lineRule="auto"/>
              <w:ind w:left="12" w:firstLine="0"/>
              <w:jc w:val="left"/>
            </w:pPr>
            <w:r>
              <w:rPr>
                <w:sz w:val="20"/>
              </w:rPr>
              <w:t xml:space="preserve">Operaciones  </w:t>
            </w:r>
          </w:p>
          <w:p w:rsidR="00EE0979" w:rsidRDefault="00B022A0">
            <w:pPr>
              <w:spacing w:after="0" w:line="259" w:lineRule="auto"/>
              <w:ind w:left="0" w:right="15" w:firstLine="0"/>
              <w:jc w:val="center"/>
            </w:pPr>
            <w:r>
              <w:rPr>
                <w:sz w:val="20"/>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rPr>
                <w:sz w:val="20"/>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8" w:firstLine="0"/>
              <w:jc w:val="center"/>
            </w:pPr>
            <w:r>
              <w:rPr>
                <w:sz w:val="20"/>
              </w:rPr>
              <w:t xml:space="preserve">PMP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9" w:firstLine="0"/>
              <w:jc w:val="center"/>
            </w:pPr>
            <w:r>
              <w:rPr>
                <w:sz w:val="20"/>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20,94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4.271.691,18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42,90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3" w:firstLine="0"/>
              <w:jc w:val="center"/>
            </w:pPr>
            <w:r>
              <w:rPr>
                <w:sz w:val="20"/>
              </w:rPr>
              <w:t xml:space="preserve">1.314.101,99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26,11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55,84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12.460,01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2,53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5.501,89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sz w:val="20"/>
              </w:rPr>
              <w:t xml:space="preserve">39,52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17,79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15.026,84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9,69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2.721,51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sz w:val="20"/>
              </w:rPr>
              <w:t xml:space="preserve">16,54 </w:t>
            </w:r>
          </w:p>
        </w:tc>
      </w:tr>
      <w:tr w:rsidR="00EE0979">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46" w:firstLine="0"/>
              <w:jc w:val="left"/>
            </w:pPr>
            <w:r>
              <w:rPr>
                <w:sz w:val="20"/>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4,65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8" w:firstLine="0"/>
              <w:jc w:val="center"/>
            </w:pPr>
            <w:r>
              <w:rPr>
                <w:sz w:val="20"/>
              </w:rPr>
              <w:t xml:space="preserve">7.529,08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8.487,85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3,24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44" w:firstLine="0"/>
              <w:jc w:val="center"/>
            </w:pPr>
            <w:r>
              <w:rPr>
                <w:b/>
                <w:sz w:val="20"/>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4.306.707,11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44" w:firstLine="0"/>
              <w:jc w:val="center"/>
            </w:pP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3" w:firstLine="0"/>
              <w:jc w:val="center"/>
            </w:pPr>
            <w:r>
              <w:rPr>
                <w:b/>
                <w:sz w:val="20"/>
              </w:rPr>
              <w:t xml:space="preserve">1.330.813,24 </w:t>
            </w:r>
          </w:p>
          <w:p w:rsidR="00EE0979" w:rsidRDefault="00B022A0">
            <w:pPr>
              <w:spacing w:after="0" w:line="259" w:lineRule="auto"/>
              <w:ind w:left="0" w:right="43" w:firstLine="0"/>
              <w:jc w:val="center"/>
            </w:pPr>
            <w:r>
              <w:rPr>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26,05 </w:t>
            </w:r>
          </w:p>
        </w:tc>
      </w:tr>
    </w:tbl>
    <w:p w:rsidR="00EE0979" w:rsidRDefault="00B022A0">
      <w:pPr>
        <w:spacing w:after="110"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p w:rsidR="00EE0979" w:rsidRDefault="00B022A0">
      <w:pPr>
        <w:spacing w:after="109"/>
        <w:ind w:right="100"/>
      </w:pPr>
      <w:r>
        <w:rPr>
          <w:b/>
        </w:rPr>
        <w:t>Segundo</w:t>
      </w:r>
      <w:r>
        <w:t xml:space="preserve">: Dar traslado de dicho acuerdo al Ministerio de Hacienda y Función Pública, a través de la plataforma telemática que habilita el propio Ministerio. </w:t>
      </w:r>
    </w:p>
    <w:p w:rsidR="00EE0979" w:rsidRDefault="00B022A0">
      <w:pPr>
        <w:spacing w:after="106"/>
        <w:ind w:right="100"/>
      </w:pPr>
      <w:r>
        <w:rPr>
          <w:b/>
        </w:rPr>
        <w:t>Tercero</w:t>
      </w:r>
      <w:r>
        <w:t>: Publicar en el portal web del Ayuntamiento de Candelaria, el Periodo Medio de Pago del Primer Tri</w:t>
      </w:r>
      <w:r>
        <w:t xml:space="preserve">mestre del ejercicio 2023, en cumplimiento el Real Decreto 1040/2017, de 22 de diciembre.”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Los 7 integrantes de la Comisión Info</w:t>
      </w:r>
      <w:r>
        <w:t xml:space="preserve">rmativa quedaron enterados: </w:t>
      </w:r>
    </w:p>
    <w:p w:rsidR="00EE0979" w:rsidRDefault="00B022A0">
      <w:pPr>
        <w:spacing w:after="0" w:line="259" w:lineRule="auto"/>
        <w:ind w:left="14" w:firstLine="0"/>
        <w:jc w:val="left"/>
      </w:pPr>
      <w:r>
        <w:t xml:space="preserve"> </w:t>
      </w:r>
    </w:p>
    <w:p w:rsidR="00EE0979" w:rsidRDefault="00B022A0">
      <w:pPr>
        <w:ind w:right="100"/>
      </w:pPr>
      <w:r>
        <w:t xml:space="preserve">Los 4 concejales del Grupo Socialista: Doña María Concepción Brito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JUNTA DE PORTAVOCES DE 24 DE ABRIL D</w:t>
      </w:r>
      <w:r>
        <w:rPr>
          <w:b/>
        </w:rPr>
        <w:t xml:space="preserve">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La unanimidad de los 18 concejales presentes quedaron enterados: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w:t>
      </w:r>
      <w:r>
        <w:t xml:space="preserve"> Concepción Pérez Díaz, Don José Francisco Pinto Ramos, Doña Hilaria Cecilia Otazo González, Don Airam Pérez Chinea, Doña Margarita Eva Tendero Barroso, Don Manuel Alberto González Pestano, Doña María del Carmen Clemente Díaz, Don Olegario Francisco Alonso</w:t>
      </w:r>
      <w:r>
        <w:t xml:space="preserve">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2 de los concejales del Grupo Mixto (CC-</w:t>
      </w:r>
      <w:r>
        <w:t xml:space="preserve">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(VxC): Doña Alicia Mercedes Marrero Meneses.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           </w:t>
      </w:r>
      <w:r>
        <w:rPr>
          <w:b/>
        </w:rPr>
        <w:t xml:space="preserve">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114"/>
        <w:ind w:right="99" w:hanging="10"/>
      </w:pPr>
      <w:r>
        <w:rPr>
          <w:b/>
        </w:rPr>
        <w:t>Primero</w:t>
      </w:r>
      <w:r>
        <w:t xml:space="preserve">: </w:t>
      </w:r>
      <w:r>
        <w:rPr>
          <w:b/>
        </w:rPr>
        <w:t>Dar cuenta al Pleno del Periodo Medio de Pago previsto en el Real Decreto 1040/2017, de 22 de diciembre, por el que se desarrolla la Metodología de cálculo del Periodo Medio de Pago a proveedores de las</w:t>
      </w:r>
      <w:r>
        <w:rPr>
          <w:b/>
        </w:rPr>
        <w:t xml:space="preserve"> Administraciones Públicas y las condiciones y el procedimiento de retención de recursos de los regímenes de financiación previstos en la Ley Orgánica 2/2012 de 27 de abril, de Estabilidad Presupuestaria y Sostenibilidad Financiera, correspondiente al Prim</w:t>
      </w:r>
      <w:r>
        <w:rPr>
          <w:b/>
        </w:rPr>
        <w:t>er Trimestre del año 2023, que presenta el siguiente detalle:</w:t>
      </w:r>
      <w:r>
        <w:t xml:space="preserve"> </w:t>
      </w:r>
    </w:p>
    <w:p w:rsidR="00EE0979" w:rsidRDefault="00B022A0">
      <w:pPr>
        <w:spacing w:after="0" w:line="259" w:lineRule="auto"/>
        <w:ind w:left="14" w:firstLine="0"/>
        <w:jc w:val="left"/>
      </w:pPr>
      <w:r>
        <w:t xml:space="preserve"> </w:t>
      </w:r>
    </w:p>
    <w:tbl>
      <w:tblPr>
        <w:tblStyle w:val="TableGrid"/>
        <w:tblW w:w="8502" w:type="dxa"/>
        <w:tblInd w:w="94" w:type="dxa"/>
        <w:tblCellMar>
          <w:top w:w="9" w:type="dxa"/>
          <w:left w:w="108" w:type="dxa"/>
          <w:bottom w:w="0" w:type="dxa"/>
          <w:right w:w="12" w:type="dxa"/>
        </w:tblCellMar>
        <w:tblLook w:val="04A0" w:firstRow="1" w:lastRow="0" w:firstColumn="1" w:lastColumn="0" w:noHBand="0" w:noVBand="1"/>
      </w:tblPr>
      <w:tblGrid>
        <w:gridCol w:w="1607"/>
        <w:gridCol w:w="1253"/>
        <w:gridCol w:w="1570"/>
        <w:gridCol w:w="1378"/>
        <w:gridCol w:w="1702"/>
        <w:gridCol w:w="992"/>
      </w:tblGrid>
      <w:tr w:rsidR="00EE0979">
        <w:trPr>
          <w:trHeight w:val="929"/>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1" w:firstLine="0"/>
              <w:jc w:val="center"/>
            </w:pPr>
            <w:r>
              <w:rPr>
                <w:sz w:val="20"/>
              </w:rPr>
              <w:t xml:space="preserve">Ratio </w:t>
            </w:r>
          </w:p>
          <w:p w:rsidR="00EE0979" w:rsidRDefault="00B022A0">
            <w:pPr>
              <w:spacing w:after="0" w:line="259" w:lineRule="auto"/>
              <w:ind w:left="0" w:firstLine="0"/>
              <w:jc w:val="left"/>
            </w:pPr>
            <w:r>
              <w:rPr>
                <w:sz w:val="20"/>
              </w:rPr>
              <w:t>Operacione</w:t>
            </w:r>
          </w:p>
          <w:p w:rsidR="00EE0979" w:rsidRDefault="00B022A0">
            <w:pPr>
              <w:spacing w:after="0" w:line="259" w:lineRule="auto"/>
              <w:ind w:left="0" w:right="103" w:firstLine="0"/>
              <w:jc w:val="center"/>
            </w:pPr>
            <w:r>
              <w:rPr>
                <w:sz w:val="20"/>
              </w:rPr>
              <w:t xml:space="preserve">s  </w:t>
            </w:r>
          </w:p>
          <w:p w:rsidR="00EE0979" w:rsidRDefault="00B022A0">
            <w:pPr>
              <w:spacing w:after="0" w:line="259" w:lineRule="auto"/>
              <w:ind w:left="0" w:right="103" w:firstLine="0"/>
              <w:jc w:val="center"/>
            </w:pPr>
            <w:r>
              <w:rPr>
                <w:sz w:val="20"/>
              </w:rP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rPr>
                <w:sz w:val="20"/>
              </w:rP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1" w:firstLine="0"/>
              <w:jc w:val="center"/>
            </w:pPr>
            <w:r>
              <w:rPr>
                <w:sz w:val="20"/>
              </w:rPr>
              <w:t xml:space="preserve">Ratio </w:t>
            </w:r>
          </w:p>
          <w:p w:rsidR="00EE0979" w:rsidRDefault="00B022A0">
            <w:pPr>
              <w:spacing w:after="0" w:line="259" w:lineRule="auto"/>
              <w:ind w:left="12" w:firstLine="0"/>
              <w:jc w:val="left"/>
            </w:pPr>
            <w:r>
              <w:rPr>
                <w:sz w:val="20"/>
              </w:rPr>
              <w:t xml:space="preserve">Operaciones  </w:t>
            </w:r>
          </w:p>
          <w:p w:rsidR="00EE0979" w:rsidRDefault="00B022A0">
            <w:pPr>
              <w:spacing w:after="0" w:line="259" w:lineRule="auto"/>
              <w:ind w:left="0" w:right="15" w:firstLine="0"/>
              <w:jc w:val="center"/>
            </w:pPr>
            <w:r>
              <w:rPr>
                <w:sz w:val="20"/>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firstLine="0"/>
              <w:jc w:val="center"/>
            </w:pPr>
            <w:r>
              <w:rPr>
                <w:sz w:val="20"/>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8" w:firstLine="0"/>
              <w:jc w:val="center"/>
            </w:pPr>
            <w:r>
              <w:rPr>
                <w:sz w:val="20"/>
              </w:rPr>
              <w:t xml:space="preserve">PMP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9" w:firstLine="0"/>
              <w:jc w:val="center"/>
            </w:pPr>
            <w:r>
              <w:rPr>
                <w:sz w:val="20"/>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20,94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4.271.691,18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42,90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3" w:firstLine="0"/>
              <w:jc w:val="center"/>
            </w:pPr>
            <w:r>
              <w:rPr>
                <w:sz w:val="20"/>
              </w:rPr>
              <w:t xml:space="preserve">1.314.101,99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26,11 </w:t>
            </w:r>
          </w:p>
        </w:tc>
      </w:tr>
      <w:tr w:rsidR="00EE0979">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55,84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12.460,01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2,53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5.501,89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sz w:val="20"/>
              </w:rPr>
              <w:t xml:space="preserve">39,52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2" w:firstLine="0"/>
              <w:jc w:val="center"/>
            </w:pPr>
            <w:r>
              <w:rPr>
                <w:sz w:val="20"/>
              </w:rPr>
              <w:t xml:space="preserve">17,79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15.026,84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9,69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2.721,51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sz w:val="20"/>
              </w:rPr>
              <w:t xml:space="preserve">16,54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146" w:firstLine="0"/>
              <w:jc w:val="left"/>
            </w:pPr>
            <w:r>
              <w:rPr>
                <w:sz w:val="20"/>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4" w:firstLine="0"/>
              <w:jc w:val="center"/>
            </w:pPr>
            <w:r>
              <w:rPr>
                <w:sz w:val="20"/>
              </w:rPr>
              <w:t xml:space="preserve">4,65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8" w:firstLine="0"/>
              <w:jc w:val="center"/>
            </w:pPr>
            <w:r>
              <w:rPr>
                <w:sz w:val="20"/>
              </w:rPr>
              <w:t xml:space="preserve">7.529,08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8.487,85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101" w:firstLine="0"/>
              <w:jc w:val="center"/>
            </w:pPr>
            <w:r>
              <w:rPr>
                <w:sz w:val="20"/>
              </w:rPr>
              <w:t xml:space="preserve">3,24 </w:t>
            </w:r>
          </w:p>
        </w:tc>
      </w:tr>
      <w:tr w:rsidR="00EE0979">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44" w:firstLine="0"/>
              <w:jc w:val="center"/>
            </w:pPr>
            <w:r>
              <w:rPr>
                <w:b/>
                <w:sz w:val="20"/>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4.306.707,11 </w:t>
            </w:r>
          </w:p>
        </w:tc>
        <w:tc>
          <w:tcPr>
            <w:tcW w:w="1378"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44" w:firstLine="0"/>
              <w:jc w:val="center"/>
            </w:pP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103" w:firstLine="0"/>
              <w:jc w:val="center"/>
            </w:pPr>
            <w:r>
              <w:rPr>
                <w:b/>
                <w:sz w:val="20"/>
              </w:rPr>
              <w:t xml:space="preserve">1.330.813,24 </w:t>
            </w:r>
          </w:p>
          <w:p w:rsidR="00EE0979" w:rsidRDefault="00B022A0">
            <w:pPr>
              <w:spacing w:after="0" w:line="259" w:lineRule="auto"/>
              <w:ind w:left="0" w:right="43" w:firstLine="0"/>
              <w:jc w:val="center"/>
            </w:pPr>
            <w:r>
              <w:rPr>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99" w:firstLine="0"/>
              <w:jc w:val="center"/>
            </w:pPr>
            <w:r>
              <w:rPr>
                <w:b/>
                <w:sz w:val="20"/>
              </w:rPr>
              <w:t xml:space="preserve">26,05 </w:t>
            </w:r>
          </w:p>
        </w:tc>
      </w:tr>
    </w:tbl>
    <w:p w:rsidR="00EE0979" w:rsidRDefault="00B022A0">
      <w:pPr>
        <w:spacing w:after="112"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color w:val="272923"/>
          <w:sz w:val="24"/>
        </w:rPr>
        <w:t xml:space="preserve"> </w:t>
      </w:r>
    </w:p>
    <w:p w:rsidR="00EE0979" w:rsidRDefault="00B022A0">
      <w:pPr>
        <w:spacing w:after="112"/>
        <w:ind w:right="99" w:hanging="10"/>
      </w:pPr>
      <w:r>
        <w:rPr>
          <w:b/>
        </w:rPr>
        <w:t>Segundo</w:t>
      </w:r>
      <w:r>
        <w:t xml:space="preserve">: </w:t>
      </w:r>
      <w:r>
        <w:rPr>
          <w:b/>
        </w:rPr>
        <w:t>Dar traslado de dicho acuerdo al Ministerio de Hacienda y Función Pública, a través de la plataforma telemática que habilita el propio Ministerio.</w:t>
      </w:r>
      <w:r>
        <w:t xml:space="preserve"> </w:t>
      </w:r>
    </w:p>
    <w:p w:rsidR="00EE0979" w:rsidRDefault="00B022A0">
      <w:pPr>
        <w:spacing w:after="116"/>
        <w:ind w:right="99" w:hanging="10"/>
      </w:pPr>
      <w:r>
        <w:rPr>
          <w:b/>
        </w:rPr>
        <w:t>Tercero: Publicar en el portal web del Ayuntamiento de Candelaria, el Periodo Medio de Pago del Pri</w:t>
      </w:r>
      <w:r>
        <w:rPr>
          <w:b/>
        </w:rPr>
        <w:t>mer Trimestre del ejercicio 2023, en cumplimiento el Real Decreto 1040/2017, de 22 de diciembre.</w:t>
      </w:r>
      <w: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91" w:line="250" w:lineRule="auto"/>
        <w:ind w:left="9" w:right="102" w:hanging="10"/>
      </w:pPr>
      <w:r>
        <w:rPr>
          <w:b/>
          <w:sz w:val="24"/>
        </w:rPr>
        <w:t xml:space="preserve">3- </w:t>
      </w:r>
      <w:r>
        <w:rPr>
          <w:b/>
          <w:sz w:val="24"/>
        </w:rPr>
        <w:t>Expediente 4072/2023. Propuesta del Concejal delegado de Hacienda de fecha 14 de abril de 2023 al Pleno sobre dación de cuenta del informe de Intervención de cumplimiento de plazos de la Ley 15/2010 correspondiente al Primer Trimestre 2023.</w:t>
      </w:r>
      <w:r>
        <w:t xml:space="preserve"> </w:t>
      </w:r>
    </w:p>
    <w:p w:rsidR="00EE0979" w:rsidRDefault="00B022A0">
      <w:pPr>
        <w:spacing w:after="100" w:line="259" w:lineRule="auto"/>
        <w:ind w:left="14" w:firstLine="0"/>
        <w:jc w:val="left"/>
      </w:pPr>
      <w:r>
        <w:rPr>
          <w:b/>
        </w:rPr>
        <w:t xml:space="preserve"> </w:t>
      </w:r>
    </w:p>
    <w:p w:rsidR="00EE0979" w:rsidRDefault="00B022A0">
      <w:pPr>
        <w:spacing w:after="131"/>
        <w:ind w:right="99" w:hanging="10"/>
      </w:pPr>
      <w:r>
        <w:rPr>
          <w:b/>
        </w:rPr>
        <w:t xml:space="preserve">    Consta e</w:t>
      </w:r>
      <w:r>
        <w:rPr>
          <w:b/>
        </w:rPr>
        <w:t>n el expediente Informe de Intervención emitido por Don Nicolás Rojo Garnica, que desempeña el puesto de trabajo de Interventor Municipal, de 18 de mayo de 2022, del siguiente tenor literal:</w:t>
      </w:r>
      <w:r>
        <w:t xml:space="preserve"> </w:t>
      </w:r>
    </w:p>
    <w:p w:rsidR="00EE0979" w:rsidRDefault="00B022A0">
      <w:pPr>
        <w:spacing w:after="229" w:line="259" w:lineRule="auto"/>
        <w:ind w:left="14" w:firstLine="0"/>
        <w:jc w:val="left"/>
      </w:pPr>
      <w:r>
        <w:rPr>
          <w:rFonts w:ascii="Times New Roman" w:eastAsia="Times New Roman" w:hAnsi="Times New Roman" w:cs="Times New Roman"/>
          <w:sz w:val="24"/>
        </w:rPr>
        <w:t xml:space="preserve"> </w:t>
      </w:r>
    </w:p>
    <w:p w:rsidR="00EE0979" w:rsidRDefault="00B022A0">
      <w:pPr>
        <w:pStyle w:val="Ttulo1"/>
        <w:numPr>
          <w:ilvl w:val="0"/>
          <w:numId w:val="0"/>
        </w:numPr>
        <w:spacing w:after="95"/>
        <w:ind w:left="624" w:right="709"/>
      </w:pPr>
      <w:r>
        <w:t>“INFORME</w:t>
      </w:r>
      <w:r>
        <w:rPr>
          <w:b w:val="0"/>
        </w:rPr>
        <w:t xml:space="preserve"> </w:t>
      </w:r>
    </w:p>
    <w:p w:rsidR="00EE0979" w:rsidRDefault="00B022A0">
      <w:pPr>
        <w:spacing w:after="114"/>
        <w:ind w:right="99" w:hanging="10"/>
      </w:pPr>
      <w:r>
        <w:rPr>
          <w:b/>
        </w:rPr>
        <w:t>Visto el expediente antedicho, el funcionario D. Nic</w:t>
      </w:r>
      <w:r>
        <w:rPr>
          <w:b/>
        </w:rPr>
        <w:t>olás Rojo Garnica, que desempeña el puesto de trabajo de Interventor, emite el siguiente informe:</w:t>
      </w:r>
      <w:r>
        <w:t xml:space="preserve"> </w:t>
      </w:r>
    </w:p>
    <w:p w:rsidR="00EE0979" w:rsidRDefault="00B022A0">
      <w:pPr>
        <w:spacing w:after="98" w:line="259" w:lineRule="auto"/>
        <w:ind w:left="0" w:right="36" w:firstLine="0"/>
        <w:jc w:val="center"/>
      </w:pPr>
      <w:r>
        <w:t xml:space="preserve"> </w:t>
      </w:r>
    </w:p>
    <w:p w:rsidR="00EE0979" w:rsidRDefault="00B022A0">
      <w:pPr>
        <w:pStyle w:val="Ttulo1"/>
        <w:numPr>
          <w:ilvl w:val="0"/>
          <w:numId w:val="0"/>
        </w:numPr>
        <w:spacing w:after="95"/>
        <w:ind w:left="624" w:right="709"/>
      </w:pPr>
      <w:r>
        <w:rPr>
          <w:b w:val="0"/>
        </w:rPr>
        <w:t xml:space="preserve"> </w:t>
      </w:r>
      <w:r>
        <w:t>Antecedentes de hecho</w:t>
      </w:r>
      <w:r>
        <w:rPr>
          <w:b w:val="0"/>
        </w:rPr>
        <w:t xml:space="preserve"> </w:t>
      </w:r>
    </w:p>
    <w:p w:rsidR="00EE0979" w:rsidRDefault="00B022A0">
      <w:pPr>
        <w:spacing w:after="112"/>
        <w:ind w:right="100"/>
      </w:pPr>
      <w:r>
        <w:t xml:space="preserve">I.- </w:t>
      </w:r>
      <w:r>
        <w:t xml:space="preserve">Ha sido remitida a esta intervención, información de los entes dependientes para el cálculo del informe de morosidad del primer trimestre del ejercicio 2023.  </w:t>
      </w:r>
    </w:p>
    <w:p w:rsidR="00EE0979" w:rsidRDefault="00B022A0">
      <w:pPr>
        <w:spacing w:after="95" w:line="259" w:lineRule="auto"/>
        <w:ind w:left="14" w:firstLine="0"/>
        <w:jc w:val="left"/>
      </w:pPr>
      <w:r>
        <w:t xml:space="preserve"> </w:t>
      </w:r>
    </w:p>
    <w:p w:rsidR="00EE0979" w:rsidRDefault="00B022A0">
      <w:pPr>
        <w:pStyle w:val="Ttulo1"/>
        <w:numPr>
          <w:ilvl w:val="0"/>
          <w:numId w:val="0"/>
        </w:numPr>
        <w:spacing w:after="95"/>
        <w:ind w:left="624" w:right="709"/>
      </w:pPr>
      <w:r>
        <w:t>CONCLUSIONES</w:t>
      </w:r>
      <w:r>
        <w:rPr>
          <w:b w:val="0"/>
        </w:rPr>
        <w:t xml:space="preserve"> </w:t>
      </w:r>
    </w:p>
    <w:p w:rsidR="00EE0979" w:rsidRDefault="00B022A0">
      <w:pPr>
        <w:ind w:right="100"/>
      </w:pPr>
      <w:r>
        <w:rPr>
          <w:b/>
        </w:rPr>
        <w:t>Primera. -</w:t>
      </w:r>
      <w:r>
        <w:t xml:space="preserve"> El funcionario que suscribe, Interventor del Ayuntamiento de Candelar</w:t>
      </w:r>
      <w:r>
        <w:t xml:space="preserve">ia, dando cumplimiento a lo dispuesto en el artículo 4 de la Ley 15/2010, de 5 de julio, de modificación de la Ley </w:t>
      </w:r>
    </w:p>
    <w:p w:rsidR="00EE0979" w:rsidRDefault="00B022A0">
      <w:pPr>
        <w:spacing w:after="96"/>
        <w:ind w:left="9" w:right="98" w:hanging="10"/>
      </w:pPr>
      <w:r>
        <w:t xml:space="preserve">3/2004, de 29 de diciembre, que establece que: </w:t>
      </w:r>
      <w:r>
        <w:rPr>
          <w:i/>
        </w:rPr>
        <w:t>“. Los Tesoreros o, en su defecto, Interventores de las Corporaciones locales elaborarán trim</w:t>
      </w:r>
      <w:r>
        <w:rPr>
          <w:i/>
        </w:rPr>
        <w:t>estralmente un informe sobre el cumplimiento de los plazos previstos en esta Ley para el pago de las obligaciones de cada Entidad local, que incluirá necesariamente el número y cuantía global de las obligaciones pendientes en las que se esté incumpliendo e</w:t>
      </w:r>
      <w:r>
        <w:rPr>
          <w:i/>
        </w:rPr>
        <w:t>l plazo.</w:t>
      </w:r>
      <w:r>
        <w:rPr>
          <w:rFonts w:ascii="Times New Roman" w:eastAsia="Times New Roman" w:hAnsi="Times New Roman" w:cs="Times New Roman"/>
          <w:sz w:val="24"/>
        </w:rPr>
        <w:t xml:space="preserve"> </w:t>
      </w:r>
    </w:p>
    <w:p w:rsidR="00EE0979" w:rsidRDefault="00B022A0">
      <w:pPr>
        <w:ind w:left="9" w:right="98" w:hanging="10"/>
      </w:pPr>
      <w:r>
        <w:rPr>
          <w:i/>
        </w:rPr>
        <w:t xml:space="preserve">4. Sin perjuicio de su posible presentación y debate en el Pleno de la Corporación local, dicho informe deberá remitirse, en todo caso, a los órganos competentes del Ministerio de Economía y Hacienda y, en su respectivo ámbito territorial, a los </w:t>
      </w:r>
      <w:r>
        <w:rPr>
          <w:i/>
        </w:rPr>
        <w:t>de las Comunidades Autónomas que, con arreglo a sus respectivos Estatutos de Autonomía, tengan atribuida la tutela financiera de las Entidades locales. Tales órganos podrán igualmente requerir la remisión de los citados informes. (...)”</w:t>
      </w:r>
      <w:r>
        <w:t xml:space="preserve"> tiene a bien inform</w:t>
      </w:r>
      <w:r>
        <w:t>ar que</w:t>
      </w:r>
      <w:r>
        <w:rPr>
          <w:i/>
        </w:rPr>
        <w:t>,</w:t>
      </w:r>
      <w:r>
        <w:t xml:space="preserve"> según los datos obrantes en la contabilidad a fecha 11 de abril de 2023, el resumen de los plazos de pago en esta corporación ha sido el siguiente:</w:t>
      </w:r>
      <w:r>
        <w:rPr>
          <w:rFonts w:ascii="Times New Roman" w:eastAsia="Times New Roman" w:hAnsi="Times New Roman" w:cs="Times New Roman"/>
          <w:sz w:val="24"/>
        </w:rPr>
        <w:t xml:space="preserve"> </w:t>
      </w:r>
    </w:p>
    <w:p w:rsidR="00EE0979" w:rsidRDefault="00B022A0">
      <w:pPr>
        <w:spacing w:after="26" w:line="259" w:lineRule="auto"/>
        <w:ind w:left="0" w:right="1117" w:firstLine="0"/>
        <w:jc w:val="right"/>
      </w:pPr>
      <w:r>
        <w:rPr>
          <w:noProof/>
        </w:rPr>
        <w:drawing>
          <wp:inline distT="0" distB="0" distL="0" distR="0">
            <wp:extent cx="5394960" cy="1821180"/>
            <wp:effectExtent l="0" t="0" r="0" b="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15"/>
                    <a:stretch>
                      <a:fillRect/>
                    </a:stretch>
                  </pic:blipFill>
                  <pic:spPr>
                    <a:xfrm>
                      <a:off x="0" y="0"/>
                      <a:ext cx="5394960" cy="182118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95" w:line="259" w:lineRule="auto"/>
        <w:ind w:left="14" w:firstLine="0"/>
        <w:jc w:val="left"/>
      </w:pPr>
      <w:r>
        <w:t xml:space="preserve"> </w:t>
      </w:r>
    </w:p>
    <w:p w:rsidR="00EE0979" w:rsidRDefault="00B022A0">
      <w:pPr>
        <w:spacing w:after="50" w:line="259" w:lineRule="auto"/>
        <w:ind w:left="0" w:right="1094" w:firstLine="0"/>
        <w:jc w:val="right"/>
      </w:pPr>
      <w:r>
        <w:rPr>
          <w:noProof/>
        </w:rPr>
        <w:drawing>
          <wp:inline distT="0" distB="0" distL="0" distR="0">
            <wp:extent cx="5401057" cy="3092196"/>
            <wp:effectExtent l="0" t="0" r="0" b="0"/>
            <wp:docPr id="4767" name="Picture 4767"/>
            <wp:cNvGraphicFramePr/>
            <a:graphic xmlns:a="http://schemas.openxmlformats.org/drawingml/2006/main">
              <a:graphicData uri="http://schemas.openxmlformats.org/drawingml/2006/picture">
                <pic:pic xmlns:pic="http://schemas.openxmlformats.org/drawingml/2006/picture">
                  <pic:nvPicPr>
                    <pic:cNvPr id="4767" name="Picture 4767"/>
                    <pic:cNvPicPr/>
                  </pic:nvPicPr>
                  <pic:blipFill>
                    <a:blip r:embed="rId16"/>
                    <a:stretch>
                      <a:fillRect/>
                    </a:stretch>
                  </pic:blipFill>
                  <pic:spPr>
                    <a:xfrm>
                      <a:off x="0" y="0"/>
                      <a:ext cx="5401057" cy="3092196"/>
                    </a:xfrm>
                    <a:prstGeom prst="rect">
                      <a:avLst/>
                    </a:prstGeom>
                  </pic:spPr>
                </pic:pic>
              </a:graphicData>
            </a:graphic>
          </wp:inline>
        </w:drawing>
      </w:r>
      <w:r>
        <w:t xml:space="preserve"> </w:t>
      </w:r>
    </w:p>
    <w:p w:rsidR="00EE0979" w:rsidRDefault="00B022A0">
      <w:pPr>
        <w:spacing w:after="35" w:line="259" w:lineRule="auto"/>
        <w:ind w:left="14" w:firstLine="0"/>
        <w:jc w:val="left"/>
      </w:pPr>
      <w:r>
        <w:t xml:space="preserve"> </w:t>
      </w:r>
    </w:p>
    <w:p w:rsidR="00EE0979" w:rsidRDefault="00B022A0">
      <w:pPr>
        <w:tabs>
          <w:tab w:val="center" w:pos="2482"/>
          <w:tab w:val="center" w:pos="3841"/>
          <w:tab w:val="center" w:pos="5636"/>
          <w:tab w:val="center" w:pos="6908"/>
        </w:tabs>
        <w:spacing w:after="6"/>
        <w:ind w:left="0" w:firstLine="0"/>
        <w:jc w:val="left"/>
      </w:pPr>
      <w:r>
        <w:rPr>
          <w:b/>
        </w:rPr>
        <w:t xml:space="preserve">EPELCAN </w:t>
      </w:r>
      <w:r>
        <w:rPr>
          <w:b/>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E0979" w:rsidRDefault="00B022A0">
      <w:pPr>
        <w:ind w:left="159" w:right="6870"/>
      </w:pPr>
      <w:r>
        <w:t>PAGOS REALIZADOS EN EL PE-</w:t>
      </w:r>
    </w:p>
    <w:p w:rsidR="00EE0979" w:rsidRDefault="00B022A0">
      <w:pPr>
        <w:ind w:left="159" w:right="100"/>
      </w:pPr>
      <w:r>
        <w:t xml:space="preserve">RIODO </w:t>
      </w:r>
    </w:p>
    <w:p w:rsidR="00EE0979" w:rsidRDefault="00B022A0">
      <w:pPr>
        <w:spacing w:after="0" w:line="259" w:lineRule="auto"/>
        <w:ind w:left="154" w:firstLine="0"/>
        <w:jc w:val="left"/>
      </w:pPr>
      <w:r>
        <w:t xml:space="preserve"> </w:t>
      </w:r>
    </w:p>
    <w:p w:rsidR="00EE0979" w:rsidRDefault="00B022A0">
      <w:pPr>
        <w:spacing w:after="0" w:line="259" w:lineRule="auto"/>
        <w:ind w:left="154" w:firstLine="0"/>
        <w:jc w:val="left"/>
      </w:pPr>
      <w:r>
        <w:t xml:space="preserve"> </w:t>
      </w: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W w:w="8507" w:type="dxa"/>
        <w:tblInd w:w="84" w:type="dxa"/>
        <w:tblCellMar>
          <w:top w:w="9" w:type="dxa"/>
          <w:left w:w="70" w:type="dxa"/>
          <w:bottom w:w="9" w:type="dxa"/>
          <w:right w:w="18" w:type="dxa"/>
        </w:tblCellMar>
        <w:tblLook w:val="04A0" w:firstRow="1" w:lastRow="0" w:firstColumn="1" w:lastColumn="0" w:noHBand="0" w:noVBand="1"/>
      </w:tblPr>
      <w:tblGrid>
        <w:gridCol w:w="2328"/>
        <w:gridCol w:w="1359"/>
        <w:gridCol w:w="1799"/>
        <w:gridCol w:w="1268"/>
        <w:gridCol w:w="1753"/>
      </w:tblGrid>
      <w:tr w:rsidR="00EE0979">
        <w:trPr>
          <w:trHeight w:val="307"/>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5" w:firstLine="0"/>
              <w:jc w:val="center"/>
            </w:pPr>
            <w:r>
              <w:rPr>
                <w:sz w:val="20"/>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112" w:firstLine="0"/>
              <w:jc w:val="left"/>
            </w:pPr>
            <w:r>
              <w:rPr>
                <w:sz w:val="20"/>
              </w:rPr>
              <w:t xml:space="preserve">Fuera del Periodo Legal Pago </w:t>
            </w:r>
          </w:p>
        </w:tc>
      </w:tr>
      <w:tr w:rsidR="00EE0979">
        <w:trPr>
          <w:trHeight w:val="47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58" w:firstLine="0"/>
              <w:jc w:val="center"/>
            </w:pPr>
            <w:r>
              <w:rPr>
                <w:sz w:val="20"/>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4" w:firstLine="0"/>
              <w:jc w:val="center"/>
            </w:pPr>
            <w:r>
              <w:rPr>
                <w:sz w:val="20"/>
              </w:rPr>
              <w:t xml:space="preserve">Importe Total </w:t>
            </w:r>
          </w:p>
        </w:tc>
      </w:tr>
      <w:tr w:rsidR="00EE0979">
        <w:trPr>
          <w:trHeight w:val="307"/>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55,84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1" w:firstLine="0"/>
              <w:jc w:val="center"/>
            </w:pPr>
            <w:r>
              <w:rPr>
                <w:sz w:val="20"/>
              </w:rPr>
              <w:t xml:space="preserve">3 </w:t>
            </w:r>
          </w:p>
        </w:tc>
        <w:tc>
          <w:tcPr>
            <w:tcW w:w="1799"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60" w:firstLine="0"/>
              <w:jc w:val="center"/>
            </w:pPr>
            <w:r>
              <w:rPr>
                <w:sz w:val="20"/>
              </w:rPr>
              <w:t xml:space="preserve">819,31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21 </w:t>
            </w:r>
          </w:p>
        </w:tc>
        <w:tc>
          <w:tcPr>
            <w:tcW w:w="175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11.640,70 </w:t>
            </w:r>
          </w:p>
        </w:tc>
      </w:tr>
    </w:tbl>
    <w:p w:rsidR="00EE0979" w:rsidRDefault="00B022A0">
      <w:pPr>
        <w:spacing w:after="0" w:line="259" w:lineRule="auto"/>
        <w:ind w:left="154" w:firstLine="0"/>
        <w:jc w:val="left"/>
      </w:pPr>
      <w:r>
        <w:rPr>
          <w:sz w:val="20"/>
        </w:rPr>
        <w:t xml:space="preserve"> </w:t>
      </w:r>
    </w:p>
    <w:p w:rsidR="00EE0979" w:rsidRDefault="00B022A0">
      <w:pPr>
        <w:spacing w:after="0" w:line="259" w:lineRule="auto"/>
        <w:ind w:left="154" w:firstLine="0"/>
        <w:jc w:val="left"/>
      </w:pPr>
      <w:r>
        <w:rPr>
          <w:sz w:val="20"/>
        </w:rPr>
        <w:t xml:space="preserve"> </w:t>
      </w:r>
    </w:p>
    <w:p w:rsidR="00EE0979" w:rsidRDefault="00B022A0">
      <w:pPr>
        <w:spacing w:after="0" w:line="259" w:lineRule="auto"/>
        <w:ind w:left="154" w:firstLine="0"/>
        <w:jc w:val="left"/>
      </w:pPr>
      <w:r>
        <w:rPr>
          <w:sz w:val="20"/>
        </w:rPr>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EE0979" w:rsidRDefault="00B022A0">
      <w:pPr>
        <w:ind w:left="159" w:right="100"/>
      </w:pPr>
      <w:r>
        <w:t xml:space="preserve">FACTURAS O DOCUMENTOS PENDIENTES DE </w:t>
      </w:r>
    </w:p>
    <w:p w:rsidR="00EE0979" w:rsidRDefault="00B022A0">
      <w:pPr>
        <w:tabs>
          <w:tab w:val="center" w:pos="5643"/>
          <w:tab w:val="center" w:pos="6908"/>
        </w:tabs>
        <w:ind w:left="0" w:firstLine="0"/>
        <w:jc w:val="left"/>
      </w:pPr>
      <w:r>
        <w:t xml:space="preserve">PAGO AL FINAL DEL PERIODO </w:t>
      </w: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489" w:type="dxa"/>
        <w:tblInd w:w="93" w:type="dxa"/>
        <w:tblCellMar>
          <w:top w:w="9" w:type="dxa"/>
          <w:left w:w="61" w:type="dxa"/>
          <w:bottom w:w="9" w:type="dxa"/>
          <w:right w:w="18" w:type="dxa"/>
        </w:tblCellMar>
        <w:tblLook w:val="04A0" w:firstRow="1" w:lastRow="0" w:firstColumn="1" w:lastColumn="0" w:noHBand="0" w:noVBand="1"/>
      </w:tblPr>
      <w:tblGrid>
        <w:gridCol w:w="2317"/>
        <w:gridCol w:w="1360"/>
        <w:gridCol w:w="1796"/>
        <w:gridCol w:w="1271"/>
        <w:gridCol w:w="1745"/>
      </w:tblGrid>
      <w:tr w:rsidR="00EE0979">
        <w:trPr>
          <w:trHeight w:val="350"/>
        </w:trPr>
        <w:tc>
          <w:tcPr>
            <w:tcW w:w="231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41" w:firstLine="0"/>
              <w:jc w:val="center"/>
            </w:pPr>
            <w:r>
              <w:rPr>
                <w:sz w:val="20"/>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vAlign w:val="bottom"/>
          </w:tcPr>
          <w:p w:rsidR="00EE0979" w:rsidRDefault="00B022A0">
            <w:pPr>
              <w:spacing w:after="0" w:line="259" w:lineRule="auto"/>
              <w:ind w:left="124" w:firstLine="0"/>
              <w:jc w:val="left"/>
            </w:pPr>
            <w:r>
              <w:rPr>
                <w:sz w:val="20"/>
              </w:rPr>
              <w:t xml:space="preserve">Fuera del Periodo Legal Pago </w:t>
            </w:r>
          </w:p>
        </w:tc>
      </w:tr>
      <w:tr w:rsidR="00EE0979">
        <w:trPr>
          <w:trHeight w:val="707"/>
        </w:trPr>
        <w:tc>
          <w:tcPr>
            <w:tcW w:w="231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center"/>
            </w:pPr>
            <w:r>
              <w:rPr>
                <w:sz w:val="20"/>
              </w:rP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45" w:firstLine="0"/>
              <w:jc w:val="center"/>
            </w:pPr>
            <w:r>
              <w:rPr>
                <w:sz w:val="20"/>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44" w:firstLine="0"/>
              <w:jc w:val="center"/>
            </w:pPr>
            <w:r>
              <w:rPr>
                <w:sz w:val="20"/>
              </w:rPr>
              <w:t xml:space="preserve">Número </w:t>
            </w:r>
          </w:p>
          <w:p w:rsidR="00EE0979" w:rsidRDefault="00B022A0">
            <w:pPr>
              <w:spacing w:after="0" w:line="259" w:lineRule="auto"/>
              <w:ind w:left="0" w:right="24" w:firstLine="0"/>
              <w:jc w:val="center"/>
            </w:pPr>
            <w:r>
              <w:rPr>
                <w:sz w:val="20"/>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35" w:firstLine="0"/>
              <w:jc w:val="center"/>
            </w:pPr>
            <w:r>
              <w:rPr>
                <w:sz w:val="20"/>
              </w:rPr>
              <w:t xml:space="preserve">Importe Total </w:t>
            </w:r>
          </w:p>
        </w:tc>
      </w:tr>
      <w:tr w:rsidR="00EE0979">
        <w:trPr>
          <w:trHeight w:val="293"/>
        </w:trPr>
        <w:tc>
          <w:tcPr>
            <w:tcW w:w="231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2,54 </w:t>
            </w:r>
          </w:p>
        </w:tc>
        <w:tc>
          <w:tcPr>
            <w:tcW w:w="13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46" w:firstLine="0"/>
              <w:jc w:val="center"/>
            </w:pPr>
            <w:r>
              <w:rPr>
                <w:sz w:val="20"/>
              </w:rPr>
              <w:t xml:space="preserve">18 </w:t>
            </w:r>
          </w:p>
        </w:tc>
        <w:tc>
          <w:tcPr>
            <w:tcW w:w="1796"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45" w:firstLine="0"/>
              <w:jc w:val="center"/>
            </w:pPr>
            <w:r>
              <w:rPr>
                <w:sz w:val="20"/>
              </w:rPr>
              <w:t xml:space="preserve">5.064,26 </w:t>
            </w:r>
          </w:p>
        </w:tc>
        <w:tc>
          <w:tcPr>
            <w:tcW w:w="1271"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46" w:firstLine="0"/>
              <w:jc w:val="center"/>
            </w:pPr>
            <w:r>
              <w:rPr>
                <w:sz w:val="20"/>
              </w:rPr>
              <w:t xml:space="preserve">2 </w:t>
            </w:r>
          </w:p>
        </w:tc>
        <w:tc>
          <w:tcPr>
            <w:tcW w:w="174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38" w:firstLine="0"/>
              <w:jc w:val="center"/>
            </w:pPr>
            <w:r>
              <w:rPr>
                <w:sz w:val="20"/>
              </w:rPr>
              <w:t xml:space="preserve">437,63 </w:t>
            </w:r>
          </w:p>
        </w:tc>
      </w:tr>
    </w:tbl>
    <w:p w:rsidR="00EE0979" w:rsidRDefault="00B022A0">
      <w:pPr>
        <w:spacing w:after="0" w:line="259" w:lineRule="auto"/>
        <w:ind w:left="154"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E0979" w:rsidRDefault="00B022A0">
      <w:pPr>
        <w:spacing w:after="0" w:line="259" w:lineRule="auto"/>
        <w:ind w:left="154" w:firstLine="0"/>
        <w:jc w:val="left"/>
      </w:pPr>
      <w:r>
        <w:rPr>
          <w:b/>
        </w:rPr>
        <w:t xml:space="preserve"> </w:t>
      </w:r>
    </w:p>
    <w:p w:rsidR="00EE0979" w:rsidRDefault="00B022A0">
      <w:pPr>
        <w:spacing w:after="6"/>
        <w:ind w:left="164" w:right="99" w:hanging="10"/>
      </w:pPr>
      <w:r>
        <w:rPr>
          <w:b/>
        </w:rPr>
        <w:t>VIVIENDAS Y SERVICIOS MUNICI-</w:t>
      </w:r>
    </w:p>
    <w:p w:rsidR="00EE0979" w:rsidRDefault="00B022A0">
      <w:pPr>
        <w:tabs>
          <w:tab w:val="center" w:pos="3841"/>
          <w:tab w:val="center" w:pos="5636"/>
          <w:tab w:val="center" w:pos="6908"/>
        </w:tabs>
        <w:spacing w:after="6"/>
        <w:ind w:left="0" w:firstLine="0"/>
        <w:jc w:val="left"/>
      </w:pPr>
      <w:r>
        <w:rPr>
          <w:b/>
        </w:rPr>
        <w:t xml:space="preserve">PALES DE CANDELARIA </w:t>
      </w:r>
      <w:r>
        <w:rPr>
          <w:b/>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E0979" w:rsidRDefault="00B022A0">
      <w:pPr>
        <w:ind w:left="159" w:right="6870"/>
      </w:pPr>
      <w:r>
        <w:t>PAGOS REALIZADOS EN EL PE-</w:t>
      </w:r>
    </w:p>
    <w:p w:rsidR="00EE0979" w:rsidRDefault="00B022A0">
      <w:pPr>
        <w:tabs>
          <w:tab w:val="center" w:pos="2482"/>
          <w:tab w:val="center" w:pos="3841"/>
          <w:tab w:val="center" w:pos="5636"/>
          <w:tab w:val="center" w:pos="6908"/>
        </w:tabs>
        <w:ind w:left="0" w:firstLine="0"/>
        <w:jc w:val="left"/>
      </w:pPr>
      <w:r>
        <w:t xml:space="preserve">RIODO </w:t>
      </w: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W w:w="8507" w:type="dxa"/>
        <w:tblInd w:w="84" w:type="dxa"/>
        <w:tblCellMar>
          <w:top w:w="9" w:type="dxa"/>
          <w:left w:w="70" w:type="dxa"/>
          <w:bottom w:w="9" w:type="dxa"/>
          <w:right w:w="18" w:type="dxa"/>
        </w:tblCellMar>
        <w:tblLook w:val="04A0" w:firstRow="1" w:lastRow="0" w:firstColumn="1" w:lastColumn="0" w:noHBand="0" w:noVBand="1"/>
      </w:tblPr>
      <w:tblGrid>
        <w:gridCol w:w="2328"/>
        <w:gridCol w:w="1359"/>
        <w:gridCol w:w="1799"/>
        <w:gridCol w:w="1268"/>
        <w:gridCol w:w="1753"/>
      </w:tblGrid>
      <w:tr w:rsidR="00EE0979">
        <w:trPr>
          <w:trHeight w:val="307"/>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5" w:firstLine="0"/>
              <w:jc w:val="center"/>
            </w:pPr>
            <w:r>
              <w:rPr>
                <w:sz w:val="20"/>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112" w:firstLine="0"/>
              <w:jc w:val="left"/>
            </w:pPr>
            <w:r>
              <w:rPr>
                <w:sz w:val="20"/>
              </w:rPr>
              <w:t xml:space="preserve">Fuera del Periodo Legal Pago </w:t>
            </w:r>
          </w:p>
        </w:tc>
      </w:tr>
      <w:tr w:rsidR="00EE0979">
        <w:trPr>
          <w:trHeight w:val="47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58" w:firstLine="0"/>
              <w:jc w:val="center"/>
            </w:pPr>
            <w:r>
              <w:rPr>
                <w:sz w:val="20"/>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4" w:firstLine="0"/>
              <w:jc w:val="center"/>
            </w:pPr>
            <w:r>
              <w:rPr>
                <w:sz w:val="20"/>
              </w:rPr>
              <w:t xml:space="preserve">Importe Total </w:t>
            </w:r>
          </w:p>
        </w:tc>
      </w:tr>
      <w:tr w:rsidR="00EE0979">
        <w:trPr>
          <w:trHeight w:val="307"/>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17,79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rPr>
                <w:sz w:val="20"/>
              </w:rPr>
              <w:t xml:space="preserve">34 </w:t>
            </w:r>
          </w:p>
        </w:tc>
        <w:tc>
          <w:tcPr>
            <w:tcW w:w="1799"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61" w:firstLine="0"/>
              <w:jc w:val="center"/>
            </w:pPr>
            <w:r>
              <w:rPr>
                <w:sz w:val="20"/>
              </w:rPr>
              <w:t xml:space="preserve">11.376,66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9 </w:t>
            </w:r>
          </w:p>
        </w:tc>
        <w:tc>
          <w:tcPr>
            <w:tcW w:w="175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4" w:firstLine="0"/>
              <w:jc w:val="center"/>
            </w:pPr>
            <w:r>
              <w:rPr>
                <w:sz w:val="20"/>
              </w:rPr>
              <w:t xml:space="preserve">3.650,18 </w:t>
            </w:r>
          </w:p>
        </w:tc>
      </w:tr>
    </w:tbl>
    <w:p w:rsidR="00EE0979" w:rsidRDefault="00B022A0">
      <w:pPr>
        <w:spacing w:after="0" w:line="259" w:lineRule="auto"/>
        <w:ind w:left="154"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E0979" w:rsidRDefault="00B022A0">
      <w:pPr>
        <w:ind w:left="159" w:right="100"/>
      </w:pPr>
      <w:r>
        <w:t xml:space="preserve">FACTURAS O DOCUMENTOS PENDIENTES DE </w:t>
      </w:r>
    </w:p>
    <w:p w:rsidR="00EE0979" w:rsidRDefault="00B022A0">
      <w:pPr>
        <w:ind w:left="159" w:right="100"/>
      </w:pPr>
      <w:r>
        <w:t xml:space="preserve">PAGO AL FINAL DEL PERIODO </w:t>
      </w:r>
    </w:p>
    <w:p w:rsidR="00EE0979" w:rsidRDefault="00B022A0">
      <w:pPr>
        <w:spacing w:after="0" w:line="259" w:lineRule="auto"/>
        <w:ind w:left="154"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W w:w="8489" w:type="dxa"/>
        <w:tblInd w:w="93" w:type="dxa"/>
        <w:tblCellMar>
          <w:top w:w="9" w:type="dxa"/>
          <w:left w:w="61" w:type="dxa"/>
          <w:bottom w:w="9" w:type="dxa"/>
          <w:right w:w="16" w:type="dxa"/>
        </w:tblCellMar>
        <w:tblLook w:val="04A0" w:firstRow="1" w:lastRow="0" w:firstColumn="1" w:lastColumn="0" w:noHBand="0" w:noVBand="1"/>
      </w:tblPr>
      <w:tblGrid>
        <w:gridCol w:w="2317"/>
        <w:gridCol w:w="1360"/>
        <w:gridCol w:w="1796"/>
        <w:gridCol w:w="1271"/>
        <w:gridCol w:w="1745"/>
      </w:tblGrid>
      <w:tr w:rsidR="00EE0979">
        <w:trPr>
          <w:trHeight w:val="310"/>
        </w:trPr>
        <w:tc>
          <w:tcPr>
            <w:tcW w:w="231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42" w:firstLine="0"/>
              <w:jc w:val="center"/>
            </w:pPr>
            <w:r>
              <w:rPr>
                <w:sz w:val="20"/>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124" w:firstLine="0"/>
              <w:jc w:val="left"/>
            </w:pPr>
            <w:r>
              <w:rPr>
                <w:sz w:val="20"/>
              </w:rPr>
              <w:t xml:space="preserve">Fuera del Periodo Legal Pago </w:t>
            </w:r>
          </w:p>
        </w:tc>
      </w:tr>
      <w:tr w:rsidR="00EE0979">
        <w:trPr>
          <w:trHeight w:val="706"/>
        </w:trPr>
        <w:tc>
          <w:tcPr>
            <w:tcW w:w="231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center"/>
            </w:pPr>
            <w:r>
              <w:rPr>
                <w:sz w:val="20"/>
              </w:rP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47" w:firstLine="0"/>
              <w:jc w:val="center"/>
            </w:pPr>
            <w:r>
              <w:rPr>
                <w:sz w:val="20"/>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46" w:firstLine="0"/>
              <w:jc w:val="center"/>
            </w:pPr>
            <w:r>
              <w:rPr>
                <w:sz w:val="20"/>
              </w:rPr>
              <w:t xml:space="preserve">Número </w:t>
            </w:r>
          </w:p>
          <w:p w:rsidR="00EE0979" w:rsidRDefault="00B022A0">
            <w:pPr>
              <w:spacing w:after="0" w:line="259" w:lineRule="auto"/>
              <w:ind w:left="0" w:right="25" w:firstLine="0"/>
              <w:jc w:val="center"/>
            </w:pPr>
            <w:r>
              <w:rPr>
                <w:sz w:val="20"/>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37" w:firstLine="0"/>
              <w:jc w:val="center"/>
            </w:pPr>
            <w:r>
              <w:rPr>
                <w:sz w:val="20"/>
              </w:rPr>
              <w:t xml:space="preserve">Importe Total </w:t>
            </w:r>
          </w:p>
        </w:tc>
      </w:tr>
      <w:tr w:rsidR="00EE0979">
        <w:trPr>
          <w:trHeight w:val="294"/>
        </w:trPr>
        <w:tc>
          <w:tcPr>
            <w:tcW w:w="231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9,69 </w:t>
            </w:r>
          </w:p>
        </w:tc>
        <w:tc>
          <w:tcPr>
            <w:tcW w:w="136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42" w:firstLine="0"/>
              <w:jc w:val="center"/>
            </w:pPr>
            <w:r>
              <w:rPr>
                <w:sz w:val="20"/>
              </w:rPr>
              <w:t xml:space="preserve">4 </w:t>
            </w:r>
          </w:p>
        </w:tc>
        <w:tc>
          <w:tcPr>
            <w:tcW w:w="1796"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47" w:firstLine="0"/>
              <w:jc w:val="center"/>
            </w:pPr>
            <w:r>
              <w:rPr>
                <w:sz w:val="20"/>
              </w:rPr>
              <w:t xml:space="preserve">1.969,77 </w:t>
            </w:r>
          </w:p>
        </w:tc>
        <w:tc>
          <w:tcPr>
            <w:tcW w:w="1271"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47" w:firstLine="0"/>
              <w:jc w:val="center"/>
            </w:pPr>
            <w:r>
              <w:rPr>
                <w:sz w:val="20"/>
              </w:rPr>
              <w:t xml:space="preserve">2 </w:t>
            </w:r>
          </w:p>
        </w:tc>
        <w:tc>
          <w:tcPr>
            <w:tcW w:w="174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39" w:firstLine="0"/>
              <w:jc w:val="center"/>
            </w:pPr>
            <w:r>
              <w:rPr>
                <w:sz w:val="20"/>
              </w:rPr>
              <w:t xml:space="preserve">751,74 </w:t>
            </w:r>
          </w:p>
        </w:tc>
      </w:tr>
    </w:tbl>
    <w:p w:rsidR="00EE0979" w:rsidRDefault="00B022A0">
      <w:pPr>
        <w:spacing w:after="0" w:line="259" w:lineRule="auto"/>
        <w:ind w:left="154" w:firstLine="0"/>
        <w:jc w:val="left"/>
      </w:pPr>
      <w:r>
        <w:rPr>
          <w:b/>
        </w:rPr>
        <w:t xml:space="preserve"> </w:t>
      </w:r>
    </w:p>
    <w:p w:rsidR="00EE0979" w:rsidRDefault="00B022A0">
      <w:pPr>
        <w:spacing w:after="0" w:line="259" w:lineRule="auto"/>
        <w:ind w:left="154" w:firstLine="0"/>
        <w:jc w:val="left"/>
      </w:pPr>
      <w:r>
        <w:rPr>
          <w:b/>
        </w:rPr>
        <w:t xml:space="preserve"> </w:t>
      </w:r>
    </w:p>
    <w:p w:rsidR="00EE0979" w:rsidRDefault="00B022A0">
      <w:pPr>
        <w:tabs>
          <w:tab w:val="center" w:pos="2482"/>
          <w:tab w:val="center" w:pos="3841"/>
          <w:tab w:val="center" w:pos="5636"/>
          <w:tab w:val="center" w:pos="6908"/>
        </w:tabs>
        <w:spacing w:after="6"/>
        <w:ind w:left="0" w:firstLine="0"/>
        <w:jc w:val="left"/>
      </w:pPr>
      <w:r>
        <w:rPr>
          <w:b/>
        </w:rPr>
        <w:t xml:space="preserve">CANDESOL </w:t>
      </w:r>
      <w:r>
        <w:rPr>
          <w:b/>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E0979" w:rsidRDefault="00B022A0">
      <w:pPr>
        <w:ind w:left="159" w:right="6870"/>
      </w:pPr>
      <w:r>
        <w:t>PAGOS REALIZADOS EN EL PE-</w:t>
      </w:r>
    </w:p>
    <w:p w:rsidR="00EE0979" w:rsidRDefault="00B022A0">
      <w:pPr>
        <w:tabs>
          <w:tab w:val="center" w:pos="2482"/>
          <w:tab w:val="center" w:pos="3841"/>
          <w:tab w:val="center" w:pos="5636"/>
          <w:tab w:val="center" w:pos="6908"/>
        </w:tabs>
        <w:ind w:left="0" w:firstLine="0"/>
        <w:jc w:val="left"/>
      </w:pPr>
      <w:r>
        <w:t xml:space="preserve">RIODO </w:t>
      </w: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W w:w="8507" w:type="dxa"/>
        <w:tblInd w:w="84" w:type="dxa"/>
        <w:tblCellMar>
          <w:top w:w="9" w:type="dxa"/>
          <w:left w:w="70" w:type="dxa"/>
          <w:bottom w:w="6" w:type="dxa"/>
          <w:right w:w="18" w:type="dxa"/>
        </w:tblCellMar>
        <w:tblLook w:val="04A0" w:firstRow="1" w:lastRow="0" w:firstColumn="1" w:lastColumn="0" w:noHBand="0" w:noVBand="1"/>
      </w:tblPr>
      <w:tblGrid>
        <w:gridCol w:w="2328"/>
        <w:gridCol w:w="1359"/>
        <w:gridCol w:w="1799"/>
        <w:gridCol w:w="1268"/>
        <w:gridCol w:w="1753"/>
      </w:tblGrid>
      <w:tr w:rsidR="00EE0979">
        <w:trPr>
          <w:trHeight w:val="31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5" w:firstLine="0"/>
              <w:jc w:val="center"/>
            </w:pPr>
            <w:r>
              <w:rPr>
                <w:sz w:val="20"/>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112" w:firstLine="0"/>
              <w:jc w:val="left"/>
            </w:pPr>
            <w:r>
              <w:rPr>
                <w:sz w:val="20"/>
              </w:rPr>
              <w:t xml:space="preserve">Fuera del Periodo Legal Pago </w:t>
            </w:r>
          </w:p>
        </w:tc>
      </w:tr>
      <w:tr w:rsidR="00EE0979">
        <w:trPr>
          <w:trHeight w:val="468"/>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58" w:firstLine="0"/>
              <w:jc w:val="center"/>
            </w:pPr>
            <w:r>
              <w:rPr>
                <w:sz w:val="20"/>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4" w:firstLine="0"/>
              <w:jc w:val="center"/>
            </w:pPr>
            <w:r>
              <w:rPr>
                <w:sz w:val="20"/>
              </w:rPr>
              <w:t xml:space="preserve">Importe Total </w:t>
            </w:r>
          </w:p>
        </w:tc>
      </w:tr>
      <w:tr w:rsidR="00EE0979">
        <w:trPr>
          <w:trHeight w:val="31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4,65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5" w:firstLine="0"/>
              <w:jc w:val="center"/>
            </w:pPr>
            <w:r>
              <w:rPr>
                <w:sz w:val="20"/>
              </w:rPr>
              <w:t>60</w:t>
            </w:r>
            <w:r>
              <w:rPr>
                <w:rFonts w:ascii="Times New Roman" w:eastAsia="Times New Roman" w:hAnsi="Times New Roman" w:cs="Times New Roman"/>
                <w:sz w:val="24"/>
              </w:rPr>
              <w:t xml:space="preserve"> </w:t>
            </w:r>
          </w:p>
        </w:tc>
        <w:tc>
          <w:tcPr>
            <w:tcW w:w="1799"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8" w:firstLine="0"/>
              <w:jc w:val="center"/>
            </w:pPr>
            <w:r>
              <w:rPr>
                <w:sz w:val="20"/>
              </w:rPr>
              <w:t xml:space="preserve">6.726,58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60" w:firstLine="0"/>
              <w:jc w:val="center"/>
            </w:pPr>
            <w:r>
              <w:rPr>
                <w:sz w:val="20"/>
              </w:rPr>
              <w:t xml:space="preserve">3 </w:t>
            </w:r>
          </w:p>
        </w:tc>
        <w:tc>
          <w:tcPr>
            <w:tcW w:w="1753"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5" w:firstLine="0"/>
              <w:jc w:val="center"/>
            </w:pPr>
            <w:r>
              <w:rPr>
                <w:sz w:val="20"/>
              </w:rPr>
              <w:t xml:space="preserve">802,50 € </w:t>
            </w:r>
          </w:p>
        </w:tc>
      </w:tr>
    </w:tbl>
    <w:p w:rsidR="00EE0979" w:rsidRDefault="00B022A0">
      <w:pPr>
        <w:spacing w:after="0" w:line="259" w:lineRule="auto"/>
        <w:ind w:left="154"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E0979" w:rsidRDefault="00B022A0">
      <w:pPr>
        <w:spacing w:after="0" w:line="259" w:lineRule="auto"/>
        <w:ind w:left="149" w:hanging="10"/>
        <w:jc w:val="left"/>
      </w:pPr>
      <w:r>
        <w:rPr>
          <w:sz w:val="20"/>
        </w:rPr>
        <w:t xml:space="preserve">FACTURAS O DOCUMENTOS PENDIENTES DE PAGO AL </w:t>
      </w:r>
    </w:p>
    <w:p w:rsidR="00EE0979" w:rsidRDefault="00B022A0">
      <w:pPr>
        <w:spacing w:after="0" w:line="259" w:lineRule="auto"/>
        <w:ind w:left="149" w:hanging="10"/>
        <w:jc w:val="left"/>
      </w:pPr>
      <w:r>
        <w:rPr>
          <w:sz w:val="20"/>
        </w:rPr>
        <w:t xml:space="preserve">FINAL DEL PERIODO </w:t>
      </w:r>
    </w:p>
    <w:p w:rsidR="00EE0979" w:rsidRDefault="00B022A0">
      <w:pPr>
        <w:spacing w:after="7" w:line="232" w:lineRule="auto"/>
        <w:ind w:left="154" w:right="9480" w:firstLine="0"/>
        <w:jc w:val="left"/>
      </w:pPr>
      <w:r>
        <w:rPr>
          <w:sz w:val="20"/>
        </w:rPr>
        <w:t xml:space="preserve"> </w:t>
      </w:r>
      <w:r>
        <w:rPr>
          <w:rFonts w:ascii="Times New Roman" w:eastAsia="Times New Roman" w:hAnsi="Times New Roman" w:cs="Times New Roman"/>
          <w:sz w:val="20"/>
        </w:rPr>
        <w:t xml:space="preserve"> </w:t>
      </w:r>
    </w:p>
    <w:p w:rsidR="00EE0979" w:rsidRDefault="00B022A0">
      <w:pPr>
        <w:spacing w:after="0" w:line="259" w:lineRule="auto"/>
        <w:ind w:left="154" w:firstLine="0"/>
        <w:jc w:val="left"/>
      </w:pPr>
      <w:r>
        <w:rPr>
          <w:rFonts w:ascii="Times New Roman" w:eastAsia="Times New Roman" w:hAnsi="Times New Roman" w:cs="Times New Roman"/>
          <w:sz w:val="20"/>
        </w:rPr>
        <w:t xml:space="preserve"> </w:t>
      </w:r>
    </w:p>
    <w:p w:rsidR="00EE0979" w:rsidRDefault="00B022A0">
      <w:pPr>
        <w:spacing w:after="0" w:line="259" w:lineRule="auto"/>
        <w:ind w:left="154" w:firstLine="0"/>
        <w:jc w:val="left"/>
      </w:pPr>
      <w:r>
        <w:rPr>
          <w:rFonts w:ascii="Times New Roman" w:eastAsia="Times New Roman" w:hAnsi="Times New Roman" w:cs="Times New Roman"/>
          <w:sz w:val="20"/>
        </w:rPr>
        <w:t xml:space="preserve"> </w:t>
      </w:r>
    </w:p>
    <w:p w:rsidR="00EE0979" w:rsidRDefault="00B022A0">
      <w:pPr>
        <w:spacing w:after="0" w:line="259" w:lineRule="auto"/>
        <w:ind w:left="154" w:firstLine="0"/>
        <w:jc w:val="left"/>
      </w:pPr>
      <w:r>
        <w:rPr>
          <w:rFonts w:ascii="Times New Roman" w:eastAsia="Times New Roman" w:hAnsi="Times New Roman" w:cs="Times New Roman"/>
          <w:sz w:val="20"/>
        </w:rPr>
        <w:t xml:space="preserve"> </w:t>
      </w:r>
    </w:p>
    <w:p w:rsidR="00EE0979" w:rsidRDefault="00B022A0">
      <w:pPr>
        <w:spacing w:after="0" w:line="259" w:lineRule="auto"/>
        <w:ind w:left="154" w:firstLine="0"/>
        <w:jc w:val="left"/>
      </w:pPr>
      <w:r>
        <w:rPr>
          <w:rFonts w:ascii="Times New Roman" w:eastAsia="Times New Roman" w:hAnsi="Times New Roman" w:cs="Times New Roman"/>
          <w:sz w:val="20"/>
        </w:rPr>
        <w:t xml:space="preserve"> </w:t>
      </w:r>
    </w:p>
    <w:p w:rsidR="00EE0979" w:rsidRDefault="00B022A0">
      <w:pPr>
        <w:spacing w:after="0" w:line="259" w:lineRule="auto"/>
        <w:ind w:left="154"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84" w:type="dxa"/>
        <w:tblCellMar>
          <w:top w:w="9" w:type="dxa"/>
          <w:left w:w="70" w:type="dxa"/>
          <w:bottom w:w="9" w:type="dxa"/>
          <w:right w:w="19" w:type="dxa"/>
        </w:tblCellMar>
        <w:tblLook w:val="04A0" w:firstRow="1" w:lastRow="0" w:firstColumn="1" w:lastColumn="0" w:noHBand="0" w:noVBand="1"/>
      </w:tblPr>
      <w:tblGrid>
        <w:gridCol w:w="2328"/>
        <w:gridCol w:w="1359"/>
        <w:gridCol w:w="1799"/>
        <w:gridCol w:w="1268"/>
        <w:gridCol w:w="1753"/>
      </w:tblGrid>
      <w:tr w:rsidR="00EE0979">
        <w:trPr>
          <w:trHeight w:val="31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4" w:firstLine="0"/>
              <w:jc w:val="center"/>
            </w:pPr>
            <w:r>
              <w:rPr>
                <w:sz w:val="20"/>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112" w:firstLine="0"/>
              <w:jc w:val="left"/>
            </w:pPr>
            <w:r>
              <w:rPr>
                <w:sz w:val="20"/>
              </w:rPr>
              <w:t xml:space="preserve">Fuera del Periodo Legal Pago </w:t>
            </w:r>
          </w:p>
        </w:tc>
      </w:tr>
      <w:tr w:rsidR="00EE0979">
        <w:trPr>
          <w:trHeight w:val="698"/>
        </w:trPr>
        <w:tc>
          <w:tcPr>
            <w:tcW w:w="232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center"/>
            </w:pPr>
            <w:r>
              <w:rPr>
                <w:sz w:val="20"/>
              </w:rPr>
              <w:t xml:space="preserve">Número 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EE0979" w:rsidRDefault="00B022A0">
            <w:pPr>
              <w:spacing w:after="0" w:line="259" w:lineRule="auto"/>
              <w:ind w:left="0" w:right="57" w:firstLine="0"/>
              <w:jc w:val="center"/>
            </w:pPr>
            <w:r>
              <w:rPr>
                <w:sz w:val="20"/>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57" w:firstLine="0"/>
              <w:jc w:val="center"/>
            </w:pPr>
            <w:r>
              <w:rPr>
                <w:sz w:val="20"/>
              </w:rPr>
              <w:t xml:space="preserve">Número </w:t>
            </w:r>
          </w:p>
          <w:p w:rsidR="00EE0979" w:rsidRDefault="00B022A0">
            <w:pPr>
              <w:spacing w:after="0" w:line="259" w:lineRule="auto"/>
              <w:ind w:left="0" w:right="24" w:firstLine="0"/>
              <w:jc w:val="center"/>
            </w:pPr>
            <w:r>
              <w:rPr>
                <w:sz w:val="20"/>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3" w:firstLine="0"/>
              <w:jc w:val="center"/>
            </w:pPr>
            <w:r>
              <w:rPr>
                <w:sz w:val="20"/>
              </w:rPr>
              <w:t xml:space="preserve">Importe Total </w:t>
            </w:r>
          </w:p>
        </w:tc>
      </w:tr>
      <w:tr w:rsidR="00EE0979">
        <w:trPr>
          <w:trHeight w:val="310"/>
        </w:trPr>
        <w:tc>
          <w:tcPr>
            <w:tcW w:w="232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2 </w:t>
            </w:r>
          </w:p>
        </w:tc>
        <w:tc>
          <w:tcPr>
            <w:tcW w:w="135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0" w:firstLine="0"/>
              <w:jc w:val="center"/>
            </w:pPr>
            <w:r>
              <w:rPr>
                <w:sz w:val="20"/>
              </w:rPr>
              <w:t xml:space="preserve">8 </w:t>
            </w:r>
          </w:p>
        </w:tc>
        <w:tc>
          <w:tcPr>
            <w:tcW w:w="1799" w:type="dxa"/>
            <w:tcBorders>
              <w:top w:val="single" w:sz="4" w:space="0" w:color="000000"/>
              <w:left w:val="single" w:sz="4" w:space="0" w:color="000000"/>
              <w:bottom w:val="single" w:sz="4" w:space="0" w:color="000000"/>
              <w:right w:val="single" w:sz="7" w:space="0" w:color="000000"/>
            </w:tcBorders>
          </w:tcPr>
          <w:p w:rsidR="00EE0979" w:rsidRDefault="00B022A0">
            <w:pPr>
              <w:spacing w:after="0" w:line="259" w:lineRule="auto"/>
              <w:ind w:left="0" w:right="57" w:firstLine="0"/>
              <w:jc w:val="center"/>
            </w:pPr>
            <w:r>
              <w:rPr>
                <w:sz w:val="20"/>
              </w:rPr>
              <w:t xml:space="preserve">8.487,85 </w:t>
            </w:r>
          </w:p>
        </w:tc>
        <w:tc>
          <w:tcPr>
            <w:tcW w:w="1268" w:type="dxa"/>
            <w:tcBorders>
              <w:top w:val="single" w:sz="4" w:space="0" w:color="000000"/>
              <w:left w:val="single" w:sz="7" w:space="0" w:color="000000"/>
              <w:bottom w:val="single" w:sz="4" w:space="0" w:color="000000"/>
              <w:right w:val="single" w:sz="4" w:space="0" w:color="000000"/>
            </w:tcBorders>
          </w:tcPr>
          <w:p w:rsidR="00EE0979" w:rsidRDefault="00B022A0">
            <w:pPr>
              <w:spacing w:after="0" w:line="259" w:lineRule="auto"/>
              <w:ind w:left="0" w:right="59" w:firstLine="0"/>
              <w:jc w:val="center"/>
            </w:pPr>
            <w:r>
              <w:rPr>
                <w:sz w:val="20"/>
              </w:rP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3" w:firstLine="0"/>
              <w:jc w:val="center"/>
            </w:pPr>
            <w:r>
              <w:rPr>
                <w:sz w:val="20"/>
              </w:rPr>
              <w:t xml:space="preserve">0,00 </w:t>
            </w:r>
          </w:p>
        </w:tc>
      </w:tr>
    </w:tbl>
    <w:p w:rsidR="00EE0979" w:rsidRDefault="00B022A0">
      <w:pPr>
        <w:spacing w:after="98" w:line="259" w:lineRule="auto"/>
        <w:ind w:left="722" w:firstLine="0"/>
        <w:jc w:val="left"/>
      </w:pPr>
      <w:r>
        <w:t xml:space="preserve"> </w:t>
      </w:r>
    </w:p>
    <w:p w:rsidR="00EE0979" w:rsidRDefault="00B022A0">
      <w:pPr>
        <w:spacing w:after="112"/>
        <w:ind w:left="14" w:right="100"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EE0979" w:rsidRDefault="00B022A0">
      <w:pPr>
        <w:spacing w:after="0" w:line="259" w:lineRule="auto"/>
        <w:ind w:left="722" w:firstLine="0"/>
        <w:jc w:val="left"/>
      </w:pPr>
      <w:r>
        <w:t xml:space="preserve"> </w:t>
      </w:r>
    </w:p>
    <w:p w:rsidR="00EE0979" w:rsidRDefault="00B022A0">
      <w:pPr>
        <w:spacing w:after="0" w:line="259" w:lineRule="auto"/>
        <w:ind w:left="10"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 xml:space="preserve">Consta en el expediente propuesta del Concejal delegado de Hacienda, D. Airam Pérez Chinea, de fecha 14 de abril de 2023, que transcrito literalmente dice: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12" w:line="259" w:lineRule="auto"/>
        <w:ind w:left="14" w:firstLine="0"/>
        <w:jc w:val="left"/>
      </w:pPr>
      <w:r>
        <w:rPr>
          <w:rFonts w:ascii="Times New Roman" w:eastAsia="Times New Roman" w:hAnsi="Times New Roman" w:cs="Times New Roman"/>
          <w:b/>
        </w:rPr>
        <w:t xml:space="preserve"> </w:t>
      </w:r>
    </w:p>
    <w:p w:rsidR="00EE0979" w:rsidRDefault="00B022A0">
      <w:pPr>
        <w:pStyle w:val="Ttulo1"/>
        <w:numPr>
          <w:ilvl w:val="0"/>
          <w:numId w:val="0"/>
        </w:numPr>
        <w:ind w:left="624" w:right="713"/>
      </w:pPr>
      <w:r>
        <w:t xml:space="preserve">“PROPUESTA DEL CONCEJAL DELEGADO DE HACIENDA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 xml:space="preserve">ASUNTO: Informe del Interventor municipal, de Cumplimiento de Plazos de la Ley 15/2010 correspondiente al Primer Trimestre 2023 del Ayuntamiento de Candelaria. Toma de </w:t>
      </w:r>
    </w:p>
    <w:p w:rsidR="00EE0979" w:rsidRDefault="00B022A0">
      <w:pPr>
        <w:spacing w:after="70"/>
        <w:ind w:right="99" w:hanging="10"/>
      </w:pPr>
      <w:r>
        <w:rPr>
          <w:b/>
        </w:rPr>
        <w:t>Conocimiento</w:t>
      </w:r>
      <w:r>
        <w:rPr>
          <w:rFonts w:ascii="Times New Roman" w:eastAsia="Times New Roman" w:hAnsi="Times New Roman" w:cs="Times New Roman"/>
          <w:sz w:val="24"/>
        </w:rPr>
        <w:t xml:space="preserve"> </w:t>
      </w:r>
    </w:p>
    <w:p w:rsidR="00EE0979" w:rsidRDefault="00B022A0">
      <w:pPr>
        <w:spacing w:after="3" w:line="259" w:lineRule="auto"/>
        <w:ind w:left="10" w:right="111" w:hanging="10"/>
        <w:jc w:val="right"/>
      </w:pPr>
      <w:r>
        <w:t>Visto el Informe de la in</w:t>
      </w:r>
      <w:r>
        <w:t xml:space="preserve">tervención, relativo al estudio del Cumplimiento de los </w:t>
      </w:r>
      <w:r>
        <w:rPr>
          <w:rFonts w:ascii="Times New Roman" w:eastAsia="Times New Roman" w:hAnsi="Times New Roman" w:cs="Times New Roman"/>
          <w:sz w:val="24"/>
        </w:rPr>
        <w:t xml:space="preserve"> </w:t>
      </w:r>
    </w:p>
    <w:p w:rsidR="00EE0979" w:rsidRDefault="00B022A0">
      <w:pPr>
        <w:spacing w:after="379"/>
        <w:ind w:right="100"/>
      </w:pPr>
      <w:r>
        <w:t>Plazos de la Ley 15/2010 correspondiente al Primer trimestre de 2023 del Ayuntamiento de Candelaria y demás entes instrumentales, cuyos datos se detallan a continuación:</w:t>
      </w:r>
      <w:r>
        <w:rPr>
          <w:rFonts w:ascii="Times New Roman" w:eastAsia="Times New Roman" w:hAnsi="Times New Roman" w:cs="Times New Roman"/>
          <w:sz w:val="24"/>
        </w:rPr>
        <w:t xml:space="preserve"> </w:t>
      </w:r>
    </w:p>
    <w:p w:rsidR="00EE0979" w:rsidRDefault="00B022A0">
      <w:pPr>
        <w:pStyle w:val="Ttulo1"/>
        <w:numPr>
          <w:ilvl w:val="0"/>
          <w:numId w:val="0"/>
        </w:numPr>
        <w:spacing w:after="426"/>
        <w:ind w:left="624" w:right="714"/>
      </w:pPr>
      <w:r>
        <w:t xml:space="preserve">“Antecedentes de hecho </w:t>
      </w:r>
    </w:p>
    <w:p w:rsidR="00EE0979" w:rsidRDefault="00B022A0">
      <w:pPr>
        <w:spacing w:after="446"/>
        <w:ind w:right="99" w:hanging="10"/>
      </w:pPr>
      <w:r>
        <w:rPr>
          <w:b/>
        </w:rPr>
        <w:t>I.-</w:t>
      </w:r>
      <w:r>
        <w:rPr>
          <w:b/>
        </w:rPr>
        <w:t xml:space="preserve"> Ha sido remitida a esta intervención, información de los entes dependientes para el cálculo del informe de morosidad del primer trimestre del ejercicio 2023.  </w:t>
      </w:r>
    </w:p>
    <w:p w:rsidR="00EE0979" w:rsidRDefault="00B022A0">
      <w:pPr>
        <w:pStyle w:val="Ttulo1"/>
        <w:numPr>
          <w:ilvl w:val="0"/>
          <w:numId w:val="0"/>
        </w:numPr>
        <w:ind w:left="624" w:right="714"/>
      </w:pPr>
      <w:r>
        <w:t xml:space="preserve">CONCLUSIONES </w:t>
      </w:r>
    </w:p>
    <w:p w:rsidR="00EE0979" w:rsidRDefault="00B022A0">
      <w:pPr>
        <w:spacing w:after="76"/>
        <w:ind w:left="9" w:right="98" w:hanging="10"/>
      </w:pPr>
      <w:r>
        <w:rPr>
          <w:b/>
        </w:rPr>
        <w:t>Primera. -</w:t>
      </w:r>
      <w:r>
        <w:t xml:space="preserve"> </w:t>
      </w:r>
      <w:r>
        <w:t xml:space="preserve">El funcionario que suscribe, Interventor del Ayuntamiento de Candelaria, dando cumplimiento a lo dispuesto en el artículo 4 de la Ley 15/2010, de 5 de julio, de modificación de la Ley 3/2004, de 29 de diciembre, que establece que: </w:t>
      </w:r>
      <w:r>
        <w:rPr>
          <w:i/>
        </w:rPr>
        <w:t>“. Los Tesoreros o, en su defecto, Interventores de las Corporaciones locales elaborarán trimestralmente un informe sobre el cumplimiento de los plazos previstos en esta Ley para el pago de las obligaciones de cada Entidad local, que incluirá necesariament</w:t>
      </w:r>
      <w:r>
        <w:rPr>
          <w:i/>
        </w:rPr>
        <w:t>e el número y cuantía global de las obligaciones pendientes en las que se esté incumpliendo el plazo.</w:t>
      </w:r>
      <w:r>
        <w:rPr>
          <w:rFonts w:ascii="Times New Roman" w:eastAsia="Times New Roman" w:hAnsi="Times New Roman" w:cs="Times New Roman"/>
          <w:sz w:val="24"/>
        </w:rPr>
        <w:t xml:space="preserve"> </w:t>
      </w:r>
    </w:p>
    <w:p w:rsidR="00EE0979" w:rsidRDefault="00B022A0">
      <w:pPr>
        <w:ind w:left="9" w:right="98" w:hanging="10"/>
      </w:pPr>
      <w:r>
        <w:rPr>
          <w:i/>
        </w:rPr>
        <w:t>4. Sin perjuicio de su posible presentación y debate en el Pleno de la Corporación local, dicho informe deberá remitirse, en todo caso, a los órganos com</w:t>
      </w:r>
      <w:r>
        <w:rPr>
          <w:i/>
        </w:rPr>
        <w:t>petentes del Ministerio de Economía y Hacienda y, en su respectivo ámbito territorial, a los de las Comunidades Autónomas que, con arreglo a sus respectivos Estatutos de Autonomía, tengan atribuida la tutela financiera de las Entidades locales. Tales órgan</w:t>
      </w:r>
      <w:r>
        <w:rPr>
          <w:i/>
        </w:rPr>
        <w:t>os podrán igualmente requerir la remisión de los citados informes. (...)”</w:t>
      </w:r>
      <w:r>
        <w:t xml:space="preserve"> tiene a bien informar que</w:t>
      </w:r>
      <w:r>
        <w:rPr>
          <w:i/>
        </w:rPr>
        <w:t xml:space="preserve">, </w:t>
      </w:r>
      <w:r>
        <w:t>según los datos obrantes en la contabilidad a fecha 11 de abril de</w:t>
      </w:r>
      <w:r>
        <w:rPr>
          <w:rFonts w:ascii="Times New Roman" w:eastAsia="Times New Roman" w:hAnsi="Times New Roman" w:cs="Times New Roman"/>
          <w:sz w:val="24"/>
        </w:rPr>
        <w:t xml:space="preserve"> </w:t>
      </w:r>
      <w:r>
        <w:t>2023, el resumen de los plazos de pago en esta corporación ha sido el siguiente</w:t>
      </w:r>
      <w:r>
        <w:rPr>
          <w:rFonts w:ascii="Times New Roman" w:eastAsia="Times New Roman" w:hAnsi="Times New Roman" w:cs="Times New Roman"/>
          <w:sz w:val="24"/>
        </w:rPr>
        <w:t xml:space="preserve">: </w:t>
      </w:r>
    </w:p>
    <w:p w:rsidR="00EE0979" w:rsidRDefault="00B022A0">
      <w:pPr>
        <w:spacing w:after="390" w:line="259" w:lineRule="auto"/>
        <w:ind w:left="0" w:right="1120" w:firstLine="0"/>
        <w:jc w:val="right"/>
      </w:pPr>
      <w:r>
        <w:rPr>
          <w:noProof/>
        </w:rPr>
        <w:drawing>
          <wp:inline distT="0" distB="0" distL="0" distR="0">
            <wp:extent cx="5394960" cy="1821180"/>
            <wp:effectExtent l="0" t="0" r="0" b="0"/>
            <wp:docPr id="5730" name="Picture 5730"/>
            <wp:cNvGraphicFramePr/>
            <a:graphic xmlns:a="http://schemas.openxmlformats.org/drawingml/2006/main">
              <a:graphicData uri="http://schemas.openxmlformats.org/drawingml/2006/picture">
                <pic:pic xmlns:pic="http://schemas.openxmlformats.org/drawingml/2006/picture">
                  <pic:nvPicPr>
                    <pic:cNvPr id="5730" name="Picture 5730"/>
                    <pic:cNvPicPr/>
                  </pic:nvPicPr>
                  <pic:blipFill>
                    <a:blip r:embed="rId17"/>
                    <a:stretch>
                      <a:fillRect/>
                    </a:stretch>
                  </pic:blipFill>
                  <pic:spPr>
                    <a:xfrm>
                      <a:off x="0" y="0"/>
                      <a:ext cx="5394960" cy="182118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237" w:line="259" w:lineRule="auto"/>
        <w:ind w:left="0" w:right="1098" w:firstLine="0"/>
        <w:jc w:val="right"/>
      </w:pPr>
      <w:r>
        <w:rPr>
          <w:noProof/>
        </w:rPr>
        <w:drawing>
          <wp:inline distT="0" distB="0" distL="0" distR="0">
            <wp:extent cx="5401057" cy="3093720"/>
            <wp:effectExtent l="0" t="0" r="0" b="0"/>
            <wp:docPr id="5732" name="Picture 5732"/>
            <wp:cNvGraphicFramePr/>
            <a:graphic xmlns:a="http://schemas.openxmlformats.org/drawingml/2006/main">
              <a:graphicData uri="http://schemas.openxmlformats.org/drawingml/2006/picture">
                <pic:pic xmlns:pic="http://schemas.openxmlformats.org/drawingml/2006/picture">
                  <pic:nvPicPr>
                    <pic:cNvPr id="5732" name="Picture 5732"/>
                    <pic:cNvPicPr/>
                  </pic:nvPicPr>
                  <pic:blipFill>
                    <a:blip r:embed="rId18"/>
                    <a:stretch>
                      <a:fillRect/>
                    </a:stretch>
                  </pic:blipFill>
                  <pic:spPr>
                    <a:xfrm>
                      <a:off x="0" y="0"/>
                      <a:ext cx="5401057" cy="309372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6"/>
        <w:ind w:right="99" w:hanging="10"/>
      </w:pPr>
      <w:r>
        <w:rPr>
          <w:b/>
        </w:rPr>
        <w:t>EPELCAN</w:t>
      </w:r>
      <w:r>
        <w:rPr>
          <w:rFonts w:ascii="Times New Roman" w:eastAsia="Times New Roman" w:hAnsi="Times New Roman" w:cs="Times New Roman"/>
          <w:sz w:val="24"/>
        </w:rPr>
        <w:t xml:space="preserve"> </w:t>
      </w:r>
    </w:p>
    <w:p w:rsidR="00EE0979" w:rsidRDefault="00B022A0">
      <w:pPr>
        <w:spacing w:after="6"/>
        <w:ind w:right="99" w:hanging="10"/>
      </w:pPr>
      <w:r>
        <w:rPr>
          <w:b/>
        </w:rPr>
        <w:t xml:space="preserve">PAGOS REALIZADOS EN </w:t>
      </w:r>
      <w:r>
        <w:rPr>
          <w:rFonts w:ascii="Times New Roman" w:eastAsia="Times New Roman" w:hAnsi="Times New Roman" w:cs="Times New Roman"/>
          <w:sz w:val="24"/>
        </w:rPr>
        <w:t xml:space="preserve"> </w:t>
      </w:r>
    </w:p>
    <w:p w:rsidR="00EE0979" w:rsidRDefault="00B022A0">
      <w:pPr>
        <w:spacing w:after="6"/>
        <w:ind w:right="99" w:hanging="10"/>
      </w:pPr>
      <w:r>
        <w:rPr>
          <w:b/>
        </w:rPr>
        <w:t>EL PERIODO</w:t>
      </w:r>
      <w:r>
        <w:rPr>
          <w:rFonts w:ascii="Times New Roman" w:eastAsia="Times New Roman" w:hAnsi="Times New Roman" w:cs="Times New Roman"/>
          <w:sz w:val="24"/>
        </w:rPr>
        <w:t xml:space="preserve"> </w:t>
      </w:r>
    </w:p>
    <w:tbl>
      <w:tblPr>
        <w:tblStyle w:val="TableGrid"/>
        <w:tblW w:w="8517" w:type="dxa"/>
        <w:tblInd w:w="17" w:type="dxa"/>
        <w:tblCellMar>
          <w:top w:w="53" w:type="dxa"/>
          <w:left w:w="77" w:type="dxa"/>
          <w:bottom w:w="13" w:type="dxa"/>
          <w:right w:w="6" w:type="dxa"/>
        </w:tblCellMar>
        <w:tblLook w:val="04A0" w:firstRow="1" w:lastRow="0" w:firstColumn="1" w:lastColumn="0" w:noHBand="0" w:noVBand="1"/>
      </w:tblPr>
      <w:tblGrid>
        <w:gridCol w:w="2326"/>
        <w:gridCol w:w="1361"/>
        <w:gridCol w:w="1801"/>
        <w:gridCol w:w="1267"/>
        <w:gridCol w:w="1762"/>
      </w:tblGrid>
      <w:tr w:rsidR="00EE0979">
        <w:trPr>
          <w:trHeight w:val="365"/>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52" w:firstLine="0"/>
              <w:jc w:val="center"/>
            </w:pPr>
            <w:r>
              <w:rPr>
                <w:rFonts w:ascii="Times New Roman" w:eastAsia="Times New Roman" w:hAnsi="Times New Roman" w:cs="Times New Roman"/>
                <w:sz w:val="24"/>
              </w:rPr>
              <w:t xml:space="preserve">  </w:t>
            </w:r>
          </w:p>
        </w:tc>
        <w:tc>
          <w:tcPr>
            <w:tcW w:w="3162" w:type="dxa"/>
            <w:gridSpan w:val="2"/>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69" w:firstLine="0"/>
              <w:jc w:val="center"/>
            </w:pPr>
            <w:r>
              <w:rPr>
                <w:sz w:val="20"/>
              </w:rPr>
              <w:t>Dentro del Periodo Legal Pago</w:t>
            </w:r>
            <w:r>
              <w:rPr>
                <w:rFonts w:ascii="Times New Roman" w:eastAsia="Times New Roman" w:hAnsi="Times New Roman" w:cs="Times New Roman"/>
                <w:sz w:val="24"/>
              </w:rPr>
              <w:t xml:space="preserve"> </w:t>
            </w:r>
          </w:p>
        </w:tc>
        <w:tc>
          <w:tcPr>
            <w:tcW w:w="3029" w:type="dxa"/>
            <w:gridSpan w:val="2"/>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1"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61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13" w:line="259" w:lineRule="auto"/>
              <w:ind w:left="0" w:firstLine="0"/>
            </w:pPr>
            <w:r>
              <w:rPr>
                <w:sz w:val="20"/>
              </w:rPr>
              <w:t xml:space="preserve">Periodo Medio de Pagos </w:t>
            </w:r>
          </w:p>
          <w:p w:rsidR="00EE0979" w:rsidRDefault="00B022A0">
            <w:pPr>
              <w:spacing w:after="0" w:line="259" w:lineRule="auto"/>
              <w:ind w:left="0" w:right="67" w:firstLine="0"/>
              <w:jc w:val="center"/>
            </w:pPr>
            <w:r>
              <w:rPr>
                <w:sz w:val="20"/>
              </w:rPr>
              <w:t>(días)</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344" w:hanging="106"/>
              <w:jc w:val="left"/>
            </w:pPr>
            <w:r>
              <w:rPr>
                <w:sz w:val="20"/>
              </w:rPr>
              <w:t>Número Pagos</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vAlign w:val="bottom"/>
          </w:tcPr>
          <w:p w:rsidR="00EE0979" w:rsidRDefault="00B022A0">
            <w:pPr>
              <w:spacing w:after="0" w:line="259" w:lineRule="auto"/>
              <w:ind w:left="0" w:right="70" w:firstLine="0"/>
              <w:jc w:val="center"/>
            </w:pPr>
            <w:r>
              <w:rPr>
                <w:sz w:val="20"/>
              </w:rPr>
              <w:t>Importe Total</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293" w:hanging="106"/>
              <w:jc w:val="left"/>
            </w:pPr>
            <w:r>
              <w:rPr>
                <w:sz w:val="20"/>
              </w:rPr>
              <w:t>Número Pagos</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71" w:firstLine="0"/>
              <w:jc w:val="center"/>
            </w:pPr>
            <w:r>
              <w:rPr>
                <w:sz w:val="20"/>
              </w:rPr>
              <w:t>Importe Total</w:t>
            </w:r>
            <w:r>
              <w:rPr>
                <w:rFonts w:ascii="Times New Roman" w:eastAsia="Times New Roman" w:hAnsi="Times New Roman" w:cs="Times New Roman"/>
                <w:sz w:val="24"/>
              </w:rPr>
              <w:t xml:space="preserve"> </w:t>
            </w:r>
          </w:p>
        </w:tc>
      </w:tr>
      <w:tr w:rsidR="00EE0979">
        <w:trPr>
          <w:trHeight w:val="36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8" w:firstLine="0"/>
              <w:jc w:val="center"/>
            </w:pPr>
            <w:r>
              <w:rPr>
                <w:sz w:val="20"/>
              </w:rPr>
              <w:t>55,84</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7" w:firstLine="0"/>
              <w:jc w:val="center"/>
            </w:pPr>
            <w:r>
              <w:rPr>
                <w:sz w:val="20"/>
              </w:rPr>
              <w:t>3</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76" w:firstLine="0"/>
              <w:jc w:val="center"/>
            </w:pPr>
            <w:r>
              <w:rPr>
                <w:sz w:val="20"/>
              </w:rPr>
              <w:t>819,31</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5" w:firstLine="0"/>
              <w:jc w:val="center"/>
            </w:pPr>
            <w:r>
              <w:rPr>
                <w:sz w:val="20"/>
              </w:rPr>
              <w:t>21</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76" w:firstLine="0"/>
              <w:jc w:val="center"/>
            </w:pPr>
            <w:r>
              <w:rPr>
                <w:sz w:val="20"/>
              </w:rPr>
              <w:t>11.640,70</w:t>
            </w:r>
            <w:r>
              <w:rPr>
                <w:rFonts w:ascii="Times New Roman" w:eastAsia="Times New Roman" w:hAnsi="Times New Roman" w:cs="Times New Roman"/>
                <w:sz w:val="24"/>
              </w:rPr>
              <w:t xml:space="preserve"> </w:t>
            </w:r>
          </w:p>
        </w:tc>
      </w:tr>
    </w:tbl>
    <w:p w:rsidR="00EE0979" w:rsidRDefault="00B022A0">
      <w:pPr>
        <w:ind w:right="100"/>
      </w:pPr>
      <w:r>
        <w:t xml:space="preserve">FACTURAS O DOCUMENTOS PENDIENTES DE PAGO AL </w:t>
      </w:r>
      <w:r>
        <w:rPr>
          <w:rFonts w:ascii="Times New Roman" w:eastAsia="Times New Roman" w:hAnsi="Times New Roman" w:cs="Times New Roman"/>
          <w:sz w:val="24"/>
        </w:rPr>
        <w:t xml:space="preserve"> </w:t>
      </w:r>
    </w:p>
    <w:p w:rsidR="00EE0979" w:rsidRDefault="00B022A0">
      <w:pPr>
        <w:ind w:right="100"/>
      </w:pPr>
      <w:r>
        <w:t xml:space="preserve">FINAL DEL PERIODO </w:t>
      </w:r>
    </w:p>
    <w:p w:rsidR="00EE0979" w:rsidRDefault="00B022A0">
      <w:pPr>
        <w:spacing w:after="0" w:line="259" w:lineRule="auto"/>
        <w:ind w:left="70" w:firstLine="0"/>
        <w:jc w:val="left"/>
      </w:pPr>
      <w:r>
        <w:t xml:space="preserve"> </w:t>
      </w:r>
    </w:p>
    <w:p w:rsidR="00EE0979" w:rsidRDefault="00B022A0">
      <w:pPr>
        <w:spacing w:after="0" w:line="259" w:lineRule="auto"/>
        <w:ind w:left="70" w:firstLine="0"/>
        <w:jc w:val="left"/>
      </w:pPr>
      <w:r>
        <w:t xml:space="preserve"> </w:t>
      </w:r>
    </w:p>
    <w:p w:rsidR="00EE0979" w:rsidRDefault="00B022A0">
      <w:pPr>
        <w:spacing w:after="0" w:line="259" w:lineRule="auto"/>
        <w:ind w:left="70" w:firstLine="0"/>
        <w:jc w:val="left"/>
      </w:pPr>
      <w:r>
        <w:t xml:space="preserve"> </w:t>
      </w:r>
    </w:p>
    <w:p w:rsidR="00EE0979" w:rsidRDefault="00B022A0">
      <w:pPr>
        <w:spacing w:after="0" w:line="259" w:lineRule="auto"/>
        <w:ind w:left="70" w:firstLine="0"/>
        <w:jc w:val="left"/>
      </w:pPr>
      <w:r>
        <w:t xml:space="preserve"> </w:t>
      </w:r>
    </w:p>
    <w:p w:rsidR="00EE0979" w:rsidRDefault="00B022A0">
      <w:pPr>
        <w:spacing w:after="0" w:line="259" w:lineRule="auto"/>
        <w:ind w:left="70" w:firstLine="0"/>
        <w:jc w:val="left"/>
      </w:pPr>
      <w:r>
        <w:rPr>
          <w:rFonts w:ascii="Times New Roman" w:eastAsia="Times New Roman" w:hAnsi="Times New Roman" w:cs="Times New Roman"/>
          <w:sz w:val="24"/>
        </w:rPr>
        <w:t xml:space="preserve"> </w:t>
      </w:r>
    </w:p>
    <w:tbl>
      <w:tblPr>
        <w:tblStyle w:val="TableGrid"/>
        <w:tblW w:w="8469" w:type="dxa"/>
        <w:tblInd w:w="41" w:type="dxa"/>
        <w:tblCellMar>
          <w:top w:w="53" w:type="dxa"/>
          <w:left w:w="74" w:type="dxa"/>
          <w:bottom w:w="12" w:type="dxa"/>
          <w:right w:w="0" w:type="dxa"/>
        </w:tblCellMar>
        <w:tblLook w:val="04A0" w:firstRow="1" w:lastRow="0" w:firstColumn="1" w:lastColumn="0" w:noHBand="0" w:noVBand="1"/>
      </w:tblPr>
      <w:tblGrid>
        <w:gridCol w:w="2197"/>
        <w:gridCol w:w="125"/>
        <w:gridCol w:w="1285"/>
        <w:gridCol w:w="125"/>
        <w:gridCol w:w="1683"/>
        <w:gridCol w:w="1318"/>
        <w:gridCol w:w="125"/>
        <w:gridCol w:w="1611"/>
      </w:tblGrid>
      <w:tr w:rsidR="00EE0979">
        <w:trPr>
          <w:trHeight w:val="370"/>
        </w:trPr>
        <w:tc>
          <w:tcPr>
            <w:tcW w:w="21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6" w:firstLine="0"/>
              <w:jc w:val="center"/>
            </w:pPr>
            <w:r>
              <w:rPr>
                <w:rFonts w:ascii="Times New Roman" w:eastAsia="Times New Roman" w:hAnsi="Times New Roman" w:cs="Times New Roman"/>
                <w:sz w:val="24"/>
              </w:rPr>
              <w:t xml:space="preserve">  </w:t>
            </w:r>
          </w:p>
        </w:tc>
        <w:tc>
          <w:tcPr>
            <w:tcW w:w="3217" w:type="dxa"/>
            <w:gridSpan w:val="4"/>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51" w:firstLine="0"/>
              <w:jc w:val="center"/>
            </w:pPr>
            <w:r>
              <w:rPr>
                <w:sz w:val="20"/>
              </w:rPr>
              <w:t>Dentro del Periodo Legal Pago</w:t>
            </w:r>
            <w:r>
              <w:rPr>
                <w:rFonts w:ascii="Times New Roman" w:eastAsia="Times New Roman" w:hAnsi="Times New Roman" w:cs="Times New Roman"/>
                <w:sz w:val="24"/>
              </w:rPr>
              <w:t xml:space="preserve"> </w:t>
            </w:r>
          </w:p>
        </w:tc>
        <w:tc>
          <w:tcPr>
            <w:tcW w:w="3053" w:type="dxa"/>
            <w:gridSpan w:val="3"/>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45"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758"/>
        </w:trPr>
        <w:tc>
          <w:tcPr>
            <w:tcW w:w="2198" w:type="dxa"/>
            <w:tcBorders>
              <w:top w:val="single" w:sz="4" w:space="0" w:color="000000"/>
              <w:left w:val="single" w:sz="4" w:space="0" w:color="000000"/>
              <w:bottom w:val="single" w:sz="2" w:space="0" w:color="C0C0C0"/>
              <w:right w:val="single" w:sz="4" w:space="0" w:color="000000"/>
            </w:tcBorders>
          </w:tcPr>
          <w:p w:rsidR="00EE0979" w:rsidRDefault="00B022A0">
            <w:pPr>
              <w:spacing w:after="0" w:line="259" w:lineRule="auto"/>
              <w:ind w:left="341" w:right="17" w:hanging="319"/>
              <w:jc w:val="left"/>
            </w:pPr>
            <w:r>
              <w:rPr>
                <w:sz w:val="20"/>
              </w:rPr>
              <w:t>Periodo Medio de Pago Pendiente (días)</w:t>
            </w:r>
            <w:r>
              <w:rPr>
                <w:rFonts w:ascii="Times New Roman" w:eastAsia="Times New Roman" w:hAnsi="Times New Roman" w:cs="Times New Roman"/>
                <w:sz w:val="24"/>
              </w:rPr>
              <w:t xml:space="preserve"> </w:t>
            </w:r>
          </w:p>
        </w:tc>
        <w:tc>
          <w:tcPr>
            <w:tcW w:w="1409" w:type="dxa"/>
            <w:gridSpan w:val="2"/>
            <w:tcBorders>
              <w:top w:val="single" w:sz="4" w:space="0" w:color="000000"/>
              <w:left w:val="single" w:sz="4" w:space="0" w:color="000000"/>
              <w:bottom w:val="single" w:sz="2" w:space="0" w:color="C0C0C0"/>
              <w:right w:val="single" w:sz="4" w:space="0" w:color="000000"/>
            </w:tcBorders>
          </w:tcPr>
          <w:p w:rsidR="00EE0979" w:rsidRDefault="00B022A0">
            <w:pPr>
              <w:spacing w:after="0" w:line="259" w:lineRule="auto"/>
              <w:ind w:left="67" w:firstLine="194"/>
              <w:jc w:val="left"/>
            </w:pPr>
            <w:r>
              <w:rPr>
                <w:sz w:val="20"/>
              </w:rPr>
              <w:t>Número Operaciones</w:t>
            </w:r>
            <w:r>
              <w:rPr>
                <w:rFonts w:ascii="Times New Roman" w:eastAsia="Times New Roman" w:hAnsi="Times New Roman" w:cs="Times New Roman"/>
                <w:sz w:val="24"/>
              </w:rPr>
              <w:t xml:space="preserve"> </w:t>
            </w:r>
          </w:p>
        </w:tc>
        <w:tc>
          <w:tcPr>
            <w:tcW w:w="1808" w:type="dxa"/>
            <w:gridSpan w:val="2"/>
            <w:tcBorders>
              <w:top w:val="single" w:sz="4" w:space="0" w:color="000000"/>
              <w:left w:val="single" w:sz="4" w:space="0" w:color="000000"/>
              <w:bottom w:val="single" w:sz="2" w:space="0" w:color="C0C0C0"/>
              <w:right w:val="single" w:sz="6" w:space="0" w:color="000000"/>
            </w:tcBorders>
            <w:vAlign w:val="bottom"/>
          </w:tcPr>
          <w:p w:rsidR="00EE0979" w:rsidRDefault="00B022A0">
            <w:pPr>
              <w:spacing w:after="0" w:line="259" w:lineRule="auto"/>
              <w:ind w:left="0" w:right="48" w:firstLine="0"/>
              <w:jc w:val="center"/>
            </w:pPr>
            <w:r>
              <w:rPr>
                <w:sz w:val="20"/>
              </w:rPr>
              <w:t>Importe Total</w:t>
            </w:r>
            <w:r>
              <w:rPr>
                <w:rFonts w:ascii="Times New Roman" w:eastAsia="Times New Roman" w:hAnsi="Times New Roman" w:cs="Times New Roman"/>
                <w:sz w:val="24"/>
              </w:rPr>
              <w:t xml:space="preserve"> </w:t>
            </w:r>
          </w:p>
        </w:tc>
        <w:tc>
          <w:tcPr>
            <w:tcW w:w="1318" w:type="dxa"/>
            <w:tcBorders>
              <w:top w:val="single" w:sz="4" w:space="0" w:color="000000"/>
              <w:left w:val="single" w:sz="6" w:space="0" w:color="000000"/>
              <w:bottom w:val="single" w:sz="2" w:space="0" w:color="C0C0C0"/>
              <w:right w:val="single" w:sz="4" w:space="0" w:color="000000"/>
            </w:tcBorders>
          </w:tcPr>
          <w:p w:rsidR="00EE0979" w:rsidRDefault="00B022A0">
            <w:pPr>
              <w:spacing w:after="0" w:line="259" w:lineRule="auto"/>
              <w:ind w:left="0" w:firstLine="194"/>
              <w:jc w:val="left"/>
            </w:pPr>
            <w:r>
              <w:rPr>
                <w:sz w:val="20"/>
              </w:rPr>
              <w:t>Número Operaciones</w:t>
            </w:r>
            <w:r>
              <w:rPr>
                <w:rFonts w:ascii="Times New Roman" w:eastAsia="Times New Roman" w:hAnsi="Times New Roman" w:cs="Times New Roman"/>
                <w:sz w:val="24"/>
              </w:rPr>
              <w:t xml:space="preserve"> </w:t>
            </w:r>
          </w:p>
        </w:tc>
        <w:tc>
          <w:tcPr>
            <w:tcW w:w="1736" w:type="dxa"/>
            <w:gridSpan w:val="2"/>
            <w:tcBorders>
              <w:top w:val="single" w:sz="4" w:space="0" w:color="000000"/>
              <w:left w:val="single" w:sz="4" w:space="0" w:color="000000"/>
              <w:bottom w:val="single" w:sz="2" w:space="0" w:color="C0C0C0"/>
              <w:right w:val="single" w:sz="4" w:space="0" w:color="000000"/>
            </w:tcBorders>
            <w:vAlign w:val="bottom"/>
          </w:tcPr>
          <w:p w:rsidR="00EE0979" w:rsidRDefault="00B022A0">
            <w:pPr>
              <w:spacing w:after="0" w:line="259" w:lineRule="auto"/>
              <w:ind w:left="0" w:right="24" w:firstLine="0"/>
              <w:jc w:val="center"/>
            </w:pPr>
            <w:r>
              <w:rPr>
                <w:sz w:val="20"/>
              </w:rPr>
              <w:t>Importe Total</w:t>
            </w:r>
            <w:r>
              <w:rPr>
                <w:rFonts w:ascii="Times New Roman" w:eastAsia="Times New Roman" w:hAnsi="Times New Roman" w:cs="Times New Roman"/>
                <w:sz w:val="24"/>
              </w:rPr>
              <w:t xml:space="preserve"> </w:t>
            </w:r>
          </w:p>
        </w:tc>
      </w:tr>
      <w:tr w:rsidR="00EE0979">
        <w:trPr>
          <w:trHeight w:val="391"/>
        </w:trPr>
        <w:tc>
          <w:tcPr>
            <w:tcW w:w="2198" w:type="dxa"/>
            <w:tcBorders>
              <w:top w:val="single" w:sz="2" w:space="0" w:color="C0C0C0"/>
              <w:left w:val="single" w:sz="2" w:space="0" w:color="C0C0C0"/>
              <w:bottom w:val="single" w:sz="2" w:space="0" w:color="C0C0C0"/>
              <w:right w:val="single" w:sz="2" w:space="0" w:color="C0C0C0"/>
            </w:tcBorders>
          </w:tcPr>
          <w:p w:rsidR="00EE0979" w:rsidRDefault="00B022A0">
            <w:pPr>
              <w:spacing w:after="0" w:line="259" w:lineRule="auto"/>
              <w:ind w:left="0" w:right="77" w:firstLine="0"/>
              <w:jc w:val="center"/>
            </w:pPr>
            <w:r>
              <w:rPr>
                <w:sz w:val="20"/>
              </w:rPr>
              <w:t>2,54</w:t>
            </w:r>
            <w:r>
              <w:rPr>
                <w:rFonts w:ascii="Times New Roman" w:eastAsia="Times New Roman" w:hAnsi="Times New Roman" w:cs="Times New Roman"/>
                <w:sz w:val="24"/>
              </w:rPr>
              <w:t xml:space="preserve"> </w:t>
            </w:r>
          </w:p>
        </w:tc>
        <w:tc>
          <w:tcPr>
            <w:tcW w:w="125" w:type="dxa"/>
            <w:tcBorders>
              <w:top w:val="single" w:sz="4" w:space="0" w:color="000000"/>
              <w:left w:val="single" w:sz="2" w:space="0" w:color="C0C0C0"/>
              <w:bottom w:val="single" w:sz="4" w:space="0" w:color="000000"/>
              <w:right w:val="single" w:sz="2" w:space="0" w:color="C0C0C0"/>
            </w:tcBorders>
          </w:tcPr>
          <w:p w:rsidR="00EE0979" w:rsidRDefault="00B022A0">
            <w:pPr>
              <w:spacing w:after="0" w:line="259" w:lineRule="auto"/>
              <w:ind w:left="0" w:right="-5" w:firstLine="0"/>
              <w:jc w:val="left"/>
            </w:pPr>
            <w:r>
              <w:rPr>
                <w:sz w:val="20"/>
              </w:rPr>
              <w:t xml:space="preserve"> </w:t>
            </w:r>
          </w:p>
        </w:tc>
        <w:tc>
          <w:tcPr>
            <w:tcW w:w="1285" w:type="dxa"/>
            <w:tcBorders>
              <w:top w:val="single" w:sz="2" w:space="0" w:color="C0C0C0"/>
              <w:left w:val="single" w:sz="2" w:space="0" w:color="C0C0C0"/>
              <w:bottom w:val="single" w:sz="2" w:space="0" w:color="C0C0C0"/>
              <w:right w:val="single" w:sz="2" w:space="0" w:color="C0C0C0"/>
            </w:tcBorders>
          </w:tcPr>
          <w:p w:rsidR="00EE0979" w:rsidRDefault="00B022A0">
            <w:pPr>
              <w:spacing w:after="0" w:line="259" w:lineRule="auto"/>
              <w:ind w:left="0" w:right="100" w:firstLine="0"/>
              <w:jc w:val="center"/>
            </w:pPr>
            <w:r>
              <w:rPr>
                <w:sz w:val="20"/>
              </w:rPr>
              <w:t>18</w:t>
            </w:r>
            <w:r>
              <w:rPr>
                <w:rFonts w:ascii="Times New Roman" w:eastAsia="Times New Roman" w:hAnsi="Times New Roman" w:cs="Times New Roman"/>
                <w:sz w:val="24"/>
              </w:rPr>
              <w:t xml:space="preserve"> </w:t>
            </w:r>
          </w:p>
        </w:tc>
        <w:tc>
          <w:tcPr>
            <w:tcW w:w="125" w:type="dxa"/>
            <w:tcBorders>
              <w:top w:val="single" w:sz="4" w:space="0" w:color="000000"/>
              <w:left w:val="single" w:sz="2" w:space="0" w:color="C0C0C0"/>
              <w:bottom w:val="single" w:sz="4" w:space="0" w:color="000000"/>
              <w:right w:val="single" w:sz="2" w:space="0" w:color="C0C0C0"/>
            </w:tcBorders>
          </w:tcPr>
          <w:p w:rsidR="00EE0979" w:rsidRDefault="00B022A0">
            <w:pPr>
              <w:spacing w:after="0" w:line="259" w:lineRule="auto"/>
              <w:ind w:left="0" w:right="-5" w:firstLine="0"/>
              <w:jc w:val="left"/>
            </w:pPr>
            <w:r>
              <w:rPr>
                <w:sz w:val="20"/>
              </w:rPr>
              <w:t xml:space="preserve"> </w:t>
            </w:r>
          </w:p>
        </w:tc>
        <w:tc>
          <w:tcPr>
            <w:tcW w:w="1683" w:type="dxa"/>
            <w:tcBorders>
              <w:top w:val="single" w:sz="2" w:space="0" w:color="C0C0C0"/>
              <w:left w:val="single" w:sz="2" w:space="0" w:color="C0C0C0"/>
              <w:bottom w:val="single" w:sz="2" w:space="0" w:color="C0C0C0"/>
              <w:right w:val="single" w:sz="6" w:space="0" w:color="C0C0C0"/>
            </w:tcBorders>
          </w:tcPr>
          <w:p w:rsidR="00EE0979" w:rsidRDefault="00B022A0">
            <w:pPr>
              <w:spacing w:after="0" w:line="259" w:lineRule="auto"/>
              <w:ind w:left="0" w:right="123" w:firstLine="0"/>
              <w:jc w:val="center"/>
            </w:pPr>
            <w:r>
              <w:rPr>
                <w:sz w:val="20"/>
              </w:rPr>
              <w:t>5.064,26</w:t>
            </w:r>
            <w:r>
              <w:rPr>
                <w:rFonts w:ascii="Times New Roman" w:eastAsia="Times New Roman" w:hAnsi="Times New Roman" w:cs="Times New Roman"/>
                <w:sz w:val="24"/>
              </w:rPr>
              <w:t xml:space="preserve"> </w:t>
            </w:r>
          </w:p>
        </w:tc>
        <w:tc>
          <w:tcPr>
            <w:tcW w:w="1318" w:type="dxa"/>
            <w:tcBorders>
              <w:top w:val="single" w:sz="2" w:space="0" w:color="C0C0C0"/>
              <w:left w:val="single" w:sz="6" w:space="0" w:color="C0C0C0"/>
              <w:bottom w:val="single" w:sz="2" w:space="0" w:color="C0C0C0"/>
              <w:right w:val="single" w:sz="2" w:space="0" w:color="C0C0C0"/>
            </w:tcBorders>
          </w:tcPr>
          <w:p w:rsidR="00EE0979" w:rsidRDefault="00B022A0">
            <w:pPr>
              <w:spacing w:after="0" w:line="259" w:lineRule="auto"/>
              <w:ind w:left="0" w:right="48" w:firstLine="0"/>
              <w:jc w:val="center"/>
            </w:pPr>
            <w:r>
              <w:rPr>
                <w:sz w:val="20"/>
              </w:rPr>
              <w:t>2</w:t>
            </w:r>
            <w:r>
              <w:rPr>
                <w:rFonts w:ascii="Times New Roman" w:eastAsia="Times New Roman" w:hAnsi="Times New Roman" w:cs="Times New Roman"/>
                <w:sz w:val="24"/>
              </w:rPr>
              <w:t xml:space="preserve"> </w:t>
            </w:r>
          </w:p>
        </w:tc>
        <w:tc>
          <w:tcPr>
            <w:tcW w:w="125" w:type="dxa"/>
            <w:tcBorders>
              <w:top w:val="single" w:sz="4" w:space="0" w:color="000000"/>
              <w:left w:val="single" w:sz="2" w:space="0" w:color="C0C0C0"/>
              <w:bottom w:val="single" w:sz="4" w:space="0" w:color="000000"/>
              <w:right w:val="single" w:sz="2" w:space="0" w:color="C0C0C0"/>
            </w:tcBorders>
          </w:tcPr>
          <w:p w:rsidR="00EE0979" w:rsidRDefault="00B022A0">
            <w:pPr>
              <w:spacing w:after="0" w:line="259" w:lineRule="auto"/>
              <w:ind w:left="0" w:right="-5" w:firstLine="0"/>
              <w:jc w:val="left"/>
            </w:pPr>
            <w:r>
              <w:rPr>
                <w:sz w:val="20"/>
              </w:rPr>
              <w:t xml:space="preserve"> </w:t>
            </w:r>
          </w:p>
        </w:tc>
        <w:tc>
          <w:tcPr>
            <w:tcW w:w="1611" w:type="dxa"/>
            <w:tcBorders>
              <w:top w:val="single" w:sz="2" w:space="0" w:color="C0C0C0"/>
              <w:left w:val="single" w:sz="2" w:space="0" w:color="C0C0C0"/>
              <w:bottom w:val="single" w:sz="2" w:space="0" w:color="C0C0C0"/>
              <w:right w:val="single" w:sz="2" w:space="0" w:color="C0C0C0"/>
            </w:tcBorders>
          </w:tcPr>
          <w:p w:rsidR="00EE0979" w:rsidRDefault="00B022A0">
            <w:pPr>
              <w:spacing w:after="0" w:line="259" w:lineRule="auto"/>
              <w:ind w:left="0" w:right="96" w:firstLine="0"/>
              <w:jc w:val="center"/>
            </w:pPr>
            <w:r>
              <w:rPr>
                <w:sz w:val="20"/>
              </w:rPr>
              <w:t>437,63</w:t>
            </w:r>
            <w:r>
              <w:rPr>
                <w:rFonts w:ascii="Times New Roman" w:eastAsia="Times New Roman" w:hAnsi="Times New Roman" w:cs="Times New Roman"/>
                <w:sz w:val="24"/>
              </w:rPr>
              <w:t xml:space="preserve"> </w:t>
            </w:r>
          </w:p>
        </w:tc>
      </w:tr>
    </w:tbl>
    <w:p w:rsidR="00EE0979" w:rsidRDefault="00B022A0">
      <w:pPr>
        <w:spacing w:after="0" w:line="259" w:lineRule="auto"/>
        <w:ind w:left="70"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 xml:space="preserve">VIVIENDAS Y SERVICIOS MUNICIPALES </w:t>
      </w:r>
      <w:r>
        <w:rPr>
          <w:rFonts w:ascii="Times New Roman" w:eastAsia="Times New Roman" w:hAnsi="Times New Roman" w:cs="Times New Roman"/>
          <w:sz w:val="24"/>
        </w:rPr>
        <w:t xml:space="preserve"> </w:t>
      </w:r>
    </w:p>
    <w:p w:rsidR="00EE0979" w:rsidRDefault="00B022A0">
      <w:pPr>
        <w:spacing w:after="6"/>
        <w:ind w:right="99" w:hanging="10"/>
      </w:pPr>
      <w:r>
        <w:rPr>
          <w:b/>
        </w:rPr>
        <w:t>DE CANDELARIA</w:t>
      </w:r>
      <w:r>
        <w:rPr>
          <w:rFonts w:ascii="Times New Roman" w:eastAsia="Times New Roman" w:hAnsi="Times New Roman" w:cs="Times New Roman"/>
          <w:sz w:val="24"/>
        </w:rPr>
        <w:t xml:space="preserve"> </w:t>
      </w:r>
    </w:p>
    <w:p w:rsidR="00EE0979" w:rsidRDefault="00B022A0">
      <w:pPr>
        <w:ind w:right="100"/>
      </w:pPr>
      <w:r>
        <w:t xml:space="preserve">PAGOS REALIZADOS EN </w:t>
      </w:r>
      <w:r>
        <w:rPr>
          <w:rFonts w:ascii="Times New Roman" w:eastAsia="Times New Roman" w:hAnsi="Times New Roman" w:cs="Times New Roman"/>
          <w:sz w:val="24"/>
        </w:rPr>
        <w:t xml:space="preserve"> </w:t>
      </w:r>
    </w:p>
    <w:p w:rsidR="00EE0979" w:rsidRDefault="00B022A0">
      <w:pPr>
        <w:ind w:right="100"/>
      </w:pPr>
      <w:r>
        <w:t>EL PERIODO</w:t>
      </w:r>
      <w:r>
        <w:rPr>
          <w:rFonts w:ascii="Times New Roman" w:eastAsia="Times New Roman" w:hAnsi="Times New Roman" w:cs="Times New Roman"/>
          <w:sz w:val="24"/>
        </w:rPr>
        <w:t xml:space="preserve"> </w:t>
      </w:r>
    </w:p>
    <w:tbl>
      <w:tblPr>
        <w:tblStyle w:val="TableGrid"/>
        <w:tblW w:w="8517" w:type="dxa"/>
        <w:tblInd w:w="17" w:type="dxa"/>
        <w:tblCellMar>
          <w:top w:w="53" w:type="dxa"/>
          <w:left w:w="77" w:type="dxa"/>
          <w:bottom w:w="10" w:type="dxa"/>
          <w:right w:w="6" w:type="dxa"/>
        </w:tblCellMar>
        <w:tblLook w:val="04A0" w:firstRow="1" w:lastRow="0" w:firstColumn="1" w:lastColumn="0" w:noHBand="0" w:noVBand="1"/>
      </w:tblPr>
      <w:tblGrid>
        <w:gridCol w:w="2326"/>
        <w:gridCol w:w="1361"/>
        <w:gridCol w:w="1801"/>
        <w:gridCol w:w="1267"/>
        <w:gridCol w:w="1762"/>
      </w:tblGrid>
      <w:tr w:rsidR="00EE0979">
        <w:trPr>
          <w:trHeight w:val="365"/>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52" w:firstLine="0"/>
              <w:jc w:val="center"/>
            </w:pPr>
            <w:r>
              <w:rPr>
                <w:rFonts w:ascii="Times New Roman" w:eastAsia="Times New Roman" w:hAnsi="Times New Roman" w:cs="Times New Roman"/>
                <w:sz w:val="24"/>
              </w:rPr>
              <w:t xml:space="preserve">  </w:t>
            </w:r>
          </w:p>
        </w:tc>
        <w:tc>
          <w:tcPr>
            <w:tcW w:w="3162" w:type="dxa"/>
            <w:gridSpan w:val="2"/>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69" w:firstLine="0"/>
              <w:jc w:val="center"/>
            </w:pPr>
            <w:r>
              <w:rPr>
                <w:sz w:val="20"/>
              </w:rPr>
              <w:t>Dentro del Periodo Legal Pago</w:t>
            </w:r>
            <w:r>
              <w:rPr>
                <w:rFonts w:ascii="Times New Roman" w:eastAsia="Times New Roman" w:hAnsi="Times New Roman" w:cs="Times New Roman"/>
                <w:sz w:val="24"/>
              </w:rPr>
              <w:t xml:space="preserve"> </w:t>
            </w:r>
          </w:p>
        </w:tc>
        <w:tc>
          <w:tcPr>
            <w:tcW w:w="3029" w:type="dxa"/>
            <w:gridSpan w:val="2"/>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1"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61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13" w:line="259" w:lineRule="auto"/>
              <w:ind w:left="0" w:firstLine="0"/>
            </w:pPr>
            <w:r>
              <w:rPr>
                <w:sz w:val="20"/>
              </w:rPr>
              <w:t xml:space="preserve">Periodo Medio de Pagos </w:t>
            </w:r>
          </w:p>
          <w:p w:rsidR="00EE0979" w:rsidRDefault="00B022A0">
            <w:pPr>
              <w:spacing w:after="0" w:line="259" w:lineRule="auto"/>
              <w:ind w:left="0" w:right="67" w:firstLine="0"/>
              <w:jc w:val="center"/>
            </w:pPr>
            <w:r>
              <w:rPr>
                <w:sz w:val="20"/>
              </w:rPr>
              <w:t>(días)</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344" w:hanging="106"/>
              <w:jc w:val="left"/>
            </w:pPr>
            <w:r>
              <w:rPr>
                <w:sz w:val="20"/>
              </w:rPr>
              <w:t>Número Pagos</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vAlign w:val="bottom"/>
          </w:tcPr>
          <w:p w:rsidR="00EE0979" w:rsidRDefault="00B022A0">
            <w:pPr>
              <w:spacing w:after="0" w:line="259" w:lineRule="auto"/>
              <w:ind w:left="0" w:right="70" w:firstLine="0"/>
              <w:jc w:val="center"/>
            </w:pPr>
            <w:r>
              <w:rPr>
                <w:sz w:val="20"/>
              </w:rPr>
              <w:t>Importe Total</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293" w:hanging="106"/>
              <w:jc w:val="left"/>
            </w:pPr>
            <w:r>
              <w:rPr>
                <w:sz w:val="20"/>
              </w:rPr>
              <w:t>Número Pagos</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71" w:firstLine="0"/>
              <w:jc w:val="center"/>
            </w:pPr>
            <w:r>
              <w:rPr>
                <w:sz w:val="20"/>
              </w:rPr>
              <w:t>Importe Total</w:t>
            </w:r>
            <w:r>
              <w:rPr>
                <w:rFonts w:ascii="Times New Roman" w:eastAsia="Times New Roman" w:hAnsi="Times New Roman" w:cs="Times New Roman"/>
                <w:sz w:val="24"/>
              </w:rPr>
              <w:t xml:space="preserve"> </w:t>
            </w:r>
          </w:p>
        </w:tc>
      </w:tr>
      <w:tr w:rsidR="00EE0979">
        <w:trPr>
          <w:trHeight w:val="36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8" w:firstLine="0"/>
              <w:jc w:val="center"/>
            </w:pPr>
            <w:r>
              <w:rPr>
                <w:sz w:val="20"/>
              </w:rPr>
              <w:t>17,79</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7" w:firstLine="0"/>
              <w:jc w:val="center"/>
            </w:pPr>
            <w:r>
              <w:rPr>
                <w:sz w:val="20"/>
              </w:rPr>
              <w:t>34</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76" w:firstLine="0"/>
              <w:jc w:val="center"/>
            </w:pPr>
            <w:r>
              <w:rPr>
                <w:sz w:val="20"/>
              </w:rPr>
              <w:t>11.376,66</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5" w:firstLine="0"/>
              <w:jc w:val="center"/>
            </w:pPr>
            <w:r>
              <w:rPr>
                <w:sz w:val="20"/>
              </w:rPr>
              <w:t>9</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73" w:firstLine="0"/>
              <w:jc w:val="center"/>
            </w:pPr>
            <w:r>
              <w:rPr>
                <w:sz w:val="20"/>
              </w:rPr>
              <w:t>3.650,18</w:t>
            </w:r>
            <w:r>
              <w:rPr>
                <w:rFonts w:ascii="Times New Roman" w:eastAsia="Times New Roman" w:hAnsi="Times New Roman" w:cs="Times New Roman"/>
                <w:sz w:val="24"/>
              </w:rPr>
              <w:t xml:space="preserve"> </w:t>
            </w:r>
          </w:p>
        </w:tc>
      </w:tr>
    </w:tbl>
    <w:p w:rsidR="00EE0979" w:rsidRDefault="00B022A0">
      <w:pPr>
        <w:spacing w:after="0" w:line="259" w:lineRule="auto"/>
        <w:ind w:left="70" w:firstLine="0"/>
        <w:jc w:val="left"/>
      </w:pPr>
      <w:r>
        <w:rPr>
          <w:rFonts w:ascii="Times New Roman" w:eastAsia="Times New Roman" w:hAnsi="Times New Roman" w:cs="Times New Roman"/>
          <w:sz w:val="24"/>
        </w:rPr>
        <w:t xml:space="preserve"> </w:t>
      </w:r>
    </w:p>
    <w:p w:rsidR="00EE0979" w:rsidRDefault="00B022A0">
      <w:pPr>
        <w:ind w:right="100"/>
      </w:pPr>
      <w:r>
        <w:t xml:space="preserve">FACTURAS O DOCUMENTOS PENDIENTES DE PAGO AL </w:t>
      </w:r>
      <w:r>
        <w:rPr>
          <w:rFonts w:ascii="Times New Roman" w:eastAsia="Times New Roman" w:hAnsi="Times New Roman" w:cs="Times New Roman"/>
          <w:sz w:val="24"/>
        </w:rPr>
        <w:t xml:space="preserve"> </w:t>
      </w:r>
    </w:p>
    <w:p w:rsidR="00EE0979" w:rsidRDefault="00B022A0">
      <w:pPr>
        <w:ind w:right="100"/>
      </w:pPr>
      <w:r>
        <w:t>FINAL DEL PERIODO</w:t>
      </w:r>
      <w:r>
        <w:rPr>
          <w:rFonts w:ascii="Times New Roman" w:eastAsia="Times New Roman" w:hAnsi="Times New Roman" w:cs="Times New Roman"/>
          <w:sz w:val="24"/>
        </w:rPr>
        <w:t xml:space="preserve"> </w:t>
      </w:r>
    </w:p>
    <w:tbl>
      <w:tblPr>
        <w:tblStyle w:val="TableGrid"/>
        <w:tblW w:w="8469" w:type="dxa"/>
        <w:tblInd w:w="41" w:type="dxa"/>
        <w:tblCellMar>
          <w:top w:w="51" w:type="dxa"/>
          <w:left w:w="74" w:type="dxa"/>
          <w:bottom w:w="14" w:type="dxa"/>
          <w:right w:w="0" w:type="dxa"/>
        </w:tblCellMar>
        <w:tblLook w:val="04A0" w:firstRow="1" w:lastRow="0" w:firstColumn="1" w:lastColumn="0" w:noHBand="0" w:noVBand="1"/>
      </w:tblPr>
      <w:tblGrid>
        <w:gridCol w:w="2197"/>
        <w:gridCol w:w="125"/>
        <w:gridCol w:w="1285"/>
        <w:gridCol w:w="125"/>
        <w:gridCol w:w="1683"/>
        <w:gridCol w:w="1318"/>
        <w:gridCol w:w="125"/>
        <w:gridCol w:w="1611"/>
      </w:tblGrid>
      <w:tr w:rsidR="00EE0979">
        <w:trPr>
          <w:trHeight w:val="367"/>
        </w:trPr>
        <w:tc>
          <w:tcPr>
            <w:tcW w:w="21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6" w:firstLine="0"/>
              <w:jc w:val="center"/>
            </w:pPr>
            <w:r>
              <w:rPr>
                <w:rFonts w:ascii="Times New Roman" w:eastAsia="Times New Roman" w:hAnsi="Times New Roman" w:cs="Times New Roman"/>
                <w:sz w:val="24"/>
              </w:rPr>
              <w:t xml:space="preserve">  </w:t>
            </w:r>
          </w:p>
        </w:tc>
        <w:tc>
          <w:tcPr>
            <w:tcW w:w="3217" w:type="dxa"/>
            <w:gridSpan w:val="4"/>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51" w:firstLine="0"/>
              <w:jc w:val="center"/>
            </w:pPr>
            <w:r>
              <w:rPr>
                <w:sz w:val="20"/>
              </w:rPr>
              <w:t>Dentro del Periodo Legal Pago</w:t>
            </w:r>
            <w:r>
              <w:rPr>
                <w:rFonts w:ascii="Times New Roman" w:eastAsia="Times New Roman" w:hAnsi="Times New Roman" w:cs="Times New Roman"/>
                <w:sz w:val="24"/>
              </w:rPr>
              <w:t xml:space="preserve"> </w:t>
            </w:r>
          </w:p>
        </w:tc>
        <w:tc>
          <w:tcPr>
            <w:tcW w:w="3053" w:type="dxa"/>
            <w:gridSpan w:val="3"/>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45"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760"/>
        </w:trPr>
        <w:tc>
          <w:tcPr>
            <w:tcW w:w="2198" w:type="dxa"/>
            <w:tcBorders>
              <w:top w:val="single" w:sz="4" w:space="0" w:color="000000"/>
              <w:left w:val="single" w:sz="4" w:space="0" w:color="000000"/>
              <w:bottom w:val="single" w:sz="2" w:space="0" w:color="D2DADA"/>
              <w:right w:val="single" w:sz="4" w:space="0" w:color="000000"/>
            </w:tcBorders>
          </w:tcPr>
          <w:p w:rsidR="00EE0979" w:rsidRDefault="00B022A0">
            <w:pPr>
              <w:spacing w:after="0" w:line="259" w:lineRule="auto"/>
              <w:ind w:left="341" w:right="17" w:hanging="319"/>
              <w:jc w:val="left"/>
            </w:pPr>
            <w:r>
              <w:rPr>
                <w:sz w:val="20"/>
              </w:rPr>
              <w:t>Periodo Medio de Pago Pendiente (días)</w:t>
            </w:r>
            <w:r>
              <w:rPr>
                <w:rFonts w:ascii="Times New Roman" w:eastAsia="Times New Roman" w:hAnsi="Times New Roman" w:cs="Times New Roman"/>
                <w:sz w:val="24"/>
              </w:rPr>
              <w:t xml:space="preserve"> </w:t>
            </w:r>
          </w:p>
        </w:tc>
        <w:tc>
          <w:tcPr>
            <w:tcW w:w="1409" w:type="dxa"/>
            <w:gridSpan w:val="2"/>
            <w:tcBorders>
              <w:top w:val="single" w:sz="4" w:space="0" w:color="000000"/>
              <w:left w:val="single" w:sz="4" w:space="0" w:color="000000"/>
              <w:bottom w:val="single" w:sz="2" w:space="0" w:color="D2DADA"/>
              <w:right w:val="single" w:sz="4" w:space="0" w:color="000000"/>
            </w:tcBorders>
          </w:tcPr>
          <w:p w:rsidR="00EE0979" w:rsidRDefault="00B022A0">
            <w:pPr>
              <w:spacing w:after="0" w:line="259" w:lineRule="auto"/>
              <w:ind w:left="67" w:firstLine="194"/>
              <w:jc w:val="left"/>
            </w:pPr>
            <w:r>
              <w:rPr>
                <w:sz w:val="20"/>
              </w:rPr>
              <w:t>Número Operaciones</w:t>
            </w:r>
            <w:r>
              <w:rPr>
                <w:rFonts w:ascii="Times New Roman" w:eastAsia="Times New Roman" w:hAnsi="Times New Roman" w:cs="Times New Roman"/>
                <w:sz w:val="24"/>
              </w:rPr>
              <w:t xml:space="preserve"> </w:t>
            </w:r>
          </w:p>
        </w:tc>
        <w:tc>
          <w:tcPr>
            <w:tcW w:w="1808" w:type="dxa"/>
            <w:gridSpan w:val="2"/>
            <w:tcBorders>
              <w:top w:val="single" w:sz="4" w:space="0" w:color="000000"/>
              <w:left w:val="single" w:sz="4" w:space="0" w:color="000000"/>
              <w:bottom w:val="single" w:sz="2" w:space="0" w:color="D2DADA"/>
              <w:right w:val="single" w:sz="6" w:space="0" w:color="000000"/>
            </w:tcBorders>
            <w:vAlign w:val="bottom"/>
          </w:tcPr>
          <w:p w:rsidR="00EE0979" w:rsidRDefault="00B022A0">
            <w:pPr>
              <w:spacing w:after="0" w:line="259" w:lineRule="auto"/>
              <w:ind w:left="0" w:right="48" w:firstLine="0"/>
              <w:jc w:val="center"/>
            </w:pPr>
            <w:r>
              <w:rPr>
                <w:sz w:val="20"/>
              </w:rPr>
              <w:t>Importe Total</w:t>
            </w:r>
            <w:r>
              <w:rPr>
                <w:rFonts w:ascii="Times New Roman" w:eastAsia="Times New Roman" w:hAnsi="Times New Roman" w:cs="Times New Roman"/>
                <w:sz w:val="24"/>
              </w:rPr>
              <w:t xml:space="preserve"> </w:t>
            </w:r>
          </w:p>
        </w:tc>
        <w:tc>
          <w:tcPr>
            <w:tcW w:w="1318" w:type="dxa"/>
            <w:tcBorders>
              <w:top w:val="single" w:sz="4" w:space="0" w:color="000000"/>
              <w:left w:val="single" w:sz="6" w:space="0" w:color="000000"/>
              <w:bottom w:val="single" w:sz="2" w:space="0" w:color="D2DADA"/>
              <w:right w:val="single" w:sz="4" w:space="0" w:color="000000"/>
            </w:tcBorders>
          </w:tcPr>
          <w:p w:rsidR="00EE0979" w:rsidRDefault="00B022A0">
            <w:pPr>
              <w:spacing w:after="0" w:line="259" w:lineRule="auto"/>
              <w:ind w:left="0" w:firstLine="194"/>
              <w:jc w:val="left"/>
            </w:pPr>
            <w:r>
              <w:rPr>
                <w:sz w:val="20"/>
              </w:rPr>
              <w:t>Número Operaciones</w:t>
            </w:r>
            <w:r>
              <w:rPr>
                <w:rFonts w:ascii="Times New Roman" w:eastAsia="Times New Roman" w:hAnsi="Times New Roman" w:cs="Times New Roman"/>
                <w:sz w:val="24"/>
              </w:rPr>
              <w:t xml:space="preserve"> </w:t>
            </w:r>
          </w:p>
        </w:tc>
        <w:tc>
          <w:tcPr>
            <w:tcW w:w="1736" w:type="dxa"/>
            <w:gridSpan w:val="2"/>
            <w:tcBorders>
              <w:top w:val="single" w:sz="4" w:space="0" w:color="000000"/>
              <w:left w:val="single" w:sz="4" w:space="0" w:color="000000"/>
              <w:bottom w:val="single" w:sz="2" w:space="0" w:color="D2DADA"/>
              <w:right w:val="single" w:sz="4" w:space="0" w:color="000000"/>
            </w:tcBorders>
            <w:vAlign w:val="bottom"/>
          </w:tcPr>
          <w:p w:rsidR="00EE0979" w:rsidRDefault="00B022A0">
            <w:pPr>
              <w:spacing w:after="0" w:line="259" w:lineRule="auto"/>
              <w:ind w:left="0" w:right="24" w:firstLine="0"/>
              <w:jc w:val="center"/>
            </w:pPr>
            <w:r>
              <w:rPr>
                <w:sz w:val="20"/>
              </w:rPr>
              <w:t>Importe Total</w:t>
            </w:r>
            <w:r>
              <w:rPr>
                <w:rFonts w:ascii="Times New Roman" w:eastAsia="Times New Roman" w:hAnsi="Times New Roman" w:cs="Times New Roman"/>
                <w:sz w:val="24"/>
              </w:rPr>
              <w:t xml:space="preserve"> </w:t>
            </w:r>
          </w:p>
        </w:tc>
      </w:tr>
      <w:tr w:rsidR="00EE0979">
        <w:trPr>
          <w:trHeight w:val="391"/>
        </w:trPr>
        <w:tc>
          <w:tcPr>
            <w:tcW w:w="2198" w:type="dxa"/>
            <w:tcBorders>
              <w:top w:val="single" w:sz="2" w:space="0" w:color="D2DADA"/>
              <w:left w:val="single" w:sz="2" w:space="0" w:color="D2DADA"/>
              <w:bottom w:val="single" w:sz="2" w:space="0" w:color="D2DADA"/>
              <w:right w:val="single" w:sz="2" w:space="0" w:color="D2DADA"/>
            </w:tcBorders>
          </w:tcPr>
          <w:p w:rsidR="00EE0979" w:rsidRDefault="00B022A0">
            <w:pPr>
              <w:spacing w:after="0" w:line="259" w:lineRule="auto"/>
              <w:ind w:left="0" w:right="77" w:firstLine="0"/>
              <w:jc w:val="center"/>
            </w:pPr>
            <w:r>
              <w:rPr>
                <w:sz w:val="20"/>
              </w:rPr>
              <w:t>9,69</w:t>
            </w:r>
            <w:r>
              <w:rPr>
                <w:rFonts w:ascii="Times New Roman" w:eastAsia="Times New Roman" w:hAnsi="Times New Roman" w:cs="Times New Roman"/>
                <w:sz w:val="24"/>
              </w:rPr>
              <w:t xml:space="preserve"> </w:t>
            </w:r>
          </w:p>
        </w:tc>
        <w:tc>
          <w:tcPr>
            <w:tcW w:w="125" w:type="dxa"/>
            <w:tcBorders>
              <w:top w:val="single" w:sz="4" w:space="0" w:color="000000"/>
              <w:left w:val="single" w:sz="2" w:space="0" w:color="D2DADA"/>
              <w:bottom w:val="single" w:sz="4" w:space="0" w:color="000000"/>
              <w:right w:val="single" w:sz="2" w:space="0" w:color="D2DADA"/>
            </w:tcBorders>
          </w:tcPr>
          <w:p w:rsidR="00EE0979" w:rsidRDefault="00B022A0">
            <w:pPr>
              <w:spacing w:after="0" w:line="259" w:lineRule="auto"/>
              <w:ind w:left="0" w:right="-5" w:firstLine="0"/>
              <w:jc w:val="left"/>
            </w:pPr>
            <w:r>
              <w:rPr>
                <w:sz w:val="20"/>
              </w:rPr>
              <w:t xml:space="preserve"> </w:t>
            </w:r>
          </w:p>
        </w:tc>
        <w:tc>
          <w:tcPr>
            <w:tcW w:w="1285" w:type="dxa"/>
            <w:tcBorders>
              <w:top w:val="single" w:sz="2" w:space="0" w:color="D2DADA"/>
              <w:left w:val="single" w:sz="2" w:space="0" w:color="D2DADA"/>
              <w:bottom w:val="single" w:sz="2" w:space="0" w:color="D2DADA"/>
              <w:right w:val="single" w:sz="2" w:space="0" w:color="D2DADA"/>
            </w:tcBorders>
          </w:tcPr>
          <w:p w:rsidR="00EE0979" w:rsidRDefault="00B022A0">
            <w:pPr>
              <w:spacing w:after="0" w:line="259" w:lineRule="auto"/>
              <w:ind w:left="0" w:right="95" w:firstLine="0"/>
              <w:jc w:val="center"/>
            </w:pPr>
            <w:r>
              <w:rPr>
                <w:sz w:val="20"/>
              </w:rPr>
              <w:t>4</w:t>
            </w:r>
            <w:r>
              <w:rPr>
                <w:rFonts w:ascii="Times New Roman" w:eastAsia="Times New Roman" w:hAnsi="Times New Roman" w:cs="Times New Roman"/>
                <w:sz w:val="24"/>
              </w:rPr>
              <w:t xml:space="preserve"> </w:t>
            </w:r>
          </w:p>
        </w:tc>
        <w:tc>
          <w:tcPr>
            <w:tcW w:w="125" w:type="dxa"/>
            <w:tcBorders>
              <w:top w:val="single" w:sz="4" w:space="0" w:color="000000"/>
              <w:left w:val="single" w:sz="2" w:space="0" w:color="D2DADA"/>
              <w:bottom w:val="single" w:sz="4" w:space="0" w:color="000000"/>
              <w:right w:val="single" w:sz="2" w:space="0" w:color="D2DADA"/>
            </w:tcBorders>
          </w:tcPr>
          <w:p w:rsidR="00EE0979" w:rsidRDefault="00B022A0">
            <w:pPr>
              <w:spacing w:after="0" w:line="259" w:lineRule="auto"/>
              <w:ind w:left="0" w:right="-5" w:firstLine="0"/>
              <w:jc w:val="left"/>
            </w:pPr>
            <w:r>
              <w:rPr>
                <w:sz w:val="20"/>
              </w:rPr>
              <w:t xml:space="preserve"> </w:t>
            </w:r>
          </w:p>
        </w:tc>
        <w:tc>
          <w:tcPr>
            <w:tcW w:w="1683" w:type="dxa"/>
            <w:tcBorders>
              <w:top w:val="single" w:sz="2" w:space="0" w:color="D2DADA"/>
              <w:left w:val="single" w:sz="2" w:space="0" w:color="D2DADA"/>
              <w:bottom w:val="single" w:sz="2" w:space="0" w:color="D2DADA"/>
              <w:right w:val="single" w:sz="6" w:space="0" w:color="D2DADA"/>
            </w:tcBorders>
          </w:tcPr>
          <w:p w:rsidR="00EE0979" w:rsidRDefault="00B022A0">
            <w:pPr>
              <w:spacing w:after="0" w:line="259" w:lineRule="auto"/>
              <w:ind w:left="0" w:right="123" w:firstLine="0"/>
              <w:jc w:val="center"/>
            </w:pPr>
            <w:r>
              <w:rPr>
                <w:sz w:val="20"/>
              </w:rPr>
              <w:t>1.969,77</w:t>
            </w:r>
            <w:r>
              <w:rPr>
                <w:rFonts w:ascii="Times New Roman" w:eastAsia="Times New Roman" w:hAnsi="Times New Roman" w:cs="Times New Roman"/>
                <w:sz w:val="24"/>
              </w:rPr>
              <w:t xml:space="preserve"> </w:t>
            </w:r>
          </w:p>
        </w:tc>
        <w:tc>
          <w:tcPr>
            <w:tcW w:w="1318" w:type="dxa"/>
            <w:tcBorders>
              <w:top w:val="single" w:sz="2" w:space="0" w:color="D2DADA"/>
              <w:left w:val="single" w:sz="6" w:space="0" w:color="D2DADA"/>
              <w:bottom w:val="single" w:sz="2" w:space="0" w:color="D2DADA"/>
              <w:right w:val="single" w:sz="2" w:space="0" w:color="D2DADA"/>
            </w:tcBorders>
          </w:tcPr>
          <w:p w:rsidR="00EE0979" w:rsidRDefault="00B022A0">
            <w:pPr>
              <w:spacing w:after="0" w:line="259" w:lineRule="auto"/>
              <w:ind w:left="0" w:right="48" w:firstLine="0"/>
              <w:jc w:val="center"/>
            </w:pPr>
            <w:r>
              <w:rPr>
                <w:sz w:val="20"/>
              </w:rPr>
              <w:t>2</w:t>
            </w:r>
            <w:r>
              <w:rPr>
                <w:rFonts w:ascii="Times New Roman" w:eastAsia="Times New Roman" w:hAnsi="Times New Roman" w:cs="Times New Roman"/>
                <w:sz w:val="24"/>
              </w:rPr>
              <w:t xml:space="preserve"> </w:t>
            </w:r>
          </w:p>
        </w:tc>
        <w:tc>
          <w:tcPr>
            <w:tcW w:w="125" w:type="dxa"/>
            <w:tcBorders>
              <w:top w:val="single" w:sz="4" w:space="0" w:color="000000"/>
              <w:left w:val="single" w:sz="2" w:space="0" w:color="D2DADA"/>
              <w:bottom w:val="single" w:sz="4" w:space="0" w:color="000000"/>
              <w:right w:val="single" w:sz="2" w:space="0" w:color="D2DADA"/>
            </w:tcBorders>
          </w:tcPr>
          <w:p w:rsidR="00EE0979" w:rsidRDefault="00B022A0">
            <w:pPr>
              <w:spacing w:after="0" w:line="259" w:lineRule="auto"/>
              <w:ind w:left="0" w:right="-5" w:firstLine="0"/>
              <w:jc w:val="left"/>
            </w:pPr>
            <w:r>
              <w:rPr>
                <w:sz w:val="20"/>
              </w:rPr>
              <w:t xml:space="preserve"> </w:t>
            </w:r>
          </w:p>
        </w:tc>
        <w:tc>
          <w:tcPr>
            <w:tcW w:w="1611" w:type="dxa"/>
            <w:tcBorders>
              <w:top w:val="single" w:sz="2" w:space="0" w:color="D2DADA"/>
              <w:left w:val="single" w:sz="2" w:space="0" w:color="D2DADA"/>
              <w:bottom w:val="single" w:sz="2" w:space="0" w:color="D2DADA"/>
              <w:right w:val="single" w:sz="2" w:space="0" w:color="D2DADA"/>
            </w:tcBorders>
          </w:tcPr>
          <w:p w:rsidR="00EE0979" w:rsidRDefault="00B022A0">
            <w:pPr>
              <w:spacing w:after="0" w:line="259" w:lineRule="auto"/>
              <w:ind w:left="0" w:right="96" w:firstLine="0"/>
              <w:jc w:val="center"/>
            </w:pPr>
            <w:r>
              <w:rPr>
                <w:sz w:val="20"/>
              </w:rPr>
              <w:t>751,74</w:t>
            </w:r>
            <w:r>
              <w:rPr>
                <w:rFonts w:ascii="Times New Roman" w:eastAsia="Times New Roman" w:hAnsi="Times New Roman" w:cs="Times New Roman"/>
                <w:sz w:val="24"/>
              </w:rPr>
              <w:t xml:space="preserve"> </w:t>
            </w:r>
          </w:p>
        </w:tc>
      </w:tr>
    </w:tbl>
    <w:p w:rsidR="00EE0979" w:rsidRDefault="00B022A0">
      <w:pPr>
        <w:spacing w:after="0" w:line="259" w:lineRule="auto"/>
        <w:ind w:left="70"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CANDESOL</w:t>
      </w:r>
      <w:r>
        <w:rPr>
          <w:rFonts w:ascii="Times New Roman" w:eastAsia="Times New Roman" w:hAnsi="Times New Roman" w:cs="Times New Roman"/>
          <w:sz w:val="24"/>
        </w:rPr>
        <w:t xml:space="preserve"> </w:t>
      </w:r>
    </w:p>
    <w:p w:rsidR="00EE0979" w:rsidRDefault="00B022A0">
      <w:pPr>
        <w:ind w:right="100"/>
      </w:pPr>
      <w:r>
        <w:t xml:space="preserve">PAGOS REALIZADOS EN </w:t>
      </w:r>
      <w:r>
        <w:rPr>
          <w:rFonts w:ascii="Times New Roman" w:eastAsia="Times New Roman" w:hAnsi="Times New Roman" w:cs="Times New Roman"/>
          <w:sz w:val="24"/>
        </w:rPr>
        <w:t xml:space="preserve"> </w:t>
      </w:r>
    </w:p>
    <w:p w:rsidR="00EE0979" w:rsidRDefault="00B022A0">
      <w:pPr>
        <w:ind w:right="100"/>
      </w:pPr>
      <w:r>
        <w:t>EL PERIODO</w:t>
      </w:r>
      <w:r>
        <w:rPr>
          <w:rFonts w:ascii="Times New Roman" w:eastAsia="Times New Roman" w:hAnsi="Times New Roman" w:cs="Times New Roman"/>
          <w:sz w:val="24"/>
        </w:rPr>
        <w:t xml:space="preserve"> </w:t>
      </w:r>
    </w:p>
    <w:tbl>
      <w:tblPr>
        <w:tblStyle w:val="TableGrid"/>
        <w:tblW w:w="8517" w:type="dxa"/>
        <w:tblInd w:w="17" w:type="dxa"/>
        <w:tblCellMar>
          <w:top w:w="50" w:type="dxa"/>
          <w:left w:w="77" w:type="dxa"/>
          <w:bottom w:w="15" w:type="dxa"/>
          <w:right w:w="6" w:type="dxa"/>
        </w:tblCellMar>
        <w:tblLook w:val="04A0" w:firstRow="1" w:lastRow="0" w:firstColumn="1" w:lastColumn="0" w:noHBand="0" w:noVBand="1"/>
      </w:tblPr>
      <w:tblGrid>
        <w:gridCol w:w="2326"/>
        <w:gridCol w:w="1361"/>
        <w:gridCol w:w="1801"/>
        <w:gridCol w:w="1267"/>
        <w:gridCol w:w="1762"/>
      </w:tblGrid>
      <w:tr w:rsidR="00EE0979">
        <w:trPr>
          <w:trHeight w:val="36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7" w:firstLine="0"/>
              <w:jc w:val="center"/>
            </w:pPr>
            <w:r>
              <w:rPr>
                <w:sz w:val="20"/>
              </w:rPr>
              <w:t xml:space="preserve"> </w:t>
            </w:r>
            <w:r>
              <w:rPr>
                <w:rFonts w:ascii="Times New Roman" w:eastAsia="Times New Roman" w:hAnsi="Times New Roman" w:cs="Times New Roman"/>
                <w:sz w:val="24"/>
              </w:rPr>
              <w:t xml:space="preserve"> </w:t>
            </w:r>
          </w:p>
        </w:tc>
        <w:tc>
          <w:tcPr>
            <w:tcW w:w="3162" w:type="dxa"/>
            <w:gridSpan w:val="2"/>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69" w:firstLine="0"/>
              <w:jc w:val="center"/>
            </w:pPr>
            <w:r>
              <w:rPr>
                <w:sz w:val="20"/>
              </w:rPr>
              <w:t>Dentro del Periodo Legal Pago</w:t>
            </w:r>
            <w:r>
              <w:rPr>
                <w:rFonts w:ascii="Times New Roman" w:eastAsia="Times New Roman" w:hAnsi="Times New Roman" w:cs="Times New Roman"/>
                <w:sz w:val="24"/>
              </w:rPr>
              <w:t xml:space="preserve"> </w:t>
            </w:r>
          </w:p>
        </w:tc>
        <w:tc>
          <w:tcPr>
            <w:tcW w:w="3029" w:type="dxa"/>
            <w:gridSpan w:val="2"/>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1"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620"/>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14" w:line="259" w:lineRule="auto"/>
              <w:ind w:left="0" w:firstLine="0"/>
            </w:pPr>
            <w:r>
              <w:rPr>
                <w:sz w:val="20"/>
              </w:rPr>
              <w:t xml:space="preserve">Periodo Medio de Pagos </w:t>
            </w:r>
          </w:p>
          <w:p w:rsidR="00EE0979" w:rsidRDefault="00B022A0">
            <w:pPr>
              <w:spacing w:after="0" w:line="259" w:lineRule="auto"/>
              <w:ind w:left="0" w:right="67" w:firstLine="0"/>
              <w:jc w:val="center"/>
            </w:pPr>
            <w:r>
              <w:rPr>
                <w:sz w:val="20"/>
              </w:rPr>
              <w:t>(días)</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344" w:hanging="106"/>
              <w:jc w:val="left"/>
            </w:pPr>
            <w:r>
              <w:rPr>
                <w:sz w:val="20"/>
              </w:rPr>
              <w:t>Número Pagos</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vAlign w:val="bottom"/>
          </w:tcPr>
          <w:p w:rsidR="00EE0979" w:rsidRDefault="00B022A0">
            <w:pPr>
              <w:spacing w:after="0" w:line="259" w:lineRule="auto"/>
              <w:ind w:left="0" w:right="70" w:firstLine="0"/>
              <w:jc w:val="center"/>
            </w:pPr>
            <w:r>
              <w:rPr>
                <w:sz w:val="20"/>
              </w:rPr>
              <w:t>Importe Total</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293" w:hanging="106"/>
              <w:jc w:val="left"/>
            </w:pPr>
            <w:r>
              <w:rPr>
                <w:sz w:val="20"/>
              </w:rPr>
              <w:t>Número Pagos</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71" w:firstLine="0"/>
              <w:jc w:val="center"/>
            </w:pPr>
            <w:r>
              <w:rPr>
                <w:sz w:val="20"/>
              </w:rPr>
              <w:t>Importe Total</w:t>
            </w:r>
            <w:r>
              <w:rPr>
                <w:rFonts w:ascii="Times New Roman" w:eastAsia="Times New Roman" w:hAnsi="Times New Roman" w:cs="Times New Roman"/>
                <w:sz w:val="24"/>
              </w:rPr>
              <w:t xml:space="preserve"> </w:t>
            </w:r>
          </w:p>
        </w:tc>
      </w:tr>
      <w:tr w:rsidR="00EE0979">
        <w:trPr>
          <w:trHeight w:val="367"/>
        </w:trPr>
        <w:tc>
          <w:tcPr>
            <w:tcW w:w="232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71" w:firstLine="0"/>
              <w:jc w:val="center"/>
            </w:pPr>
            <w:r>
              <w:rPr>
                <w:sz w:val="20"/>
              </w:rPr>
              <w:t>4,65</w:t>
            </w:r>
            <w:r>
              <w:rPr>
                <w:rFonts w:ascii="Times New Roman" w:eastAsia="Times New Roman" w:hAnsi="Times New Roman" w:cs="Times New Roman"/>
                <w:sz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7" w:firstLine="0"/>
              <w:jc w:val="center"/>
            </w:pPr>
            <w:r>
              <w:rPr>
                <w:sz w:val="20"/>
              </w:rPr>
              <w:t>60</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73" w:firstLine="0"/>
              <w:jc w:val="center"/>
            </w:pPr>
            <w:r>
              <w:rPr>
                <w:sz w:val="20"/>
              </w:rPr>
              <w:t xml:space="preserve">6.726,58 </w:t>
            </w:r>
            <w:r>
              <w:rPr>
                <w:rFonts w:ascii="Times New Roman" w:eastAsia="Times New Roman" w:hAnsi="Times New Roman" w:cs="Times New Roman"/>
                <w:sz w:val="24"/>
              </w:rPr>
              <w:t xml:space="preserve"> </w:t>
            </w:r>
          </w:p>
        </w:tc>
        <w:tc>
          <w:tcPr>
            <w:tcW w:w="126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75" w:firstLine="0"/>
              <w:jc w:val="center"/>
            </w:pPr>
            <w:r>
              <w:rPr>
                <w:sz w:val="20"/>
              </w:rPr>
              <w:t>3</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74" w:firstLine="0"/>
              <w:jc w:val="center"/>
            </w:pPr>
            <w:r>
              <w:rPr>
                <w:sz w:val="20"/>
              </w:rPr>
              <w:t>802,50 €</w:t>
            </w:r>
            <w:r>
              <w:rPr>
                <w:rFonts w:ascii="Times New Roman" w:eastAsia="Times New Roman" w:hAnsi="Times New Roman" w:cs="Times New Roman"/>
                <w:sz w:val="24"/>
              </w:rPr>
              <w:t xml:space="preserve"> </w:t>
            </w:r>
          </w:p>
        </w:tc>
      </w:tr>
    </w:tbl>
    <w:p w:rsidR="00EE0979" w:rsidRDefault="00B022A0">
      <w:pPr>
        <w:spacing w:after="2" w:line="259" w:lineRule="auto"/>
        <w:ind w:left="70" w:firstLine="0"/>
        <w:jc w:val="left"/>
      </w:pPr>
      <w:r>
        <w:rPr>
          <w:sz w:val="20"/>
        </w:rPr>
        <w:t xml:space="preserve"> </w:t>
      </w:r>
    </w:p>
    <w:p w:rsidR="00EE0979" w:rsidRDefault="00B022A0">
      <w:pPr>
        <w:ind w:right="3058"/>
      </w:pPr>
      <w:r>
        <w:t>FACTURAS O DOCUMENTOS PENDIENTES DE PAGO AL FINAL DEL PERIODO</w:t>
      </w:r>
      <w:r>
        <w:rPr>
          <w:rFonts w:ascii="Times New Roman" w:eastAsia="Times New Roman" w:hAnsi="Times New Roman" w:cs="Times New Roman"/>
          <w:sz w:val="24"/>
        </w:rPr>
        <w:t xml:space="preserve"> </w:t>
      </w:r>
    </w:p>
    <w:tbl>
      <w:tblPr>
        <w:tblStyle w:val="TableGrid"/>
        <w:tblW w:w="8517" w:type="dxa"/>
        <w:tblInd w:w="17" w:type="dxa"/>
        <w:tblCellMar>
          <w:top w:w="50" w:type="dxa"/>
          <w:left w:w="70" w:type="dxa"/>
          <w:bottom w:w="15" w:type="dxa"/>
          <w:right w:w="32" w:type="dxa"/>
        </w:tblCellMar>
        <w:tblLook w:val="04A0" w:firstRow="1" w:lastRow="0" w:firstColumn="1" w:lastColumn="0" w:noHBand="0" w:noVBand="1"/>
      </w:tblPr>
      <w:tblGrid>
        <w:gridCol w:w="2294"/>
        <w:gridCol w:w="1385"/>
        <w:gridCol w:w="1770"/>
        <w:gridCol w:w="1337"/>
        <w:gridCol w:w="1731"/>
      </w:tblGrid>
      <w:tr w:rsidR="00EE0979">
        <w:trPr>
          <w:trHeight w:val="367"/>
        </w:trPr>
        <w:tc>
          <w:tcPr>
            <w:tcW w:w="22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87" w:firstLine="0"/>
              <w:jc w:val="center"/>
            </w:pPr>
            <w:r>
              <w:rPr>
                <w:rFonts w:ascii="Times New Roman" w:eastAsia="Times New Roman" w:hAnsi="Times New Roman" w:cs="Times New Roman"/>
                <w:sz w:val="24"/>
              </w:rPr>
              <w:t xml:space="preserve">  </w:t>
            </w:r>
          </w:p>
        </w:tc>
        <w:tc>
          <w:tcPr>
            <w:tcW w:w="3155" w:type="dxa"/>
            <w:gridSpan w:val="2"/>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38" w:firstLine="0"/>
              <w:jc w:val="center"/>
            </w:pPr>
            <w:r>
              <w:rPr>
                <w:sz w:val="20"/>
              </w:rPr>
              <w:t>Dentro del Periodo Legal Pago</w:t>
            </w:r>
            <w:r>
              <w:rPr>
                <w:rFonts w:ascii="Times New Roman" w:eastAsia="Times New Roman" w:hAnsi="Times New Roman" w:cs="Times New Roman"/>
                <w:sz w:val="24"/>
              </w:rPr>
              <w:t xml:space="preserve"> </w:t>
            </w:r>
          </w:p>
        </w:tc>
        <w:tc>
          <w:tcPr>
            <w:tcW w:w="3068" w:type="dxa"/>
            <w:gridSpan w:val="2"/>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37" w:firstLine="0"/>
              <w:jc w:val="center"/>
            </w:pPr>
            <w:r>
              <w:rPr>
                <w:sz w:val="20"/>
              </w:rPr>
              <w:t>Fuera del Periodo Legal Pago</w:t>
            </w:r>
            <w:r>
              <w:rPr>
                <w:rFonts w:ascii="Times New Roman" w:eastAsia="Times New Roman" w:hAnsi="Times New Roman" w:cs="Times New Roman"/>
                <w:sz w:val="24"/>
              </w:rPr>
              <w:t xml:space="preserve"> </w:t>
            </w:r>
          </w:p>
        </w:tc>
      </w:tr>
      <w:tr w:rsidR="00EE0979">
        <w:trPr>
          <w:trHeight w:val="619"/>
        </w:trPr>
        <w:tc>
          <w:tcPr>
            <w:tcW w:w="22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center"/>
            </w:pPr>
            <w:r>
              <w:rPr>
                <w:sz w:val="20"/>
              </w:rPr>
              <w:t>Periodo Medio de Pago Pendiente (días)</w:t>
            </w:r>
            <w:r>
              <w:rPr>
                <w:rFonts w:ascii="Times New Roman" w:eastAsia="Times New Roman" w:hAnsi="Times New Roman" w:cs="Times New Roman"/>
                <w:sz w:val="24"/>
              </w:rP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8" w:firstLine="195"/>
              <w:jc w:val="left"/>
            </w:pPr>
            <w:r>
              <w:rPr>
                <w:sz w:val="20"/>
              </w:rPr>
              <w:t>Número Operaciones</w:t>
            </w:r>
            <w:r>
              <w:rPr>
                <w:rFonts w:ascii="Times New Roman" w:eastAsia="Times New Roman" w:hAnsi="Times New Roman" w:cs="Times New Roman"/>
                <w:sz w:val="24"/>
              </w:rPr>
              <w:t xml:space="preserve"> </w:t>
            </w:r>
          </w:p>
        </w:tc>
        <w:tc>
          <w:tcPr>
            <w:tcW w:w="1769" w:type="dxa"/>
            <w:tcBorders>
              <w:top w:val="single" w:sz="4" w:space="0" w:color="000000"/>
              <w:left w:val="single" w:sz="4" w:space="0" w:color="000000"/>
              <w:bottom w:val="single" w:sz="4" w:space="0" w:color="000000"/>
              <w:right w:val="single" w:sz="6" w:space="0" w:color="000000"/>
            </w:tcBorders>
            <w:vAlign w:val="bottom"/>
          </w:tcPr>
          <w:p w:rsidR="00EE0979" w:rsidRDefault="00B022A0">
            <w:pPr>
              <w:spacing w:after="0" w:line="259" w:lineRule="auto"/>
              <w:ind w:left="0" w:right="35" w:firstLine="0"/>
              <w:jc w:val="center"/>
            </w:pPr>
            <w:r>
              <w:rPr>
                <w:sz w:val="20"/>
              </w:rPr>
              <w:t>Importe Total</w:t>
            </w:r>
            <w:r>
              <w:rPr>
                <w:rFonts w:ascii="Times New Roman" w:eastAsia="Times New Roman" w:hAnsi="Times New Roman" w:cs="Times New Roman"/>
                <w:sz w:val="24"/>
              </w:rPr>
              <w:t xml:space="preserve"> </w:t>
            </w:r>
          </w:p>
        </w:tc>
        <w:tc>
          <w:tcPr>
            <w:tcW w:w="133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firstLine="194"/>
              <w:jc w:val="left"/>
            </w:pPr>
            <w:r>
              <w:rPr>
                <w:sz w:val="20"/>
              </w:rPr>
              <w:t>Número Operaciones</w:t>
            </w:r>
            <w:r>
              <w:rPr>
                <w:rFonts w:ascii="Times New Roman" w:eastAsia="Times New Roman" w:hAnsi="Times New Roman" w:cs="Times New Roman"/>
                <w:sz w:val="24"/>
              </w:rPr>
              <w:t xml:space="preserve"> </w:t>
            </w:r>
          </w:p>
        </w:tc>
        <w:tc>
          <w:tcPr>
            <w:tcW w:w="1731"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40" w:firstLine="0"/>
              <w:jc w:val="center"/>
            </w:pPr>
            <w:r>
              <w:rPr>
                <w:sz w:val="20"/>
              </w:rPr>
              <w:t>Importe Total</w:t>
            </w:r>
            <w:r>
              <w:rPr>
                <w:rFonts w:ascii="Times New Roman" w:eastAsia="Times New Roman" w:hAnsi="Times New Roman" w:cs="Times New Roman"/>
                <w:sz w:val="24"/>
              </w:rPr>
              <w:t xml:space="preserve"> </w:t>
            </w:r>
          </w:p>
        </w:tc>
      </w:tr>
      <w:tr w:rsidR="00EE0979">
        <w:trPr>
          <w:trHeight w:val="367"/>
        </w:trPr>
        <w:tc>
          <w:tcPr>
            <w:tcW w:w="22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32" w:firstLine="0"/>
              <w:jc w:val="center"/>
            </w:pPr>
            <w:r>
              <w:rPr>
                <w:sz w:val="20"/>
              </w:rPr>
              <w:t>2</w:t>
            </w:r>
            <w:r>
              <w:rPr>
                <w:rFonts w:ascii="Times New Roman" w:eastAsia="Times New Roman" w:hAnsi="Times New Roman" w:cs="Times New Roman"/>
                <w:sz w:val="24"/>
              </w:rP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34" w:firstLine="0"/>
              <w:jc w:val="center"/>
            </w:pPr>
            <w:r>
              <w:rPr>
                <w:sz w:val="20"/>
              </w:rPr>
              <w:t>8</w:t>
            </w:r>
            <w:r>
              <w:rPr>
                <w:rFonts w:ascii="Times New Roman" w:eastAsia="Times New Roman" w:hAnsi="Times New Roman" w:cs="Times New Roman"/>
                <w:sz w:val="24"/>
              </w:rPr>
              <w:t xml:space="preserve"> </w:t>
            </w:r>
          </w:p>
        </w:tc>
        <w:tc>
          <w:tcPr>
            <w:tcW w:w="1769" w:type="dxa"/>
            <w:tcBorders>
              <w:top w:val="single" w:sz="4" w:space="0" w:color="000000"/>
              <w:left w:val="single" w:sz="4" w:space="0" w:color="000000"/>
              <w:bottom w:val="single" w:sz="4" w:space="0" w:color="000000"/>
              <w:right w:val="single" w:sz="6" w:space="0" w:color="000000"/>
            </w:tcBorders>
          </w:tcPr>
          <w:p w:rsidR="00EE0979" w:rsidRDefault="00B022A0">
            <w:pPr>
              <w:spacing w:after="0" w:line="259" w:lineRule="auto"/>
              <w:ind w:left="0" w:right="42" w:firstLine="0"/>
              <w:jc w:val="center"/>
            </w:pPr>
            <w:r>
              <w:rPr>
                <w:sz w:val="20"/>
              </w:rPr>
              <w:t>8.487,85</w:t>
            </w:r>
            <w:r>
              <w:rPr>
                <w:rFonts w:ascii="Times New Roman" w:eastAsia="Times New Roman" w:hAnsi="Times New Roman" w:cs="Times New Roman"/>
                <w:sz w:val="24"/>
              </w:rPr>
              <w:t xml:space="preserve"> </w:t>
            </w:r>
          </w:p>
        </w:tc>
        <w:tc>
          <w:tcPr>
            <w:tcW w:w="1337" w:type="dxa"/>
            <w:tcBorders>
              <w:top w:val="single" w:sz="4" w:space="0" w:color="000000"/>
              <w:left w:val="single" w:sz="6" w:space="0" w:color="000000"/>
              <w:bottom w:val="single" w:sz="4" w:space="0" w:color="000000"/>
              <w:right w:val="single" w:sz="4" w:space="0" w:color="000000"/>
            </w:tcBorders>
          </w:tcPr>
          <w:p w:rsidR="00EE0979" w:rsidRDefault="00B022A0">
            <w:pPr>
              <w:spacing w:after="0" w:line="259" w:lineRule="auto"/>
              <w:ind w:left="0" w:right="44" w:firstLine="0"/>
              <w:jc w:val="center"/>
            </w:pPr>
            <w:r>
              <w:rPr>
                <w:sz w:val="20"/>
              </w:rPr>
              <w:t>0</w:t>
            </w:r>
            <w:r>
              <w:rPr>
                <w:rFonts w:ascii="Times New Roman" w:eastAsia="Times New Roman" w:hAnsi="Times New Roman" w:cs="Times New Roman"/>
                <w:sz w:val="24"/>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42" w:firstLine="0"/>
              <w:jc w:val="center"/>
            </w:pPr>
            <w:r>
              <w:rPr>
                <w:sz w:val="20"/>
              </w:rPr>
              <w:t>0,00</w:t>
            </w:r>
            <w:r>
              <w:rPr>
                <w:rFonts w:ascii="Times New Roman" w:eastAsia="Times New Roman" w:hAnsi="Times New Roman" w:cs="Times New Roman"/>
                <w:sz w:val="24"/>
              </w:rPr>
              <w:t xml:space="preserve"> </w:t>
            </w:r>
          </w:p>
        </w:tc>
      </w:tr>
    </w:tbl>
    <w:p w:rsidR="00EE0979" w:rsidRDefault="00B022A0">
      <w:pPr>
        <w:spacing w:after="463" w:line="259" w:lineRule="auto"/>
        <w:ind w:left="0" w:firstLine="0"/>
        <w:jc w:val="left"/>
      </w:pPr>
      <w:r>
        <w:rPr>
          <w:rFonts w:ascii="Times New Roman" w:eastAsia="Times New Roman" w:hAnsi="Times New Roman" w:cs="Times New Roman"/>
          <w:sz w:val="24"/>
        </w:rPr>
        <w:t xml:space="preserve"> </w:t>
      </w:r>
    </w:p>
    <w:p w:rsidR="00EE0979" w:rsidRDefault="00B022A0">
      <w:pPr>
        <w:spacing w:after="0" w:line="259" w:lineRule="auto"/>
        <w:ind w:left="0" w:firstLine="0"/>
        <w:jc w:val="left"/>
      </w:pPr>
      <w:r>
        <w:rPr>
          <w:rFonts w:ascii="Times New Roman" w:eastAsia="Times New Roman" w:hAnsi="Times New Roman" w:cs="Times New Roman"/>
          <w:sz w:val="24"/>
        </w:rPr>
        <w:t xml:space="preserve"> </w:t>
      </w:r>
    </w:p>
    <w:p w:rsidR="00EE0979" w:rsidRDefault="00B022A0">
      <w:pPr>
        <w:spacing w:after="476"/>
        <w:ind w:right="100"/>
      </w:pPr>
      <w:r>
        <w:t xml:space="preserve">Por ello, este Concejal delegado de Hacienda, PROPONE: </w:t>
      </w:r>
    </w:p>
    <w:p w:rsidR="00EE0979" w:rsidRDefault="00B022A0">
      <w:pPr>
        <w:spacing w:after="59" w:line="259" w:lineRule="auto"/>
        <w:ind w:left="0" w:firstLine="0"/>
        <w:jc w:val="left"/>
      </w:pPr>
      <w:r>
        <w:rPr>
          <w:b/>
        </w:rPr>
        <w:t xml:space="preserve"> </w:t>
      </w:r>
    </w:p>
    <w:p w:rsidR="00EE0979" w:rsidRDefault="00B022A0">
      <w:pPr>
        <w:spacing w:after="66"/>
        <w:ind w:right="100"/>
      </w:pPr>
      <w:r>
        <w:rPr>
          <w:b/>
        </w:rPr>
        <w:t>Primero</w:t>
      </w:r>
      <w:r>
        <w:t>: Dar cuenta al Pleno del Informe de Morosidad, regulado en la Ley 15/2010, de 5 de julio, de modificación de la Ley 3/2004, de 29 de diciembre, por la que se establecen medidas de lucha contra la morosidad en las operaciones comerciales, correspondiente a</w:t>
      </w:r>
      <w:r>
        <w:t>l Primer trimestre año 2023.</w:t>
      </w:r>
      <w:r>
        <w:rPr>
          <w:rFonts w:ascii="Times New Roman" w:eastAsia="Times New Roman" w:hAnsi="Times New Roman" w:cs="Times New Roman"/>
          <w:sz w:val="24"/>
        </w:rPr>
        <w:t xml:space="preserve"> </w:t>
      </w:r>
      <w:r>
        <w:rPr>
          <w:b/>
        </w:rPr>
        <w:t>Segundo</w:t>
      </w:r>
      <w:r>
        <w:t>: Dar traslado de dicho acuerdo al Ministerio de Hacienda y Función Pública, a través de la plataforma telemática que habilita el propio Ministerio.”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Los 7 integrantes de la Comisión Informativa quedaron enterados: </w:t>
      </w:r>
    </w:p>
    <w:p w:rsidR="00EE0979" w:rsidRDefault="00B022A0">
      <w:pPr>
        <w:spacing w:after="0" w:line="259" w:lineRule="auto"/>
        <w:ind w:left="14" w:firstLine="0"/>
        <w:jc w:val="left"/>
      </w:pPr>
      <w:r>
        <w:t xml:space="preserve"> </w:t>
      </w:r>
    </w:p>
    <w:p w:rsidR="00EE0979" w:rsidRDefault="00B022A0">
      <w:pPr>
        <w:ind w:right="100"/>
      </w:pPr>
      <w:r>
        <w:t>Los 4 concejales del Grupo Socialista: Doña María Concepción Br</w:t>
      </w:r>
      <w:r>
        <w:t xml:space="preserve">ito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La c</w:t>
      </w:r>
      <w:r>
        <w:t xml:space="preserve">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La unanimidad de los 18 concejales presentes quedaron enterados: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Hilaria Cecilia Otazo González, Don Airam Pérez Chinea, Doña Margarita Eva Tendero</w:t>
      </w:r>
      <w:r>
        <w:t xml:space="preserve">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Popular: Don Andrés Rodríguez Delgado, Don Jacobo López Fariña y Don Davi</w:t>
      </w:r>
      <w:r>
        <w:t xml:space="preserve">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2"/>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1 de la concejal del Grupo Mixto (VxC): Doñ</w:t>
      </w:r>
      <w:r>
        <w:t xml:space="preserve">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74"/>
        <w:ind w:right="99" w:hanging="10"/>
      </w:pPr>
      <w:r>
        <w:rPr>
          <w:b/>
        </w:rPr>
        <w:t>Primero: Dar cuenta al Pleno del Informe de Morosidad, regulado en la Ley 15/2010, de 5 de julio, de modificación de la Ley 3/2004, de 29 de diciembre, por la que se establecen medidas de lucha contra la morosidad en las operaciones comerciales, correspond</w:t>
      </w:r>
      <w:r>
        <w:rPr>
          <w:b/>
        </w:rPr>
        <w:t>iente al Primer trimestre año 2023.</w:t>
      </w:r>
      <w:r>
        <w:rPr>
          <w:rFonts w:ascii="Times New Roman" w:eastAsia="Times New Roman" w:hAnsi="Times New Roman" w:cs="Times New Roman"/>
          <w:sz w:val="24"/>
        </w:rPr>
        <w:t xml:space="preserve"> </w:t>
      </w:r>
    </w:p>
    <w:p w:rsidR="00EE0979" w:rsidRDefault="00B022A0">
      <w:pPr>
        <w:spacing w:after="211"/>
        <w:ind w:right="99" w:hanging="10"/>
      </w:pPr>
      <w:r>
        <w:rPr>
          <w:b/>
        </w:rPr>
        <w:t>Segundo: Dar traslado de dicho acuerdo al Ministerio de Hacienda y Función Pública, a través de la plataforma telemática que habilita el propio Ministerio.</w:t>
      </w:r>
      <w:r>
        <w:rPr>
          <w:rFonts w:ascii="Times New Roman" w:eastAsia="Times New Roman" w:hAnsi="Times New Roman" w:cs="Times New Roman"/>
          <w:sz w:val="24"/>
        </w:rPr>
        <w:t xml:space="preserve"> </w:t>
      </w:r>
    </w:p>
    <w:p w:rsidR="00EE0979" w:rsidRDefault="00B022A0">
      <w:pPr>
        <w:spacing w:after="26" w:line="259" w:lineRule="auto"/>
        <w:ind w:left="14" w:firstLine="0"/>
        <w:jc w:val="left"/>
      </w:pPr>
      <w:r>
        <w:t xml:space="preserve"> </w:t>
      </w:r>
    </w:p>
    <w:p w:rsidR="00EE0979" w:rsidRDefault="00B022A0">
      <w:pPr>
        <w:spacing w:after="0" w:line="425" w:lineRule="auto"/>
        <w:ind w:left="14" w:right="9614" w:firstLine="0"/>
        <w:jc w:val="left"/>
      </w:pPr>
      <w:r>
        <w:rPr>
          <w:i/>
          <w:color w:val="222222"/>
        </w:rPr>
        <w:t xml:space="preserve">         </w:t>
      </w:r>
    </w:p>
    <w:p w:rsidR="00EE0979" w:rsidRDefault="00B022A0">
      <w:pPr>
        <w:spacing w:after="178"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0" w:line="426" w:lineRule="auto"/>
        <w:ind w:left="14" w:right="9614" w:firstLine="0"/>
        <w:jc w:val="left"/>
      </w:pPr>
      <w:r>
        <w:rPr>
          <w:i/>
          <w:color w:val="222222"/>
        </w:rPr>
        <w:t xml:space="preserve">    </w:t>
      </w:r>
    </w:p>
    <w:p w:rsidR="00EE0979" w:rsidRDefault="00B022A0">
      <w:pPr>
        <w:spacing w:after="91" w:line="250" w:lineRule="auto"/>
        <w:ind w:left="9" w:right="102" w:hanging="10"/>
      </w:pPr>
      <w:r>
        <w:rPr>
          <w:b/>
          <w:sz w:val="24"/>
        </w:rPr>
        <w:t xml:space="preserve">4- </w:t>
      </w:r>
      <w:r>
        <w:rPr>
          <w:b/>
          <w:sz w:val="24"/>
        </w:rPr>
        <w:t>Expediente 4066/2023. Propuesta del Concejal delegado de Hacienda de fecha 19 de abril de 2023 al Pleno de dación de cuenta de la aprobación del Plan anual de control financiero del año 2023.</w:t>
      </w:r>
      <w:r>
        <w:t xml:space="preserve"> </w:t>
      </w:r>
    </w:p>
    <w:p w:rsidR="00EE0979" w:rsidRDefault="00B022A0">
      <w:pPr>
        <w:spacing w:after="100" w:line="259" w:lineRule="auto"/>
        <w:ind w:left="14" w:firstLine="0"/>
        <w:jc w:val="left"/>
      </w:pPr>
      <w:r>
        <w:rPr>
          <w:b/>
        </w:rPr>
        <w:t xml:space="preserve"> </w:t>
      </w:r>
    </w:p>
    <w:p w:rsidR="00EE0979" w:rsidRDefault="00B022A0">
      <w:pPr>
        <w:spacing w:after="114"/>
        <w:ind w:right="99" w:hanging="10"/>
      </w:pPr>
      <w:r>
        <w:rPr>
          <w:b/>
        </w:rPr>
        <w:t>Consta en el expediente Informe de Intervención emitido por D</w:t>
      </w:r>
      <w:r>
        <w:rPr>
          <w:b/>
        </w:rPr>
        <w:t>on Nicolás Rojo Garnica, que desempeña el puesto de trabajo de Interventor Municipal, de 14 de abril de 2023, del siguiente tenor literal:</w:t>
      </w:r>
      <w:r>
        <w:t xml:space="preserve"> </w:t>
      </w:r>
    </w:p>
    <w:p w:rsidR="00EE0979" w:rsidRDefault="00B022A0">
      <w:pPr>
        <w:spacing w:after="136" w:line="259" w:lineRule="auto"/>
        <w:ind w:left="14" w:firstLine="0"/>
        <w:jc w:val="left"/>
      </w:pPr>
      <w:r>
        <w:rPr>
          <w:b/>
        </w:rPr>
        <w:t xml:space="preserve"> </w:t>
      </w:r>
    </w:p>
    <w:p w:rsidR="00EE0979" w:rsidRDefault="00B022A0">
      <w:pPr>
        <w:spacing w:after="95" w:line="265" w:lineRule="auto"/>
        <w:ind w:left="624" w:right="712" w:hanging="10"/>
        <w:jc w:val="center"/>
      </w:pPr>
      <w:r>
        <w:rPr>
          <w:b/>
        </w:rPr>
        <w:t xml:space="preserve">“INFORME DE INTERVENCIÓN </w:t>
      </w:r>
    </w:p>
    <w:p w:rsidR="00EE0979" w:rsidRDefault="00B022A0">
      <w:pPr>
        <w:spacing w:after="98" w:line="259" w:lineRule="auto"/>
        <w:ind w:left="0" w:right="36" w:firstLine="0"/>
        <w:jc w:val="center"/>
      </w:pPr>
      <w:r>
        <w:rPr>
          <w:b/>
        </w:rPr>
        <w:t xml:space="preserve"> </w:t>
      </w:r>
    </w:p>
    <w:p w:rsidR="00EE0979" w:rsidRDefault="00B022A0">
      <w:pPr>
        <w:pStyle w:val="Ttulo1"/>
        <w:numPr>
          <w:ilvl w:val="0"/>
          <w:numId w:val="0"/>
        </w:numPr>
        <w:spacing w:after="107"/>
        <w:ind w:left="624" w:right="713"/>
      </w:pPr>
      <w:r>
        <w:t>ASUNTO: PLAN ANUAL DE CONTROL FINANCIERO 2023</w:t>
      </w:r>
      <w:r>
        <w:rPr>
          <w:b w:val="0"/>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33968" name="Group 233968"/>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6655" name="Shape 665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968" style="width:477.1pt;height:2.04pt;mso-position-horizontal-relative:char;mso-position-vertical-relative:line" coordsize="60591,259">
                <v:shape id="Shape 6655"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t xml:space="preserve">     Esta </w:t>
      </w:r>
      <w:r>
        <w:t xml:space="preserve">Intervención al amparo de lo dispuesto en el artículo 31.1 del Real Decreto 424/2017, de 28 de abril, por el que se regula el régimen jurídico del control interno en las entidades del Sector Público Local, ejerce el control interno de la gestión económico </w:t>
      </w:r>
      <w:r>
        <w:t xml:space="preserve">financiera de la Entidad con plena autonomía respecto de las entidades cuya gestión controla y realiza. </w:t>
      </w:r>
    </w:p>
    <w:p w:rsidR="00EE0979" w:rsidRDefault="00B022A0">
      <w:pPr>
        <w:spacing w:after="0" w:line="259" w:lineRule="auto"/>
        <w:ind w:left="14" w:firstLine="0"/>
        <w:jc w:val="left"/>
      </w:pPr>
      <w:r>
        <w:t xml:space="preserve"> </w:t>
      </w:r>
    </w:p>
    <w:p w:rsidR="00EE0979" w:rsidRDefault="00B022A0">
      <w:pPr>
        <w:ind w:right="100"/>
      </w:pPr>
      <w:r>
        <w:t xml:space="preserve">       El citado artículo 31 del Real Decreto 424/2017, señala que:  </w:t>
      </w:r>
    </w:p>
    <w:p w:rsidR="00EE0979" w:rsidRDefault="00B022A0">
      <w:pPr>
        <w:spacing w:after="0" w:line="259" w:lineRule="auto"/>
        <w:ind w:left="14" w:firstLine="0"/>
        <w:jc w:val="left"/>
      </w:pPr>
      <w:r>
        <w:t xml:space="preserve"> </w:t>
      </w:r>
    </w:p>
    <w:p w:rsidR="00EE0979" w:rsidRDefault="00B022A0">
      <w:pPr>
        <w:numPr>
          <w:ilvl w:val="0"/>
          <w:numId w:val="19"/>
        </w:numPr>
        <w:ind w:right="100" w:hanging="360"/>
      </w:pPr>
      <w:r>
        <w:t>El órgano interventor deberá elaborar un Plan Anual de Control Financiero que</w:t>
      </w:r>
      <w:r>
        <w:t xml:space="preserve"> recogerá las actuaciones de control permanente y auditoría pública a realizar durante el ejercicio. </w:t>
      </w:r>
    </w:p>
    <w:p w:rsidR="00EE0979" w:rsidRDefault="00B022A0">
      <w:pPr>
        <w:spacing w:after="0" w:line="259" w:lineRule="auto"/>
        <w:ind w:left="374" w:firstLine="0"/>
        <w:jc w:val="left"/>
      </w:pPr>
      <w:r>
        <w:t xml:space="preserve"> </w:t>
      </w:r>
    </w:p>
    <w:p w:rsidR="00EE0979" w:rsidRDefault="00B022A0">
      <w:pPr>
        <w:numPr>
          <w:ilvl w:val="0"/>
          <w:numId w:val="19"/>
        </w:numPr>
        <w:ind w:right="100" w:hanging="360"/>
      </w:pPr>
      <w:r>
        <w:t xml:space="preserve">El Plan Anual de Control Financiero incluirá todas aquellas actuaciones cuya realización por el órgano interventor derive de una obligación legal y las </w:t>
      </w:r>
      <w:r>
        <w:t>que anualmente se seleccionen sobre la base de un análisis de riesgos consistente con los objetivos que se pretendan conseguir, las prioridades establecidas para cada ejercicio y los medios disponibles. A estos efectos, se incluirán en el Plan las actuacio</w:t>
      </w:r>
      <w:r>
        <w:t xml:space="preserve">nes referidas en el artículo 29.4 del Reglamento. </w:t>
      </w:r>
    </w:p>
    <w:p w:rsidR="00EE0979" w:rsidRDefault="00B022A0">
      <w:pPr>
        <w:spacing w:after="0" w:line="259" w:lineRule="auto"/>
        <w:ind w:left="734" w:firstLine="0"/>
        <w:jc w:val="left"/>
      </w:pPr>
      <w:r>
        <w:t xml:space="preserve"> </w:t>
      </w:r>
    </w:p>
    <w:p w:rsidR="00EE0979" w:rsidRDefault="00B022A0">
      <w:pPr>
        <w:spacing w:after="0" w:line="259" w:lineRule="auto"/>
        <w:ind w:left="374" w:firstLine="0"/>
        <w:jc w:val="left"/>
      </w:pPr>
      <w:r>
        <w:t xml:space="preserve"> </w:t>
      </w:r>
    </w:p>
    <w:p w:rsidR="00EE0979" w:rsidRDefault="00B022A0">
      <w:pPr>
        <w:ind w:right="100"/>
      </w:pPr>
      <w:r>
        <w:t>El concepto de riesgo debe ser entendido como la posibilidad de que se produzcan hechos o circunstancias en la gestión sometida a control susceptibles de generar incumplimientos de la normativa aplicab</w:t>
      </w:r>
      <w:r>
        <w:t xml:space="preserve">le, falta de fiabilidad de la información financiera, inadecuada protección de los activos o falta de eficacia y eficiencia en la gestión. </w:t>
      </w:r>
    </w:p>
    <w:p w:rsidR="00EE0979" w:rsidRDefault="00B022A0">
      <w:pPr>
        <w:spacing w:after="0" w:line="259" w:lineRule="auto"/>
        <w:ind w:left="14" w:firstLine="0"/>
        <w:jc w:val="left"/>
      </w:pPr>
      <w:r>
        <w:t xml:space="preserve"> </w:t>
      </w:r>
    </w:p>
    <w:p w:rsidR="00EE0979" w:rsidRDefault="00B022A0">
      <w:pPr>
        <w:ind w:right="100"/>
      </w:pPr>
      <w:r>
        <w:t xml:space="preserve">Una vez identificados los riesgos será necesario asignar prioridades para seleccionar las actuaciones a realizar. </w:t>
      </w:r>
      <w:r>
        <w:t>De esta manera, se realizará una evaluación para estimar la importancia del riesgo, utilizando tanto criterios cuantitativos como cualitativos, y se atenderá a la conveniencia de seleccionar controles con regularidad y rotación, evitando tanto repetir cont</w:t>
      </w:r>
      <w:r>
        <w:t xml:space="preserve">roles en actividades económico-financieras calificadas sin riesgo como que se generen debilidades precisamente por la ausencia reiterada de control. </w:t>
      </w:r>
    </w:p>
    <w:p w:rsidR="00EE0979" w:rsidRDefault="00B022A0">
      <w:pPr>
        <w:spacing w:after="12" w:line="259" w:lineRule="auto"/>
        <w:ind w:left="14" w:firstLine="0"/>
        <w:jc w:val="left"/>
      </w:pPr>
      <w:r>
        <w:t xml:space="preserve"> </w:t>
      </w:r>
    </w:p>
    <w:p w:rsidR="00EE0979" w:rsidRDefault="00B022A0">
      <w:pPr>
        <w:numPr>
          <w:ilvl w:val="0"/>
          <w:numId w:val="19"/>
        </w:numPr>
        <w:ind w:right="100" w:hanging="360"/>
      </w:pPr>
      <w:r>
        <w:t>Identificados y evaluados los riesgos, el órgano interventor elaborará el Plan Anual concretando las act</w:t>
      </w:r>
      <w:r>
        <w:t xml:space="preserve">uaciones a realizar e identificando el alcance objetivo, subjetivo y temporal de cada una de ellas. </w:t>
      </w:r>
      <w:r>
        <w:rPr>
          <w:b/>
        </w:rPr>
        <w:t>El Plan Anual de Control Financiero así elaborado será remitido a efectos informativos al Pleno.</w:t>
      </w:r>
      <w:r>
        <w:rPr>
          <w:rFonts w:ascii="Times New Roman" w:eastAsia="Times New Roman" w:hAnsi="Times New Roman" w:cs="Times New Roman"/>
          <w:sz w:val="24"/>
        </w:rPr>
        <w:t xml:space="preserve"> </w:t>
      </w:r>
    </w:p>
    <w:p w:rsidR="00EE0979" w:rsidRDefault="00B022A0">
      <w:pPr>
        <w:spacing w:after="0" w:line="259" w:lineRule="auto"/>
        <w:ind w:left="374" w:firstLine="0"/>
        <w:jc w:val="left"/>
      </w:pPr>
      <w:r>
        <w:t xml:space="preserve"> </w:t>
      </w:r>
    </w:p>
    <w:p w:rsidR="00EE0979" w:rsidRDefault="00B022A0">
      <w:pPr>
        <w:numPr>
          <w:ilvl w:val="0"/>
          <w:numId w:val="19"/>
        </w:numPr>
        <w:ind w:right="100" w:hanging="360"/>
      </w:pPr>
      <w:r>
        <w:t>El Plan Anual de Control Financiero podrá ser modificado como consecuencia de la ejecución de controles en virtud de solicitud o mandato legal, variaciones en la estructura de las entidades objeto de control, insuficiencia de medios o por otras razones deb</w:t>
      </w:r>
      <w:r>
        <w:t xml:space="preserve">idamente ponderadas. El Plan Anual de Control Financiero modificado será remitido a efectos informativos al Pleno. </w:t>
      </w:r>
    </w:p>
    <w:p w:rsidR="00EE0979" w:rsidRDefault="00B022A0">
      <w:pPr>
        <w:spacing w:after="0" w:line="259" w:lineRule="auto"/>
        <w:ind w:left="734" w:firstLine="0"/>
        <w:jc w:val="left"/>
      </w:pPr>
      <w:r>
        <w:t xml:space="preserve"> </w:t>
      </w:r>
    </w:p>
    <w:p w:rsidR="00EE0979" w:rsidRDefault="00B022A0">
      <w:pPr>
        <w:spacing w:after="0" w:line="259" w:lineRule="auto"/>
        <w:ind w:left="374" w:firstLine="0"/>
        <w:jc w:val="left"/>
      </w:pPr>
      <w:r>
        <w:t xml:space="preserve"> </w:t>
      </w:r>
    </w:p>
    <w:p w:rsidR="00EE0979" w:rsidRDefault="00B022A0">
      <w:pPr>
        <w:ind w:right="100"/>
      </w:pPr>
      <w:r>
        <w:t>Respecto al marco normativo en el que se enmarca el presente Plan, cabe mencionar en primer lugar el Real Decreto 424/2017, de 28 de abr</w:t>
      </w:r>
      <w:r>
        <w:t>il, por el que se regula el régimen jurídico del control interno en las entidades del Sector Público Local cuya aprobación vino a cumplir con el mandato legal impuesto por Ley 27/2013, de 27 de diciembre, de racionalización y sostenibilidad de la Administr</w:t>
      </w:r>
      <w:r>
        <w:t xml:space="preserve">ación Local de desarrollo reglamentario de los artículos 213 y 218 del texto refundido de la Ley reguladora de las Haciendas Locales, aprobado por Real Decreto Legislativo 2/2004, de 5 de marzo. </w:t>
      </w:r>
    </w:p>
    <w:p w:rsidR="00EE0979" w:rsidRDefault="00B022A0">
      <w:pPr>
        <w:spacing w:after="0" w:line="259" w:lineRule="auto"/>
        <w:ind w:left="14" w:firstLine="0"/>
        <w:jc w:val="left"/>
      </w:pPr>
      <w:r>
        <w:t xml:space="preserve"> </w:t>
      </w:r>
    </w:p>
    <w:p w:rsidR="00EE0979" w:rsidRDefault="00B022A0">
      <w:pPr>
        <w:ind w:right="100"/>
      </w:pPr>
      <w:r>
        <w:t>Para poder relacionar los objetivos e identificar los acontecimientos de fuentes internas (infraestructuras, personal, tecnología) o externas (económicos, sociales, políticos) que afectan a la implantación de sistemas de control en este municipio, se ha pr</w:t>
      </w:r>
      <w:r>
        <w:t xml:space="preserve">ocedido a realizar un análisis previo de los riesgos y áreas más vulnerables donde se hace necesario instaurar sistemas de control. </w:t>
      </w:r>
    </w:p>
    <w:p w:rsidR="00EE0979" w:rsidRDefault="00B022A0">
      <w:pPr>
        <w:spacing w:after="0" w:line="259" w:lineRule="auto"/>
        <w:ind w:left="14" w:firstLine="0"/>
        <w:jc w:val="left"/>
      </w:pPr>
      <w:r>
        <w:t xml:space="preserve"> </w:t>
      </w:r>
    </w:p>
    <w:p w:rsidR="00EE0979" w:rsidRDefault="00B022A0">
      <w:pPr>
        <w:ind w:right="100"/>
      </w:pPr>
      <w:r>
        <w:t>El presente Plan se elabora por tanto sobre la base de un análisis de riesgos consistente con los objetivos que se preten</w:t>
      </w:r>
      <w:r>
        <w:t xml:space="preserve">den conseguir, las prioridades establecidas para cada ejercicio y los medios disponibles. </w:t>
      </w:r>
    </w:p>
    <w:p w:rsidR="00EE0979" w:rsidRDefault="00B022A0">
      <w:pPr>
        <w:spacing w:after="0" w:line="259" w:lineRule="auto"/>
        <w:ind w:left="14" w:firstLine="0"/>
        <w:jc w:val="left"/>
      </w:pPr>
      <w:r>
        <w:t xml:space="preserve"> </w:t>
      </w:r>
    </w:p>
    <w:p w:rsidR="00EE0979" w:rsidRDefault="00B022A0">
      <w:pPr>
        <w:ind w:right="100"/>
      </w:pPr>
      <w:r>
        <w:t>Para llevar a cabo la evaluación preliminar de dichos riesgos se habrá tenido en cuenta el nivel de exposición al mismo; la probabilidad de ocurrencia y la magnitu</w:t>
      </w:r>
      <w:r>
        <w:t>d de su impacto. Para lo cual la Entidad contará con un mapa de riesgos capaz de identificar los mismos según los niveles de criticidad sirviendo como carta de navegación para conocer y definir posibles estrategias y prioridades en la gestión de los mismos</w:t>
      </w:r>
      <w:r>
        <w:t xml:space="preserve"> de forma más eficiente con los medios disponibles. </w:t>
      </w:r>
    </w:p>
    <w:p w:rsidR="00EE0979" w:rsidRDefault="00B022A0">
      <w:pPr>
        <w:spacing w:after="0" w:line="259" w:lineRule="auto"/>
        <w:ind w:left="14" w:firstLine="0"/>
        <w:jc w:val="left"/>
      </w:pPr>
      <w:r>
        <w:t xml:space="preserve"> </w:t>
      </w:r>
    </w:p>
    <w:p w:rsidR="00EE0979" w:rsidRDefault="00B022A0">
      <w:pPr>
        <w:ind w:right="100"/>
      </w:pPr>
      <w:r>
        <w:t>Por lo que las acciones de control de esta Entidad, contenidas en el presente documento, se establecen a través de políticas y procedimientos que contribuyen a garantizar que se mitiguen dichos riesgos</w:t>
      </w:r>
      <w:r>
        <w:t xml:space="preserve">. En este proceso de planificación se relacionan tanto los objetivos que se persiguen por la corporación y los derivados de obligaciones legales, como los medios con los que cuenta la misma. </w:t>
      </w:r>
    </w:p>
    <w:p w:rsidR="00EE0979" w:rsidRDefault="00B022A0">
      <w:pPr>
        <w:spacing w:after="0" w:line="259" w:lineRule="auto"/>
        <w:ind w:left="14" w:firstLine="0"/>
        <w:jc w:val="left"/>
      </w:pPr>
      <w:r>
        <w:t xml:space="preserve"> </w:t>
      </w:r>
    </w:p>
    <w:p w:rsidR="00EE0979" w:rsidRDefault="00B022A0">
      <w:pPr>
        <w:ind w:right="100"/>
      </w:pPr>
      <w:r>
        <w:t xml:space="preserve"> OBJETIVOS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A. Marco General</w:t>
      </w:r>
      <w:r>
        <w:rPr>
          <w:rFonts w:ascii="Times New Roman" w:eastAsia="Times New Roman" w:hAnsi="Times New Roman" w:cs="Times New Roman"/>
          <w:sz w:val="24"/>
        </w:rPr>
        <w:t xml:space="preserve"> </w:t>
      </w:r>
    </w:p>
    <w:p w:rsidR="00EE0979" w:rsidRDefault="00B022A0">
      <w:pPr>
        <w:ind w:right="100"/>
      </w:pPr>
      <w:r>
        <w:t>El control financiero a que se</w:t>
      </w:r>
      <w:r>
        <w:t xml:space="preserve"> refiere el Real Decreto 424/2017, de 28 de abril, por el que se regula el régimen jurídico del control interno en las entidades del Sector Público Local tiene por objeto verificar el funcionamiento de los servicios del sector público local en el aspecto e</w:t>
      </w:r>
      <w:r>
        <w:t xml:space="preserve">conómico financiero para comprobar el cumplimiento de la normativa y directrices que los rigen y, en general, que su gestión se ajusta a los principios de buena gestión financiera, comprobando que la gestión de los recursos públicos se encuentra orientada </w:t>
      </w:r>
      <w:r>
        <w:t xml:space="preserve">por la eficacia, la eficiencia, la economía, la calidad y la transparencia, y por los principios de estabilidad presupuestaria y sostenibilidad financiera en el uso de los recursos públicos locales. </w:t>
      </w:r>
    </w:p>
    <w:p w:rsidR="00EE0979" w:rsidRDefault="00B022A0">
      <w:pPr>
        <w:spacing w:after="0" w:line="259" w:lineRule="auto"/>
        <w:ind w:left="14" w:firstLine="0"/>
        <w:jc w:val="left"/>
      </w:pPr>
      <w:r>
        <w:t xml:space="preserve"> </w:t>
      </w:r>
    </w:p>
    <w:p w:rsidR="00EE0979" w:rsidRDefault="00B022A0">
      <w:pPr>
        <w:ind w:right="100"/>
      </w:pPr>
      <w:r>
        <w:t>El control financiero se llevará a cabo a través de la</w:t>
      </w:r>
      <w:r>
        <w:t xml:space="preserve">s modalidades de control permanente y la auditoría pública, incluyéndose en ambas el control de eficacia referido en el artículo 213 del texto refundido de la Ley Reguladora de las Haciendas Locales. </w:t>
      </w:r>
    </w:p>
    <w:p w:rsidR="00EE0979" w:rsidRDefault="00B022A0">
      <w:pPr>
        <w:spacing w:after="0" w:line="259" w:lineRule="auto"/>
        <w:ind w:left="14" w:firstLine="0"/>
        <w:jc w:val="left"/>
      </w:pPr>
      <w:r>
        <w:t xml:space="preserve"> </w:t>
      </w:r>
    </w:p>
    <w:p w:rsidR="00EE0979" w:rsidRDefault="00B022A0">
      <w:pPr>
        <w:ind w:right="100"/>
      </w:pPr>
      <w:r>
        <w:t xml:space="preserve">El </w:t>
      </w:r>
      <w:r>
        <w:rPr>
          <w:b/>
        </w:rPr>
        <w:t>control permanente</w:t>
      </w:r>
      <w:r>
        <w:t xml:space="preserve"> tiene por objeto: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w:t>
      </w:r>
      <w:r>
        <w:rPr>
          <w:b/>
        </w:rPr>
        <w:t>Comprob</w:t>
      </w:r>
      <w:r>
        <w:rPr>
          <w:b/>
        </w:rPr>
        <w:t>ación</w:t>
      </w:r>
      <w:r>
        <w:t xml:space="preserve"> de forma continua que el funcionamiento de la actividad económico-financiera del sector público local se ajusta al ordenamiento jurídico y a los principios generales de buena gestión financiera.</w:t>
      </w:r>
      <w:r>
        <w:rPr>
          <w:rFonts w:ascii="Times New Roman" w:eastAsia="Times New Roman" w:hAnsi="Times New Roman" w:cs="Times New Roman"/>
          <w:sz w:val="24"/>
        </w:rPr>
        <w:t xml:space="preserve"> </w:t>
      </w:r>
    </w:p>
    <w:p w:rsidR="00EE0979" w:rsidRDefault="00B022A0">
      <w:pPr>
        <w:ind w:right="100"/>
      </w:pPr>
      <w:r>
        <w:t>Mejora de la gestión en su aspecto</w:t>
      </w:r>
      <w:r>
        <w:rPr>
          <w:rFonts w:ascii="Times New Roman" w:eastAsia="Times New Roman" w:hAnsi="Times New Roman" w:cs="Times New Roman"/>
          <w:sz w:val="24"/>
        </w:rPr>
        <w:t xml:space="preserve"> </w:t>
      </w:r>
    </w:p>
    <w:p w:rsidR="00EE0979" w:rsidRDefault="00B022A0">
      <w:pPr>
        <w:spacing w:after="4"/>
        <w:ind w:left="9" w:right="7598" w:hanging="10"/>
        <w:jc w:val="left"/>
      </w:pPr>
      <w:r>
        <w:t>económico financie</w:t>
      </w:r>
      <w:r>
        <w:t xml:space="preserve">ro patrimonial presupuestario contable organizativo </w:t>
      </w:r>
    </w:p>
    <w:p w:rsidR="00EE0979" w:rsidRDefault="00B022A0">
      <w:pPr>
        <w:ind w:right="100"/>
      </w:pPr>
      <w:r>
        <w:t xml:space="preserve">procedimental </w:t>
      </w:r>
    </w:p>
    <w:p w:rsidR="00EE0979" w:rsidRDefault="00B022A0">
      <w:pPr>
        <w:spacing w:after="0" w:line="259" w:lineRule="auto"/>
        <w:ind w:left="14" w:firstLine="0"/>
        <w:jc w:val="left"/>
      </w:pPr>
      <w:r>
        <w:t xml:space="preserve"> </w:t>
      </w:r>
    </w:p>
    <w:p w:rsidR="00EE0979" w:rsidRDefault="00B022A0">
      <w:pPr>
        <w:ind w:right="100"/>
      </w:pPr>
      <w:r>
        <w:t xml:space="preserve">Mediante la </w:t>
      </w:r>
      <w:r>
        <w:rPr>
          <w:b/>
        </w:rPr>
        <w:t>Auditoría Pública</w:t>
      </w:r>
      <w:r>
        <w:t xml:space="preserve"> se persigue la verificación, realizada con posterioridad y efectuada de forma sistemática, de la actividad económico-</w:t>
      </w:r>
      <w:r>
        <w:t>financiera de las entidades auditadas, mediante la aplicación de los procedimientos de revisión selectivos contenidos en las normas de auditoría e instrucciones que dicte la Intervención General de la Administración del Estado.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B. Objetivos específicos</w:t>
      </w:r>
      <w:r>
        <w:rPr>
          <w:rFonts w:ascii="Times New Roman" w:eastAsia="Times New Roman" w:hAnsi="Times New Roman" w:cs="Times New Roman"/>
          <w:sz w:val="24"/>
        </w:rPr>
        <w:t xml:space="preserve"> </w:t>
      </w:r>
    </w:p>
    <w:p w:rsidR="00EE0979" w:rsidRDefault="00B022A0">
      <w:pPr>
        <w:ind w:right="100"/>
      </w:pPr>
      <w:r>
        <w:t xml:space="preserve">De acuerdo con los objetivos generales establecidos por la norma, el análisis de riesgos llevado a cabo ha permitido focalizar los trabajos en las áreas consideradas prioritarias, permitiendo una asignación eficiente de los recursos con los que cuenta la </w:t>
      </w:r>
      <w:r>
        <w:t xml:space="preserve">Entidad a estos sectores de riesgo. </w:t>
      </w:r>
    </w:p>
    <w:p w:rsidR="00EE0979" w:rsidRDefault="00B022A0">
      <w:pPr>
        <w:spacing w:after="0" w:line="259" w:lineRule="auto"/>
        <w:ind w:left="14" w:firstLine="0"/>
        <w:jc w:val="left"/>
      </w:pPr>
      <w:r>
        <w:t xml:space="preserve"> </w:t>
      </w:r>
    </w:p>
    <w:p w:rsidR="00EE0979" w:rsidRDefault="00B022A0">
      <w:pPr>
        <w:ind w:right="100"/>
      </w:pPr>
      <w:r>
        <w:t xml:space="preserve">ALCANCE </w:t>
      </w:r>
    </w:p>
    <w:p w:rsidR="00EE0979" w:rsidRDefault="00B022A0">
      <w:pPr>
        <w:ind w:right="100"/>
      </w:pPr>
      <w:r>
        <w:t>El alcance del Control Financiero lo establece el Interventor en el momento de planificar los trabajos de control y se refiere a las áreas y procedimientos sujetos a revisión, con sujeción a las Normas de Aud</w:t>
      </w:r>
      <w:r>
        <w:t xml:space="preserve">itoría del Sector Público </w:t>
      </w:r>
    </w:p>
    <w:p w:rsidR="00EE0979" w:rsidRDefault="00B022A0">
      <w:pPr>
        <w:spacing w:after="0" w:line="259" w:lineRule="auto"/>
        <w:ind w:left="14" w:firstLine="0"/>
        <w:jc w:val="left"/>
      </w:pPr>
      <w:r>
        <w:t xml:space="preserve"> </w:t>
      </w:r>
    </w:p>
    <w:p w:rsidR="00EE0979" w:rsidRDefault="00B022A0">
      <w:pPr>
        <w:numPr>
          <w:ilvl w:val="0"/>
          <w:numId w:val="20"/>
        </w:numPr>
        <w:spacing w:after="6"/>
        <w:ind w:right="99" w:hanging="283"/>
      </w:pPr>
      <w:r>
        <w:rPr>
          <w:b/>
        </w:rPr>
        <w:t>Respecto del Control Permanente</w:t>
      </w:r>
      <w:r>
        <w:rPr>
          <w:rFonts w:ascii="Times New Roman" w:eastAsia="Times New Roman" w:hAnsi="Times New Roman" w:cs="Times New Roman"/>
          <w:sz w:val="24"/>
        </w:rPr>
        <w:t xml:space="preserve"> </w:t>
      </w:r>
    </w:p>
    <w:p w:rsidR="00EE0979" w:rsidRDefault="00B022A0">
      <w:pPr>
        <w:ind w:right="100"/>
      </w:pPr>
      <w:r>
        <w:t xml:space="preserve">De acuerdo con el artículo 29.2 del RD424/2017 el control permanente se ejercerá sobre la Entidad Local y los organismos públicos en los que se realice la función interventora, por lo que en lo </w:t>
      </w:r>
      <w:r>
        <w:t xml:space="preserve">que respecta al presente Plan se establece que el alcance del Control permanente de extenderá únicamente a la Corporación municipal. </w:t>
      </w:r>
    </w:p>
    <w:p w:rsidR="00EE0979" w:rsidRDefault="00B022A0">
      <w:pPr>
        <w:spacing w:after="0" w:line="259" w:lineRule="auto"/>
        <w:ind w:left="14" w:firstLine="0"/>
        <w:jc w:val="left"/>
      </w:pPr>
      <w:r>
        <w:t xml:space="preserve"> </w:t>
      </w:r>
    </w:p>
    <w:p w:rsidR="00EE0979" w:rsidRDefault="00B022A0">
      <w:pPr>
        <w:numPr>
          <w:ilvl w:val="0"/>
          <w:numId w:val="20"/>
        </w:numPr>
        <w:spacing w:after="6"/>
        <w:ind w:right="99" w:hanging="283"/>
      </w:pPr>
      <w:r>
        <w:rPr>
          <w:b/>
        </w:rPr>
        <w:t xml:space="preserve">Respecto de la Auditoria Pública </w:t>
      </w:r>
    </w:p>
    <w:p w:rsidR="00EE0979" w:rsidRDefault="00B022A0">
      <w:pPr>
        <w:spacing w:after="0" w:line="259" w:lineRule="auto"/>
        <w:ind w:left="14" w:firstLine="0"/>
        <w:jc w:val="left"/>
      </w:pPr>
      <w:r>
        <w:t xml:space="preserve"> </w:t>
      </w:r>
    </w:p>
    <w:p w:rsidR="00EE0979" w:rsidRDefault="00B022A0">
      <w:pPr>
        <w:ind w:right="100"/>
      </w:pPr>
      <w:r>
        <w:t xml:space="preserve">La </w:t>
      </w:r>
      <w:r>
        <w:rPr>
          <w:b/>
        </w:rPr>
        <w:t>Auditoría Pública</w:t>
      </w:r>
      <w:r>
        <w:t xml:space="preserve"> engloba las siguientes modalidades.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w:t>
      </w:r>
      <w:r>
        <w:rPr>
          <w:b/>
        </w:rPr>
        <w:t>auditoría de cuentas</w:t>
      </w:r>
      <w:r>
        <w:t>: Verifica si las cuentas anuales representan en todos los aspectos significativos la imagen fiel del patrimonio, de la situación financiera, de los resultados de la entidad y, en su caso, la ejecución del presupuesto. Igualmente se comprobará que estas cu</w:t>
      </w:r>
      <w:r>
        <w:t>entas se encuentran de acuerdo con las normas y principios contables y presupuestarios que le son de aplicación y contienen la información necesaria para su interpretación y comprensión adecuada.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w:t>
      </w:r>
      <w:r>
        <w:rPr>
          <w:b/>
        </w:rPr>
        <w:t>auditoría de cumplimiento</w:t>
      </w:r>
      <w:r>
        <w:t>: verifica que los actos, ope</w:t>
      </w:r>
      <w:r>
        <w:t>raciones y procedimientos de gestión se han desarrollado de conformidad con las normas, disposiciones y directrices que sean de aplicación.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w:t>
      </w:r>
      <w:r>
        <w:rPr>
          <w:b/>
        </w:rPr>
        <w:t>auditoría operativa</w:t>
      </w:r>
      <w:r>
        <w:t>: tiene como objeto proporcionar una valoración independiente de su racionalidad económico-</w:t>
      </w:r>
      <w:r>
        <w:t xml:space="preserve">financiera y su adecuación a los principios de la buena gestión, a fin de detectar sus posibles deficiencias y proponer las recomendaciones oportunas en orden a la corrección de aquéllas, incluye </w:t>
      </w:r>
      <w:r>
        <w:rPr>
          <w:b/>
        </w:rPr>
        <w:t>auditorías de economía y eficiencia, auditorías de programas</w:t>
      </w:r>
      <w:r>
        <w:rPr>
          <w:b/>
        </w:rPr>
        <w:t xml:space="preserve"> y auditorías de sistemas y procedimientos.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21"/>
        </w:numPr>
        <w:spacing w:after="6"/>
        <w:ind w:right="99" w:hanging="139"/>
      </w:pPr>
      <w:r>
        <w:t xml:space="preserve">La </w:t>
      </w:r>
      <w:r>
        <w:rPr>
          <w:b/>
        </w:rPr>
        <w:t>auditoría de economía y eficiencia</w:t>
      </w:r>
      <w:r>
        <w:t xml:space="preserve"> trata de determinar:</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Si la entidad está adquiriendo, manteniendo y empleando recursos tales como personas, propiedades, instalaciones, etc., de forma económica y eficiente. </w:t>
      </w:r>
    </w:p>
    <w:p w:rsidR="00EE0979" w:rsidRDefault="00B022A0">
      <w:pPr>
        <w:ind w:right="100"/>
      </w:pPr>
      <w:r>
        <w:t xml:space="preserve">Las causas de ineficiencia, si las hubiera, y de las prácticas antieconómicas. </w:t>
      </w:r>
    </w:p>
    <w:p w:rsidR="00EE0979" w:rsidRDefault="00B022A0">
      <w:pPr>
        <w:ind w:right="100"/>
      </w:pPr>
      <w:r>
        <w:t>Si la entidad está cump</w:t>
      </w:r>
      <w:r>
        <w:t xml:space="preserve">liendo con las leyes y demás normas sobre economía y eficiencia. </w:t>
      </w:r>
    </w:p>
    <w:p w:rsidR="00EE0979" w:rsidRDefault="00B022A0">
      <w:pPr>
        <w:spacing w:after="0" w:line="259" w:lineRule="auto"/>
        <w:ind w:left="14" w:firstLine="0"/>
        <w:jc w:val="left"/>
      </w:pPr>
      <w:r>
        <w:t xml:space="preserve"> </w:t>
      </w:r>
    </w:p>
    <w:p w:rsidR="00EE0979" w:rsidRDefault="00B022A0">
      <w:pPr>
        <w:numPr>
          <w:ilvl w:val="0"/>
          <w:numId w:val="21"/>
        </w:numPr>
        <w:ind w:right="99" w:hanging="139"/>
      </w:pPr>
      <w:r>
        <w:t xml:space="preserve">Las </w:t>
      </w:r>
      <w:r>
        <w:rPr>
          <w:b/>
        </w:rPr>
        <w:t>auditorías de programas</w:t>
      </w:r>
      <w:r>
        <w:t xml:space="preserve"> tratan de determinar:</w:t>
      </w:r>
      <w:r>
        <w:rPr>
          <w:rFonts w:ascii="Times New Roman" w:eastAsia="Times New Roman" w:hAnsi="Times New Roman" w:cs="Times New Roman"/>
          <w:sz w:val="24"/>
        </w:rPr>
        <w:t xml:space="preserve"> </w:t>
      </w:r>
    </w:p>
    <w:p w:rsidR="00EE0979" w:rsidRDefault="00B022A0">
      <w:pPr>
        <w:ind w:right="100"/>
      </w:pPr>
      <w:r>
        <w:t xml:space="preserve">En qué medida se alcanzan los resultados u objetivos establecidos por los legisladores o por los órganos que autorizan los programas. </w:t>
      </w:r>
    </w:p>
    <w:p w:rsidR="00EE0979" w:rsidRDefault="00B022A0">
      <w:pPr>
        <w:ind w:right="100"/>
      </w:pPr>
      <w:r>
        <w:t>La</w:t>
      </w:r>
      <w:r>
        <w:t xml:space="preserve"> eficacia de organizaciones, programas, actividades o funciones. </w:t>
      </w:r>
    </w:p>
    <w:p w:rsidR="00EE0979" w:rsidRDefault="00B022A0">
      <w:pPr>
        <w:ind w:right="100"/>
      </w:pPr>
      <w:r>
        <w:t xml:space="preserve">Si la entidad ha cumplido las leyes y demás normas en aquellos aspectos relevantes para el programa. </w:t>
      </w:r>
    </w:p>
    <w:p w:rsidR="00EE0979" w:rsidRDefault="00B022A0">
      <w:pPr>
        <w:spacing w:after="0" w:line="259" w:lineRule="auto"/>
        <w:ind w:left="14" w:firstLine="0"/>
        <w:jc w:val="left"/>
      </w:pPr>
      <w:r>
        <w:t xml:space="preserve"> </w:t>
      </w:r>
    </w:p>
    <w:p w:rsidR="00EE0979" w:rsidRDefault="00B022A0">
      <w:pPr>
        <w:numPr>
          <w:ilvl w:val="0"/>
          <w:numId w:val="21"/>
        </w:numPr>
        <w:spacing w:after="6"/>
        <w:ind w:right="99" w:hanging="139"/>
      </w:pPr>
      <w:r>
        <w:t xml:space="preserve">Las </w:t>
      </w:r>
      <w:r>
        <w:rPr>
          <w:b/>
        </w:rPr>
        <w:t>auditorías de sistemas y procedimientos</w:t>
      </w:r>
      <w:r>
        <w:t xml:space="preserve"> tratan de determinar:</w:t>
      </w:r>
      <w:r>
        <w:rPr>
          <w:rFonts w:ascii="Times New Roman" w:eastAsia="Times New Roman" w:hAnsi="Times New Roman" w:cs="Times New Roman"/>
          <w:sz w:val="24"/>
        </w:rPr>
        <w:t xml:space="preserve"> </w:t>
      </w:r>
    </w:p>
    <w:p w:rsidR="00EE0979" w:rsidRDefault="00B022A0">
      <w:pPr>
        <w:ind w:right="100"/>
      </w:pPr>
      <w:r>
        <w:t>El procedimiento ad</w:t>
      </w:r>
      <w:r>
        <w:t xml:space="preserve">ministrativo utilizado en la realidad por el órgano gestor en el desarrollo de sus competencias para conseguir la finalidad perseguida. </w:t>
      </w:r>
    </w:p>
    <w:p w:rsidR="00EE0979" w:rsidRDefault="00B022A0">
      <w:pPr>
        <w:ind w:right="100"/>
      </w:pPr>
      <w:r>
        <w:t>Las causas de la ineficiencia, si las hubiere, y si éstas son debidas a los procedimientos utilizados o a una deficient</w:t>
      </w:r>
      <w:r>
        <w:t xml:space="preserve">e organización de los recursos disponibles. </w:t>
      </w:r>
    </w:p>
    <w:p w:rsidR="00EE0979" w:rsidRDefault="00B022A0">
      <w:pPr>
        <w:ind w:right="100"/>
      </w:pPr>
      <w:r>
        <w:t xml:space="preserve">Y se realizará sobre los siguientes entes: </w:t>
      </w:r>
    </w:p>
    <w:p w:rsidR="00EE0979" w:rsidRDefault="00B022A0">
      <w:pPr>
        <w:numPr>
          <w:ilvl w:val="0"/>
          <w:numId w:val="22"/>
        </w:numPr>
        <w:ind w:right="100" w:hanging="137"/>
      </w:pPr>
      <w:r>
        <w:t xml:space="preserve">La entidad pública empresarial local. </w:t>
      </w:r>
    </w:p>
    <w:p w:rsidR="00EE0979" w:rsidRDefault="00B022A0">
      <w:pPr>
        <w:numPr>
          <w:ilvl w:val="0"/>
          <w:numId w:val="22"/>
        </w:numPr>
        <w:ind w:right="100" w:hanging="137"/>
      </w:pPr>
      <w:r>
        <w:t xml:space="preserve">La Sociedad Municipal de Inserción. </w:t>
      </w:r>
    </w:p>
    <w:p w:rsidR="00EE0979" w:rsidRDefault="00B022A0">
      <w:pPr>
        <w:numPr>
          <w:ilvl w:val="0"/>
          <w:numId w:val="22"/>
        </w:numPr>
        <w:ind w:right="100" w:hanging="137"/>
      </w:pPr>
      <w:r>
        <w:t xml:space="preserve">La Fundación. </w:t>
      </w:r>
    </w:p>
    <w:p w:rsidR="00EE0979" w:rsidRDefault="00B022A0">
      <w:pPr>
        <w:spacing w:after="0" w:line="259" w:lineRule="auto"/>
        <w:ind w:left="14" w:firstLine="0"/>
        <w:jc w:val="left"/>
      </w:pPr>
      <w:r>
        <w:t xml:space="preserve"> </w:t>
      </w:r>
    </w:p>
    <w:p w:rsidR="00EE0979" w:rsidRDefault="00B022A0">
      <w:pPr>
        <w:ind w:right="100"/>
      </w:pPr>
      <w:r>
        <w:t xml:space="preserve">ACTUACIONES DE CONTROL FINANCIERO PERMANENTE </w:t>
      </w:r>
    </w:p>
    <w:p w:rsidR="00EE0979" w:rsidRDefault="00B022A0">
      <w:pPr>
        <w:spacing w:after="0" w:line="259" w:lineRule="auto"/>
        <w:ind w:left="14" w:firstLine="0"/>
        <w:jc w:val="left"/>
      </w:pPr>
      <w:r>
        <w:t xml:space="preserve"> </w:t>
      </w:r>
    </w:p>
    <w:p w:rsidR="00EE0979" w:rsidRDefault="00B022A0">
      <w:pPr>
        <w:ind w:right="100"/>
      </w:pPr>
      <w:r>
        <w:t>Los trabajos de control pe</w:t>
      </w:r>
      <w:r>
        <w:t xml:space="preserve">rmanente se realizarán de forma continuada e incluirán las siguientes actuaciones: </w:t>
      </w:r>
    </w:p>
    <w:p w:rsidR="00EE0979" w:rsidRDefault="00B022A0">
      <w:pPr>
        <w:spacing w:after="0" w:line="259" w:lineRule="auto"/>
        <w:ind w:left="14" w:firstLine="0"/>
        <w:jc w:val="left"/>
      </w:pPr>
      <w:r>
        <w:t xml:space="preserve"> </w:t>
      </w:r>
    </w:p>
    <w:p w:rsidR="00EE0979" w:rsidRDefault="00B022A0">
      <w:pPr>
        <w:ind w:right="100"/>
      </w:pPr>
      <w:r>
        <w:t xml:space="preserve">Verificación del cumplimiento de la normativa y procedimientos aplicables a los aspectos de la gestión económica a los que no se extiende la función interventora. </w:t>
      </w:r>
    </w:p>
    <w:p w:rsidR="00EE0979" w:rsidRDefault="00B022A0">
      <w:pPr>
        <w:spacing w:after="0" w:line="259" w:lineRule="auto"/>
        <w:ind w:left="14" w:firstLine="0"/>
        <w:jc w:val="left"/>
      </w:pPr>
      <w:r>
        <w:t xml:space="preserve"> </w:t>
      </w:r>
    </w:p>
    <w:p w:rsidR="00EE0979" w:rsidRDefault="00B022A0">
      <w:pPr>
        <w:ind w:right="100"/>
      </w:pPr>
      <w:r>
        <w:t xml:space="preserve">Seguimiento de la ejecución presupuestaria y verificación del cumplimiento de los objetivos asignados. </w:t>
      </w:r>
    </w:p>
    <w:p w:rsidR="00EE0979" w:rsidRDefault="00B022A0">
      <w:pPr>
        <w:spacing w:after="0" w:line="259" w:lineRule="auto"/>
        <w:ind w:left="14" w:firstLine="0"/>
        <w:jc w:val="left"/>
      </w:pPr>
      <w:r>
        <w:t xml:space="preserve"> </w:t>
      </w:r>
    </w:p>
    <w:p w:rsidR="00EE0979" w:rsidRDefault="00B022A0">
      <w:pPr>
        <w:ind w:right="100"/>
      </w:pPr>
      <w:r>
        <w:t xml:space="preserve">Comprobación de la planificación, gestión y situación de la tesorería. </w:t>
      </w:r>
    </w:p>
    <w:p w:rsidR="00EE0979" w:rsidRDefault="00B022A0">
      <w:pPr>
        <w:spacing w:after="0" w:line="259" w:lineRule="auto"/>
        <w:ind w:left="14" w:firstLine="0"/>
        <w:jc w:val="left"/>
      </w:pPr>
      <w:r>
        <w:t xml:space="preserve"> </w:t>
      </w:r>
    </w:p>
    <w:p w:rsidR="00EE0979" w:rsidRDefault="00B022A0">
      <w:pPr>
        <w:ind w:right="100"/>
      </w:pPr>
      <w:r>
        <w:t xml:space="preserve">Otras actuaciones previstas en las normas presupuestarias y reguladoras de la gestión económica del sector público local atribuidas al órgano interventor. </w:t>
      </w:r>
    </w:p>
    <w:p w:rsidR="00EE0979" w:rsidRDefault="00B022A0">
      <w:pPr>
        <w:spacing w:after="0" w:line="259" w:lineRule="auto"/>
        <w:ind w:left="14" w:firstLine="0"/>
        <w:jc w:val="left"/>
      </w:pPr>
      <w:r>
        <w:t xml:space="preserve"> </w:t>
      </w:r>
    </w:p>
    <w:p w:rsidR="00EE0979" w:rsidRDefault="00B022A0">
      <w:pPr>
        <w:ind w:right="100"/>
      </w:pPr>
      <w:r>
        <w:t>Análisis de las operaciones y procedimientos, con el objeto de proporcionar una valoración de su r</w:t>
      </w:r>
      <w:r>
        <w:t xml:space="preserve">acionalidad económico-financiera y su adecuación a los principios de buena gestión, a fin de detectar sus posibles deficiencias y proponer las recomendaciones en orden a la corrección de aquéllas. </w:t>
      </w:r>
    </w:p>
    <w:p w:rsidR="00EE0979" w:rsidRDefault="00B022A0">
      <w:pPr>
        <w:spacing w:after="0" w:line="259" w:lineRule="auto"/>
        <w:ind w:left="14" w:firstLine="0"/>
        <w:jc w:val="left"/>
      </w:pPr>
      <w:r>
        <w:t xml:space="preserve"> </w:t>
      </w:r>
    </w:p>
    <w:p w:rsidR="00EE0979" w:rsidRDefault="00B022A0">
      <w:pPr>
        <w:ind w:right="100"/>
      </w:pPr>
      <w:r>
        <w:t>En la Entidad Local, verificar, mediante técnicas de aud</w:t>
      </w:r>
      <w:r>
        <w:t xml:space="preserve">itoría, que los datos e información con trascendencia económica proporcionados por los órganos gestores como soporte de la información contable, reflejan razonablemente el resultado las operaciones derivadas de su actividad económico-financiera. </w:t>
      </w:r>
    </w:p>
    <w:p w:rsidR="00EE0979" w:rsidRDefault="00B022A0">
      <w:pPr>
        <w:spacing w:after="0" w:line="259" w:lineRule="auto"/>
        <w:ind w:left="14" w:firstLine="0"/>
        <w:jc w:val="left"/>
      </w:pPr>
      <w:r>
        <w:t xml:space="preserve"> </w:t>
      </w:r>
    </w:p>
    <w:p w:rsidR="00EE0979" w:rsidRDefault="00B022A0">
      <w:pPr>
        <w:ind w:right="100"/>
      </w:pPr>
      <w:r>
        <w:t>Las act</w:t>
      </w:r>
      <w:r>
        <w:t xml:space="preserve">uaciones a realizar podrán consistir, entre otras, en: </w:t>
      </w:r>
    </w:p>
    <w:p w:rsidR="00EE0979" w:rsidRDefault="00B022A0">
      <w:pPr>
        <w:spacing w:after="0" w:line="259" w:lineRule="auto"/>
        <w:ind w:left="14" w:firstLine="0"/>
        <w:jc w:val="left"/>
      </w:pPr>
      <w:r>
        <w:t xml:space="preserve"> </w:t>
      </w:r>
    </w:p>
    <w:p w:rsidR="00EE0979" w:rsidRDefault="00B022A0">
      <w:pPr>
        <w:ind w:right="100"/>
      </w:pPr>
      <w:r>
        <w:t xml:space="preserve">El examen de registros contables, cuentas, estados financieros o estados de seguimiento elaborados por el órgano gestor. </w:t>
      </w:r>
    </w:p>
    <w:p w:rsidR="00EE0979" w:rsidRDefault="00B022A0">
      <w:pPr>
        <w:spacing w:after="0" w:line="259" w:lineRule="auto"/>
        <w:ind w:left="14" w:firstLine="0"/>
        <w:jc w:val="left"/>
      </w:pPr>
      <w:r>
        <w:t xml:space="preserve"> </w:t>
      </w:r>
    </w:p>
    <w:p w:rsidR="00EE0979" w:rsidRDefault="00B022A0">
      <w:pPr>
        <w:ind w:right="100"/>
      </w:pPr>
      <w:r>
        <w:t xml:space="preserve">El examen de operaciones individualizadas y concretas. </w:t>
      </w:r>
    </w:p>
    <w:p w:rsidR="00EE0979" w:rsidRDefault="00B022A0">
      <w:pPr>
        <w:spacing w:after="0" w:line="259" w:lineRule="auto"/>
        <w:ind w:left="14" w:firstLine="0"/>
        <w:jc w:val="left"/>
      </w:pPr>
      <w:r>
        <w:t xml:space="preserve"> </w:t>
      </w:r>
    </w:p>
    <w:p w:rsidR="00EE0979" w:rsidRDefault="00B022A0">
      <w:pPr>
        <w:ind w:right="100"/>
      </w:pPr>
      <w:r>
        <w:t xml:space="preserve">La comprobación </w:t>
      </w:r>
      <w:r>
        <w:t xml:space="preserve">de aspectos parciales y concretos de un conjunto de actos. </w:t>
      </w:r>
    </w:p>
    <w:p w:rsidR="00EE0979" w:rsidRDefault="00B022A0">
      <w:pPr>
        <w:spacing w:after="0" w:line="259" w:lineRule="auto"/>
        <w:ind w:left="14" w:firstLine="0"/>
        <w:jc w:val="left"/>
      </w:pPr>
      <w:r>
        <w:t xml:space="preserve"> </w:t>
      </w:r>
    </w:p>
    <w:p w:rsidR="00EE0979" w:rsidRDefault="00B022A0">
      <w:pPr>
        <w:ind w:right="100"/>
      </w:pPr>
      <w:r>
        <w:t xml:space="preserve">La verificación material de la efectiva y conforme realización de obras, servicios, suministros y gastos. </w:t>
      </w:r>
    </w:p>
    <w:p w:rsidR="00EE0979" w:rsidRDefault="00B022A0">
      <w:pPr>
        <w:spacing w:after="0" w:line="259" w:lineRule="auto"/>
        <w:ind w:left="14" w:firstLine="0"/>
        <w:jc w:val="left"/>
      </w:pPr>
      <w:r>
        <w:t xml:space="preserve"> </w:t>
      </w:r>
    </w:p>
    <w:p w:rsidR="00EE0979" w:rsidRDefault="00B022A0">
      <w:pPr>
        <w:ind w:right="100"/>
      </w:pPr>
      <w:r>
        <w:t xml:space="preserve">El análisis de los sistemas y procedimientos de gestión. </w:t>
      </w:r>
    </w:p>
    <w:p w:rsidR="00EE0979" w:rsidRDefault="00B022A0">
      <w:pPr>
        <w:spacing w:after="0" w:line="259" w:lineRule="auto"/>
        <w:ind w:left="14" w:firstLine="0"/>
        <w:jc w:val="left"/>
      </w:pPr>
      <w:r>
        <w:t xml:space="preserve"> </w:t>
      </w:r>
    </w:p>
    <w:p w:rsidR="00EE0979" w:rsidRDefault="00B022A0">
      <w:pPr>
        <w:ind w:right="100"/>
      </w:pPr>
      <w:r>
        <w:t>La revisión de los sistem</w:t>
      </w:r>
      <w:r>
        <w:t xml:space="preserve">as informáticos de gestión que sean precisos. </w:t>
      </w:r>
    </w:p>
    <w:p w:rsidR="00EE0979" w:rsidRDefault="00B022A0">
      <w:pPr>
        <w:spacing w:after="0" w:line="259" w:lineRule="auto"/>
        <w:ind w:left="14" w:firstLine="0"/>
        <w:jc w:val="left"/>
      </w:pPr>
      <w:r>
        <w:t xml:space="preserve"> </w:t>
      </w:r>
    </w:p>
    <w:p w:rsidR="00EE0979" w:rsidRDefault="00B022A0">
      <w:pPr>
        <w:ind w:right="100"/>
      </w:pPr>
      <w:r>
        <w:t xml:space="preserve">Otras comprobaciones en atención a las características especiales de las actividades económicofinancieras realizadas por el órgano gestor y a los objetivos que se persigan. </w:t>
      </w:r>
    </w:p>
    <w:p w:rsidR="00EE0979" w:rsidRDefault="00B022A0">
      <w:pPr>
        <w:spacing w:after="0" w:line="259" w:lineRule="auto"/>
        <w:ind w:left="14" w:firstLine="0"/>
        <w:jc w:val="left"/>
      </w:pPr>
      <w:r>
        <w:t xml:space="preserve"> </w:t>
      </w:r>
    </w:p>
    <w:p w:rsidR="00EE0979" w:rsidRDefault="00B022A0">
      <w:pPr>
        <w:ind w:right="100"/>
      </w:pPr>
      <w:r>
        <w:t xml:space="preserve">En el conjunto de la Entidad Local se realizarán las siguientes actuaciones de </w:t>
      </w:r>
      <w:r>
        <w:rPr>
          <w:b/>
        </w:rPr>
        <w:t>control financiero permanente</w:t>
      </w:r>
      <w:r>
        <w:t xml:space="preserve"> sobre los siguientes organismos/entidades/áreas dependientes: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CONTROL DE LAS MEDIDAS CORRECTORAS PROPUESTAS </w:t>
      </w:r>
    </w:p>
    <w:p w:rsidR="00EE0979" w:rsidRDefault="00B022A0">
      <w:pPr>
        <w:spacing w:after="0" w:line="259" w:lineRule="auto"/>
        <w:ind w:left="14" w:firstLine="0"/>
        <w:jc w:val="left"/>
      </w:pPr>
      <w:r>
        <w:t xml:space="preserve"> </w:t>
      </w:r>
    </w:p>
    <w:p w:rsidR="00EE0979" w:rsidRDefault="00B022A0">
      <w:pPr>
        <w:ind w:right="100"/>
      </w:pPr>
      <w:r>
        <w:t>La intervenc</w:t>
      </w:r>
      <w:r>
        <w:t>ión debe establecer los mecanismos adecuados que permitan un seguimiento tanto de las medidas correctoras o, en su caso, ajustes contables propuestos en los informes definitivos, como de las actuaciones adoptadas por el órgano gestor y recogidas en las ale</w:t>
      </w:r>
      <w:r>
        <w:t xml:space="preserve">gaciones presentadas al informe provisional. </w:t>
      </w:r>
    </w:p>
    <w:p w:rsidR="00EE0979" w:rsidRDefault="00B022A0">
      <w:pPr>
        <w:spacing w:after="0" w:line="259" w:lineRule="auto"/>
        <w:ind w:left="14" w:firstLine="0"/>
        <w:jc w:val="left"/>
      </w:pPr>
      <w:r>
        <w:t xml:space="preserve"> </w:t>
      </w:r>
    </w:p>
    <w:p w:rsidR="00EE0979" w:rsidRDefault="00B022A0">
      <w:pPr>
        <w:ind w:right="100"/>
      </w:pPr>
      <w:r>
        <w:t>En concreto a lo largo del ejercicio se someterán a un seguimiento especial las medidas correctoras que vayan a ser implementadas como consecuencia de los siguientes Controles Financieros realizados durante e</w:t>
      </w:r>
      <w:r>
        <w:t xml:space="preserve">ste ejercicio. </w:t>
      </w:r>
    </w:p>
    <w:p w:rsidR="00EE0979" w:rsidRDefault="00B022A0">
      <w:pPr>
        <w:spacing w:after="0" w:line="259" w:lineRule="auto"/>
        <w:ind w:left="14" w:firstLine="0"/>
        <w:jc w:val="left"/>
      </w:pPr>
      <w:r>
        <w:t xml:space="preserve"> </w:t>
      </w:r>
    </w:p>
    <w:p w:rsidR="00EE0979" w:rsidRDefault="00B022A0">
      <w:pPr>
        <w:numPr>
          <w:ilvl w:val="0"/>
          <w:numId w:val="23"/>
        </w:numPr>
        <w:spacing w:after="6"/>
        <w:ind w:right="99" w:hanging="360"/>
      </w:pPr>
      <w:r>
        <w:rPr>
          <w:b/>
        </w:rPr>
        <w:t xml:space="preserve">Informes Resúmenes Anuales </w:t>
      </w:r>
    </w:p>
    <w:p w:rsidR="00EE0979" w:rsidRDefault="00B022A0">
      <w:pPr>
        <w:spacing w:after="0" w:line="259" w:lineRule="auto"/>
        <w:ind w:left="374" w:firstLine="0"/>
        <w:jc w:val="left"/>
      </w:pPr>
      <w:r>
        <w:t xml:space="preserve"> </w:t>
      </w:r>
    </w:p>
    <w:p w:rsidR="00EE0979" w:rsidRDefault="00B022A0">
      <w:pPr>
        <w:ind w:right="100"/>
      </w:pPr>
      <w:r>
        <w:t>De acuerdo con lo establecido en el artículo 37 y 38 del Real Decreto 424/2017, de 28 de abril, por el que se regula el régimen jurídico del control interno en las entidades del Sector Público Local, se deber</w:t>
      </w:r>
      <w:r>
        <w:t xml:space="preserve">á elaborar con carácter anual y con ocasión de la aprobación de la cuenta general, el informe resumen de los resultados del control interno señalado en el artículo 213 del Texto Refundido de la Ley reguladora de las Haciendas Locales, para su conocimiento </w:t>
      </w:r>
      <w:r>
        <w:t xml:space="preserve">y efectos oportunos, comprensivo de los resultados más significativos de la ejecución del mismo y de las debilidades puestas de manifiesto en el mismo. </w:t>
      </w:r>
    </w:p>
    <w:p w:rsidR="00EE0979" w:rsidRDefault="00B022A0">
      <w:pPr>
        <w:spacing w:after="0" w:line="259" w:lineRule="auto"/>
        <w:ind w:left="14" w:firstLine="0"/>
        <w:jc w:val="left"/>
      </w:pPr>
      <w:r>
        <w:t xml:space="preserve"> </w:t>
      </w:r>
    </w:p>
    <w:p w:rsidR="00EE0979" w:rsidRDefault="00B022A0">
      <w:pPr>
        <w:ind w:right="100"/>
      </w:pPr>
      <w:r>
        <w:t>El informe resumen será remitido al Pleno, a través del Presidente de la Corporación, y a la Interven</w:t>
      </w:r>
      <w:r>
        <w:t>ción General de la Administración del Estado en el curso del primer cuatrimestre de cada año y contendrá los resultados más significativos derivados de las de las actuaciones de control financiero y de función interventora realizadas en el ejercicio anteri</w:t>
      </w:r>
      <w:r>
        <w:t xml:space="preserve">or. </w:t>
      </w:r>
    </w:p>
    <w:p w:rsidR="00EE0979" w:rsidRDefault="00B022A0">
      <w:pPr>
        <w:spacing w:after="0" w:line="259" w:lineRule="auto"/>
        <w:ind w:left="14" w:firstLine="0"/>
        <w:jc w:val="left"/>
      </w:pPr>
      <w:r>
        <w:t xml:space="preserve"> </w:t>
      </w:r>
    </w:p>
    <w:p w:rsidR="00EE0979" w:rsidRDefault="00B022A0">
      <w:pPr>
        <w:numPr>
          <w:ilvl w:val="0"/>
          <w:numId w:val="23"/>
        </w:numPr>
        <w:spacing w:after="6"/>
        <w:ind w:right="99" w:hanging="360"/>
      </w:pPr>
      <w:r>
        <w:rPr>
          <w:b/>
        </w:rPr>
        <w:t xml:space="preserve">Plan de Acción </w:t>
      </w:r>
    </w:p>
    <w:p w:rsidR="00EE0979" w:rsidRDefault="00B022A0">
      <w:pPr>
        <w:spacing w:after="0" w:line="259" w:lineRule="auto"/>
        <w:ind w:left="374" w:firstLine="0"/>
        <w:jc w:val="left"/>
      </w:pPr>
      <w:r>
        <w:t xml:space="preserve"> </w:t>
      </w:r>
    </w:p>
    <w:p w:rsidR="00EE0979" w:rsidRDefault="00B022A0">
      <w:pPr>
        <w:ind w:right="100"/>
      </w:pPr>
      <w:r>
        <w:t>En el plazo máximo de 3 meses desde la remisión del informe resumen al Pleno el Presidente de la Corporación formalizará un plan de acción que determine las medidas a adoptar para subsanar las debilidades, deficiencias, errores e i</w:t>
      </w:r>
      <w:r>
        <w:t xml:space="preserve">ncumplimientos. </w:t>
      </w:r>
    </w:p>
    <w:p w:rsidR="00EE0979" w:rsidRDefault="00B022A0">
      <w:pPr>
        <w:ind w:right="100"/>
      </w:pPr>
      <w:r>
        <w:t>El plan de acción será remitido al órgano interventor de la Entidad Local, que valorará su adecuación para solventar las deficiencias señaladas y en su caso los resultados obtenidos, e informará al Pleno sobre la situación de la corrección</w:t>
      </w:r>
      <w:r>
        <w:t xml:space="preserve"> de las debilidades puestas de manifiesto en el ejercicio del control interno. En la remisión anual a la Intervención General de la Administración del Estado del informe resumen de los resultados del control interno se informará, asimismo, sobre la correcc</w:t>
      </w:r>
      <w:r>
        <w:t xml:space="preserve">ión de las debilidades puestas de manifiesto. </w:t>
      </w:r>
    </w:p>
    <w:p w:rsidR="00EE0979" w:rsidRDefault="00B022A0">
      <w:pPr>
        <w:spacing w:after="0" w:line="259" w:lineRule="auto"/>
        <w:ind w:left="14" w:firstLine="0"/>
        <w:jc w:val="left"/>
      </w:pPr>
      <w:r>
        <w:t xml:space="preserve"> </w:t>
      </w:r>
    </w:p>
    <w:p w:rsidR="00EE0979" w:rsidRDefault="00B022A0">
      <w:pPr>
        <w:ind w:right="100"/>
      </w:pPr>
      <w:r>
        <w:t xml:space="preserve">           METODOLOGÍA DE LAS ACTUACIONES DE CONTROL FINANCIERO </w:t>
      </w:r>
    </w:p>
    <w:p w:rsidR="00EE0979" w:rsidRDefault="00B022A0">
      <w:pPr>
        <w:spacing w:after="0" w:line="259" w:lineRule="auto"/>
        <w:ind w:left="14" w:firstLine="0"/>
        <w:jc w:val="left"/>
      </w:pPr>
      <w:r>
        <w:t xml:space="preserve"> </w:t>
      </w:r>
    </w:p>
    <w:p w:rsidR="00EE0979" w:rsidRDefault="00B022A0">
      <w:pPr>
        <w:spacing w:after="6"/>
        <w:ind w:left="384" w:right="99" w:hanging="10"/>
      </w:pPr>
      <w:r>
        <w:rPr>
          <w:b/>
        </w:rPr>
        <w:t xml:space="preserve">A. Colaboración en las actuaciones de control </w:t>
      </w:r>
    </w:p>
    <w:p w:rsidR="00EE0979" w:rsidRDefault="00B022A0">
      <w:pPr>
        <w:spacing w:after="0" w:line="259" w:lineRule="auto"/>
        <w:ind w:left="374" w:firstLine="0"/>
        <w:jc w:val="left"/>
      </w:pPr>
      <w:r>
        <w:t xml:space="preserve"> </w:t>
      </w:r>
    </w:p>
    <w:p w:rsidR="00EE0979" w:rsidRDefault="00B022A0">
      <w:pPr>
        <w:ind w:right="100"/>
      </w:pPr>
      <w:r>
        <w:t xml:space="preserve">La ejecución del Plan Anual se llevará a cabo por el personal de la intervención de </w:t>
      </w:r>
      <w:r>
        <w:t xml:space="preserve">esta entidad, con la colaboración mediante los oportunos convenios o contratos, de otros órganos públicos o firmas privadas de auditoría, de acuerdo con lo especificado en cada uno de los puntos de actuaciones del presente Plan. </w:t>
      </w:r>
    </w:p>
    <w:p w:rsidR="00EE0979" w:rsidRDefault="00B022A0">
      <w:pPr>
        <w:spacing w:after="0" w:line="259" w:lineRule="auto"/>
        <w:ind w:left="14" w:firstLine="0"/>
        <w:jc w:val="left"/>
      </w:pPr>
      <w:r>
        <w:t xml:space="preserve"> </w:t>
      </w:r>
    </w:p>
    <w:p w:rsidR="00EE0979" w:rsidRDefault="00B022A0">
      <w:pPr>
        <w:ind w:right="100"/>
      </w:pPr>
      <w:r>
        <w:t>Corresponde al Intervent</w:t>
      </w:r>
      <w:r>
        <w:t>or de la entidad (o persone en quien este delegue) realizar la distribución de los controles previstos de los diferentes equipos de auditoría y a los auditores integrantes del mismo. Se elabora un calendario para su materialización y se informará al interv</w:t>
      </w:r>
      <w:r>
        <w:t xml:space="preserve">entor en todo momento en los procesos en los que no sea parte. </w:t>
      </w:r>
    </w:p>
    <w:p w:rsidR="00EE0979" w:rsidRDefault="00B022A0">
      <w:pPr>
        <w:spacing w:after="0" w:line="259" w:lineRule="auto"/>
        <w:ind w:left="14" w:firstLine="0"/>
        <w:jc w:val="left"/>
      </w:pPr>
      <w:r>
        <w:t xml:space="preserve"> </w:t>
      </w:r>
    </w:p>
    <w:p w:rsidR="00EE0979" w:rsidRDefault="00B022A0">
      <w:pPr>
        <w:ind w:right="100"/>
      </w:pPr>
      <w:r>
        <w:t xml:space="preserve">El órgano interventor comunicará al órgano gestor el inicio de aquellas actuaciones de control permanente que requieran su colaboración. </w:t>
      </w:r>
    </w:p>
    <w:p w:rsidR="00EE0979" w:rsidRDefault="00B022A0">
      <w:pPr>
        <w:spacing w:after="0" w:line="259" w:lineRule="auto"/>
        <w:ind w:left="14" w:firstLine="0"/>
        <w:jc w:val="left"/>
      </w:pPr>
      <w:r>
        <w:t xml:space="preserve"> </w:t>
      </w:r>
    </w:p>
    <w:p w:rsidR="00EE0979" w:rsidRDefault="00B022A0">
      <w:pPr>
        <w:ind w:right="100"/>
      </w:pPr>
      <w:r>
        <w:t>En el ejercicio de las actuaciones de Control Fina</w:t>
      </w:r>
      <w:r>
        <w:t xml:space="preserve">nciero, la Intervención General, podrá recabar directamente de quien corresponda los asesoramientos jurídicos y técnicos que considere necesarios, de conformidad con lo dispuesto en la normativa presupuestaria y de control.” </w:t>
      </w:r>
    </w:p>
    <w:p w:rsidR="00EE0979" w:rsidRDefault="00B022A0">
      <w:pPr>
        <w:spacing w:after="0" w:line="259" w:lineRule="auto"/>
        <w:ind w:left="14" w:firstLine="0"/>
        <w:jc w:val="left"/>
      </w:pPr>
      <w:r>
        <w:rPr>
          <w:b/>
        </w:rPr>
        <w:t xml:space="preserve"> </w:t>
      </w:r>
    </w:p>
    <w:p w:rsidR="00EE0979" w:rsidRDefault="00B022A0">
      <w:pPr>
        <w:spacing w:after="0" w:line="259" w:lineRule="auto"/>
        <w:ind w:left="10" w:firstLine="0"/>
        <w:jc w:val="left"/>
      </w:pPr>
      <w:r>
        <w:t xml:space="preserve"> </w:t>
      </w:r>
    </w:p>
    <w:p w:rsidR="00EE0979" w:rsidRDefault="00B022A0">
      <w:pPr>
        <w:spacing w:after="6"/>
        <w:ind w:right="99" w:hanging="10"/>
      </w:pPr>
      <w:r>
        <w:rPr>
          <w:b/>
        </w:rPr>
        <w:t>Consta en el expediente pr</w:t>
      </w:r>
      <w:r>
        <w:rPr>
          <w:b/>
        </w:rPr>
        <w:t xml:space="preserve">opuesta del Concejal delegado de Hacienda, D. Airam Pérez Chinea, de fecha 19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19" w:line="259" w:lineRule="auto"/>
        <w:ind w:left="14" w:firstLine="0"/>
        <w:jc w:val="left"/>
      </w:pPr>
      <w:r>
        <w:rPr>
          <w:b/>
        </w:rPr>
        <w:t xml:space="preserve"> </w:t>
      </w:r>
    </w:p>
    <w:p w:rsidR="00EE0979" w:rsidRDefault="00B022A0">
      <w:pPr>
        <w:pStyle w:val="Ttulo1"/>
        <w:numPr>
          <w:ilvl w:val="0"/>
          <w:numId w:val="0"/>
        </w:numPr>
        <w:ind w:left="624" w:right="704"/>
      </w:pPr>
      <w:r>
        <w:t xml:space="preserve">“PROPUESTA DEL CONCEJAL DELEGADO DE HACIENDA </w:t>
      </w:r>
    </w:p>
    <w:p w:rsidR="00EE0979" w:rsidRDefault="00B022A0">
      <w:pPr>
        <w:spacing w:after="101" w:line="259" w:lineRule="auto"/>
        <w:ind w:left="14" w:firstLine="0"/>
        <w:jc w:val="left"/>
      </w:pPr>
      <w:r>
        <w:rPr>
          <w:b/>
        </w:rPr>
        <w:t xml:space="preserve"> </w:t>
      </w:r>
    </w:p>
    <w:p w:rsidR="00EE0979" w:rsidRDefault="00B022A0">
      <w:pPr>
        <w:spacing w:after="114"/>
        <w:ind w:right="99" w:hanging="10"/>
      </w:pPr>
      <w:r>
        <w:rPr>
          <w:b/>
        </w:rPr>
        <w:t>Asunto: DACIÓN DE CUENTA DE LA APROBACIÓN DE UN PLAN ANUAL DE CONTROL FINANCIERO 2023</w:t>
      </w:r>
      <w:r>
        <w:t xml:space="preserve"> </w:t>
      </w:r>
    </w:p>
    <w:p w:rsidR="00EE0979" w:rsidRDefault="00B022A0">
      <w:pPr>
        <w:spacing w:after="100" w:line="259" w:lineRule="auto"/>
        <w:ind w:left="14" w:firstLine="0"/>
        <w:jc w:val="left"/>
      </w:pPr>
      <w:r>
        <w:t xml:space="preserve"> </w:t>
      </w:r>
      <w:r>
        <w:rPr>
          <w:rFonts w:ascii="Calibri" w:eastAsia="Calibri" w:hAnsi="Calibri" w:cs="Calibri"/>
          <w:noProof/>
        </w:rPr>
        <mc:AlternateContent>
          <mc:Choice Requires="wpg">
            <w:drawing>
              <wp:inline distT="0" distB="0" distL="0" distR="0">
                <wp:extent cx="6059170" cy="25908"/>
                <wp:effectExtent l="0" t="0" r="0" b="0"/>
                <wp:docPr id="238715" name="Group 238715"/>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7288" name="Shape 7288"/>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715" style="width:477.1pt;height:2.04pt;mso-position-horizontal-relative:char;mso-position-vertical-relative:line" coordsize="60591,259">
                <v:shape id="Shape 7288"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105" w:line="259" w:lineRule="auto"/>
        <w:ind w:left="298" w:firstLine="0"/>
        <w:jc w:val="left"/>
      </w:pPr>
      <w:r>
        <w:rPr>
          <w:b/>
        </w:rPr>
        <w:t xml:space="preserve"> </w:t>
      </w:r>
      <w:r>
        <w:rPr>
          <w:b/>
        </w:rPr>
        <w:tab/>
        <w:t xml:space="preserve"> </w:t>
      </w:r>
      <w:r>
        <w:rPr>
          <w:b/>
        </w:rPr>
        <w:tab/>
      </w:r>
      <w:r>
        <w:t xml:space="preserve"> </w:t>
      </w:r>
    </w:p>
    <w:p w:rsidR="00EE0979" w:rsidRDefault="00B022A0">
      <w:pPr>
        <w:tabs>
          <w:tab w:val="center" w:pos="298"/>
          <w:tab w:val="center" w:pos="722"/>
          <w:tab w:val="center" w:pos="4859"/>
        </w:tabs>
        <w:spacing w:after="118"/>
        <w:ind w:left="0" w:firstLine="0"/>
        <w:jc w:val="left"/>
      </w:pPr>
      <w:r>
        <w:rPr>
          <w:rFonts w:ascii="Calibri" w:eastAsia="Calibri" w:hAnsi="Calibri" w:cs="Calibri"/>
        </w:rPr>
        <w:tab/>
      </w:r>
      <w:r>
        <w:rPr>
          <w:b/>
        </w:rPr>
        <w:t xml:space="preserve"> </w:t>
      </w:r>
      <w:r>
        <w:rPr>
          <w:b/>
        </w:rPr>
        <w:tab/>
      </w:r>
      <w:r>
        <w:t xml:space="preserve"> </w:t>
      </w:r>
      <w:r>
        <w:tab/>
        <w:t xml:space="preserve">Visto el Plan Anual de Control Financiero, con el tenor literal siguiente: </w:t>
      </w:r>
    </w:p>
    <w:p w:rsidR="00EE0979" w:rsidRDefault="00B022A0">
      <w:pPr>
        <w:spacing w:after="95" w:line="259" w:lineRule="auto"/>
        <w:ind w:left="14" w:firstLine="0"/>
        <w:jc w:val="left"/>
      </w:pPr>
      <w:r>
        <w:t xml:space="preserve"> </w:t>
      </w:r>
    </w:p>
    <w:p w:rsidR="00EE0979" w:rsidRDefault="00B022A0">
      <w:pPr>
        <w:pStyle w:val="Ttulo1"/>
        <w:spacing w:after="102"/>
        <w:ind w:left="859" w:right="712" w:hanging="245"/>
      </w:pPr>
      <w:r>
        <w:t>INTRODUCCIÓN</w:t>
      </w:r>
      <w:r>
        <w:rPr>
          <w:b w:val="0"/>
        </w:rPr>
        <w:t xml:space="preserve"> </w:t>
      </w:r>
    </w:p>
    <w:p w:rsidR="00EE0979" w:rsidRDefault="00B022A0">
      <w:pPr>
        <w:spacing w:after="100" w:line="259" w:lineRule="auto"/>
        <w:ind w:left="0" w:right="36" w:firstLine="0"/>
        <w:jc w:val="center"/>
      </w:pPr>
      <w:r>
        <w:t xml:space="preserve"> </w:t>
      </w:r>
    </w:p>
    <w:p w:rsidR="00EE0979" w:rsidRDefault="00B022A0">
      <w:pPr>
        <w:spacing w:after="111"/>
        <w:ind w:right="100"/>
      </w:pPr>
      <w:r>
        <w:t xml:space="preserve"> El artículo 3 del Real Decreto 424/2017, de 28 de abril, por</w:t>
      </w:r>
      <w:r>
        <w:t xml:space="preserve"> el que se regula el régimen jurídico del control interno en las entidades del Sector Público Local, regula que el control interno de la actividad económico- financiera del sector público local se ejercerá por el órgano interventor mediante el ejercicio de</w:t>
      </w:r>
      <w:r>
        <w:t xml:space="preserve"> la función interventora y el control financiero. </w:t>
      </w:r>
    </w:p>
    <w:p w:rsidR="00EE0979" w:rsidRDefault="00B022A0">
      <w:pPr>
        <w:spacing w:after="100" w:line="259" w:lineRule="auto"/>
        <w:ind w:left="14" w:firstLine="0"/>
        <w:jc w:val="left"/>
      </w:pPr>
      <w:r>
        <w:t xml:space="preserve"> </w:t>
      </w:r>
    </w:p>
    <w:p w:rsidR="00EE0979" w:rsidRDefault="00B022A0">
      <w:pPr>
        <w:spacing w:after="111"/>
        <w:ind w:right="100"/>
      </w:pPr>
      <w:r>
        <w:t xml:space="preserve"> </w:t>
      </w:r>
      <w:r>
        <w:t>El control financiero tiene por objeto verificar el funcionamiento de los servicios del sector público local en el aspecto económico financiero para comprobar el cumplimiento de la normativa y directrices que los rigen y, en general, que su gestión se ajus</w:t>
      </w:r>
      <w:r>
        <w:t>ta a los principios de buena gestión financiera, comprobando que la gestión de los recursos públicos se encuentra orientada por la eficacia, la eficiencia, la economía, la calidad y la transparencia, y por los principios de estabilidad presupuestaria y sos</w:t>
      </w:r>
      <w:r>
        <w:t xml:space="preserve">tenibilidad financiera en el uso de los recursos públicos locales. </w:t>
      </w:r>
    </w:p>
    <w:p w:rsidR="00EE0979" w:rsidRDefault="00B022A0">
      <w:pPr>
        <w:spacing w:after="101" w:line="259" w:lineRule="auto"/>
        <w:ind w:left="14" w:firstLine="0"/>
        <w:jc w:val="left"/>
      </w:pPr>
      <w:r>
        <w:t xml:space="preserve"> </w:t>
      </w:r>
    </w:p>
    <w:p w:rsidR="00EE0979" w:rsidRDefault="00B022A0">
      <w:pPr>
        <w:spacing w:after="114"/>
        <w:ind w:right="100"/>
      </w:pPr>
      <w:r>
        <w:t xml:space="preserve"> El control financiero así definido comprende las modalidades de control permanente y la auditoría pública, incluyéndose en ambas el control de eficacia referido en el artículo 213 del t</w:t>
      </w:r>
      <w:r>
        <w:t xml:space="preserve">exto refundido de la Ley de las Haciendas Locales. </w:t>
      </w:r>
    </w:p>
    <w:p w:rsidR="00EE0979" w:rsidRDefault="00B022A0">
      <w:pPr>
        <w:spacing w:after="98" w:line="259" w:lineRule="auto"/>
        <w:ind w:left="14" w:firstLine="0"/>
        <w:jc w:val="left"/>
      </w:pPr>
      <w:r>
        <w:t xml:space="preserve"> </w:t>
      </w:r>
    </w:p>
    <w:p w:rsidR="00EE0979" w:rsidRDefault="00B022A0">
      <w:pPr>
        <w:spacing w:after="112"/>
        <w:ind w:right="100"/>
      </w:pPr>
      <w:r>
        <w:t xml:space="preserve"> El control permanente se ejercerá sobre la Entidad Local y los organismos públicos en los que se realice la función interventora con objeto de comprobar, de forma continua, que el funcionamiento de la </w:t>
      </w:r>
      <w:r>
        <w:t>actividad económico-financiera del sector público local se ajusta al ordenamiento jurídico y a los principios generales de buena gestión financiera, con el fin último de mejorar la gestión en su aspecto económico, financiero, patrimonial, presupuestario, c</w:t>
      </w:r>
      <w:r>
        <w:t xml:space="preserve">ontable, organizativo y procedimental. A estos efectos, el órgano de control podrá aplicar técnicas de auditoría. </w:t>
      </w:r>
    </w:p>
    <w:p w:rsidR="00EE0979" w:rsidRDefault="00B022A0">
      <w:pPr>
        <w:spacing w:after="100" w:line="259" w:lineRule="auto"/>
        <w:ind w:left="14" w:firstLine="0"/>
        <w:jc w:val="left"/>
      </w:pPr>
      <w:r>
        <w:t xml:space="preserve"> </w:t>
      </w:r>
    </w:p>
    <w:p w:rsidR="00EE0979" w:rsidRDefault="00B022A0">
      <w:pPr>
        <w:spacing w:after="111"/>
        <w:ind w:right="100"/>
      </w:pPr>
      <w:r>
        <w:t xml:space="preserve"> </w:t>
      </w:r>
      <w:r>
        <w:tab/>
        <w:t>El ejercicio del control permanente comprende tanto las actuaciones de control que anualmente se incluyan en el correspondiente Plan Anua</w:t>
      </w:r>
      <w:r>
        <w:t xml:space="preserve">l de Control Financiero, como las actuaciones que sean atribuidas en el ordenamiento jurídico al órgano interventor. </w:t>
      </w:r>
    </w:p>
    <w:p w:rsidR="00EE0979" w:rsidRDefault="00B022A0">
      <w:pPr>
        <w:spacing w:after="98" w:line="259" w:lineRule="auto"/>
        <w:ind w:left="14" w:firstLine="0"/>
        <w:jc w:val="left"/>
      </w:pPr>
      <w:r>
        <w:t xml:space="preserve"> </w:t>
      </w:r>
    </w:p>
    <w:p w:rsidR="00EE0979" w:rsidRDefault="00B022A0">
      <w:pPr>
        <w:spacing w:after="111"/>
        <w:ind w:right="100"/>
      </w:pPr>
      <w:r>
        <w:t xml:space="preserve"> La auditoría pública consistirá en la verificación, realizada con posterioridad y efectuada de forma sistemática, de la actividad econó</w:t>
      </w:r>
      <w:r>
        <w:t>mico-financiera del sector público local, mediante la aplicación de los procedimientos de revisión selectivos contenidos en las normas de auditoría e instrucciones que dicte la Intervención General de la Administración del Estado. La auditoría pública engl</w:t>
      </w:r>
      <w:r>
        <w:t xml:space="preserve">oba, en particular, las siguientes modalidades: Auditoría de Cuentas, de Cumplimiento y Operativa. </w:t>
      </w:r>
    </w:p>
    <w:p w:rsidR="00EE0979" w:rsidRDefault="00B022A0">
      <w:pPr>
        <w:spacing w:after="98" w:line="259" w:lineRule="auto"/>
        <w:ind w:left="14" w:firstLine="0"/>
        <w:jc w:val="left"/>
      </w:pPr>
      <w:r>
        <w:t xml:space="preserve"> </w:t>
      </w:r>
    </w:p>
    <w:p w:rsidR="00EE0979" w:rsidRDefault="00B022A0">
      <w:pPr>
        <w:spacing w:after="114"/>
        <w:ind w:right="100"/>
      </w:pPr>
      <w:r>
        <w:t xml:space="preserve"> El artículo 31  </w:t>
      </w:r>
      <w:r>
        <w:t xml:space="preserve">del Real Decreto 424/2017, de 28 de abril, establece que el órgano interventor deberá elaborar un Plan Anual de Control Financiero que recogerá las actuaciones de control permanente y auditoría pública a realizar durante el ejercicio. </w:t>
      </w:r>
    </w:p>
    <w:p w:rsidR="00EE0979" w:rsidRDefault="00B022A0">
      <w:pPr>
        <w:spacing w:after="98" w:line="259" w:lineRule="auto"/>
        <w:ind w:left="14" w:firstLine="0"/>
        <w:jc w:val="left"/>
      </w:pPr>
      <w:r>
        <w:t xml:space="preserve"> </w:t>
      </w:r>
    </w:p>
    <w:p w:rsidR="00EE0979" w:rsidRDefault="00B022A0">
      <w:pPr>
        <w:spacing w:after="112"/>
        <w:ind w:right="100"/>
      </w:pPr>
      <w:r>
        <w:t xml:space="preserve"> El Plan Anual de </w:t>
      </w:r>
      <w:r>
        <w:t>Control Financiero podrá ser modificado como consecuencia de la ejecución de controles en virtud de solicitud o mandato legal, variaciones en la estructura de las entidades objeto de control, insuficiencia de medios o por otras razones debidamente ponderad</w:t>
      </w:r>
      <w:r>
        <w:t xml:space="preserve">as.  </w:t>
      </w:r>
    </w:p>
    <w:p w:rsidR="00EE0979" w:rsidRDefault="00B022A0">
      <w:pPr>
        <w:spacing w:after="100" w:line="259" w:lineRule="auto"/>
        <w:ind w:left="14" w:firstLine="0"/>
        <w:jc w:val="left"/>
      </w:pPr>
      <w:r>
        <w:t xml:space="preserve"> </w:t>
      </w:r>
    </w:p>
    <w:p w:rsidR="00EE0979" w:rsidRDefault="00B022A0">
      <w:pPr>
        <w:spacing w:after="111"/>
        <w:ind w:right="100"/>
      </w:pPr>
      <w:r>
        <w:t xml:space="preserve"> El resultado de las actuaciones de control permanente y de cada una de las auditorías se documentará en informes escritos, en los que se expondrán de forma clara, objetiva y ponderada los hechos comprobados, las conclusiones obtenidas y, en su cas</w:t>
      </w:r>
      <w:r>
        <w:t xml:space="preserve">o, las recomendaciones sobre las actuaciones objeto de control. Asimismo, se indicarán las deficiencias que deban ser subsanadas mediante una actuación correctora inmediata, debiendo verificarse su realización en las siguientes actuaciones de control. </w:t>
      </w:r>
    </w:p>
    <w:p w:rsidR="00EE0979" w:rsidRDefault="00B022A0">
      <w:pPr>
        <w:spacing w:after="98" w:line="259" w:lineRule="auto"/>
        <w:ind w:left="14" w:firstLine="0"/>
        <w:jc w:val="left"/>
      </w:pPr>
      <w:r>
        <w:t xml:space="preserve"> </w:t>
      </w:r>
    </w:p>
    <w:p w:rsidR="00EE0979" w:rsidRDefault="00B022A0">
      <w:pPr>
        <w:spacing w:after="114"/>
        <w:ind w:right="100"/>
      </w:pPr>
      <w:r>
        <w:t xml:space="preserve"> </w:t>
      </w:r>
      <w:r>
        <w:t xml:space="preserve">La estructura, contenido y tramitación de los mencionados informes se ajustará a lo establecido en las normas técnicas de control financiero y auditoría dictadas por la Intervención General de la Administración del Estado. </w:t>
      </w:r>
    </w:p>
    <w:p w:rsidR="00EE0979" w:rsidRDefault="00B022A0">
      <w:pPr>
        <w:spacing w:after="98" w:line="259" w:lineRule="auto"/>
        <w:ind w:left="14" w:firstLine="0"/>
        <w:jc w:val="left"/>
      </w:pPr>
      <w:r>
        <w:t xml:space="preserve"> </w:t>
      </w:r>
    </w:p>
    <w:p w:rsidR="00EE0979" w:rsidRDefault="00B022A0">
      <w:pPr>
        <w:spacing w:after="111"/>
        <w:ind w:right="100"/>
      </w:pPr>
      <w:r>
        <w:t xml:space="preserve"> Por tanto, mediante el Plan A</w:t>
      </w:r>
      <w:r>
        <w:t xml:space="preserve">nual de Control Financiero, se establece el marco para las actuaciones de control financiero sobre la gestión económico-financiera y presupuestaria del Ayuntamiento y de sus entes dependientes.  </w:t>
      </w:r>
    </w:p>
    <w:p w:rsidR="00EE0979" w:rsidRDefault="00B022A0">
      <w:pPr>
        <w:spacing w:after="98" w:line="259" w:lineRule="auto"/>
        <w:ind w:left="14" w:firstLine="0"/>
        <w:jc w:val="left"/>
      </w:pPr>
      <w:r>
        <w:t xml:space="preserve"> </w:t>
      </w:r>
    </w:p>
    <w:p w:rsidR="00EE0979" w:rsidRDefault="00B022A0">
      <w:pPr>
        <w:pStyle w:val="Ttulo1"/>
        <w:spacing w:after="95"/>
        <w:ind w:left="861" w:right="715" w:hanging="247"/>
      </w:pPr>
      <w:r>
        <w:t>CONTROL PERMANENTE</w:t>
      </w:r>
      <w:r>
        <w:rPr>
          <w:b w:val="0"/>
        </w:rPr>
        <w:t xml:space="preserve"> </w:t>
      </w:r>
    </w:p>
    <w:p w:rsidR="00EE0979" w:rsidRDefault="00B022A0">
      <w:pPr>
        <w:spacing w:after="100" w:line="259" w:lineRule="auto"/>
        <w:ind w:left="0" w:right="36" w:firstLine="0"/>
        <w:jc w:val="center"/>
      </w:pPr>
      <w:r>
        <w:t xml:space="preserve"> </w:t>
      </w:r>
    </w:p>
    <w:p w:rsidR="00EE0979" w:rsidRDefault="00B022A0">
      <w:pPr>
        <w:spacing w:after="114"/>
        <w:ind w:right="100"/>
      </w:pPr>
      <w:r>
        <w:t xml:space="preserve"> </w:t>
      </w:r>
      <w:r>
        <w:t xml:space="preserve">Tiene por objeto de comprobar, de forma continua, que el funcionamiento de la actividad económico-financiera del </w:t>
      </w:r>
      <w:r>
        <w:rPr>
          <w:u w:val="single" w:color="000000"/>
        </w:rPr>
        <w:t>Ayuntamiento de Candelaria</w:t>
      </w:r>
      <w:r>
        <w:t xml:space="preserve"> se ajusta al ordenamiento jurídico y a los principios generales de buena gestión financiera.  </w:t>
      </w:r>
    </w:p>
    <w:p w:rsidR="00EE0979" w:rsidRDefault="00B022A0">
      <w:pPr>
        <w:spacing w:after="98" w:line="259" w:lineRule="auto"/>
        <w:ind w:left="14" w:firstLine="0"/>
        <w:jc w:val="left"/>
      </w:pPr>
      <w:r>
        <w:t xml:space="preserve"> </w:t>
      </w:r>
    </w:p>
    <w:p w:rsidR="00EE0979" w:rsidRDefault="00B022A0">
      <w:pPr>
        <w:spacing w:after="111"/>
        <w:ind w:right="100"/>
      </w:pPr>
      <w:r>
        <w:t xml:space="preserve"> </w:t>
      </w:r>
      <w:r>
        <w:tab/>
        <w:t>Las actuaciones d</w:t>
      </w:r>
      <w:r>
        <w:t xml:space="preserve">e Control Permanente incluirán las que deriven de una obligación legal, pero también las seleccionadas sobre la base de un análisis de riesgos consistente con los objetivos que se pretendan conseguir, las prioridades establecidas para cada ejercicio y los </w:t>
      </w:r>
      <w:r>
        <w:t xml:space="preserve">medios disponibles. A tal efecto, se ha elaborado un Informe de Análisis de Riesgos, configurando una Mapa con detalle de los Riesgos, que han sido evaluados como Altos o Muy Altos, para su inclusión en el Plan. </w:t>
      </w:r>
    </w:p>
    <w:p w:rsidR="00EE0979" w:rsidRDefault="00B022A0">
      <w:pPr>
        <w:spacing w:after="100" w:line="259" w:lineRule="auto"/>
        <w:ind w:left="14" w:firstLine="0"/>
        <w:jc w:val="left"/>
      </w:pPr>
      <w:r>
        <w:t xml:space="preserve"> </w:t>
      </w:r>
    </w:p>
    <w:p w:rsidR="00EE0979" w:rsidRDefault="00B022A0">
      <w:pPr>
        <w:spacing w:after="96" w:line="259" w:lineRule="auto"/>
        <w:ind w:left="14" w:firstLine="0"/>
        <w:jc w:val="left"/>
      </w:pPr>
      <w:r>
        <w:t xml:space="preserve"> </w:t>
      </w:r>
    </w:p>
    <w:p w:rsidR="00EE0979" w:rsidRDefault="00B022A0">
      <w:pPr>
        <w:spacing w:after="113"/>
        <w:ind w:right="99" w:hanging="10"/>
      </w:pPr>
      <w:r>
        <w:rPr>
          <w:b/>
        </w:rPr>
        <w:t>2.1 ACTUACIONES DE CONTROL PERMANENTE D</w:t>
      </w:r>
      <w:r>
        <w:rPr>
          <w:b/>
        </w:rPr>
        <w:t>ERIVADOS OBLIGACIÓN LEGAL</w:t>
      </w:r>
      <w:r>
        <w:t xml:space="preserve"> </w:t>
      </w:r>
    </w:p>
    <w:p w:rsidR="00EE0979" w:rsidRDefault="00B022A0">
      <w:pPr>
        <w:spacing w:after="95" w:line="259" w:lineRule="auto"/>
        <w:ind w:left="14" w:firstLine="0"/>
        <w:jc w:val="left"/>
      </w:pPr>
      <w:r>
        <w:t xml:space="preserve"> </w:t>
      </w:r>
    </w:p>
    <w:p w:rsidR="00EE0979" w:rsidRDefault="00B022A0">
      <w:pPr>
        <w:spacing w:after="113" w:line="248" w:lineRule="auto"/>
        <w:ind w:left="9" w:right="95" w:hanging="10"/>
      </w:pPr>
      <w:r>
        <w:rPr>
          <w:b/>
        </w:rPr>
        <w:t xml:space="preserve">A)) </w:t>
      </w:r>
      <w:r>
        <w:rPr>
          <w:b/>
          <w:i/>
        </w:rPr>
        <w:t xml:space="preserve">Las actuaciones previstas en las normas presupuestarias y reguladoras de la gestión económica del sector público local atribuidas al órgano interventor </w:t>
      </w:r>
      <w:r>
        <w:t xml:space="preserve">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t xml:space="preserve">A.1. </w:t>
      </w:r>
      <w:r>
        <w:rPr>
          <w:u w:val="single" w:color="000000"/>
        </w:rPr>
        <w:t>Presupuesto y Ejecución Presupuestaria</w:t>
      </w:r>
      <w:r>
        <w:t xml:space="preserve">. </w:t>
      </w:r>
    </w:p>
    <w:p w:rsidR="00EE0979" w:rsidRDefault="00B022A0">
      <w:pPr>
        <w:spacing w:after="98" w:line="259" w:lineRule="auto"/>
        <w:ind w:left="14" w:firstLine="0"/>
        <w:jc w:val="left"/>
      </w:pPr>
      <w:r>
        <w:t xml:space="preserve"> </w:t>
      </w:r>
    </w:p>
    <w:p w:rsidR="00EE0979" w:rsidRDefault="00B022A0">
      <w:pPr>
        <w:spacing w:after="109"/>
        <w:ind w:right="100"/>
      </w:pPr>
      <w:r>
        <w:t xml:space="preserve">A.1.1. Informe sobre el Plan Presupuestario a Medio Plazo. </w:t>
      </w:r>
    </w:p>
    <w:p w:rsidR="00EE0979" w:rsidRDefault="00B022A0">
      <w:pPr>
        <w:spacing w:after="111"/>
        <w:ind w:right="100"/>
      </w:pPr>
      <w:r>
        <w:t xml:space="preserve">A.1.2. Informe sobre el Presupuesto General.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t xml:space="preserve">A.2. </w:t>
      </w:r>
      <w:r>
        <w:rPr>
          <w:u w:val="single" w:color="000000"/>
        </w:rPr>
        <w:t>Modificaciones de Crédito.</w:t>
      </w:r>
      <w:r>
        <w:t xml:space="preserve"> </w:t>
      </w:r>
    </w:p>
    <w:p w:rsidR="00EE0979" w:rsidRDefault="00B022A0">
      <w:pPr>
        <w:spacing w:after="109"/>
        <w:ind w:right="100"/>
      </w:pPr>
      <w:r>
        <w:t xml:space="preserve">A.2.1. Informe sobre Expedientes de Modificación de Créditos.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t xml:space="preserve">A.3. </w:t>
      </w:r>
      <w:r>
        <w:rPr>
          <w:u w:val="single" w:color="000000"/>
        </w:rPr>
        <w:t>Liquidación del Presupuesto.</w:t>
      </w:r>
      <w:r>
        <w:t xml:space="preserve"> </w:t>
      </w:r>
    </w:p>
    <w:p w:rsidR="00EE0979" w:rsidRDefault="00B022A0">
      <w:pPr>
        <w:spacing w:after="98" w:line="259" w:lineRule="auto"/>
        <w:ind w:left="14" w:firstLine="0"/>
        <w:jc w:val="left"/>
      </w:pPr>
      <w:r>
        <w:t xml:space="preserve"> </w:t>
      </w:r>
    </w:p>
    <w:p w:rsidR="00EE0979" w:rsidRDefault="00B022A0">
      <w:pPr>
        <w:spacing w:after="111"/>
        <w:ind w:right="100"/>
      </w:pPr>
      <w:r>
        <w:t>A.3.1. Inform</w:t>
      </w:r>
      <w:r>
        <w:t xml:space="preserve">e sobre Liquidación del Presupuesto General.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t>A.4.</w:t>
      </w:r>
      <w:r>
        <w:rPr>
          <w:u w:val="single" w:color="000000"/>
        </w:rPr>
        <w:t xml:space="preserve"> Control Interno</w:t>
      </w:r>
      <w:r>
        <w:t xml:space="preserve">. </w:t>
      </w:r>
    </w:p>
    <w:p w:rsidR="00EE0979" w:rsidRDefault="00B022A0">
      <w:pPr>
        <w:spacing w:after="100" w:line="259" w:lineRule="auto"/>
        <w:ind w:left="14" w:firstLine="0"/>
        <w:jc w:val="left"/>
      </w:pPr>
      <w:r>
        <w:t xml:space="preserve"> </w:t>
      </w:r>
    </w:p>
    <w:p w:rsidR="00EE0979" w:rsidRDefault="00B022A0">
      <w:pPr>
        <w:spacing w:after="114"/>
        <w:ind w:right="100"/>
      </w:pPr>
      <w:r>
        <w:t xml:space="preserve">A.4.1. Informe de resoluciones adoptadas por el Presidente contrarias a los reparos efectuados, así como un resumen de las principales anomalías en materia de ingresos. </w:t>
      </w:r>
    </w:p>
    <w:p w:rsidR="00EE0979" w:rsidRDefault="00B022A0">
      <w:pPr>
        <w:spacing w:after="98" w:line="259" w:lineRule="auto"/>
        <w:ind w:left="14" w:firstLine="0"/>
        <w:jc w:val="left"/>
      </w:pPr>
      <w:r>
        <w:t xml:space="preserve"> </w:t>
      </w:r>
    </w:p>
    <w:p w:rsidR="00EE0979" w:rsidRDefault="00B022A0">
      <w:pPr>
        <w:spacing w:after="109"/>
        <w:ind w:right="100"/>
      </w:pPr>
      <w:r>
        <w:t xml:space="preserve">A.4.2. Informe de resultados de Control de Cuentas a Justificar y Anticipos de Caja Fija. </w:t>
      </w:r>
    </w:p>
    <w:p w:rsidR="00EE0979" w:rsidRDefault="00B022A0">
      <w:pPr>
        <w:spacing w:after="100" w:line="259" w:lineRule="auto"/>
        <w:ind w:left="14" w:firstLine="0"/>
        <w:jc w:val="left"/>
      </w:pPr>
      <w:r>
        <w:t xml:space="preserve"> </w:t>
      </w:r>
    </w:p>
    <w:p w:rsidR="00EE0979" w:rsidRDefault="00B022A0">
      <w:pPr>
        <w:spacing w:after="110" w:line="249" w:lineRule="auto"/>
        <w:ind w:left="9" w:right="96" w:hanging="10"/>
      </w:pPr>
      <w:r>
        <w:t xml:space="preserve">A.5. </w:t>
      </w:r>
      <w:r>
        <w:rPr>
          <w:u w:val="single" w:color="000000"/>
        </w:rPr>
        <w:t>Operaciones Financieras</w:t>
      </w:r>
      <w:r>
        <w:t xml:space="preserve">. </w:t>
      </w:r>
    </w:p>
    <w:p w:rsidR="00EE0979" w:rsidRDefault="00B022A0">
      <w:pPr>
        <w:spacing w:after="111"/>
        <w:ind w:right="100"/>
      </w:pPr>
      <w:r>
        <w:t xml:space="preserve">A.5.1. Informe sobre Concertación o Modificación de Operaciones de Crédito. </w:t>
      </w:r>
    </w:p>
    <w:p w:rsidR="00EE0979" w:rsidRDefault="00B022A0">
      <w:pPr>
        <w:ind w:right="100"/>
      </w:pPr>
      <w:r>
        <w:t xml:space="preserve">A.5.2. Informe de Evaluación del cumplimiento de Estabilidad en Expedientes de Solicitud de Autorización de Endeudamiento. </w:t>
      </w:r>
    </w:p>
    <w:p w:rsidR="00EE0979" w:rsidRDefault="00B022A0">
      <w:pPr>
        <w:spacing w:after="111"/>
        <w:ind w:right="100"/>
      </w:pPr>
      <w:r>
        <w:t xml:space="preserve">A.5.3. Informe sobre Concertación de Operaciones de Crédito a Largo Plazo de Entes Dependientes. </w:t>
      </w:r>
    </w:p>
    <w:p w:rsidR="00EE0979" w:rsidRDefault="00B022A0">
      <w:pPr>
        <w:spacing w:after="114"/>
        <w:ind w:right="100"/>
      </w:pPr>
      <w:r>
        <w:t xml:space="preserve">A.5.4. Comunicación al Ministerio </w:t>
      </w:r>
      <w:r>
        <w:t xml:space="preserve">de Hacienda de la Variación Neta de Activos Financieros al Cierre del Ejercicio anterior. </w:t>
      </w:r>
    </w:p>
    <w:p w:rsidR="00EE0979" w:rsidRDefault="00B022A0">
      <w:pPr>
        <w:spacing w:after="95" w:line="259" w:lineRule="auto"/>
        <w:ind w:left="14" w:firstLine="0"/>
        <w:jc w:val="left"/>
      </w:pPr>
      <w:r>
        <w:t xml:space="preserve"> </w:t>
      </w:r>
    </w:p>
    <w:p w:rsidR="00EE0979" w:rsidRDefault="00B022A0">
      <w:pPr>
        <w:numPr>
          <w:ilvl w:val="0"/>
          <w:numId w:val="24"/>
        </w:numPr>
        <w:spacing w:after="113" w:line="248" w:lineRule="auto"/>
        <w:ind w:right="95" w:hanging="358"/>
      </w:pPr>
      <w:r>
        <w:rPr>
          <w:b/>
          <w:i/>
        </w:rPr>
        <w:t>verificar que los correspondientes registros contables de facturas cumplen con las condiciones de funcionamiento previstas en esta Ley 25/2013 de impulso de la fac</w:t>
      </w:r>
      <w:r>
        <w:rPr>
          <w:b/>
          <w:i/>
        </w:rPr>
        <w:t>tura electrónica y creación del registro contable de facturas y su normativa de desarrollo.</w:t>
      </w:r>
      <w:r>
        <w:t xml:space="preserve"> </w:t>
      </w:r>
    </w:p>
    <w:p w:rsidR="00EE0979" w:rsidRDefault="00B022A0">
      <w:pPr>
        <w:spacing w:after="98"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que no quedan retenidas facturas presentadas en el Punto general de entrada de</w:t>
      </w:r>
      <w:r>
        <w:t xml:space="preserve"> </w:t>
      </w:r>
      <w:r>
        <w:rPr>
          <w:u w:val="single" w:color="000000"/>
        </w:rPr>
        <w:t>facturas electrónicas que fueran dirigidas a órganos o entidades de la res</w:t>
      </w:r>
      <w:r>
        <w:rPr>
          <w:u w:val="single" w:color="000000"/>
        </w:rPr>
        <w:t>pectiva Administración en</w:t>
      </w:r>
      <w:r>
        <w:t xml:space="preserve"> </w:t>
      </w:r>
      <w:r>
        <w:rPr>
          <w:u w:val="single" w:color="000000"/>
        </w:rPr>
        <w:t>ninguna de las fases del proceso</w:t>
      </w:r>
      <w:r>
        <w:t xml:space="preserve">.  </w:t>
      </w:r>
    </w:p>
    <w:p w:rsidR="00EE0979" w:rsidRDefault="00B022A0">
      <w:pPr>
        <w:spacing w:after="100"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de un análisis de los tiempos medios de inscripción de facturas en el registro contable</w:t>
      </w:r>
      <w:r>
        <w:t xml:space="preserve"> </w:t>
      </w:r>
      <w:r>
        <w:rPr>
          <w:u w:val="single" w:color="000000"/>
        </w:rPr>
        <w:t>de facturas y del número y causas de facturas rechazadas en la fase de anotación en el registro</w:t>
      </w:r>
      <w:r>
        <w:t xml:space="preserve"> </w:t>
      </w:r>
      <w:r>
        <w:rPr>
          <w:u w:val="single" w:color="000000"/>
        </w:rPr>
        <w:t>contable.</w:t>
      </w:r>
      <w:r>
        <w:t xml:space="preserve"> </w:t>
      </w:r>
    </w:p>
    <w:p w:rsidR="00EE0979" w:rsidRDefault="00B022A0">
      <w:pPr>
        <w:spacing w:after="98"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del Registro contable de facturas, comprobación de los gastos no imputados al</w:t>
      </w:r>
      <w:r>
        <w:t xml:space="preserve"> </w:t>
      </w:r>
      <w:r>
        <w:rPr>
          <w:u w:val="single" w:color="000000"/>
        </w:rPr>
        <w:t>presupuesto y cumplimiento de la normativa de morosidad y Periodo Medio de Pago.</w:t>
      </w:r>
      <w:r>
        <w:t xml:space="preserve"> </w:t>
      </w:r>
    </w:p>
    <w:p w:rsidR="00EE0979" w:rsidRDefault="00B022A0">
      <w:pPr>
        <w:spacing w:after="100" w:line="259" w:lineRule="auto"/>
        <w:ind w:left="14" w:firstLine="0"/>
        <w:jc w:val="left"/>
      </w:pPr>
      <w:r>
        <w:rPr>
          <w:b/>
        </w:rPr>
        <w:t xml:space="preserve"> </w:t>
      </w:r>
    </w:p>
    <w:p w:rsidR="00EE0979" w:rsidRDefault="00B022A0">
      <w:pPr>
        <w:spacing w:after="98" w:line="259" w:lineRule="auto"/>
        <w:ind w:left="14" w:firstLine="0"/>
        <w:jc w:val="left"/>
      </w:pPr>
      <w:r>
        <w:t xml:space="preserve"> </w:t>
      </w:r>
    </w:p>
    <w:p w:rsidR="00EE0979" w:rsidRDefault="00B022A0">
      <w:pPr>
        <w:numPr>
          <w:ilvl w:val="0"/>
          <w:numId w:val="24"/>
        </w:numPr>
        <w:spacing w:after="113" w:line="248" w:lineRule="auto"/>
        <w:ind w:right="95" w:hanging="358"/>
      </w:pPr>
      <w:r>
        <w:rPr>
          <w:b/>
          <w:i/>
        </w:rPr>
        <w:t>Seguimiento de la ejecución presupuestaria y verificación del cumplimie</w:t>
      </w:r>
      <w:r>
        <w:rPr>
          <w:b/>
          <w:i/>
        </w:rPr>
        <w:t xml:space="preserve">nto de los objetivos asignados </w:t>
      </w:r>
      <w:r>
        <w:t xml:space="preserve"> </w:t>
      </w:r>
    </w:p>
    <w:p w:rsidR="00EE0979" w:rsidRDefault="00B022A0">
      <w:pPr>
        <w:spacing w:after="98"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Trimestral de Ejecución del Presupuesto.</w:t>
      </w:r>
      <w:r>
        <w:t xml:space="preserve"> </w:t>
      </w:r>
    </w:p>
    <w:p w:rsidR="00EE0979" w:rsidRDefault="00B022A0">
      <w:pPr>
        <w:spacing w:after="101"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Trimestral de Actualización del Objetivo de Estabilidad y Deuda.</w:t>
      </w:r>
      <w:r>
        <w:t xml:space="preserve"> </w:t>
      </w:r>
    </w:p>
    <w:p w:rsidR="00EE0979" w:rsidRDefault="00B022A0">
      <w:pPr>
        <w:spacing w:after="100" w:line="259" w:lineRule="auto"/>
        <w:ind w:left="14" w:firstLine="0"/>
        <w:jc w:val="left"/>
      </w:pPr>
      <w:r>
        <w:t xml:space="preserve"> </w:t>
      </w:r>
    </w:p>
    <w:p w:rsidR="00EE0979" w:rsidRDefault="00B022A0">
      <w:pPr>
        <w:numPr>
          <w:ilvl w:val="1"/>
          <w:numId w:val="24"/>
        </w:numPr>
        <w:spacing w:after="110" w:line="249" w:lineRule="auto"/>
        <w:ind w:right="96" w:hanging="465"/>
      </w:pPr>
      <w:r>
        <w:rPr>
          <w:u w:val="single" w:color="000000"/>
        </w:rPr>
        <w:t>Informe Trimestral de Verificación Indicadores Presupuestarios.</w:t>
      </w:r>
      <w: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numPr>
          <w:ilvl w:val="0"/>
          <w:numId w:val="24"/>
        </w:numPr>
        <w:spacing w:after="111"/>
        <w:ind w:right="95" w:hanging="358"/>
      </w:pPr>
      <w:r>
        <w:rPr>
          <w:b/>
        </w:rPr>
        <w:t>Control de las Subvenciones y Ayudas Públicas</w:t>
      </w:r>
      <w:r>
        <w:t xml:space="preserve"> </w:t>
      </w:r>
    </w:p>
    <w:p w:rsidR="00EE0979" w:rsidRDefault="00B022A0">
      <w:pPr>
        <w:spacing w:after="100" w:line="259" w:lineRule="auto"/>
        <w:ind w:left="14" w:firstLine="0"/>
        <w:jc w:val="left"/>
      </w:pPr>
      <w:r>
        <w:t xml:space="preserve"> </w:t>
      </w:r>
    </w:p>
    <w:p w:rsidR="00EE0979" w:rsidRDefault="00B022A0">
      <w:pPr>
        <w:numPr>
          <w:ilvl w:val="1"/>
          <w:numId w:val="24"/>
        </w:numPr>
        <w:spacing w:after="108" w:line="249" w:lineRule="auto"/>
        <w:ind w:right="96" w:hanging="465"/>
      </w:pPr>
      <w:r>
        <w:rPr>
          <w:color w:val="333333"/>
          <w:u w:val="single" w:color="333333"/>
        </w:rPr>
        <w:t>Informe de la adecuada y correcta obtención de la subvención por parte del beneficiario.</w:t>
      </w:r>
      <w:r>
        <w:rPr>
          <w:color w:val="333333"/>
        </w:rPr>
        <w:t xml:space="preserve"> </w:t>
      </w:r>
    </w:p>
    <w:p w:rsidR="00EE0979" w:rsidRDefault="00B022A0">
      <w:pPr>
        <w:spacing w:after="100" w:line="259" w:lineRule="auto"/>
        <w:ind w:left="14" w:firstLine="0"/>
        <w:jc w:val="left"/>
      </w:pPr>
      <w:r>
        <w:rPr>
          <w:color w:val="333333"/>
        </w:rPr>
        <w:t xml:space="preserve"> </w:t>
      </w:r>
    </w:p>
    <w:p w:rsidR="00EE0979" w:rsidRDefault="00B022A0">
      <w:pPr>
        <w:numPr>
          <w:ilvl w:val="1"/>
          <w:numId w:val="24"/>
        </w:numPr>
        <w:spacing w:after="274" w:line="249" w:lineRule="auto"/>
        <w:ind w:right="96" w:hanging="465"/>
      </w:pPr>
      <w:r>
        <w:rPr>
          <w:color w:val="333333"/>
          <w:u w:val="single" w:color="333333"/>
        </w:rPr>
        <w:t>Informe del cumplimiento por parte de beneficiarios y entidades colaboradoras de sus</w:t>
      </w:r>
      <w:r>
        <w:rPr>
          <w:color w:val="333333"/>
        </w:rPr>
        <w:t xml:space="preserve"> </w:t>
      </w:r>
      <w:r>
        <w:rPr>
          <w:color w:val="333333"/>
          <w:u w:val="single" w:color="333333"/>
        </w:rPr>
        <w:t>obligaciones en la gestión y aplicación de la subvención.</w:t>
      </w:r>
      <w:r>
        <w:rPr>
          <w:color w:val="333333"/>
        </w:rPr>
        <w:t xml:space="preserve"> </w:t>
      </w:r>
    </w:p>
    <w:p w:rsidR="00EE0979" w:rsidRDefault="00B022A0">
      <w:pPr>
        <w:numPr>
          <w:ilvl w:val="1"/>
          <w:numId w:val="24"/>
        </w:numPr>
        <w:spacing w:after="274" w:line="249" w:lineRule="auto"/>
        <w:ind w:right="96" w:hanging="465"/>
      </w:pPr>
      <w:r>
        <w:rPr>
          <w:color w:val="333333"/>
          <w:u w:val="single" w:color="333333"/>
        </w:rPr>
        <w:t>Informe de la adecuada y correcta justificación de la subvención por parte de beneficiarios y</w:t>
      </w:r>
      <w:r>
        <w:rPr>
          <w:color w:val="333333"/>
        </w:rPr>
        <w:t xml:space="preserve"> </w:t>
      </w:r>
      <w:r>
        <w:rPr>
          <w:color w:val="333333"/>
          <w:u w:val="single" w:color="333333"/>
        </w:rPr>
        <w:t>entidades colaboradoras.</w:t>
      </w:r>
      <w:r>
        <w:rPr>
          <w:color w:val="333333"/>
        </w:rPr>
        <w:t xml:space="preserve"> </w:t>
      </w:r>
    </w:p>
    <w:p w:rsidR="00EE0979" w:rsidRDefault="00B022A0">
      <w:pPr>
        <w:numPr>
          <w:ilvl w:val="1"/>
          <w:numId w:val="24"/>
        </w:numPr>
        <w:spacing w:after="274" w:line="249" w:lineRule="auto"/>
        <w:ind w:right="96" w:hanging="465"/>
      </w:pPr>
      <w:r>
        <w:rPr>
          <w:color w:val="333333"/>
          <w:u w:val="single" w:color="333333"/>
        </w:rPr>
        <w:t>Informe de la realidad y la regularidad de las operaciones que, de acuerdo co</w:t>
      </w:r>
      <w:r>
        <w:rPr>
          <w:color w:val="333333"/>
          <w:u w:val="single" w:color="333333"/>
        </w:rPr>
        <w:t>n la justificación</w:t>
      </w:r>
      <w:r>
        <w:rPr>
          <w:color w:val="333333"/>
        </w:rPr>
        <w:t xml:space="preserve"> </w:t>
      </w:r>
      <w:r>
        <w:rPr>
          <w:color w:val="333333"/>
          <w:u w:val="single" w:color="333333"/>
        </w:rPr>
        <w:t>presentada por beneficiarios y entidades colaboradoras, han sido financiadas con la subvención.</w:t>
      </w:r>
      <w:r>
        <w:rPr>
          <w:color w:val="333333"/>
        </w:rPr>
        <w:t xml:space="preserve"> </w:t>
      </w:r>
    </w:p>
    <w:p w:rsidR="00EE0979" w:rsidRDefault="00B022A0">
      <w:pPr>
        <w:spacing w:after="274" w:line="249" w:lineRule="auto"/>
        <w:ind w:left="9" w:right="95" w:hanging="10"/>
      </w:pPr>
      <w:r>
        <w:rPr>
          <w:color w:val="333333"/>
          <w:u w:val="single" w:color="333333"/>
        </w:rPr>
        <w:t>D5. Informe de la adecuada y correcta financiación de las actividades subvencionadas, en los</w:t>
      </w:r>
      <w:r>
        <w:rPr>
          <w:color w:val="333333"/>
        </w:rPr>
        <w:t xml:space="preserve"> </w:t>
      </w:r>
      <w:r>
        <w:rPr>
          <w:color w:val="333333"/>
          <w:u w:val="single" w:color="333333"/>
        </w:rPr>
        <w:t>términos establecidos en el apartado 3 del artículo 19 de este ley.</w:t>
      </w:r>
      <w:r>
        <w:rPr>
          <w:color w:val="333333"/>
        </w:rPr>
        <w:t xml:space="preserve"> </w:t>
      </w:r>
    </w:p>
    <w:p w:rsidR="00EE0979" w:rsidRDefault="00B022A0">
      <w:pPr>
        <w:spacing w:after="274" w:line="249" w:lineRule="auto"/>
        <w:ind w:left="9" w:right="95" w:hanging="10"/>
      </w:pPr>
      <w:r>
        <w:rPr>
          <w:color w:val="333333"/>
          <w:u w:val="single" w:color="333333"/>
        </w:rPr>
        <w:t>D.6.  Informe de la existencia de hechos, circunstancias o situaciones no declaradas a la</w:t>
      </w:r>
      <w:r>
        <w:rPr>
          <w:color w:val="333333"/>
        </w:rPr>
        <w:t xml:space="preserve"> </w:t>
      </w:r>
      <w:r>
        <w:rPr>
          <w:color w:val="333333"/>
          <w:u w:val="single" w:color="333333"/>
        </w:rPr>
        <w:t>Administración por beneficiarios y entidades colaboradoras y que pudieran afectar a la financiaci</w:t>
      </w:r>
      <w:r>
        <w:rPr>
          <w:color w:val="333333"/>
          <w:u w:val="single" w:color="333333"/>
        </w:rPr>
        <w:t>ón</w:t>
      </w:r>
      <w:r>
        <w:rPr>
          <w:color w:val="333333"/>
        </w:rPr>
        <w:t xml:space="preserve"> </w:t>
      </w:r>
      <w:r>
        <w:rPr>
          <w:color w:val="333333"/>
          <w:u w:val="single" w:color="333333"/>
        </w:rPr>
        <w:t>de las actividades subvencionadas, a la adecuada y correcta obtención, utilización, disfrute o</w:t>
      </w:r>
      <w:r>
        <w:rPr>
          <w:color w:val="333333"/>
        </w:rPr>
        <w:t xml:space="preserve"> </w:t>
      </w:r>
      <w:r>
        <w:rPr>
          <w:color w:val="333333"/>
          <w:u w:val="single" w:color="333333"/>
        </w:rPr>
        <w:t>justificación de la subvención, así como a la realidad y regularidad de las operaciones con ella</w:t>
      </w:r>
      <w:r>
        <w:rPr>
          <w:color w:val="333333"/>
        </w:rPr>
        <w:t xml:space="preserve"> </w:t>
      </w:r>
      <w:r>
        <w:rPr>
          <w:color w:val="333333"/>
          <w:u w:val="single" w:color="333333"/>
        </w:rPr>
        <w:t>financiadas.</w:t>
      </w:r>
      <w:r>
        <w:t xml:space="preserve"> </w:t>
      </w:r>
    </w:p>
    <w:p w:rsidR="00EE0979" w:rsidRDefault="00B022A0">
      <w:pPr>
        <w:spacing w:after="105" w:line="259" w:lineRule="auto"/>
        <w:ind w:left="14" w:firstLine="0"/>
        <w:jc w:val="left"/>
      </w:pPr>
      <w:r>
        <w:t xml:space="preserve"> </w:t>
      </w:r>
      <w:r>
        <w:tab/>
        <w:t xml:space="preserve"> </w:t>
      </w:r>
    </w:p>
    <w:p w:rsidR="00EE0979" w:rsidRDefault="00B022A0">
      <w:pPr>
        <w:spacing w:after="116"/>
        <w:ind w:right="100"/>
      </w:pPr>
      <w:r>
        <w:t xml:space="preserve"> Las verificaciones necesarias para el desa</w:t>
      </w:r>
      <w:r>
        <w:t xml:space="preserve">rrollo de los trabajos de control permanente se realizarán de forma sistemática y mediante la aplicación de procedimientos de análisis de las operaciones o actuaciones seleccionadas al efecto, que permitan obtener una </w:t>
      </w:r>
      <w:r>
        <w:rPr>
          <w:b/>
        </w:rPr>
        <w:t>evidencia suficiente, pertinente y vál</w:t>
      </w:r>
      <w:r>
        <w:rPr>
          <w:b/>
        </w:rPr>
        <w:t>ida</w:t>
      </w:r>
      <w:r>
        <w:t xml:space="preserve">.  </w:t>
      </w:r>
    </w:p>
    <w:p w:rsidR="00EE0979" w:rsidRDefault="00B022A0">
      <w:pPr>
        <w:spacing w:after="98" w:line="259" w:lineRule="auto"/>
        <w:ind w:left="14" w:firstLine="0"/>
        <w:jc w:val="left"/>
      </w:pPr>
      <w:r>
        <w:t xml:space="preserve"> </w:t>
      </w:r>
    </w:p>
    <w:p w:rsidR="00EE0979" w:rsidRDefault="00B022A0">
      <w:pPr>
        <w:tabs>
          <w:tab w:val="center" w:pos="3603"/>
        </w:tabs>
        <w:spacing w:after="118"/>
        <w:ind w:left="0" w:firstLine="0"/>
        <w:jc w:val="left"/>
      </w:pPr>
      <w:r>
        <w:t xml:space="preserve"> </w:t>
      </w:r>
      <w:r>
        <w:tab/>
        <w:t xml:space="preserve">Las actuaciones a realizar podrán consistir, entre otras, en:  </w:t>
      </w:r>
    </w:p>
    <w:p w:rsidR="00EE0979" w:rsidRDefault="00B022A0">
      <w:pPr>
        <w:spacing w:after="98" w:line="259" w:lineRule="auto"/>
        <w:ind w:left="14" w:firstLine="0"/>
        <w:jc w:val="left"/>
      </w:pPr>
      <w:r>
        <w:t xml:space="preserve"> </w:t>
      </w:r>
    </w:p>
    <w:p w:rsidR="00EE0979" w:rsidRDefault="00B022A0">
      <w:pPr>
        <w:numPr>
          <w:ilvl w:val="0"/>
          <w:numId w:val="25"/>
        </w:numPr>
        <w:spacing w:after="114"/>
        <w:ind w:right="100" w:hanging="259"/>
      </w:pPr>
      <w:r>
        <w:t xml:space="preserve">El examen de registros contables, cuentas, estados financieros o estados de seguimiento elaborados por el órgano gestor.  </w:t>
      </w:r>
    </w:p>
    <w:p w:rsidR="00EE0979" w:rsidRDefault="00B022A0">
      <w:pPr>
        <w:numPr>
          <w:ilvl w:val="0"/>
          <w:numId w:val="25"/>
        </w:numPr>
        <w:spacing w:after="109"/>
        <w:ind w:right="100" w:hanging="259"/>
      </w:pPr>
      <w:r>
        <w:t xml:space="preserve">El examen de operaciones individualizadas y concretas. </w:t>
      </w:r>
    </w:p>
    <w:p w:rsidR="00EE0979" w:rsidRDefault="00B022A0">
      <w:pPr>
        <w:numPr>
          <w:ilvl w:val="0"/>
          <w:numId w:val="25"/>
        </w:numPr>
        <w:spacing w:after="112"/>
        <w:ind w:right="100" w:hanging="259"/>
      </w:pPr>
      <w:r>
        <w:t xml:space="preserve">La comprobación de aspectos parciales y concretos de un conjunto de actos. </w:t>
      </w:r>
    </w:p>
    <w:p w:rsidR="00EE0979" w:rsidRDefault="00B022A0">
      <w:pPr>
        <w:numPr>
          <w:ilvl w:val="0"/>
          <w:numId w:val="25"/>
        </w:numPr>
        <w:spacing w:after="112"/>
        <w:ind w:right="100" w:hanging="259"/>
      </w:pPr>
      <w:r>
        <w:t xml:space="preserve">La verificación material de la efectiva y conforme realización de obras, servicios, suministros y gastos. </w:t>
      </w:r>
    </w:p>
    <w:p w:rsidR="00EE0979" w:rsidRDefault="00B022A0">
      <w:pPr>
        <w:numPr>
          <w:ilvl w:val="0"/>
          <w:numId w:val="25"/>
        </w:numPr>
        <w:spacing w:after="111"/>
        <w:ind w:right="100" w:hanging="259"/>
      </w:pPr>
      <w:r>
        <w:t xml:space="preserve">El análisis de los sistemas y procedimientos de gestión. </w:t>
      </w:r>
    </w:p>
    <w:p w:rsidR="00EE0979" w:rsidRDefault="00B022A0">
      <w:pPr>
        <w:numPr>
          <w:ilvl w:val="0"/>
          <w:numId w:val="25"/>
        </w:numPr>
        <w:spacing w:after="109"/>
        <w:ind w:right="100" w:hanging="259"/>
      </w:pPr>
      <w:r>
        <w:t xml:space="preserve">La revisión de </w:t>
      </w:r>
      <w:r>
        <w:t xml:space="preserve">los sistemas informáticos de gestión que sean precisos. </w:t>
      </w:r>
    </w:p>
    <w:p w:rsidR="00EE0979" w:rsidRDefault="00B022A0">
      <w:pPr>
        <w:numPr>
          <w:ilvl w:val="0"/>
          <w:numId w:val="25"/>
        </w:numPr>
        <w:spacing w:after="111"/>
        <w:ind w:right="100" w:hanging="259"/>
      </w:pPr>
      <w:r>
        <w:t xml:space="preserve">Otras comprobaciones en atención a las características especiales de las actividades económico-financieras realizadas por el órgano gestor y a los objetivos que se persigan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1"/>
        <w:ind w:right="99" w:hanging="10"/>
      </w:pPr>
      <w:r>
        <w:rPr>
          <w:b/>
        </w:rPr>
        <w:t>2.2 ACTUACIONES DE CONTROL PERMANENTE DERIVADOS DE UN ANÁLISIS DE RIESGOS</w:t>
      </w:r>
      <w:r>
        <w:t xml:space="preserve"> </w:t>
      </w:r>
    </w:p>
    <w:p w:rsidR="00EE0979" w:rsidRDefault="00B022A0">
      <w:pPr>
        <w:spacing w:after="98" w:line="259" w:lineRule="auto"/>
        <w:ind w:left="14" w:firstLine="0"/>
        <w:jc w:val="left"/>
      </w:pPr>
      <w:r>
        <w:t xml:space="preserve"> </w:t>
      </w:r>
    </w:p>
    <w:p w:rsidR="00EE0979" w:rsidRDefault="00B022A0">
      <w:pPr>
        <w:spacing w:after="0" w:line="259" w:lineRule="auto"/>
        <w:ind w:left="14" w:firstLine="0"/>
        <w:jc w:val="left"/>
      </w:pPr>
      <w:r>
        <w:t xml:space="preserve"> </w:t>
      </w:r>
    </w:p>
    <w:tbl>
      <w:tblPr>
        <w:tblStyle w:val="TableGrid"/>
        <w:tblW w:w="8582" w:type="dxa"/>
        <w:tblInd w:w="14" w:type="dxa"/>
        <w:tblCellMar>
          <w:top w:w="7" w:type="dxa"/>
          <w:left w:w="70" w:type="dxa"/>
          <w:bottom w:w="0" w:type="dxa"/>
          <w:right w:w="13" w:type="dxa"/>
        </w:tblCellMar>
        <w:tblLook w:val="04A0" w:firstRow="1" w:lastRow="0" w:firstColumn="1" w:lastColumn="0" w:noHBand="0" w:noVBand="1"/>
      </w:tblPr>
      <w:tblGrid>
        <w:gridCol w:w="4035"/>
        <w:gridCol w:w="4547"/>
      </w:tblGrid>
      <w:tr w:rsidR="00EE0979">
        <w:trPr>
          <w:trHeight w:val="637"/>
        </w:trPr>
        <w:tc>
          <w:tcPr>
            <w:tcW w:w="4035" w:type="dxa"/>
            <w:tcBorders>
              <w:top w:val="single" w:sz="4" w:space="0" w:color="C0C0C0"/>
              <w:left w:val="single" w:sz="4" w:space="0" w:color="C0C0C0"/>
              <w:bottom w:val="single" w:sz="4" w:space="0" w:color="C0C0C0"/>
              <w:right w:val="single" w:sz="4" w:space="0" w:color="C0C0C0"/>
            </w:tcBorders>
          </w:tcPr>
          <w:p w:rsidR="00EE0979" w:rsidRDefault="00B022A0">
            <w:pPr>
              <w:spacing w:after="0" w:line="259" w:lineRule="auto"/>
              <w:ind w:left="2" w:firstLine="0"/>
            </w:pPr>
            <w:r>
              <w:rPr>
                <w:b/>
                <w:color w:val="FF6600"/>
              </w:rPr>
              <w:t xml:space="preserve">RIESGO CALIFICADO COMO ALTO O </w:t>
            </w:r>
          </w:p>
          <w:p w:rsidR="00EE0979" w:rsidRDefault="00B022A0">
            <w:pPr>
              <w:spacing w:after="0" w:line="259" w:lineRule="auto"/>
              <w:ind w:left="0" w:right="64" w:firstLine="0"/>
              <w:jc w:val="center"/>
            </w:pPr>
            <w:r>
              <w:rPr>
                <w:b/>
                <w:color w:val="FF6600"/>
              </w:rPr>
              <w:t xml:space="preserve">MUY ALTO </w:t>
            </w:r>
          </w:p>
        </w:tc>
        <w:tc>
          <w:tcPr>
            <w:tcW w:w="4547" w:type="dxa"/>
            <w:tcBorders>
              <w:top w:val="single" w:sz="4" w:space="0" w:color="C0C0C0"/>
              <w:left w:val="single" w:sz="4" w:space="0" w:color="C0C0C0"/>
              <w:bottom w:val="single" w:sz="4" w:space="0" w:color="C0C0C0"/>
              <w:right w:val="nil"/>
            </w:tcBorders>
          </w:tcPr>
          <w:p w:rsidR="00EE0979" w:rsidRDefault="00B022A0">
            <w:pPr>
              <w:spacing w:after="0" w:line="259" w:lineRule="auto"/>
              <w:ind w:left="163" w:firstLine="0"/>
              <w:jc w:val="left"/>
            </w:pPr>
            <w:r>
              <w:rPr>
                <w:b/>
                <w:color w:val="FF6600"/>
              </w:rPr>
              <w:t xml:space="preserve">ACTUACIONES PARA CONTROLAR EL </w:t>
            </w:r>
          </w:p>
          <w:p w:rsidR="00EE0979" w:rsidRDefault="00B022A0">
            <w:pPr>
              <w:spacing w:after="0" w:line="259" w:lineRule="auto"/>
              <w:ind w:left="0" w:right="59" w:firstLine="0"/>
              <w:jc w:val="center"/>
            </w:pPr>
            <w:r>
              <w:rPr>
                <w:b/>
                <w:color w:val="FF6600"/>
              </w:rPr>
              <w:t>RIESGO</w:t>
            </w:r>
            <w:r>
              <w:t xml:space="preserve"> </w:t>
            </w:r>
          </w:p>
        </w:tc>
      </w:tr>
      <w:tr w:rsidR="00EE0979">
        <w:trPr>
          <w:trHeight w:val="2126"/>
        </w:trPr>
        <w:tc>
          <w:tcPr>
            <w:tcW w:w="4035" w:type="dxa"/>
            <w:tcBorders>
              <w:top w:val="single" w:sz="4" w:space="0" w:color="C0C0C0"/>
              <w:left w:val="single" w:sz="4" w:space="0" w:color="C0C0C0"/>
              <w:bottom w:val="single" w:sz="4" w:space="0" w:color="C0C0C0"/>
              <w:right w:val="single" w:sz="4" w:space="0" w:color="C0C0C0"/>
            </w:tcBorders>
          </w:tcPr>
          <w:p w:rsidR="00EE0979" w:rsidRDefault="00B022A0">
            <w:pPr>
              <w:spacing w:after="98" w:line="259" w:lineRule="auto"/>
              <w:ind w:left="0" w:firstLine="0"/>
              <w:jc w:val="left"/>
            </w:pPr>
            <w:r>
              <w:t xml:space="preserve"> </w:t>
            </w:r>
          </w:p>
          <w:p w:rsidR="00EE0979" w:rsidRDefault="00B022A0">
            <w:pPr>
              <w:spacing w:after="100" w:line="259" w:lineRule="auto"/>
              <w:ind w:left="0" w:firstLine="0"/>
              <w:jc w:val="left"/>
            </w:pPr>
            <w:r>
              <w:t xml:space="preserve"> </w:t>
            </w:r>
          </w:p>
          <w:p w:rsidR="00EE0979" w:rsidRDefault="00B022A0">
            <w:pPr>
              <w:spacing w:after="122" w:line="238" w:lineRule="auto"/>
              <w:ind w:left="0" w:firstLine="0"/>
              <w:jc w:val="left"/>
            </w:pPr>
            <w:r>
              <w:t xml:space="preserve">CONTRATOS MENORES AYUNTAMIENTO </w:t>
            </w:r>
          </w:p>
          <w:p w:rsidR="00EE0979" w:rsidRDefault="00B022A0">
            <w:pPr>
              <w:spacing w:after="98" w:line="259" w:lineRule="auto"/>
              <w:ind w:left="0" w:firstLine="0"/>
              <w:jc w:val="left"/>
            </w:pPr>
            <w:r>
              <w:t xml:space="preserve"> </w:t>
            </w:r>
          </w:p>
          <w:p w:rsidR="00EE0979" w:rsidRDefault="00B022A0">
            <w:pPr>
              <w:spacing w:after="0" w:line="259" w:lineRule="auto"/>
              <w:ind w:left="0" w:firstLine="0"/>
              <w:jc w:val="left"/>
            </w:pPr>
            <w:r>
              <w:t xml:space="preserve"> </w:t>
            </w:r>
          </w:p>
        </w:tc>
        <w:tc>
          <w:tcPr>
            <w:tcW w:w="4547" w:type="dxa"/>
            <w:tcBorders>
              <w:top w:val="single" w:sz="4" w:space="0" w:color="C0C0C0"/>
              <w:left w:val="single" w:sz="4" w:space="0" w:color="C0C0C0"/>
              <w:bottom w:val="single" w:sz="4" w:space="0" w:color="C0C0C0"/>
              <w:right w:val="nil"/>
            </w:tcBorders>
          </w:tcPr>
          <w:p w:rsidR="00EE0979" w:rsidRDefault="00B022A0">
            <w:pPr>
              <w:spacing w:after="0" w:line="259" w:lineRule="auto"/>
              <w:ind w:left="0" w:firstLine="0"/>
              <w:jc w:val="left"/>
            </w:pPr>
            <w:r>
              <w:t xml:space="preserve">GENERALIZAR LA ELABORACIÓN DE </w:t>
            </w:r>
          </w:p>
          <w:p w:rsidR="00EE0979" w:rsidRDefault="00B022A0">
            <w:pPr>
              <w:spacing w:after="0" w:line="259" w:lineRule="auto"/>
              <w:ind w:left="0" w:firstLine="0"/>
              <w:jc w:val="left"/>
            </w:pPr>
            <w:r>
              <w:t xml:space="preserve">PLIEGOS, MINIMIZANDO LA </w:t>
            </w:r>
          </w:p>
          <w:p w:rsidR="00EE0979" w:rsidRDefault="00B022A0">
            <w:pPr>
              <w:spacing w:after="0" w:line="259" w:lineRule="auto"/>
              <w:ind w:left="0" w:firstLine="0"/>
              <w:jc w:val="left"/>
            </w:pPr>
            <w:r>
              <w:t xml:space="preserve">TRAMITACIÓN DE CONTRATOS </w:t>
            </w:r>
          </w:p>
          <w:p w:rsidR="00EE0979" w:rsidRDefault="00B022A0">
            <w:pPr>
              <w:spacing w:after="0" w:line="259" w:lineRule="auto"/>
              <w:ind w:left="0" w:firstLine="0"/>
              <w:jc w:val="left"/>
            </w:pPr>
            <w:r>
              <w:t xml:space="preserve">MENORES PARA CASOS CONCRETOS. </w:t>
            </w:r>
          </w:p>
        </w:tc>
      </w:tr>
      <w:tr w:rsidR="00EE0979">
        <w:trPr>
          <w:trHeight w:val="4032"/>
        </w:trPr>
        <w:tc>
          <w:tcPr>
            <w:tcW w:w="4035" w:type="dxa"/>
            <w:tcBorders>
              <w:top w:val="single" w:sz="4" w:space="0" w:color="C0C0C0"/>
              <w:left w:val="single" w:sz="4" w:space="0" w:color="C0C0C0"/>
              <w:bottom w:val="single" w:sz="4" w:space="0" w:color="C0C0C0"/>
              <w:right w:val="single" w:sz="4" w:space="0" w:color="C0C0C0"/>
            </w:tcBorders>
          </w:tcPr>
          <w:p w:rsidR="00EE0979" w:rsidRDefault="00B022A0">
            <w:pPr>
              <w:spacing w:after="98" w:line="259" w:lineRule="auto"/>
              <w:ind w:left="0" w:firstLine="0"/>
              <w:jc w:val="left"/>
            </w:pPr>
            <w:r>
              <w:t xml:space="preserve"> </w:t>
            </w:r>
          </w:p>
          <w:p w:rsidR="00EE0979" w:rsidRDefault="00B022A0">
            <w:pPr>
              <w:spacing w:after="0" w:line="259" w:lineRule="auto"/>
              <w:ind w:left="0" w:firstLine="0"/>
              <w:jc w:val="left"/>
            </w:pPr>
            <w:r>
              <w:t xml:space="preserve">OPERACIONES Y </w:t>
            </w:r>
          </w:p>
          <w:p w:rsidR="00EE0979" w:rsidRDefault="00B022A0">
            <w:pPr>
              <w:spacing w:after="0" w:line="259" w:lineRule="auto"/>
              <w:ind w:left="0" w:firstLine="0"/>
              <w:jc w:val="left"/>
            </w:pPr>
            <w:r>
              <w:t xml:space="preserve">PROCEDIMIENTOS,  QUE </w:t>
            </w:r>
          </w:p>
          <w:p w:rsidR="00EE0979" w:rsidRDefault="00B022A0">
            <w:pPr>
              <w:spacing w:after="0" w:line="259" w:lineRule="auto"/>
              <w:ind w:left="0" w:firstLine="0"/>
            </w:pPr>
            <w:r>
              <w:t xml:space="preserve">PROPORCIONAN UNA VALORACIÓN </w:t>
            </w:r>
          </w:p>
          <w:p w:rsidR="00EE0979" w:rsidRDefault="00B022A0">
            <w:pPr>
              <w:spacing w:after="0" w:line="259" w:lineRule="auto"/>
              <w:ind w:left="0" w:firstLine="0"/>
              <w:jc w:val="left"/>
            </w:pPr>
            <w:r>
              <w:t xml:space="preserve">DE SU RACIONALIDAD </w:t>
            </w:r>
          </w:p>
          <w:p w:rsidR="00EE0979" w:rsidRDefault="00B022A0">
            <w:pPr>
              <w:spacing w:after="0" w:line="259" w:lineRule="auto"/>
              <w:ind w:left="0" w:firstLine="0"/>
              <w:jc w:val="left"/>
            </w:pPr>
            <w:r>
              <w:t xml:space="preserve">ECONÓMICO-FINANCIERA Y SU </w:t>
            </w:r>
          </w:p>
          <w:p w:rsidR="00EE0979" w:rsidRDefault="00B022A0">
            <w:pPr>
              <w:spacing w:after="0" w:line="259" w:lineRule="auto"/>
              <w:ind w:left="0" w:firstLine="0"/>
            </w:pPr>
            <w:r>
              <w:t xml:space="preserve">ADECUACIÓN A LOS PRINCIPIOS DE </w:t>
            </w:r>
          </w:p>
          <w:p w:rsidR="00EE0979" w:rsidRDefault="00B022A0">
            <w:pPr>
              <w:spacing w:after="0" w:line="259" w:lineRule="auto"/>
              <w:ind w:left="0" w:firstLine="0"/>
              <w:jc w:val="left"/>
            </w:pPr>
            <w:r>
              <w:t xml:space="preserve">BUENA GESTIÓN, A FIN DE </w:t>
            </w:r>
          </w:p>
          <w:p w:rsidR="00EE0979" w:rsidRDefault="00B022A0">
            <w:pPr>
              <w:spacing w:after="0" w:line="259" w:lineRule="auto"/>
              <w:ind w:left="0" w:firstLine="0"/>
              <w:jc w:val="left"/>
            </w:pPr>
            <w:r>
              <w:t xml:space="preserve">DETECTAR SUS POSIBLES </w:t>
            </w:r>
          </w:p>
          <w:p w:rsidR="00EE0979" w:rsidRDefault="00B022A0">
            <w:pPr>
              <w:spacing w:after="0" w:line="259" w:lineRule="auto"/>
              <w:ind w:left="0" w:firstLine="0"/>
              <w:jc w:val="left"/>
            </w:pPr>
            <w:r>
              <w:t xml:space="preserve">DEFICIENCIAS Y PROPONER LAS </w:t>
            </w:r>
          </w:p>
          <w:p w:rsidR="00EE0979" w:rsidRDefault="00B022A0">
            <w:pPr>
              <w:spacing w:after="122" w:line="238" w:lineRule="auto"/>
              <w:ind w:left="0" w:firstLine="0"/>
            </w:pPr>
            <w:r>
              <w:t xml:space="preserve">RECOMENDACIONES EN ORDEN A LA CORRECCIÓN DE AQUÉLLAS </w:t>
            </w:r>
          </w:p>
          <w:p w:rsidR="00EE0979" w:rsidRDefault="00B022A0">
            <w:pPr>
              <w:spacing w:after="98" w:line="259" w:lineRule="auto"/>
              <w:ind w:left="0" w:firstLine="0"/>
              <w:jc w:val="left"/>
            </w:pPr>
            <w:r>
              <w:t xml:space="preserve"> </w:t>
            </w:r>
          </w:p>
          <w:p w:rsidR="00EE0979" w:rsidRDefault="00B022A0">
            <w:pPr>
              <w:spacing w:after="0" w:line="259" w:lineRule="auto"/>
              <w:ind w:left="0" w:firstLine="0"/>
              <w:jc w:val="left"/>
            </w:pPr>
            <w:r>
              <w:t xml:space="preserve"> </w:t>
            </w:r>
          </w:p>
        </w:tc>
        <w:tc>
          <w:tcPr>
            <w:tcW w:w="4547" w:type="dxa"/>
            <w:tcBorders>
              <w:top w:val="single" w:sz="4" w:space="0" w:color="C0C0C0"/>
              <w:left w:val="single" w:sz="4" w:space="0" w:color="C0C0C0"/>
              <w:bottom w:val="single" w:sz="4" w:space="0" w:color="C0C0C0"/>
              <w:right w:val="nil"/>
            </w:tcBorders>
          </w:tcPr>
          <w:p w:rsidR="00EE0979" w:rsidRDefault="00B022A0">
            <w:pPr>
              <w:spacing w:after="0" w:line="259" w:lineRule="auto"/>
              <w:ind w:left="0" w:firstLine="0"/>
              <w:jc w:val="left"/>
            </w:pPr>
            <w:r>
              <w:t xml:space="preserve">NOMBRAMIENTO RESPONSABLE DEL </w:t>
            </w:r>
          </w:p>
          <w:p w:rsidR="00EE0979" w:rsidRDefault="00B022A0">
            <w:pPr>
              <w:spacing w:after="0" w:line="259" w:lineRule="auto"/>
              <w:ind w:left="0" w:firstLine="0"/>
              <w:jc w:val="left"/>
            </w:pPr>
            <w:r>
              <w:t xml:space="preserve">CONTRATO, QUE SUPERVISE QUE EL </w:t>
            </w:r>
          </w:p>
          <w:p w:rsidR="00EE0979" w:rsidRDefault="00B022A0">
            <w:pPr>
              <w:spacing w:after="0" w:line="259" w:lineRule="auto"/>
              <w:ind w:left="0" w:firstLine="0"/>
              <w:jc w:val="left"/>
            </w:pPr>
            <w:r>
              <w:t xml:space="preserve">CONTRATO SE EJECUTA CONFORME EL </w:t>
            </w:r>
          </w:p>
          <w:p w:rsidR="00EE0979" w:rsidRDefault="00B022A0">
            <w:pPr>
              <w:spacing w:after="0" w:line="259" w:lineRule="auto"/>
              <w:ind w:left="0" w:firstLine="0"/>
              <w:jc w:val="left"/>
            </w:pPr>
            <w:r>
              <w:t xml:space="preserve">PLIEGO Y  ESTUDIE  LA  ESTRUCTURA </w:t>
            </w:r>
          </w:p>
          <w:p w:rsidR="00EE0979" w:rsidRDefault="00B022A0">
            <w:pPr>
              <w:spacing w:after="0" w:line="259" w:lineRule="auto"/>
              <w:ind w:left="0" w:firstLine="0"/>
              <w:jc w:val="left"/>
            </w:pPr>
            <w:r>
              <w:t xml:space="preserve">DE COSTES, POR PERSONAL </w:t>
            </w:r>
          </w:p>
          <w:p w:rsidR="00EE0979" w:rsidRDefault="00B022A0">
            <w:pPr>
              <w:spacing w:after="0" w:line="259" w:lineRule="auto"/>
              <w:ind w:left="0" w:firstLine="0"/>
              <w:jc w:val="left"/>
            </w:pPr>
            <w:r>
              <w:t xml:space="preserve">COMPETENTE EN </w:t>
            </w:r>
            <w:r>
              <w:t xml:space="preserve">LA MATERIA </w:t>
            </w:r>
          </w:p>
        </w:tc>
      </w:tr>
      <w:tr w:rsidR="00EE0979">
        <w:trPr>
          <w:trHeight w:val="2516"/>
        </w:trPr>
        <w:tc>
          <w:tcPr>
            <w:tcW w:w="4035" w:type="dxa"/>
            <w:tcBorders>
              <w:top w:val="single" w:sz="4" w:space="0" w:color="C0C0C0"/>
              <w:left w:val="single" w:sz="4" w:space="0" w:color="C0C0C0"/>
              <w:bottom w:val="single" w:sz="4" w:space="0" w:color="C0C0C0"/>
              <w:right w:val="single" w:sz="4" w:space="0" w:color="C0C0C0"/>
            </w:tcBorders>
            <w:vAlign w:val="center"/>
          </w:tcPr>
          <w:p w:rsidR="00EE0979" w:rsidRDefault="00B022A0">
            <w:pPr>
              <w:spacing w:after="0" w:line="259" w:lineRule="auto"/>
              <w:ind w:left="0" w:firstLine="0"/>
              <w:jc w:val="left"/>
            </w:pPr>
            <w:r>
              <w:t xml:space="preserve">GASTOS DE PERSONAL </w:t>
            </w:r>
          </w:p>
        </w:tc>
        <w:tc>
          <w:tcPr>
            <w:tcW w:w="4547" w:type="dxa"/>
            <w:tcBorders>
              <w:top w:val="single" w:sz="4" w:space="0" w:color="C0C0C0"/>
              <w:left w:val="single" w:sz="4" w:space="0" w:color="C0C0C0"/>
              <w:bottom w:val="single" w:sz="4" w:space="0" w:color="C0C0C0"/>
              <w:right w:val="nil"/>
            </w:tcBorders>
          </w:tcPr>
          <w:p w:rsidR="00EE0979" w:rsidRDefault="00B022A0">
            <w:pPr>
              <w:spacing w:after="98" w:line="259" w:lineRule="auto"/>
              <w:ind w:left="0" w:firstLine="0"/>
              <w:jc w:val="left"/>
            </w:pPr>
            <w:r>
              <w:t xml:space="preserve"> </w:t>
            </w:r>
          </w:p>
          <w:p w:rsidR="00EE0979" w:rsidRDefault="00B022A0">
            <w:pPr>
              <w:spacing w:after="0" w:line="259" w:lineRule="auto"/>
              <w:ind w:left="0" w:firstLine="0"/>
            </w:pPr>
            <w:r>
              <w:t xml:space="preserve">ELEVADOS GASTOS DE PERSONAL CON </w:t>
            </w:r>
          </w:p>
          <w:p w:rsidR="00EE0979" w:rsidRDefault="00B022A0">
            <w:pPr>
              <w:spacing w:after="0" w:line="259" w:lineRule="auto"/>
              <w:ind w:left="0" w:firstLine="0"/>
            </w:pPr>
            <w:r>
              <w:t xml:space="preserve">UN 42% DEL GASTO TOTAL, QUE LLEGAN </w:t>
            </w:r>
          </w:p>
          <w:p w:rsidR="00EE0979" w:rsidRDefault="00B022A0">
            <w:pPr>
              <w:spacing w:after="0" w:line="259" w:lineRule="auto"/>
              <w:ind w:left="0" w:firstLine="0"/>
              <w:jc w:val="left"/>
            </w:pPr>
            <w:r>
              <w:t xml:space="preserve">A NIVEL CONSOLIDADO A UN 44,5 %, </w:t>
            </w:r>
          </w:p>
          <w:p w:rsidR="00EE0979" w:rsidRDefault="00B022A0">
            <w:pPr>
              <w:spacing w:after="118" w:line="240" w:lineRule="auto"/>
              <w:ind w:left="0" w:firstLine="0"/>
              <w:jc w:val="left"/>
            </w:pPr>
            <w:r>
              <w:t xml:space="preserve">DISMINUYENDO LOS CRÉDITOS PARA SERVICIOS PÚBLICOS E INVERSIONES. </w:t>
            </w:r>
          </w:p>
          <w:p w:rsidR="00EE0979" w:rsidRDefault="00B022A0">
            <w:pPr>
              <w:spacing w:after="98" w:line="259" w:lineRule="auto"/>
              <w:ind w:left="0" w:firstLine="0"/>
              <w:jc w:val="left"/>
            </w:pPr>
            <w:r>
              <w:t xml:space="preserve"> </w:t>
            </w:r>
          </w:p>
          <w:p w:rsidR="00EE0979" w:rsidRDefault="00B022A0">
            <w:pPr>
              <w:spacing w:after="0" w:line="259" w:lineRule="auto"/>
              <w:ind w:left="0" w:firstLine="0"/>
              <w:jc w:val="left"/>
            </w:pPr>
            <w:r>
              <w:t xml:space="preserve"> </w:t>
            </w:r>
          </w:p>
        </w:tc>
      </w:tr>
      <w:tr w:rsidR="00EE0979">
        <w:trPr>
          <w:trHeight w:val="1529"/>
        </w:trPr>
        <w:tc>
          <w:tcPr>
            <w:tcW w:w="4035" w:type="dxa"/>
            <w:tcBorders>
              <w:top w:val="single" w:sz="4" w:space="0" w:color="C0C0C0"/>
              <w:left w:val="single" w:sz="4" w:space="0" w:color="C0C0C0"/>
              <w:bottom w:val="single" w:sz="4" w:space="0" w:color="C0C0C0"/>
              <w:right w:val="single" w:sz="4" w:space="0" w:color="C0C0C0"/>
            </w:tcBorders>
          </w:tcPr>
          <w:p w:rsidR="00EE0979" w:rsidRDefault="00B022A0">
            <w:pPr>
              <w:spacing w:after="0" w:line="259" w:lineRule="auto"/>
              <w:ind w:left="0" w:firstLine="0"/>
              <w:jc w:val="left"/>
            </w:pPr>
            <w:r>
              <w:t xml:space="preserve"> </w:t>
            </w:r>
          </w:p>
          <w:p w:rsidR="00EE0979" w:rsidRDefault="00B022A0">
            <w:pPr>
              <w:spacing w:after="0" w:line="259" w:lineRule="auto"/>
              <w:ind w:left="0" w:firstLine="0"/>
              <w:jc w:val="left"/>
            </w:pPr>
            <w:r>
              <w:t xml:space="preserve"> </w:t>
            </w:r>
          </w:p>
          <w:p w:rsidR="00EE0979" w:rsidRDefault="00B022A0">
            <w:pPr>
              <w:tabs>
                <w:tab w:val="center" w:pos="1955"/>
                <w:tab w:val="right" w:pos="3953"/>
              </w:tabs>
              <w:spacing w:after="0" w:line="259" w:lineRule="auto"/>
              <w:ind w:left="0" w:firstLine="0"/>
              <w:jc w:val="left"/>
            </w:pPr>
            <w:r>
              <w:t xml:space="preserve">PLANTILLA </w:t>
            </w:r>
            <w:r>
              <w:tab/>
              <w:t xml:space="preserve">DE </w:t>
            </w:r>
            <w:r>
              <w:tab/>
              <w:t xml:space="preserve">TÉCNICOS </w:t>
            </w:r>
          </w:p>
          <w:p w:rsidR="00EE0979" w:rsidRDefault="00B022A0">
            <w:pPr>
              <w:spacing w:after="0" w:line="259" w:lineRule="auto"/>
              <w:ind w:left="0" w:firstLine="0"/>
              <w:jc w:val="left"/>
            </w:pPr>
            <w:r>
              <w:t xml:space="preserve">SUPERIORES </w:t>
            </w:r>
          </w:p>
          <w:p w:rsidR="00EE0979" w:rsidRDefault="00B022A0">
            <w:pPr>
              <w:spacing w:after="0" w:line="259" w:lineRule="auto"/>
              <w:ind w:left="0" w:firstLine="0"/>
              <w:jc w:val="left"/>
            </w:pPr>
            <w:r>
              <w:t xml:space="preserve"> </w:t>
            </w:r>
          </w:p>
          <w:p w:rsidR="00EE0979" w:rsidRDefault="00B022A0">
            <w:pPr>
              <w:spacing w:after="0" w:line="259" w:lineRule="auto"/>
              <w:ind w:left="0" w:firstLine="0"/>
              <w:jc w:val="left"/>
            </w:pPr>
            <w:r>
              <w:t xml:space="preserve"> </w:t>
            </w:r>
          </w:p>
        </w:tc>
        <w:tc>
          <w:tcPr>
            <w:tcW w:w="4547" w:type="dxa"/>
            <w:tcBorders>
              <w:top w:val="single" w:sz="4" w:space="0" w:color="C0C0C0"/>
              <w:left w:val="single" w:sz="4" w:space="0" w:color="C0C0C0"/>
              <w:bottom w:val="single" w:sz="4" w:space="0" w:color="C0C0C0"/>
              <w:right w:val="nil"/>
            </w:tcBorders>
          </w:tcPr>
          <w:p w:rsidR="00EE0979" w:rsidRDefault="00B022A0">
            <w:pPr>
              <w:spacing w:after="100" w:line="259" w:lineRule="auto"/>
              <w:ind w:left="0" w:firstLine="0"/>
              <w:jc w:val="left"/>
            </w:pPr>
            <w:r>
              <w:t xml:space="preserve"> </w:t>
            </w:r>
          </w:p>
          <w:p w:rsidR="00EE0979" w:rsidRDefault="00B022A0">
            <w:pPr>
              <w:spacing w:after="0" w:line="259" w:lineRule="auto"/>
              <w:ind w:left="0" w:firstLine="0"/>
            </w:pPr>
            <w:r>
              <w:t xml:space="preserve">ELABORACIÓN DE LAS BASES DE TAGS, </w:t>
            </w:r>
          </w:p>
          <w:p w:rsidR="00EE0979" w:rsidRDefault="00B022A0">
            <w:pPr>
              <w:spacing w:after="0" w:line="259" w:lineRule="auto"/>
              <w:ind w:left="0" w:firstLine="0"/>
              <w:jc w:val="left"/>
            </w:pPr>
            <w:r>
              <w:t xml:space="preserve">DOTADOS PRESUPUESTARIAMENTE EN PLANTILLA. </w:t>
            </w:r>
          </w:p>
        </w:tc>
      </w:tr>
    </w:tbl>
    <w:p w:rsidR="00EE0979" w:rsidRDefault="00B022A0">
      <w:pPr>
        <w:spacing w:after="2" w:line="259" w:lineRule="auto"/>
        <w:ind w:left="10" w:firstLine="0"/>
        <w:jc w:val="left"/>
      </w:pPr>
      <w:r>
        <w:rPr>
          <w:rFonts w:ascii="Calibri" w:eastAsia="Calibri" w:hAnsi="Calibri" w:cs="Calibri"/>
          <w:noProof/>
        </w:rPr>
        <mc:AlternateContent>
          <mc:Choice Requires="wpg">
            <w:drawing>
              <wp:inline distT="0" distB="0" distL="0" distR="0">
                <wp:extent cx="5452313" cy="1673606"/>
                <wp:effectExtent l="0" t="0" r="0" b="0"/>
                <wp:docPr id="240995" name="Group 240995"/>
                <wp:cNvGraphicFramePr/>
                <a:graphic xmlns:a="http://schemas.openxmlformats.org/drawingml/2006/main">
                  <a:graphicData uri="http://schemas.microsoft.com/office/word/2010/wordprocessingGroup">
                    <wpg:wgp>
                      <wpg:cNvGrpSpPr/>
                      <wpg:grpSpPr>
                        <a:xfrm>
                          <a:off x="0" y="0"/>
                          <a:ext cx="5452313" cy="1673606"/>
                          <a:chOff x="0" y="0"/>
                          <a:chExt cx="5452313" cy="1673606"/>
                        </a:xfrm>
                      </wpg:grpSpPr>
                      <wps:wsp>
                        <wps:cNvPr id="7815" name="Rectangle 7815"/>
                        <wps:cNvSpPr/>
                        <wps:spPr>
                          <a:xfrm>
                            <a:off x="47244" y="243316"/>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16" name="Rectangle 7816"/>
                        <wps:cNvSpPr/>
                        <wps:spPr>
                          <a:xfrm>
                            <a:off x="47244" y="481061"/>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17" name="Rectangle 7817"/>
                        <wps:cNvSpPr/>
                        <wps:spPr>
                          <a:xfrm>
                            <a:off x="47244" y="717280"/>
                            <a:ext cx="2592024" cy="207922"/>
                          </a:xfrm>
                          <a:prstGeom prst="rect">
                            <a:avLst/>
                          </a:prstGeom>
                          <a:ln>
                            <a:noFill/>
                          </a:ln>
                        </wps:spPr>
                        <wps:txbx>
                          <w:txbxContent>
                            <w:p w:rsidR="00EE0979" w:rsidRDefault="00B022A0">
                              <w:pPr>
                                <w:spacing w:after="160" w:line="259" w:lineRule="auto"/>
                                <w:ind w:left="0" w:firstLine="0"/>
                                <w:jc w:val="left"/>
                              </w:pPr>
                              <w:r>
                                <w:t>GENERACIÓN DE INGRESOS</w:t>
                              </w:r>
                            </w:p>
                          </w:txbxContent>
                        </wps:txbx>
                        <wps:bodyPr horzOverflow="overflow" vert="horz" lIns="0" tIns="0" rIns="0" bIns="0" rtlCol="0">
                          <a:noAutofit/>
                        </wps:bodyPr>
                      </wps:wsp>
                      <wps:wsp>
                        <wps:cNvPr id="7818" name="Rectangle 7818"/>
                        <wps:cNvSpPr/>
                        <wps:spPr>
                          <a:xfrm>
                            <a:off x="1996770" y="717280"/>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19" name="Rectangle 7819"/>
                        <wps:cNvSpPr/>
                        <wps:spPr>
                          <a:xfrm>
                            <a:off x="47244" y="955025"/>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20" name="Rectangle 7820"/>
                        <wps:cNvSpPr/>
                        <wps:spPr>
                          <a:xfrm>
                            <a:off x="47244" y="1191626"/>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21" name="Rectangle 7821"/>
                        <wps:cNvSpPr/>
                        <wps:spPr>
                          <a:xfrm>
                            <a:off x="2609418" y="2525"/>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22" name="Rectangle 7822"/>
                        <wps:cNvSpPr/>
                        <wps:spPr>
                          <a:xfrm>
                            <a:off x="2609418" y="240268"/>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23" name="Rectangle 7823"/>
                        <wps:cNvSpPr/>
                        <wps:spPr>
                          <a:xfrm>
                            <a:off x="2609418" y="476489"/>
                            <a:ext cx="2292356" cy="207922"/>
                          </a:xfrm>
                          <a:prstGeom prst="rect">
                            <a:avLst/>
                          </a:prstGeom>
                          <a:ln>
                            <a:noFill/>
                          </a:ln>
                        </wps:spPr>
                        <wps:txbx>
                          <w:txbxContent>
                            <w:p w:rsidR="00EE0979" w:rsidRDefault="00B022A0">
                              <w:pPr>
                                <w:spacing w:after="160" w:line="259" w:lineRule="auto"/>
                                <w:ind w:left="0" w:firstLine="0"/>
                                <w:jc w:val="left"/>
                              </w:pPr>
                              <w:r>
                                <w:t>POTENCIAR LOS PLANES</w:t>
                              </w:r>
                            </w:p>
                          </w:txbxContent>
                        </wps:txbx>
                        <wps:bodyPr horzOverflow="overflow" vert="horz" lIns="0" tIns="0" rIns="0" bIns="0" rtlCol="0">
                          <a:noAutofit/>
                        </wps:bodyPr>
                      </wps:wsp>
                      <wps:wsp>
                        <wps:cNvPr id="7824" name="Rectangle 7824"/>
                        <wps:cNvSpPr/>
                        <wps:spPr>
                          <a:xfrm>
                            <a:off x="4333316" y="476489"/>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25" name="Rectangle 7825"/>
                        <wps:cNvSpPr/>
                        <wps:spPr>
                          <a:xfrm>
                            <a:off x="4372940" y="476489"/>
                            <a:ext cx="309106" cy="207922"/>
                          </a:xfrm>
                          <a:prstGeom prst="rect">
                            <a:avLst/>
                          </a:prstGeom>
                          <a:ln>
                            <a:noFill/>
                          </a:ln>
                        </wps:spPr>
                        <wps:txbx>
                          <w:txbxContent>
                            <w:p w:rsidR="00EE0979" w:rsidRDefault="00B022A0">
                              <w:pPr>
                                <w:spacing w:after="160" w:line="259" w:lineRule="auto"/>
                                <w:ind w:left="0" w:firstLine="0"/>
                                <w:jc w:val="left"/>
                              </w:pPr>
                              <w:r>
                                <w:t xml:space="preserve">DE </w:t>
                              </w:r>
                            </w:p>
                          </w:txbxContent>
                        </wps:txbx>
                        <wps:bodyPr horzOverflow="overflow" vert="horz" lIns="0" tIns="0" rIns="0" bIns="0" rtlCol="0">
                          <a:noAutofit/>
                        </wps:bodyPr>
                      </wps:wsp>
                      <wps:wsp>
                        <wps:cNvPr id="7826" name="Rectangle 7826"/>
                        <wps:cNvSpPr/>
                        <wps:spPr>
                          <a:xfrm>
                            <a:off x="2609418" y="636508"/>
                            <a:ext cx="2267741" cy="207922"/>
                          </a:xfrm>
                          <a:prstGeom prst="rect">
                            <a:avLst/>
                          </a:prstGeom>
                          <a:ln>
                            <a:noFill/>
                          </a:ln>
                        </wps:spPr>
                        <wps:txbx>
                          <w:txbxContent>
                            <w:p w:rsidR="00EE0979" w:rsidRDefault="00B022A0">
                              <w:pPr>
                                <w:spacing w:after="160" w:line="259" w:lineRule="auto"/>
                                <w:ind w:left="0" w:firstLine="0"/>
                                <w:jc w:val="left"/>
                              </w:pPr>
                              <w:r>
                                <w:t>INSPECCIÓN PARA GENE</w:t>
                              </w:r>
                            </w:p>
                          </w:txbxContent>
                        </wps:txbx>
                        <wps:bodyPr horzOverflow="overflow" vert="horz" lIns="0" tIns="0" rIns="0" bIns="0" rtlCol="0">
                          <a:noAutofit/>
                        </wps:bodyPr>
                      </wps:wsp>
                      <wps:wsp>
                        <wps:cNvPr id="7827" name="Rectangle 7827"/>
                        <wps:cNvSpPr/>
                        <wps:spPr>
                          <a:xfrm>
                            <a:off x="4315028" y="636508"/>
                            <a:ext cx="1279571" cy="207922"/>
                          </a:xfrm>
                          <a:prstGeom prst="rect">
                            <a:avLst/>
                          </a:prstGeom>
                          <a:ln>
                            <a:noFill/>
                          </a:ln>
                        </wps:spPr>
                        <wps:txbx>
                          <w:txbxContent>
                            <w:p w:rsidR="00EE0979" w:rsidRDefault="00B022A0">
                              <w:pPr>
                                <w:spacing w:after="160" w:line="259" w:lineRule="auto"/>
                                <w:ind w:left="0" w:firstLine="0"/>
                                <w:jc w:val="left"/>
                              </w:pPr>
                              <w:r>
                                <w:t xml:space="preserve">RAR NUEVOS </w:t>
                              </w:r>
                            </w:p>
                          </w:txbxContent>
                        </wps:txbx>
                        <wps:bodyPr horzOverflow="overflow" vert="horz" lIns="0" tIns="0" rIns="0" bIns="0" rtlCol="0">
                          <a:noAutofit/>
                        </wps:bodyPr>
                      </wps:wsp>
                      <wps:wsp>
                        <wps:cNvPr id="7828" name="Rectangle 7828"/>
                        <wps:cNvSpPr/>
                        <wps:spPr>
                          <a:xfrm>
                            <a:off x="2609418" y="798052"/>
                            <a:ext cx="2284710" cy="207922"/>
                          </a:xfrm>
                          <a:prstGeom prst="rect">
                            <a:avLst/>
                          </a:prstGeom>
                          <a:ln>
                            <a:noFill/>
                          </a:ln>
                        </wps:spPr>
                        <wps:txbx>
                          <w:txbxContent>
                            <w:p w:rsidR="00EE0979" w:rsidRDefault="00B022A0">
                              <w:pPr>
                                <w:spacing w:after="160" w:line="259" w:lineRule="auto"/>
                                <w:ind w:left="0" w:firstLine="0"/>
                                <w:jc w:val="left"/>
                              </w:pPr>
                              <w:r>
                                <w:t>RECURSOS Y ACTUALIZA</w:t>
                              </w:r>
                            </w:p>
                          </w:txbxContent>
                        </wps:txbx>
                        <wps:bodyPr horzOverflow="overflow" vert="horz" lIns="0" tIns="0" rIns="0" bIns="0" rtlCol="0">
                          <a:noAutofit/>
                        </wps:bodyPr>
                      </wps:wsp>
                      <wps:wsp>
                        <wps:cNvPr id="7829" name="Rectangle 7829"/>
                        <wps:cNvSpPr/>
                        <wps:spPr>
                          <a:xfrm>
                            <a:off x="4327220" y="798052"/>
                            <a:ext cx="517628" cy="207922"/>
                          </a:xfrm>
                          <a:prstGeom prst="rect">
                            <a:avLst/>
                          </a:prstGeom>
                          <a:ln>
                            <a:noFill/>
                          </a:ln>
                        </wps:spPr>
                        <wps:txbx>
                          <w:txbxContent>
                            <w:p w:rsidR="00EE0979" w:rsidRDefault="00B022A0">
                              <w:pPr>
                                <w:spacing w:after="160" w:line="259" w:lineRule="auto"/>
                                <w:ind w:left="0" w:firstLine="0"/>
                                <w:jc w:val="left"/>
                              </w:pPr>
                              <w:r>
                                <w:t xml:space="preserve">CIÓN </w:t>
                              </w:r>
                            </w:p>
                          </w:txbxContent>
                        </wps:txbx>
                        <wps:bodyPr horzOverflow="overflow" vert="horz" lIns="0" tIns="0" rIns="0" bIns="0" rtlCol="0">
                          <a:noAutofit/>
                        </wps:bodyPr>
                      </wps:wsp>
                      <wps:wsp>
                        <wps:cNvPr id="7830" name="Rectangle 7830"/>
                        <wps:cNvSpPr/>
                        <wps:spPr>
                          <a:xfrm>
                            <a:off x="2609418" y="958073"/>
                            <a:ext cx="2239956" cy="207922"/>
                          </a:xfrm>
                          <a:prstGeom prst="rect">
                            <a:avLst/>
                          </a:prstGeom>
                          <a:ln>
                            <a:noFill/>
                          </a:ln>
                        </wps:spPr>
                        <wps:txbx>
                          <w:txbxContent>
                            <w:p w:rsidR="00EE0979" w:rsidRDefault="00B022A0">
                              <w:pPr>
                                <w:spacing w:after="160" w:line="259" w:lineRule="auto"/>
                                <w:ind w:left="0" w:firstLine="0"/>
                                <w:jc w:val="left"/>
                              </w:pPr>
                              <w:r>
                                <w:t>ORDENANZAS FISCALES</w:t>
                              </w:r>
                            </w:p>
                          </w:txbxContent>
                        </wps:txbx>
                        <wps:bodyPr horzOverflow="overflow" vert="horz" lIns="0" tIns="0" rIns="0" bIns="0" rtlCol="0">
                          <a:noAutofit/>
                        </wps:bodyPr>
                      </wps:wsp>
                      <wps:wsp>
                        <wps:cNvPr id="7831" name="Rectangle 7831"/>
                        <wps:cNvSpPr/>
                        <wps:spPr>
                          <a:xfrm>
                            <a:off x="4293692" y="958073"/>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32" name="Rectangle 7832"/>
                        <wps:cNvSpPr/>
                        <wps:spPr>
                          <a:xfrm>
                            <a:off x="2609418" y="1196198"/>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7833" name="Rectangle 7833"/>
                        <wps:cNvSpPr/>
                        <wps:spPr>
                          <a:xfrm>
                            <a:off x="2609418" y="1432417"/>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93617" name="Shape 293617"/>
                        <wps:cNvSpPr/>
                        <wps:spPr>
                          <a:xfrm>
                            <a:off x="0" y="0"/>
                            <a:ext cx="9144" cy="1667510"/>
                          </a:xfrm>
                          <a:custGeom>
                            <a:avLst/>
                            <a:gdLst/>
                            <a:ahLst/>
                            <a:cxnLst/>
                            <a:rect l="0" t="0" r="0" b="0"/>
                            <a:pathLst>
                              <a:path w="9144" h="1667510">
                                <a:moveTo>
                                  <a:pt x="0" y="0"/>
                                </a:moveTo>
                                <a:lnTo>
                                  <a:pt x="9144" y="0"/>
                                </a:lnTo>
                                <a:lnTo>
                                  <a:pt x="9144" y="1667510"/>
                                </a:lnTo>
                                <a:lnTo>
                                  <a:pt x="0" y="1667510"/>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93618" name="Shape 293618"/>
                        <wps:cNvSpPr/>
                        <wps:spPr>
                          <a:xfrm>
                            <a:off x="0" y="166751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93619" name="Shape 293619"/>
                        <wps:cNvSpPr/>
                        <wps:spPr>
                          <a:xfrm>
                            <a:off x="6096" y="1667510"/>
                            <a:ext cx="2556002" cy="9144"/>
                          </a:xfrm>
                          <a:custGeom>
                            <a:avLst/>
                            <a:gdLst/>
                            <a:ahLst/>
                            <a:cxnLst/>
                            <a:rect l="0" t="0" r="0" b="0"/>
                            <a:pathLst>
                              <a:path w="2556002" h="9144">
                                <a:moveTo>
                                  <a:pt x="0" y="0"/>
                                </a:moveTo>
                                <a:lnTo>
                                  <a:pt x="2556002" y="0"/>
                                </a:lnTo>
                                <a:lnTo>
                                  <a:pt x="2556002" y="9144"/>
                                </a:lnTo>
                                <a:lnTo>
                                  <a:pt x="0" y="9144"/>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93620" name="Shape 293620"/>
                        <wps:cNvSpPr/>
                        <wps:spPr>
                          <a:xfrm>
                            <a:off x="2562174" y="0"/>
                            <a:ext cx="9144" cy="1667510"/>
                          </a:xfrm>
                          <a:custGeom>
                            <a:avLst/>
                            <a:gdLst/>
                            <a:ahLst/>
                            <a:cxnLst/>
                            <a:rect l="0" t="0" r="0" b="0"/>
                            <a:pathLst>
                              <a:path w="9144" h="1667510">
                                <a:moveTo>
                                  <a:pt x="0" y="0"/>
                                </a:moveTo>
                                <a:lnTo>
                                  <a:pt x="9144" y="0"/>
                                </a:lnTo>
                                <a:lnTo>
                                  <a:pt x="9144" y="1667510"/>
                                </a:lnTo>
                                <a:lnTo>
                                  <a:pt x="0" y="1667510"/>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93621" name="Shape 293621"/>
                        <wps:cNvSpPr/>
                        <wps:spPr>
                          <a:xfrm>
                            <a:off x="2562174" y="166751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93622" name="Shape 293622"/>
                        <wps:cNvSpPr/>
                        <wps:spPr>
                          <a:xfrm>
                            <a:off x="2568270" y="1667510"/>
                            <a:ext cx="2884043" cy="9144"/>
                          </a:xfrm>
                          <a:custGeom>
                            <a:avLst/>
                            <a:gdLst/>
                            <a:ahLst/>
                            <a:cxnLst/>
                            <a:rect l="0" t="0" r="0" b="0"/>
                            <a:pathLst>
                              <a:path w="2884043" h="9144">
                                <a:moveTo>
                                  <a:pt x="0" y="0"/>
                                </a:moveTo>
                                <a:lnTo>
                                  <a:pt x="2884043" y="0"/>
                                </a:lnTo>
                                <a:lnTo>
                                  <a:pt x="2884043" y="9144"/>
                                </a:lnTo>
                                <a:lnTo>
                                  <a:pt x="0" y="9144"/>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240995" style="width:429.316pt;height:131.78pt;mso-position-horizontal-relative:char;mso-position-vertical-relative:line" coordsize="54523,16736">
                <v:rect id="Rectangle 7815" style="position:absolute;width:518;height:2079;left:472;top:2433;" filled="f" stroked="f">
                  <v:textbox inset="0,0,0,0">
                    <w:txbxContent>
                      <w:p>
                        <w:pPr>
                          <w:spacing w:before="0" w:after="160" w:line="259" w:lineRule="auto"/>
                          <w:ind w:left="0" w:firstLine="0"/>
                          <w:jc w:val="left"/>
                        </w:pPr>
                        <w:r>
                          <w:rPr/>
                          <w:t xml:space="preserve"> </w:t>
                        </w:r>
                      </w:p>
                    </w:txbxContent>
                  </v:textbox>
                </v:rect>
                <v:rect id="Rectangle 7816" style="position:absolute;width:518;height:2079;left:472;top:4810;" filled="f" stroked="f">
                  <v:textbox inset="0,0,0,0">
                    <w:txbxContent>
                      <w:p>
                        <w:pPr>
                          <w:spacing w:before="0" w:after="160" w:line="259" w:lineRule="auto"/>
                          <w:ind w:left="0" w:firstLine="0"/>
                          <w:jc w:val="left"/>
                        </w:pPr>
                        <w:r>
                          <w:rPr/>
                          <w:t xml:space="preserve"> </w:t>
                        </w:r>
                      </w:p>
                    </w:txbxContent>
                  </v:textbox>
                </v:rect>
                <v:rect id="Rectangle 7817" style="position:absolute;width:25920;height:2079;left:472;top:7172;" filled="f" stroked="f">
                  <v:textbox inset="0,0,0,0">
                    <w:txbxContent>
                      <w:p>
                        <w:pPr>
                          <w:spacing w:before="0" w:after="160" w:line="259" w:lineRule="auto"/>
                          <w:ind w:left="0" w:firstLine="0"/>
                          <w:jc w:val="left"/>
                        </w:pPr>
                        <w:r>
                          <w:rPr/>
                          <w:t xml:space="preserve">GENERACIÓN DE INGRESOS</w:t>
                        </w:r>
                      </w:p>
                    </w:txbxContent>
                  </v:textbox>
                </v:rect>
                <v:rect id="Rectangle 7818" style="position:absolute;width:518;height:2079;left:19967;top:7172;" filled="f" stroked="f">
                  <v:textbox inset="0,0,0,0">
                    <w:txbxContent>
                      <w:p>
                        <w:pPr>
                          <w:spacing w:before="0" w:after="160" w:line="259" w:lineRule="auto"/>
                          <w:ind w:left="0" w:firstLine="0"/>
                          <w:jc w:val="left"/>
                        </w:pPr>
                        <w:r>
                          <w:rPr/>
                          <w:t xml:space="preserve"> </w:t>
                        </w:r>
                      </w:p>
                    </w:txbxContent>
                  </v:textbox>
                </v:rect>
                <v:rect id="Rectangle 7819" style="position:absolute;width:518;height:2079;left:472;top:9550;" filled="f" stroked="f">
                  <v:textbox inset="0,0,0,0">
                    <w:txbxContent>
                      <w:p>
                        <w:pPr>
                          <w:spacing w:before="0" w:after="160" w:line="259" w:lineRule="auto"/>
                          <w:ind w:left="0" w:firstLine="0"/>
                          <w:jc w:val="left"/>
                        </w:pPr>
                        <w:r>
                          <w:rPr/>
                          <w:t xml:space="preserve"> </w:t>
                        </w:r>
                      </w:p>
                    </w:txbxContent>
                  </v:textbox>
                </v:rect>
                <v:rect id="Rectangle 7820" style="position:absolute;width:518;height:2079;left:472;top:11916;" filled="f" stroked="f">
                  <v:textbox inset="0,0,0,0">
                    <w:txbxContent>
                      <w:p>
                        <w:pPr>
                          <w:spacing w:before="0" w:after="160" w:line="259" w:lineRule="auto"/>
                          <w:ind w:left="0" w:firstLine="0"/>
                          <w:jc w:val="left"/>
                        </w:pPr>
                        <w:r>
                          <w:rPr/>
                          <w:t xml:space="preserve"> </w:t>
                        </w:r>
                      </w:p>
                    </w:txbxContent>
                  </v:textbox>
                </v:rect>
                <v:rect id="Rectangle 7821" style="position:absolute;width:518;height:2079;left:26094;top:25;" filled="f" stroked="f">
                  <v:textbox inset="0,0,0,0">
                    <w:txbxContent>
                      <w:p>
                        <w:pPr>
                          <w:spacing w:before="0" w:after="160" w:line="259" w:lineRule="auto"/>
                          <w:ind w:left="0" w:firstLine="0"/>
                          <w:jc w:val="left"/>
                        </w:pPr>
                        <w:r>
                          <w:rPr/>
                          <w:t xml:space="preserve"> </w:t>
                        </w:r>
                      </w:p>
                    </w:txbxContent>
                  </v:textbox>
                </v:rect>
                <v:rect id="Rectangle 7822" style="position:absolute;width:518;height:2079;left:26094;top:2402;" filled="f" stroked="f">
                  <v:textbox inset="0,0,0,0">
                    <w:txbxContent>
                      <w:p>
                        <w:pPr>
                          <w:spacing w:before="0" w:after="160" w:line="259" w:lineRule="auto"/>
                          <w:ind w:left="0" w:firstLine="0"/>
                          <w:jc w:val="left"/>
                        </w:pPr>
                        <w:r>
                          <w:rPr/>
                          <w:t xml:space="preserve"> </w:t>
                        </w:r>
                      </w:p>
                    </w:txbxContent>
                  </v:textbox>
                </v:rect>
                <v:rect id="Rectangle 7823" style="position:absolute;width:22923;height:2079;left:26094;top:4764;" filled="f" stroked="f">
                  <v:textbox inset="0,0,0,0">
                    <w:txbxContent>
                      <w:p>
                        <w:pPr>
                          <w:spacing w:before="0" w:after="160" w:line="259" w:lineRule="auto"/>
                          <w:ind w:left="0" w:firstLine="0"/>
                          <w:jc w:val="left"/>
                        </w:pPr>
                        <w:r>
                          <w:rPr/>
                          <w:t xml:space="preserve">POTENCIAR LOS PLANES</w:t>
                        </w:r>
                      </w:p>
                    </w:txbxContent>
                  </v:textbox>
                </v:rect>
                <v:rect id="Rectangle 7824" style="position:absolute;width:518;height:2079;left:43333;top:4764;" filled="f" stroked="f">
                  <v:textbox inset="0,0,0,0">
                    <w:txbxContent>
                      <w:p>
                        <w:pPr>
                          <w:spacing w:before="0" w:after="160" w:line="259" w:lineRule="auto"/>
                          <w:ind w:left="0" w:firstLine="0"/>
                          <w:jc w:val="left"/>
                        </w:pPr>
                        <w:r>
                          <w:rPr/>
                          <w:t xml:space="preserve"> </w:t>
                        </w:r>
                      </w:p>
                    </w:txbxContent>
                  </v:textbox>
                </v:rect>
                <v:rect id="Rectangle 7825" style="position:absolute;width:3091;height:2079;left:43729;top:4764;" filled="f" stroked="f">
                  <v:textbox inset="0,0,0,0">
                    <w:txbxContent>
                      <w:p>
                        <w:pPr>
                          <w:spacing w:before="0" w:after="160" w:line="259" w:lineRule="auto"/>
                          <w:ind w:left="0" w:firstLine="0"/>
                          <w:jc w:val="left"/>
                        </w:pPr>
                        <w:r>
                          <w:rPr/>
                          <w:t xml:space="preserve">DE </w:t>
                        </w:r>
                      </w:p>
                    </w:txbxContent>
                  </v:textbox>
                </v:rect>
                <v:rect id="Rectangle 7826" style="position:absolute;width:22677;height:2079;left:26094;top:6365;" filled="f" stroked="f">
                  <v:textbox inset="0,0,0,0">
                    <w:txbxContent>
                      <w:p>
                        <w:pPr>
                          <w:spacing w:before="0" w:after="160" w:line="259" w:lineRule="auto"/>
                          <w:ind w:left="0" w:firstLine="0"/>
                          <w:jc w:val="left"/>
                        </w:pPr>
                        <w:r>
                          <w:rPr/>
                          <w:t xml:space="preserve">INSPECCIÓN PARA GENE</w:t>
                        </w:r>
                      </w:p>
                    </w:txbxContent>
                  </v:textbox>
                </v:rect>
                <v:rect id="Rectangle 7827" style="position:absolute;width:12795;height:2079;left:43150;top:6365;" filled="f" stroked="f">
                  <v:textbox inset="0,0,0,0">
                    <w:txbxContent>
                      <w:p>
                        <w:pPr>
                          <w:spacing w:before="0" w:after="160" w:line="259" w:lineRule="auto"/>
                          <w:ind w:left="0" w:firstLine="0"/>
                          <w:jc w:val="left"/>
                        </w:pPr>
                        <w:r>
                          <w:rPr/>
                          <w:t xml:space="preserve">RAR NUEVOS </w:t>
                        </w:r>
                      </w:p>
                    </w:txbxContent>
                  </v:textbox>
                </v:rect>
                <v:rect id="Rectangle 7828" style="position:absolute;width:22847;height:2079;left:26094;top:7980;" filled="f" stroked="f">
                  <v:textbox inset="0,0,0,0">
                    <w:txbxContent>
                      <w:p>
                        <w:pPr>
                          <w:spacing w:before="0" w:after="160" w:line="259" w:lineRule="auto"/>
                          <w:ind w:left="0" w:firstLine="0"/>
                          <w:jc w:val="left"/>
                        </w:pPr>
                        <w:r>
                          <w:rPr/>
                          <w:t xml:space="preserve">RECURSOS Y ACTUALIZA</w:t>
                        </w:r>
                      </w:p>
                    </w:txbxContent>
                  </v:textbox>
                </v:rect>
                <v:rect id="Rectangle 7829" style="position:absolute;width:5176;height:2079;left:43272;top:7980;" filled="f" stroked="f">
                  <v:textbox inset="0,0,0,0">
                    <w:txbxContent>
                      <w:p>
                        <w:pPr>
                          <w:spacing w:before="0" w:after="160" w:line="259" w:lineRule="auto"/>
                          <w:ind w:left="0" w:firstLine="0"/>
                          <w:jc w:val="left"/>
                        </w:pPr>
                        <w:r>
                          <w:rPr/>
                          <w:t xml:space="preserve">CIÓN </w:t>
                        </w:r>
                      </w:p>
                    </w:txbxContent>
                  </v:textbox>
                </v:rect>
                <v:rect id="Rectangle 7830" style="position:absolute;width:22399;height:2079;left:26094;top:9580;" filled="f" stroked="f">
                  <v:textbox inset="0,0,0,0">
                    <w:txbxContent>
                      <w:p>
                        <w:pPr>
                          <w:spacing w:before="0" w:after="160" w:line="259" w:lineRule="auto"/>
                          <w:ind w:left="0" w:firstLine="0"/>
                          <w:jc w:val="left"/>
                        </w:pPr>
                        <w:r>
                          <w:rPr/>
                          <w:t xml:space="preserve">ORDENANZAS FISCALES</w:t>
                        </w:r>
                      </w:p>
                    </w:txbxContent>
                  </v:textbox>
                </v:rect>
                <v:rect id="Rectangle 7831" style="position:absolute;width:518;height:2079;left:42936;top:9580;" filled="f" stroked="f">
                  <v:textbox inset="0,0,0,0">
                    <w:txbxContent>
                      <w:p>
                        <w:pPr>
                          <w:spacing w:before="0" w:after="160" w:line="259" w:lineRule="auto"/>
                          <w:ind w:left="0" w:firstLine="0"/>
                          <w:jc w:val="left"/>
                        </w:pPr>
                        <w:r>
                          <w:rPr/>
                          <w:t xml:space="preserve"> </w:t>
                        </w:r>
                      </w:p>
                    </w:txbxContent>
                  </v:textbox>
                </v:rect>
                <v:rect id="Rectangle 7832" style="position:absolute;width:518;height:2079;left:26094;top:11961;" filled="f" stroked="f">
                  <v:textbox inset="0,0,0,0">
                    <w:txbxContent>
                      <w:p>
                        <w:pPr>
                          <w:spacing w:before="0" w:after="160" w:line="259" w:lineRule="auto"/>
                          <w:ind w:left="0" w:firstLine="0"/>
                          <w:jc w:val="left"/>
                        </w:pPr>
                        <w:r>
                          <w:rPr/>
                          <w:t xml:space="preserve"> </w:t>
                        </w:r>
                      </w:p>
                    </w:txbxContent>
                  </v:textbox>
                </v:rect>
                <v:rect id="Rectangle 7833" style="position:absolute;width:518;height:2079;left:26094;top:14324;" filled="f" stroked="f">
                  <v:textbox inset="0,0,0,0">
                    <w:txbxContent>
                      <w:p>
                        <w:pPr>
                          <w:spacing w:before="0" w:after="160" w:line="259" w:lineRule="auto"/>
                          <w:ind w:left="0" w:firstLine="0"/>
                          <w:jc w:val="left"/>
                        </w:pPr>
                        <w:r>
                          <w:rPr/>
                          <w:t xml:space="preserve"> </w:t>
                        </w:r>
                      </w:p>
                    </w:txbxContent>
                  </v:textbox>
                </v:rect>
                <v:shape id="Shape 293623" style="position:absolute;width:91;height:16675;left:0;top:0;" coordsize="9144,1667510" path="m0,0l9144,0l9144,1667510l0,1667510l0,0">
                  <v:stroke weight="0pt" endcap="square" joinstyle="miter" miterlimit="10" on="false" color="#000000" opacity="0"/>
                  <v:fill on="true" color="#c0c0c0"/>
                </v:shape>
                <v:shape id="Shape 293624" style="position:absolute;width:91;height:91;left:0;top:16675;" coordsize="9144,9144" path="m0,0l9144,0l9144,9144l0,9144l0,0">
                  <v:stroke weight="0pt" endcap="square" joinstyle="miter" miterlimit="10" on="false" color="#000000" opacity="0"/>
                  <v:fill on="true" color="#c0c0c0"/>
                </v:shape>
                <v:shape id="Shape 293625" style="position:absolute;width:25560;height:91;left:60;top:16675;" coordsize="2556002,9144" path="m0,0l2556002,0l2556002,9144l0,9144l0,0">
                  <v:stroke weight="0pt" endcap="square" joinstyle="miter" miterlimit="10" on="false" color="#000000" opacity="0"/>
                  <v:fill on="true" color="#c0c0c0"/>
                </v:shape>
                <v:shape id="Shape 293626" style="position:absolute;width:91;height:16675;left:25621;top:0;" coordsize="9144,1667510" path="m0,0l9144,0l9144,1667510l0,1667510l0,0">
                  <v:stroke weight="0pt" endcap="square" joinstyle="miter" miterlimit="10" on="false" color="#000000" opacity="0"/>
                  <v:fill on="true" color="#c0c0c0"/>
                </v:shape>
                <v:shape id="Shape 293627" style="position:absolute;width:91;height:91;left:25621;top:16675;" coordsize="9144,9144" path="m0,0l9144,0l9144,9144l0,9144l0,0">
                  <v:stroke weight="0pt" endcap="square" joinstyle="miter" miterlimit="10" on="false" color="#000000" opacity="0"/>
                  <v:fill on="true" color="#c0c0c0"/>
                </v:shape>
                <v:shape id="Shape 293628" style="position:absolute;width:28840;height:91;left:25682;top:16675;" coordsize="2884043,9144" path="m0,0l2884043,0l2884043,9144l0,9144l0,0">
                  <v:stroke weight="0pt" endcap="square" joinstyle="miter" miterlimit="10" on="false" color="#000000" opacity="0"/>
                  <v:fill on="true" color="#c0c0c0"/>
                </v:shape>
              </v:group>
            </w:pict>
          </mc:Fallback>
        </mc:AlternateConten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pStyle w:val="Ttulo1"/>
        <w:ind w:left="856" w:right="709" w:hanging="242"/>
      </w:pPr>
      <w:r>
        <w:t>AUDITORÍA PÚBLICA</w:t>
      </w:r>
      <w:r>
        <w:rPr>
          <w:rFonts w:ascii="Times New Roman" w:eastAsia="Times New Roman" w:hAnsi="Times New Roman" w:cs="Times New Roman"/>
          <w:b w:val="0"/>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tabs>
          <w:tab w:val="center" w:pos="1386"/>
        </w:tabs>
        <w:spacing w:after="6"/>
        <w:ind w:left="0" w:firstLine="0"/>
        <w:jc w:val="left"/>
      </w:pPr>
      <w:r>
        <w:rPr>
          <w:b/>
        </w:rPr>
        <w:t xml:space="preserve"> </w:t>
      </w:r>
      <w:r>
        <w:rPr>
          <w:b/>
        </w:rPr>
        <w:tab/>
        <w:t>3.1. OBJETO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1"/>
        <w:ind w:right="100"/>
      </w:pPr>
      <w:r>
        <w:t xml:space="preserve"> se persigue la verificación, realizada con posterioridad y efectuada de forma sistemática, de la actividad económico-</w:t>
      </w:r>
      <w:r>
        <w:t>financiera de las entidades auditadas, mediante la aplicación de los procedimientos de revisión selectivos contenidos en las normas de auditoría e instrucciones que dicte la Intervención General de la Administración del Estado, sobre Entidad Pública Empres</w:t>
      </w:r>
      <w:r>
        <w:t xml:space="preserve">arial de Gestión de Empresas y Servicios Públicos del Ayuntamiento de Candelaria, Sociedad Municipal de Viviendas y Servicios Municipales de Candelaria SLU y la Fundación Candesol.  </w:t>
      </w:r>
    </w:p>
    <w:p w:rsidR="00EE0979" w:rsidRDefault="00B022A0">
      <w:pPr>
        <w:spacing w:after="0" w:line="259" w:lineRule="auto"/>
        <w:ind w:left="14" w:firstLine="0"/>
        <w:jc w:val="left"/>
      </w:pPr>
      <w:r>
        <w:t xml:space="preserve"> </w:t>
      </w:r>
    </w:p>
    <w:p w:rsidR="00EE0979" w:rsidRDefault="00B022A0">
      <w:pPr>
        <w:tabs>
          <w:tab w:val="center" w:pos="1754"/>
        </w:tabs>
        <w:spacing w:after="118"/>
        <w:ind w:left="0" w:firstLine="0"/>
        <w:jc w:val="left"/>
      </w:pPr>
      <w:r>
        <w:rPr>
          <w:b/>
        </w:rPr>
        <w:t xml:space="preserve"> </w:t>
      </w:r>
      <w:r>
        <w:rPr>
          <w:b/>
        </w:rPr>
        <w:tab/>
        <w:t>3.2. MODALIDADES</w:t>
      </w:r>
      <w:r>
        <w:t xml:space="preserve">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rPr>
          <w:u w:val="single" w:color="000000"/>
        </w:rPr>
        <w:t>3.2.1. AUDITORÍA DE CUENTAS:</w:t>
      </w:r>
      <w:r>
        <w:t xml:space="preserve">  </w:t>
      </w:r>
    </w:p>
    <w:p w:rsidR="00EE0979" w:rsidRDefault="00B022A0">
      <w:pPr>
        <w:spacing w:after="98" w:line="259" w:lineRule="auto"/>
        <w:ind w:left="14" w:firstLine="0"/>
        <w:jc w:val="left"/>
      </w:pPr>
      <w:r>
        <w:t xml:space="preserve"> </w:t>
      </w:r>
    </w:p>
    <w:p w:rsidR="00EE0979" w:rsidRDefault="00B022A0">
      <w:pPr>
        <w:spacing w:after="114"/>
        <w:ind w:right="100"/>
      </w:pPr>
      <w:r>
        <w:t xml:space="preserve"> </w:t>
      </w:r>
      <w:r>
        <w:t>Tiene por objeto la verificación relativa a si las cuentas anuales representan en todos los aspectos significativos la imagen fiel del patrimonio, de la situación financiera, de los resultados de la entidad y, en su caso, la ejecución del presupuesto de ac</w:t>
      </w:r>
      <w:r>
        <w:t>uerdo con las normas y principios contables y presupuestarios que le son de aplicación y contienen la información necesaria para su interpretación y comprensión adecuada. El órgano interventor de la Entidad Local realizará anualmente la auditoría de las cu</w:t>
      </w:r>
      <w:r>
        <w:t xml:space="preserve">entas anuales de: </w:t>
      </w:r>
    </w:p>
    <w:p w:rsidR="00EE0979" w:rsidRDefault="00B022A0">
      <w:pPr>
        <w:spacing w:after="98" w:line="259" w:lineRule="auto"/>
        <w:ind w:left="14" w:firstLine="0"/>
        <w:jc w:val="left"/>
      </w:pPr>
      <w:r>
        <w:t xml:space="preserve"> </w:t>
      </w:r>
    </w:p>
    <w:p w:rsidR="00EE0979" w:rsidRDefault="00B022A0">
      <w:pPr>
        <w:ind w:right="100"/>
      </w:pPr>
      <w:r>
        <w:t xml:space="preserve">Entidad Pública Empresarial de Gestión de Empresas y Servicios Públicos del Ayuntamiento de Candelaria. </w:t>
      </w:r>
    </w:p>
    <w:p w:rsidR="00EE0979" w:rsidRDefault="00B022A0">
      <w:pPr>
        <w:ind w:right="1029"/>
      </w:pPr>
      <w:r>
        <w:t xml:space="preserve">Sociedad Municipal de Viviendas y Servicios Municipales de Candelaria SLU. Fundación Candesol </w:t>
      </w:r>
    </w:p>
    <w:p w:rsidR="00EE0979" w:rsidRDefault="00B022A0">
      <w:pPr>
        <w:spacing w:after="0" w:line="259" w:lineRule="auto"/>
        <w:ind w:left="14" w:firstLine="0"/>
        <w:jc w:val="left"/>
      </w:pPr>
      <w:r>
        <w:t xml:space="preserve"> </w:t>
      </w:r>
    </w:p>
    <w:p w:rsidR="00EE0979" w:rsidRDefault="00B022A0">
      <w:pPr>
        <w:ind w:right="100"/>
      </w:pPr>
      <w:r>
        <w:t xml:space="preserve"> </w:t>
      </w:r>
      <w:r>
        <w:t>Hay que verificar lo dispuesto en la disposición adicional primera, apartado 1.e) del texto refundido de la Ley de Auditoría de Cuentas, y sin perjuicio de lo establecido en otras disposiciones legales, las entidades, cualquiera que sea su naturaleza juríd</w:t>
      </w:r>
      <w:r>
        <w:t>ica y siempre que deban formular cuentas anuales, conforme al marco normativo de información financiera que le sea aplicable, estarán obligadas a someter a auditoría las cuentas anuales correspondientes a dicho ejercicio y a los ejercicios en que se realic</w:t>
      </w:r>
      <w:r>
        <w:t xml:space="preserve">en las operaciones o ejecuten las inversiones correspondientes a las citadas subvenciones o ayudas, en los términos establecidos en el artículo 1.2 del citado texto refundido de la Ley de Auditoría de Cuentas.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110" w:line="249" w:lineRule="auto"/>
        <w:ind w:left="9" w:right="96" w:hanging="10"/>
      </w:pPr>
      <w:r>
        <w:rPr>
          <w:u w:val="single" w:color="000000"/>
        </w:rPr>
        <w:t>3.2.2. AUDITORÍA DE CUMPLIMIENTO</w:t>
      </w:r>
      <w:r>
        <w:t xml:space="preserve">  </w:t>
      </w:r>
    </w:p>
    <w:p w:rsidR="00EE0979" w:rsidRDefault="00B022A0">
      <w:pPr>
        <w:spacing w:after="98" w:line="259" w:lineRule="auto"/>
        <w:ind w:left="14" w:firstLine="0"/>
        <w:jc w:val="left"/>
      </w:pPr>
      <w:r>
        <w:t xml:space="preserve"> </w:t>
      </w:r>
    </w:p>
    <w:p w:rsidR="00EE0979" w:rsidRDefault="00B022A0">
      <w:pPr>
        <w:spacing w:after="111"/>
        <w:ind w:right="100"/>
      </w:pPr>
      <w:r>
        <w:t xml:space="preserve"> Es</w:t>
      </w:r>
      <w:r>
        <w:t xml:space="preserve"> una auditoría de legalidad, que trata de verificar que los actos, operaciones y procedimientos de gestión se han desarrollado de conformidad con las normas, disposiciones y directrices que sean de aplicación. </w:t>
      </w:r>
    </w:p>
    <w:p w:rsidR="00EE0979" w:rsidRDefault="00B022A0">
      <w:pPr>
        <w:spacing w:after="100" w:line="259" w:lineRule="auto"/>
        <w:ind w:left="14" w:firstLine="0"/>
        <w:jc w:val="left"/>
      </w:pPr>
      <w:r>
        <w:t xml:space="preserve"> </w:t>
      </w:r>
    </w:p>
    <w:p w:rsidR="00EE0979" w:rsidRDefault="00B022A0">
      <w:pPr>
        <w:tabs>
          <w:tab w:val="center" w:pos="2502"/>
        </w:tabs>
        <w:spacing w:after="116"/>
        <w:ind w:left="0" w:firstLine="0"/>
        <w:jc w:val="left"/>
      </w:pPr>
      <w:r>
        <w:t xml:space="preserve"> </w:t>
      </w:r>
      <w:r>
        <w:tab/>
        <w:t xml:space="preserve">Se aplica a las siguientes entidades: </w:t>
      </w:r>
    </w:p>
    <w:p w:rsidR="00EE0979" w:rsidRDefault="00B022A0">
      <w:pPr>
        <w:spacing w:after="98" w:line="259" w:lineRule="auto"/>
        <w:ind w:left="14" w:firstLine="0"/>
        <w:jc w:val="left"/>
      </w:pPr>
      <w:r>
        <w:t xml:space="preserve"> </w:t>
      </w:r>
    </w:p>
    <w:p w:rsidR="00EE0979" w:rsidRDefault="00B022A0">
      <w:pPr>
        <w:ind w:right="100"/>
      </w:pPr>
      <w:r>
        <w:t xml:space="preserve">Entidad Pública Empresarial de Gestión de Empresas y Servicios Públicos del Ayuntamiento de Candelaria. </w:t>
      </w:r>
    </w:p>
    <w:p w:rsidR="00EE0979" w:rsidRDefault="00B022A0">
      <w:pPr>
        <w:ind w:right="1029"/>
      </w:pPr>
      <w:r>
        <w:t xml:space="preserve">Sociedad Municipal de Viviendas y Servicios Municipales de Candelaria SLU. Fundación Candesol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rPr>
          <w:u w:val="single" w:color="000000"/>
        </w:rPr>
        <w:t>3.2.3. AUDITORÍA OPERATIVA</w:t>
      </w:r>
      <w:r>
        <w:t xml:space="preserve"> </w:t>
      </w:r>
    </w:p>
    <w:p w:rsidR="00EE0979" w:rsidRDefault="00B022A0">
      <w:pPr>
        <w:spacing w:after="98" w:line="259" w:lineRule="auto"/>
        <w:ind w:left="14" w:firstLine="0"/>
        <w:jc w:val="left"/>
      </w:pPr>
      <w:r>
        <w:t xml:space="preserve"> </w:t>
      </w:r>
    </w:p>
    <w:p w:rsidR="00EE0979" w:rsidRDefault="00B022A0">
      <w:pPr>
        <w:ind w:right="100"/>
      </w:pPr>
      <w:r>
        <w:t xml:space="preserve"> Es una auditoría de ges</w:t>
      </w:r>
      <w:r>
        <w:t>tión, que tiene como objeto proporcionar una valoración  independiente de su racionalidad económico-financiera y su adecuación a los principios de la buena gestión, a fin de detectar sus posibles deficiencias y proponer las recomendaciones oportunas en ord</w:t>
      </w:r>
      <w:r>
        <w:t xml:space="preserve">en a la corrección de aquéllas, incluye auditorías de economía y eficiencia, auditorías de programas y auditorías de sistemas y procedimientos. </w:t>
      </w:r>
    </w:p>
    <w:p w:rsidR="00EE0979" w:rsidRDefault="00B022A0">
      <w:pPr>
        <w:spacing w:after="101" w:line="259" w:lineRule="auto"/>
        <w:ind w:left="14" w:firstLine="0"/>
        <w:jc w:val="left"/>
      </w:pPr>
      <w:r>
        <w:t xml:space="preserve"> </w:t>
      </w:r>
    </w:p>
    <w:p w:rsidR="00EE0979" w:rsidRDefault="00B022A0">
      <w:pPr>
        <w:tabs>
          <w:tab w:val="center" w:pos="2600"/>
        </w:tabs>
        <w:spacing w:after="116"/>
        <w:ind w:left="0" w:firstLine="0"/>
        <w:jc w:val="left"/>
      </w:pPr>
      <w:r>
        <w:t xml:space="preserve"> </w:t>
      </w:r>
      <w:r>
        <w:tab/>
        <w:t xml:space="preserve">Se aplicará a las siguientes entidades: </w:t>
      </w:r>
    </w:p>
    <w:p w:rsidR="00EE0979" w:rsidRDefault="00B022A0">
      <w:pPr>
        <w:spacing w:after="98" w:line="259" w:lineRule="auto"/>
        <w:ind w:left="14" w:firstLine="0"/>
        <w:jc w:val="left"/>
      </w:pPr>
      <w:r>
        <w:t xml:space="preserve"> </w:t>
      </w:r>
    </w:p>
    <w:p w:rsidR="00EE0979" w:rsidRDefault="00B022A0">
      <w:pPr>
        <w:ind w:right="100"/>
      </w:pPr>
      <w:r>
        <w:t>Entidad Pública Empresarial de Gestión de Empresas y Servicios P</w:t>
      </w:r>
      <w:r>
        <w:t xml:space="preserve">úblicos del Ayuntamiento de Candelaria. </w:t>
      </w:r>
    </w:p>
    <w:p w:rsidR="00EE0979" w:rsidRDefault="00B022A0">
      <w:pPr>
        <w:ind w:right="1029"/>
      </w:pPr>
      <w:r>
        <w:t xml:space="preserve">Sociedad Municipal de Viviendas y Servicios Municipales de Candelaria SLU. Fundación Candesol </w:t>
      </w:r>
    </w:p>
    <w:p w:rsidR="00EE0979" w:rsidRDefault="00B022A0">
      <w:pPr>
        <w:spacing w:after="100" w:line="259" w:lineRule="auto"/>
        <w:ind w:left="14" w:firstLine="0"/>
        <w:jc w:val="left"/>
      </w:pPr>
      <w:r>
        <w:t xml:space="preserve">  </w:t>
      </w:r>
    </w:p>
    <w:p w:rsidR="00EE0979" w:rsidRDefault="00B022A0">
      <w:pPr>
        <w:spacing w:after="95" w:line="259" w:lineRule="auto"/>
        <w:ind w:left="14" w:firstLine="0"/>
        <w:jc w:val="left"/>
      </w:pPr>
      <w:r>
        <w:t xml:space="preserve"> </w:t>
      </w:r>
    </w:p>
    <w:p w:rsidR="00EE0979" w:rsidRDefault="00B022A0">
      <w:pPr>
        <w:spacing w:after="115"/>
        <w:ind w:right="99" w:hanging="10"/>
      </w:pPr>
      <w:r>
        <w:rPr>
          <w:b/>
        </w:rPr>
        <w:t xml:space="preserve"> </w:t>
      </w:r>
      <w:r>
        <w:rPr>
          <w:b/>
        </w:rPr>
        <w:tab/>
        <w:t>3.3. ACTUACIONES DE AUDITORÍA PÚBLICA DERIVADOS DE UN ANÁLISIS DE RIESGOS</w:t>
      </w:r>
      <w:r>
        <w:t xml:space="preserve"> </w:t>
      </w:r>
    </w:p>
    <w:p w:rsidR="00EE0979" w:rsidRDefault="00B022A0">
      <w:pPr>
        <w:spacing w:after="98" w:line="259" w:lineRule="auto"/>
        <w:ind w:left="14" w:firstLine="0"/>
        <w:jc w:val="left"/>
      </w:pPr>
      <w:r>
        <w:t xml:space="preserve"> </w:t>
      </w:r>
    </w:p>
    <w:p w:rsidR="00EE0979" w:rsidRDefault="00B022A0">
      <w:pPr>
        <w:spacing w:after="112"/>
        <w:ind w:right="100"/>
      </w:pPr>
      <w:r>
        <w:t xml:space="preserve"> </w:t>
      </w:r>
      <w:r>
        <w:t>Para llevar a cabo la evaluación preliminar de dichos riesgos, se ha tenido en cuenta el nivel de exposición al mismo; la probabilidad de ocurrencia y la magnitud de su impacto. Para lo cual la Entidad contará con un mapa de riesgos capaz de identificar lo</w:t>
      </w:r>
      <w:r>
        <w:t xml:space="preserve">s mismos según los niveles de criticidad sirviendo como carta de navegación para conocer y definir posibles estrategias y prioridades en la gestión de los mismos de forma más eficiente con los medios disponibles. </w:t>
      </w:r>
    </w:p>
    <w:p w:rsidR="00EE0979" w:rsidRDefault="00B022A0">
      <w:pPr>
        <w:spacing w:after="100" w:line="259" w:lineRule="auto"/>
        <w:ind w:left="14" w:firstLine="0"/>
        <w:jc w:val="left"/>
      </w:pPr>
      <w:r>
        <w:t xml:space="preserve"> </w:t>
      </w:r>
    </w:p>
    <w:p w:rsidR="00EE0979" w:rsidRDefault="00B022A0">
      <w:pPr>
        <w:spacing w:after="0" w:line="259" w:lineRule="auto"/>
        <w:ind w:left="14" w:firstLine="0"/>
        <w:jc w:val="left"/>
      </w:pPr>
      <w:r>
        <w:t xml:space="preserve"> </w:t>
      </w:r>
      <w:r>
        <w:tab/>
        <w:t xml:space="preserve"> </w:t>
      </w:r>
    </w:p>
    <w:tbl>
      <w:tblPr>
        <w:tblStyle w:val="TableGrid"/>
        <w:tblW w:w="8474" w:type="dxa"/>
        <w:tblInd w:w="19" w:type="dxa"/>
        <w:tblCellMar>
          <w:top w:w="7" w:type="dxa"/>
          <w:left w:w="108" w:type="dxa"/>
          <w:bottom w:w="0" w:type="dxa"/>
          <w:right w:w="48" w:type="dxa"/>
        </w:tblCellMar>
        <w:tblLook w:val="04A0" w:firstRow="1" w:lastRow="0" w:firstColumn="1" w:lastColumn="0" w:noHBand="0" w:noVBand="1"/>
      </w:tblPr>
      <w:tblGrid>
        <w:gridCol w:w="4078"/>
        <w:gridCol w:w="4396"/>
      </w:tblGrid>
      <w:tr w:rsidR="00EE0979">
        <w:trPr>
          <w:trHeight w:val="637"/>
        </w:trPr>
        <w:tc>
          <w:tcPr>
            <w:tcW w:w="407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b/>
                <w:color w:val="FF6600"/>
              </w:rPr>
              <w:t>RIESGO CALIFICADO COMO ALTO O MUY AL</w:t>
            </w:r>
            <w:r>
              <w:rPr>
                <w:b/>
                <w:color w:val="FF6600"/>
              </w:rPr>
              <w:t xml:space="preserve">TO </w:t>
            </w:r>
          </w:p>
        </w:tc>
        <w:tc>
          <w:tcPr>
            <w:tcW w:w="439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color w:val="FF6600"/>
              </w:rPr>
              <w:t>ACTUACIONES PARA CONTROLAR EL RIESGO</w:t>
            </w:r>
            <w:r>
              <w:t xml:space="preserve"> </w:t>
            </w:r>
          </w:p>
        </w:tc>
      </w:tr>
      <w:tr w:rsidR="00EE0979">
        <w:trPr>
          <w:trHeight w:val="2129"/>
        </w:trPr>
        <w:tc>
          <w:tcPr>
            <w:tcW w:w="4078" w:type="dxa"/>
            <w:tcBorders>
              <w:top w:val="single" w:sz="4" w:space="0" w:color="000000"/>
              <w:left w:val="single" w:sz="4" w:space="0" w:color="000000"/>
              <w:bottom w:val="single" w:sz="4" w:space="0" w:color="000000"/>
              <w:right w:val="single" w:sz="4" w:space="0" w:color="000000"/>
            </w:tcBorders>
          </w:tcPr>
          <w:p w:rsidR="00EE0979" w:rsidRDefault="00B022A0">
            <w:pPr>
              <w:spacing w:after="100" w:line="259" w:lineRule="auto"/>
              <w:ind w:left="0" w:firstLine="0"/>
              <w:jc w:val="left"/>
            </w:pPr>
            <w:r>
              <w:t xml:space="preserve"> </w:t>
            </w:r>
          </w:p>
          <w:p w:rsidR="00EE0979" w:rsidRDefault="00B022A0">
            <w:pPr>
              <w:spacing w:after="98" w:line="259" w:lineRule="auto"/>
              <w:ind w:left="0" w:firstLine="0"/>
              <w:jc w:val="left"/>
            </w:pPr>
            <w:r>
              <w:t xml:space="preserve"> </w:t>
            </w:r>
          </w:p>
          <w:p w:rsidR="00EE0979" w:rsidRDefault="00B022A0">
            <w:pPr>
              <w:spacing w:after="110"/>
              <w:ind w:left="0" w:firstLine="0"/>
              <w:jc w:val="left"/>
            </w:pPr>
            <w:r>
              <w:t xml:space="preserve">CONTRATOS </w:t>
            </w:r>
            <w:r>
              <w:tab/>
              <w:t xml:space="preserve">MENORES </w:t>
            </w:r>
            <w:r>
              <w:tab/>
              <w:t xml:space="preserve">ENTES DEPENDIENTES </w:t>
            </w:r>
          </w:p>
          <w:p w:rsidR="00EE0979" w:rsidRDefault="00B022A0">
            <w:pPr>
              <w:spacing w:after="98" w:line="259" w:lineRule="auto"/>
              <w:ind w:left="0" w:firstLine="0"/>
              <w:jc w:val="left"/>
            </w:pPr>
            <w:r>
              <w:t xml:space="preserve"> </w:t>
            </w:r>
          </w:p>
          <w:p w:rsidR="00EE0979" w:rsidRDefault="00B022A0">
            <w:pPr>
              <w:spacing w:after="0" w:line="259" w:lineRule="auto"/>
              <w:ind w:left="0" w:firstLine="0"/>
              <w:jc w:val="left"/>
            </w:pPr>
            <w:r>
              <w:t xml:space="preserve"> </w:t>
            </w:r>
          </w:p>
        </w:tc>
        <w:tc>
          <w:tcPr>
            <w:tcW w:w="439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46" w:firstLine="0"/>
            </w:pPr>
            <w:r>
              <w:t xml:space="preserve">FORTALECER EL ÁREA DE CONTRATACIÓN PARA ELABORAR PLIEGOS, MINIMIZANDO LA TRAMITACIÓN DE CONTRATOS MENORES PARA CASOS CONCRETOS. </w:t>
            </w:r>
          </w:p>
        </w:tc>
      </w:tr>
      <w:tr w:rsidR="00EE0979">
        <w:trPr>
          <w:trHeight w:val="1275"/>
        </w:trPr>
        <w:tc>
          <w:tcPr>
            <w:tcW w:w="407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GESTIÓN DEL COMIC </w:t>
            </w:r>
          </w:p>
        </w:tc>
        <w:tc>
          <w:tcPr>
            <w:tcW w:w="4395" w:type="dxa"/>
            <w:tcBorders>
              <w:top w:val="single" w:sz="4" w:space="0" w:color="000000"/>
              <w:left w:val="single" w:sz="4" w:space="0" w:color="000000"/>
              <w:bottom w:val="single" w:sz="4" w:space="0" w:color="000000"/>
              <w:right w:val="single" w:sz="4" w:space="0" w:color="000000"/>
            </w:tcBorders>
          </w:tcPr>
          <w:p w:rsidR="00EE0979" w:rsidRDefault="00B022A0">
            <w:pPr>
              <w:spacing w:after="1" w:line="239" w:lineRule="auto"/>
              <w:ind w:left="0" w:right="59" w:firstLine="0"/>
            </w:pPr>
            <w:r>
              <w:t xml:space="preserve">EXISTENCIAS CON UN VALOR NETO CONTABLE DE 174.979,62 EUROS CON NULAS VENTAS EN LOS ÚLTIMOS AÑOS, HABIÉNDOSE GENERADO UN </w:t>
            </w:r>
          </w:p>
          <w:p w:rsidR="00EE0979" w:rsidRDefault="00B022A0">
            <w:pPr>
              <w:spacing w:after="0" w:line="259" w:lineRule="auto"/>
              <w:ind w:left="0" w:firstLine="0"/>
              <w:jc w:val="left"/>
            </w:pPr>
            <w:r>
              <w:t xml:space="preserve">DETERIORO DE 77.040,19 EUROS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tabs>
          <w:tab w:val="center" w:pos="4062"/>
        </w:tabs>
        <w:spacing w:after="6"/>
        <w:ind w:lef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rPr>
        <w:t>3.4. RESULTADOS DE LAS AUDITORÍAS PÚBLICAS: INFORMES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4"/>
        <w:ind w:right="100"/>
      </w:pPr>
      <w:r>
        <w:t xml:space="preserve"> </w:t>
      </w:r>
      <w:r>
        <w:t xml:space="preserve">El Real Decreto 424/2017 remite a las normas técnicas dictadas por la IGAE para establecer la estructura, contenido y tramitación de dichos informes, es decir, que éstos deberán ajustarse a las siguientes normas y notas técnicas: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rPr>
          <w:u w:val="single" w:color="000000"/>
        </w:rPr>
        <w:t>3.4.1. Auditoría de cu</w:t>
      </w:r>
      <w:r>
        <w:rPr>
          <w:u w:val="single" w:color="000000"/>
        </w:rPr>
        <w:t>entas:</w:t>
      </w:r>
      <w:r>
        <w:t xml:space="preserve">  </w:t>
      </w:r>
    </w:p>
    <w:p w:rsidR="00EE0979" w:rsidRDefault="00B022A0">
      <w:pPr>
        <w:spacing w:after="100" w:line="259" w:lineRule="auto"/>
        <w:ind w:left="14" w:firstLine="0"/>
        <w:jc w:val="left"/>
      </w:pPr>
      <w:r>
        <w:t xml:space="preserve"> </w:t>
      </w:r>
    </w:p>
    <w:p w:rsidR="00EE0979" w:rsidRDefault="00B022A0">
      <w:pPr>
        <w:spacing w:after="114"/>
        <w:ind w:right="100"/>
      </w:pPr>
      <w:r>
        <w:t xml:space="preserve">- Norma técnica sobre los informes de auditoría de cuentas anuales emitidos por la intervención general de la administración del estado (11-11-2013). </w:t>
      </w:r>
    </w:p>
    <w:p w:rsidR="00EE0979" w:rsidRDefault="00B022A0">
      <w:pPr>
        <w:spacing w:after="98" w:line="259" w:lineRule="auto"/>
        <w:ind w:left="14" w:firstLine="0"/>
        <w:jc w:val="left"/>
      </w:pPr>
      <w:r>
        <w:t xml:space="preserve"> </w:t>
      </w:r>
    </w:p>
    <w:p w:rsidR="00EE0979" w:rsidRDefault="00B022A0">
      <w:pPr>
        <w:tabs>
          <w:tab w:val="center" w:pos="4972"/>
        </w:tabs>
        <w:ind w:left="0" w:firstLine="0"/>
        <w:jc w:val="left"/>
      </w:pPr>
      <w:r>
        <w:t xml:space="preserve"> </w:t>
      </w:r>
      <w:r>
        <w:tab/>
        <w:t xml:space="preserve">Respecto al contenido del informe la norma técnica establece las siguientes secciones:  </w:t>
      </w:r>
    </w:p>
    <w:p w:rsidR="00EE0979" w:rsidRDefault="00B022A0">
      <w:pPr>
        <w:spacing w:after="0" w:line="259" w:lineRule="auto"/>
        <w:ind w:left="14" w:firstLine="0"/>
        <w:jc w:val="left"/>
      </w:pPr>
      <w:r>
        <w:t xml:space="preserve"> </w:t>
      </w:r>
    </w:p>
    <w:p w:rsidR="00EE0979" w:rsidRDefault="00B022A0">
      <w:pPr>
        <w:numPr>
          <w:ilvl w:val="0"/>
          <w:numId w:val="26"/>
        </w:numPr>
        <w:spacing w:after="128"/>
        <w:ind w:right="100" w:hanging="259"/>
      </w:pPr>
      <w:r>
        <w:t xml:space="preserve">Introducción.  </w:t>
      </w:r>
    </w:p>
    <w:p w:rsidR="00EE0979" w:rsidRDefault="00B022A0">
      <w:pPr>
        <w:numPr>
          <w:ilvl w:val="0"/>
          <w:numId w:val="26"/>
        </w:numPr>
        <w:spacing w:after="131"/>
        <w:ind w:right="100" w:hanging="259"/>
      </w:pPr>
      <w:r>
        <w:t xml:space="preserve">Objetivo y alcance del trabajo: responsabilidad de los auditores.  </w:t>
      </w:r>
    </w:p>
    <w:p w:rsidR="00EE0979" w:rsidRDefault="00B022A0">
      <w:pPr>
        <w:numPr>
          <w:ilvl w:val="0"/>
          <w:numId w:val="26"/>
        </w:numPr>
        <w:spacing w:after="128"/>
        <w:ind w:right="100" w:hanging="259"/>
      </w:pPr>
      <w:r>
        <w:t xml:space="preserve">Resultados del trabajo: fundamento de la opinión.  </w:t>
      </w:r>
    </w:p>
    <w:p w:rsidR="00EE0979" w:rsidRDefault="00B022A0">
      <w:pPr>
        <w:numPr>
          <w:ilvl w:val="0"/>
          <w:numId w:val="26"/>
        </w:numPr>
        <w:ind w:right="100" w:hanging="259"/>
      </w:pPr>
      <w:r>
        <w:t xml:space="preserve">Opinión sobre las cuentas anuales.  </w:t>
      </w:r>
    </w:p>
    <w:p w:rsidR="00EE0979" w:rsidRDefault="00B022A0">
      <w:pPr>
        <w:numPr>
          <w:ilvl w:val="0"/>
          <w:numId w:val="26"/>
        </w:numPr>
        <w:ind w:right="100" w:hanging="259"/>
      </w:pPr>
      <w:r>
        <w:t xml:space="preserve">Otros elementos del informe de auditoría. </w:t>
      </w:r>
      <w:r>
        <w:rPr>
          <w:sz w:val="24"/>
        </w:rP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rPr>
          <w:u w:val="single" w:color="000000"/>
        </w:rPr>
        <w:t>3.4.2. Auditoría de legalidad:</w:t>
      </w:r>
      <w:r>
        <w:t xml:space="preserve">  </w:t>
      </w:r>
    </w:p>
    <w:p w:rsidR="00EE0979" w:rsidRDefault="00B022A0">
      <w:pPr>
        <w:spacing w:after="98" w:line="259" w:lineRule="auto"/>
        <w:ind w:left="14" w:firstLine="0"/>
        <w:jc w:val="left"/>
      </w:pPr>
      <w:r>
        <w:t xml:space="preserve"> </w:t>
      </w:r>
    </w:p>
    <w:p w:rsidR="00EE0979" w:rsidRDefault="00B022A0">
      <w:pPr>
        <w:numPr>
          <w:ilvl w:val="0"/>
          <w:numId w:val="27"/>
        </w:numPr>
        <w:spacing w:after="111"/>
        <w:ind w:right="100" w:hanging="137"/>
      </w:pPr>
      <w:r>
        <w:t xml:space="preserve">Norma técnica de informe de recomendaciones de control interno e informe adicional al de auditoría de cuentas (01-06-2017).  </w:t>
      </w:r>
    </w:p>
    <w:p w:rsidR="00EE0979" w:rsidRDefault="00B022A0">
      <w:pPr>
        <w:numPr>
          <w:ilvl w:val="0"/>
          <w:numId w:val="27"/>
        </w:numPr>
        <w:spacing w:after="111"/>
        <w:ind w:right="100" w:hanging="137"/>
      </w:pPr>
      <w:r>
        <w:t>Resolución de 30 de julio de 2015, de la Intervención General de la Administración del Estado, por la que se dictan instrucciones</w:t>
      </w:r>
      <w:r>
        <w:t xml:space="preserve"> para el ejercicio de la auditoría pública.  </w:t>
      </w:r>
    </w:p>
    <w:p w:rsidR="00EE0979" w:rsidRDefault="00B022A0">
      <w:pPr>
        <w:numPr>
          <w:ilvl w:val="0"/>
          <w:numId w:val="27"/>
        </w:numPr>
        <w:spacing w:after="109"/>
        <w:ind w:right="100" w:hanging="137"/>
      </w:pPr>
      <w:r>
        <w:t xml:space="preserve">Notas técnicas de la IGAE aplicables a la Auditoría.  </w:t>
      </w:r>
    </w:p>
    <w:p w:rsidR="00EE0979" w:rsidRDefault="00B022A0">
      <w:pPr>
        <w:spacing w:after="100" w:line="259" w:lineRule="auto"/>
        <w:ind w:left="14" w:firstLine="0"/>
        <w:jc w:val="left"/>
      </w:pPr>
      <w:r>
        <w:t xml:space="preserve"> </w:t>
      </w:r>
    </w:p>
    <w:p w:rsidR="00EE0979" w:rsidRDefault="00B022A0">
      <w:pPr>
        <w:ind w:right="100"/>
      </w:pPr>
      <w:r>
        <w:t xml:space="preserve"> La Nota Técnica establece una estructura de este informe, en el que se incluirán, tanto para el informe provisional y definitivo, los siguientes apartad</w:t>
      </w:r>
      <w:r>
        <w:t xml:space="preserve">os: </w:t>
      </w:r>
      <w:r>
        <w:rPr>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28"/>
        </w:numPr>
        <w:spacing w:after="125"/>
        <w:ind w:right="100" w:hanging="259"/>
      </w:pPr>
      <w:r>
        <w:t xml:space="preserve">Título del Informe  </w:t>
      </w:r>
    </w:p>
    <w:p w:rsidR="00EE0979" w:rsidRDefault="00B022A0">
      <w:pPr>
        <w:numPr>
          <w:ilvl w:val="0"/>
          <w:numId w:val="28"/>
        </w:numPr>
        <w:spacing w:after="128"/>
        <w:ind w:right="100" w:hanging="259"/>
      </w:pPr>
      <w:r>
        <w:t xml:space="preserve">Introducción  </w:t>
      </w:r>
    </w:p>
    <w:p w:rsidR="00EE0979" w:rsidRDefault="00B022A0">
      <w:pPr>
        <w:numPr>
          <w:ilvl w:val="0"/>
          <w:numId w:val="28"/>
        </w:numPr>
        <w:spacing w:after="125"/>
        <w:ind w:right="100" w:hanging="259"/>
      </w:pPr>
      <w:r>
        <w:t xml:space="preserve">Objetivos y alcance  </w:t>
      </w:r>
    </w:p>
    <w:p w:rsidR="00EE0979" w:rsidRDefault="00B022A0">
      <w:pPr>
        <w:numPr>
          <w:ilvl w:val="0"/>
          <w:numId w:val="28"/>
        </w:numPr>
        <w:spacing w:after="145"/>
        <w:ind w:right="100" w:hanging="259"/>
      </w:pPr>
      <w:r>
        <w:t xml:space="preserve">Resultados del trabajo  </w:t>
      </w:r>
    </w:p>
    <w:p w:rsidR="00EE0979" w:rsidRDefault="00B022A0">
      <w:pPr>
        <w:numPr>
          <w:ilvl w:val="0"/>
          <w:numId w:val="28"/>
        </w:numPr>
        <w:ind w:right="100" w:hanging="259"/>
      </w:pPr>
      <w:r>
        <w:t xml:space="preserve">Conclusiones y recomendaciones </w:t>
      </w:r>
      <w:r>
        <w:rPr>
          <w:sz w:val="24"/>
        </w:rP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0" w:line="249" w:lineRule="auto"/>
        <w:ind w:left="9" w:right="96" w:hanging="10"/>
      </w:pPr>
      <w:r>
        <w:rPr>
          <w:u w:val="single" w:color="000000"/>
        </w:rPr>
        <w:t>3.4.3. Auditoría Operativa:</w:t>
      </w:r>
      <w:r>
        <w:t xml:space="preserve">  </w:t>
      </w:r>
    </w:p>
    <w:p w:rsidR="00EE0979" w:rsidRDefault="00B022A0">
      <w:pPr>
        <w:spacing w:after="98" w:line="259" w:lineRule="auto"/>
        <w:ind w:left="14" w:firstLine="0"/>
        <w:jc w:val="left"/>
      </w:pPr>
      <w:r>
        <w:t xml:space="preserve"> </w:t>
      </w:r>
    </w:p>
    <w:p w:rsidR="00EE0979" w:rsidRDefault="00B022A0">
      <w:pPr>
        <w:tabs>
          <w:tab w:val="center" w:pos="4745"/>
        </w:tabs>
        <w:spacing w:after="116"/>
        <w:ind w:left="0" w:firstLine="0"/>
        <w:jc w:val="left"/>
      </w:pPr>
      <w:r>
        <w:t xml:space="preserve"> </w:t>
      </w:r>
      <w:r>
        <w:tab/>
        <w:t xml:space="preserve">Para la Auditoría Operativa no existe ninguna norma de la IGAE a la que remitirse.  </w:t>
      </w:r>
    </w:p>
    <w:p w:rsidR="00EE0979" w:rsidRDefault="00B022A0">
      <w:pPr>
        <w:spacing w:after="101" w:line="259" w:lineRule="auto"/>
        <w:ind w:left="14" w:firstLine="0"/>
        <w:jc w:val="left"/>
      </w:pPr>
      <w:r>
        <w:t xml:space="preserve"> </w:t>
      </w:r>
    </w:p>
    <w:p w:rsidR="00EE0979" w:rsidRDefault="00B022A0">
      <w:pPr>
        <w:spacing w:after="111"/>
        <w:ind w:left="9" w:right="42" w:hanging="10"/>
        <w:jc w:val="left"/>
      </w:pPr>
      <w:r>
        <w:t xml:space="preserve"> </w:t>
      </w:r>
      <w:r>
        <w:tab/>
      </w:r>
      <w:r>
        <w:t>El propio Tribunal de cuentas nos remite a las normas anteriores en los aspectos a los que pudiera afectarle. Así, en cuanto a la estructura del informe puede, a modo orientativo, formularse de la misma manera y contenido que el informe de auditoría de cum</w:t>
      </w:r>
      <w:r>
        <w:t xml:space="preserve">plimiento:  </w:t>
      </w:r>
    </w:p>
    <w:p w:rsidR="00EE0979" w:rsidRDefault="00B022A0">
      <w:pPr>
        <w:spacing w:after="98" w:line="259" w:lineRule="auto"/>
        <w:ind w:left="14" w:firstLine="0"/>
        <w:jc w:val="left"/>
      </w:pPr>
      <w:r>
        <w:t xml:space="preserve"> </w:t>
      </w:r>
    </w:p>
    <w:p w:rsidR="00EE0979" w:rsidRDefault="00B022A0">
      <w:pPr>
        <w:numPr>
          <w:ilvl w:val="0"/>
          <w:numId w:val="29"/>
        </w:numPr>
        <w:spacing w:after="128"/>
        <w:ind w:right="100" w:hanging="259"/>
      </w:pPr>
      <w:r>
        <w:t xml:space="preserve">Introducción.  </w:t>
      </w:r>
    </w:p>
    <w:p w:rsidR="00EE0979" w:rsidRDefault="00B022A0">
      <w:pPr>
        <w:numPr>
          <w:ilvl w:val="0"/>
          <w:numId w:val="29"/>
        </w:numPr>
        <w:spacing w:after="125"/>
        <w:ind w:right="100" w:hanging="259"/>
      </w:pPr>
      <w:r>
        <w:t xml:space="preserve">Información utilizada y metodología.  </w:t>
      </w:r>
    </w:p>
    <w:p w:rsidR="00EE0979" w:rsidRDefault="00B022A0">
      <w:pPr>
        <w:numPr>
          <w:ilvl w:val="0"/>
          <w:numId w:val="29"/>
        </w:numPr>
        <w:spacing w:after="128"/>
        <w:ind w:right="100" w:hanging="259"/>
      </w:pPr>
      <w:r>
        <w:t xml:space="preserve">Objetivos fijados dentro de cada área de riesgo.  </w:t>
      </w:r>
    </w:p>
    <w:p w:rsidR="00EE0979" w:rsidRDefault="00B022A0">
      <w:pPr>
        <w:numPr>
          <w:ilvl w:val="0"/>
          <w:numId w:val="29"/>
        </w:numPr>
        <w:spacing w:after="143"/>
        <w:ind w:right="100" w:hanging="259"/>
      </w:pPr>
      <w:r>
        <w:t xml:space="preserve">Resultados obtenidos.  </w:t>
      </w:r>
    </w:p>
    <w:p w:rsidR="00EE0979" w:rsidRDefault="00B022A0">
      <w:pPr>
        <w:ind w:right="100"/>
      </w:pPr>
      <w:r>
        <w:t xml:space="preserve">5) Conclusiones y recomendaciones </w:t>
      </w:r>
      <w:r>
        <w:rPr>
          <w:sz w:val="24"/>
        </w:rPr>
        <w:t xml:space="preserve"> </w:t>
      </w:r>
    </w:p>
    <w:p w:rsidR="00EE0979" w:rsidRDefault="00B022A0">
      <w:pPr>
        <w:spacing w:after="98"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numPr>
          <w:ilvl w:val="0"/>
          <w:numId w:val="30"/>
        </w:numPr>
        <w:spacing w:after="113"/>
        <w:ind w:right="99" w:hanging="247"/>
      </w:pPr>
      <w:r>
        <w:rPr>
          <w:b/>
        </w:rPr>
        <w:t>CONTROL DE LAS MEDIDAS CORRECTORAS PROPUESTAS</w:t>
      </w:r>
      <w:r>
        <w:t xml:space="preserve"> </w:t>
      </w:r>
    </w:p>
    <w:p w:rsidR="00EE0979" w:rsidRDefault="00B022A0">
      <w:pPr>
        <w:spacing w:after="98" w:line="259" w:lineRule="auto"/>
        <w:ind w:left="14" w:firstLine="0"/>
        <w:jc w:val="left"/>
      </w:pPr>
      <w:r>
        <w:t xml:space="preserve"> </w:t>
      </w:r>
    </w:p>
    <w:p w:rsidR="00EE0979" w:rsidRDefault="00B022A0">
      <w:pPr>
        <w:spacing w:after="111"/>
        <w:ind w:right="100"/>
      </w:pPr>
      <w:r>
        <w:t xml:space="preserve"> </w:t>
      </w:r>
      <w:r>
        <w:t xml:space="preserve">La intervención local debe establecer los mecanismos adecuados que permitan un seguimiento tanto de las medidas correctoras, como de las actuaciones adoptadas por el órgano gestor y recogidas en las alegaciones presentadas al informe provisional. </w:t>
      </w:r>
    </w:p>
    <w:p w:rsidR="00EE0979" w:rsidRDefault="00B022A0">
      <w:pPr>
        <w:spacing w:after="101" w:line="259" w:lineRule="auto"/>
        <w:ind w:left="14" w:firstLine="0"/>
        <w:jc w:val="left"/>
      </w:pPr>
      <w:r>
        <w:t xml:space="preserve"> </w:t>
      </w:r>
    </w:p>
    <w:p w:rsidR="00EE0979" w:rsidRDefault="00B022A0">
      <w:pPr>
        <w:spacing w:after="111"/>
        <w:ind w:right="100"/>
      </w:pPr>
      <w:r>
        <w:t xml:space="preserve"> En co</w:t>
      </w:r>
      <w:r>
        <w:t xml:space="preserve">ncreto a lo largo del ejercicio se someterán a un seguimiento especial las medidas correctoras que vayan a ser implementadas como consecuencia de los Controles Financieros realizados durante este ejercicio. </w:t>
      </w:r>
    </w:p>
    <w:p w:rsidR="00EE0979" w:rsidRDefault="00B022A0">
      <w:pPr>
        <w:spacing w:after="215" w:line="259" w:lineRule="auto"/>
        <w:ind w:left="14" w:firstLine="0"/>
        <w:jc w:val="left"/>
      </w:pPr>
      <w:r>
        <w:t xml:space="preserve"> </w:t>
      </w:r>
    </w:p>
    <w:p w:rsidR="00EE0979" w:rsidRDefault="00B022A0">
      <w:pPr>
        <w:numPr>
          <w:ilvl w:val="1"/>
          <w:numId w:val="30"/>
        </w:numPr>
        <w:spacing w:after="103" w:line="259" w:lineRule="auto"/>
        <w:ind w:right="96" w:hanging="429"/>
      </w:pPr>
      <w:r>
        <w:rPr>
          <w:b/>
          <w:color w:val="333333"/>
          <w:u w:val="single" w:color="333333"/>
        </w:rPr>
        <w:t>INFORME DE CONTROL FINANCIERO.</w:t>
      </w:r>
      <w:r>
        <w:rPr>
          <w:b/>
          <w:color w:val="333333"/>
        </w:rPr>
        <w:t xml:space="preserve"> </w:t>
      </w:r>
    </w:p>
    <w:p w:rsidR="00EE0979" w:rsidRDefault="00B022A0">
      <w:pPr>
        <w:spacing w:after="98" w:line="259" w:lineRule="auto"/>
        <w:ind w:left="14" w:firstLine="0"/>
        <w:jc w:val="left"/>
      </w:pPr>
      <w:r>
        <w:rPr>
          <w:color w:val="333333"/>
        </w:rPr>
        <w:t xml:space="preserve"> </w:t>
      </w:r>
    </w:p>
    <w:p w:rsidR="00EE0979" w:rsidRDefault="00B022A0">
      <w:pPr>
        <w:spacing w:after="285" w:line="239" w:lineRule="auto"/>
        <w:ind w:left="9" w:right="95" w:hanging="10"/>
      </w:pPr>
      <w:r>
        <w:rPr>
          <w:color w:val="333333"/>
        </w:rPr>
        <w:t xml:space="preserve"> El resultad</w:t>
      </w:r>
      <w:r>
        <w:rPr>
          <w:color w:val="333333"/>
        </w:rPr>
        <w:t>o de las actuaciones de control permanente y de cada una de las auditorías se documentará en informes escritos, en los que se expondrán de forma clara, objetiva y ponderada los hechos comprobados, las conclusiones obtenidas y, en su caso, las recomendacion</w:t>
      </w:r>
      <w:r>
        <w:rPr>
          <w:color w:val="333333"/>
        </w:rPr>
        <w:t xml:space="preserve">es sobre las actuaciones objeto de control. Asimismo, se indicarán las deficiencias que deban ser subsanadas mediante una actuación correctora inmediata, debiendo verificarse su realización en las siguientes actuaciones de control. </w:t>
      </w:r>
    </w:p>
    <w:p w:rsidR="00EE0979" w:rsidRDefault="00B022A0">
      <w:pPr>
        <w:spacing w:after="285" w:line="239" w:lineRule="auto"/>
        <w:ind w:left="9" w:right="95" w:hanging="10"/>
      </w:pPr>
      <w:r>
        <w:rPr>
          <w:color w:val="333333"/>
        </w:rPr>
        <w:t xml:space="preserve"> La estructura, conteni</w:t>
      </w:r>
      <w:r>
        <w:rPr>
          <w:color w:val="333333"/>
        </w:rPr>
        <w:t>do y tramitación de los mencionados informes se ajustará a lo establecido en las normas técnicas de control financiero y auditoría dictadas por la Intervención General de la Administración del Estado.</w:t>
      </w:r>
      <w:r>
        <w:t xml:space="preserve"> </w:t>
      </w:r>
    </w:p>
    <w:p w:rsidR="00EE0979" w:rsidRDefault="00B022A0">
      <w:pPr>
        <w:spacing w:after="98" w:line="259" w:lineRule="auto"/>
        <w:ind w:left="14" w:firstLine="0"/>
        <w:jc w:val="left"/>
      </w:pPr>
      <w:r>
        <w:t xml:space="preserve"> </w:t>
      </w:r>
    </w:p>
    <w:p w:rsidR="00EE0979" w:rsidRDefault="00B022A0">
      <w:pPr>
        <w:numPr>
          <w:ilvl w:val="1"/>
          <w:numId w:val="30"/>
        </w:numPr>
        <w:spacing w:after="110" w:line="249" w:lineRule="auto"/>
        <w:ind w:right="96" w:hanging="429"/>
      </w:pPr>
      <w:r>
        <w:rPr>
          <w:u w:val="single" w:color="000000"/>
        </w:rPr>
        <w:t>INFORME RESUMEN ANUAL</w:t>
      </w:r>
      <w:r>
        <w:t xml:space="preserve"> </w:t>
      </w:r>
    </w:p>
    <w:p w:rsidR="00EE0979" w:rsidRDefault="00B022A0">
      <w:pPr>
        <w:spacing w:after="100" w:line="259" w:lineRule="auto"/>
        <w:ind w:left="14" w:firstLine="0"/>
        <w:jc w:val="left"/>
      </w:pPr>
      <w:r>
        <w:t xml:space="preserve"> </w:t>
      </w:r>
    </w:p>
    <w:p w:rsidR="00EE0979" w:rsidRDefault="00B022A0">
      <w:pPr>
        <w:spacing w:after="114"/>
        <w:ind w:right="100"/>
      </w:pPr>
      <w:r>
        <w:t xml:space="preserve"> De acuerdo con lo establec</w:t>
      </w:r>
      <w:r>
        <w:t xml:space="preserve">ido en el artículo 37 y 38 del Real Decreto 424/2017, de 28 de abril, por el que se regula el régimen jurídico del control interno en las entidades del Sector Público Local, se deberá elaborar con carácter anual y con ocasión de la aprobación de la cuenta </w:t>
      </w:r>
      <w:r>
        <w:t>general, el informe resumen de los resultados del control interno señalado en el artículo 213 del Texto Refundido de la Ley reguladora de las Haciendas Locales, para su conocimiento y efectos oportunos, comprensivo de los resultados más significativos de l</w:t>
      </w:r>
      <w:r>
        <w:t xml:space="preserve">a ejecución del mismo y de las debilidades puestas de manifiesto en el mismo. </w:t>
      </w:r>
    </w:p>
    <w:p w:rsidR="00EE0979" w:rsidRDefault="00B022A0">
      <w:pPr>
        <w:spacing w:after="98" w:line="259" w:lineRule="auto"/>
        <w:ind w:left="14" w:firstLine="0"/>
        <w:jc w:val="left"/>
      </w:pPr>
      <w:r>
        <w:t xml:space="preserve"> </w:t>
      </w:r>
    </w:p>
    <w:p w:rsidR="00EE0979" w:rsidRDefault="00B022A0">
      <w:pPr>
        <w:spacing w:after="114"/>
        <w:ind w:right="100"/>
      </w:pPr>
      <w:r>
        <w:t xml:space="preserve"> </w:t>
      </w:r>
      <w:r>
        <w:t>El informe resumen será remitido al Pleno, a través del Presidente de la Corporación, y a la Intervención General de la Administración del Estado en el curso del primer cuatrimestre de cada año y contendrá los resultados más significativos derivados de las</w:t>
      </w:r>
      <w:r>
        <w:t xml:space="preserve"> de las actuaciones de control financiero y de función interventora realizadas en el ejercicio anterior. </w:t>
      </w:r>
    </w:p>
    <w:p w:rsidR="00EE0979" w:rsidRDefault="00B022A0">
      <w:pPr>
        <w:spacing w:after="98"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numPr>
          <w:ilvl w:val="1"/>
          <w:numId w:val="30"/>
        </w:numPr>
        <w:spacing w:after="110" w:line="249" w:lineRule="auto"/>
        <w:ind w:right="96" w:hanging="429"/>
      </w:pPr>
      <w:r>
        <w:rPr>
          <w:u w:val="single" w:color="000000"/>
        </w:rPr>
        <w:t>PLAN DE ACCIÓN</w:t>
      </w:r>
      <w:r>
        <w:t xml:space="preserve"> </w:t>
      </w:r>
    </w:p>
    <w:p w:rsidR="00EE0979" w:rsidRDefault="00B022A0">
      <w:pPr>
        <w:spacing w:after="98" w:line="259" w:lineRule="auto"/>
        <w:ind w:left="14" w:firstLine="0"/>
        <w:jc w:val="left"/>
      </w:pPr>
      <w:r>
        <w:t xml:space="preserve"> </w:t>
      </w:r>
    </w:p>
    <w:p w:rsidR="00EE0979" w:rsidRDefault="00B022A0">
      <w:pPr>
        <w:spacing w:after="114"/>
        <w:ind w:right="100"/>
      </w:pPr>
      <w:r>
        <w:t xml:space="preserve"> El plan de acción consta de dos partes, una que sería de elaboración y será realizada por el Presidente de la corporación y otr</w:t>
      </w:r>
      <w:r>
        <w:t xml:space="preserve">a de seguimiento, que será llevada a cabo por el interventor.  </w:t>
      </w:r>
    </w:p>
    <w:p w:rsidR="00EE0979" w:rsidRDefault="00B022A0">
      <w:pPr>
        <w:spacing w:after="98" w:line="259" w:lineRule="auto"/>
        <w:ind w:left="14" w:firstLine="0"/>
        <w:jc w:val="left"/>
      </w:pPr>
      <w:r>
        <w:t xml:space="preserve"> </w:t>
      </w:r>
    </w:p>
    <w:p w:rsidR="00EE0979" w:rsidRDefault="00B022A0">
      <w:pPr>
        <w:numPr>
          <w:ilvl w:val="2"/>
          <w:numId w:val="30"/>
        </w:numPr>
        <w:ind w:right="100" w:hanging="614"/>
      </w:pPr>
      <w:r>
        <w:t xml:space="preserve">Elaboración: </w:t>
      </w:r>
    </w:p>
    <w:p w:rsidR="00EE0979" w:rsidRDefault="00B022A0">
      <w:pPr>
        <w:spacing w:after="0" w:line="259" w:lineRule="auto"/>
        <w:ind w:left="14" w:firstLine="0"/>
        <w:jc w:val="left"/>
      </w:pPr>
      <w:r>
        <w:t xml:space="preserve"> </w:t>
      </w:r>
    </w:p>
    <w:p w:rsidR="00EE0979" w:rsidRDefault="00B022A0">
      <w:pPr>
        <w:ind w:right="100"/>
      </w:pPr>
      <w:r>
        <w:t xml:space="preserve"> El plazo de elaboración será de un máximo de 3 meses desde la remisión del informe resumen al Pleno y contendrá:  </w:t>
      </w:r>
    </w:p>
    <w:p w:rsidR="00EE0979" w:rsidRDefault="00B022A0">
      <w:pPr>
        <w:spacing w:after="0" w:line="259" w:lineRule="auto"/>
        <w:ind w:left="14" w:firstLine="0"/>
        <w:jc w:val="left"/>
      </w:pPr>
      <w:r>
        <w:t xml:space="preserve"> </w:t>
      </w:r>
    </w:p>
    <w:p w:rsidR="00EE0979" w:rsidRDefault="00B022A0">
      <w:pPr>
        <w:spacing w:after="4" w:line="353" w:lineRule="auto"/>
        <w:ind w:left="190" w:right="4762" w:hanging="10"/>
        <w:jc w:val="left"/>
      </w:pPr>
      <w:r>
        <w:rPr>
          <w:noProof/>
        </w:rPr>
        <w:drawing>
          <wp:anchor distT="0" distB="0" distL="114300" distR="114300" simplePos="0" relativeHeight="251659264" behindDoc="1" locked="0" layoutInCell="1" allowOverlap="0">
            <wp:simplePos x="0" y="0"/>
            <wp:positionH relativeFrom="column">
              <wp:posOffset>9144</wp:posOffset>
            </wp:positionH>
            <wp:positionV relativeFrom="paragraph">
              <wp:posOffset>396</wp:posOffset>
            </wp:positionV>
            <wp:extent cx="210312" cy="156972"/>
            <wp:effectExtent l="0" t="0" r="0" b="0"/>
            <wp:wrapNone/>
            <wp:docPr id="8401" name="Picture 8401"/>
            <wp:cNvGraphicFramePr/>
            <a:graphic xmlns:a="http://schemas.openxmlformats.org/drawingml/2006/main">
              <a:graphicData uri="http://schemas.openxmlformats.org/drawingml/2006/picture">
                <pic:pic xmlns:pic="http://schemas.openxmlformats.org/drawingml/2006/picture">
                  <pic:nvPicPr>
                    <pic:cNvPr id="8401" name="Picture 8401"/>
                    <pic:cNvPicPr/>
                  </pic:nvPicPr>
                  <pic:blipFill>
                    <a:blip r:embed="rId19"/>
                    <a:stretch>
                      <a:fillRect/>
                    </a:stretch>
                  </pic:blipFill>
                  <pic:spPr>
                    <a:xfrm>
                      <a:off x="0" y="0"/>
                      <a:ext cx="210312" cy="156972"/>
                    </a:xfrm>
                    <a:prstGeom prst="rect">
                      <a:avLst/>
                    </a:prstGeom>
                  </pic:spPr>
                </pic:pic>
              </a:graphicData>
            </a:graphic>
          </wp:anchor>
        </w:drawing>
      </w:r>
      <w:r>
        <w:rPr>
          <w:noProof/>
        </w:rPr>
        <w:drawing>
          <wp:anchor distT="0" distB="0" distL="114300" distR="114300" simplePos="0" relativeHeight="251660288" behindDoc="1" locked="0" layoutInCell="1" allowOverlap="0">
            <wp:simplePos x="0" y="0"/>
            <wp:positionH relativeFrom="column">
              <wp:posOffset>9144</wp:posOffset>
            </wp:positionH>
            <wp:positionV relativeFrom="paragraph">
              <wp:posOffset>238141</wp:posOffset>
            </wp:positionV>
            <wp:extent cx="210312" cy="156972"/>
            <wp:effectExtent l="0" t="0" r="0" b="0"/>
            <wp:wrapNone/>
            <wp:docPr id="8407" name="Picture 8407"/>
            <wp:cNvGraphicFramePr/>
            <a:graphic xmlns:a="http://schemas.openxmlformats.org/drawingml/2006/main">
              <a:graphicData uri="http://schemas.openxmlformats.org/drawingml/2006/picture">
                <pic:pic xmlns:pic="http://schemas.openxmlformats.org/drawingml/2006/picture">
                  <pic:nvPicPr>
                    <pic:cNvPr id="8407" name="Picture 8407"/>
                    <pic:cNvPicPr/>
                  </pic:nvPicPr>
                  <pic:blipFill>
                    <a:blip r:embed="rId19"/>
                    <a:stretch>
                      <a:fillRect/>
                    </a:stretch>
                  </pic:blipFill>
                  <pic:spPr>
                    <a:xfrm>
                      <a:off x="0" y="0"/>
                      <a:ext cx="210312" cy="156972"/>
                    </a:xfrm>
                    <a:prstGeom prst="rect">
                      <a:avLst/>
                    </a:prstGeom>
                  </pic:spPr>
                </pic:pic>
              </a:graphicData>
            </a:graphic>
          </wp:anchor>
        </w:drawing>
      </w:r>
      <w:r>
        <w:rPr>
          <w:noProof/>
        </w:rPr>
        <w:drawing>
          <wp:anchor distT="0" distB="0" distL="114300" distR="114300" simplePos="0" relativeHeight="251661312" behindDoc="1" locked="0" layoutInCell="1" allowOverlap="0">
            <wp:simplePos x="0" y="0"/>
            <wp:positionH relativeFrom="column">
              <wp:posOffset>9144</wp:posOffset>
            </wp:positionH>
            <wp:positionV relativeFrom="paragraph">
              <wp:posOffset>474360</wp:posOffset>
            </wp:positionV>
            <wp:extent cx="210312" cy="156972"/>
            <wp:effectExtent l="0" t="0" r="0" b="0"/>
            <wp:wrapNone/>
            <wp:docPr id="8412" name="Picture 8412"/>
            <wp:cNvGraphicFramePr/>
            <a:graphic xmlns:a="http://schemas.openxmlformats.org/drawingml/2006/main">
              <a:graphicData uri="http://schemas.openxmlformats.org/drawingml/2006/picture">
                <pic:pic xmlns:pic="http://schemas.openxmlformats.org/drawingml/2006/picture">
                  <pic:nvPicPr>
                    <pic:cNvPr id="8412" name="Picture 8412"/>
                    <pic:cNvPicPr/>
                  </pic:nvPicPr>
                  <pic:blipFill>
                    <a:blip r:embed="rId19"/>
                    <a:stretch>
                      <a:fillRect/>
                    </a:stretch>
                  </pic:blipFill>
                  <pic:spPr>
                    <a:xfrm>
                      <a:off x="0" y="0"/>
                      <a:ext cx="210312" cy="156972"/>
                    </a:xfrm>
                    <a:prstGeom prst="rect">
                      <a:avLst/>
                    </a:prstGeom>
                  </pic:spPr>
                </pic:pic>
              </a:graphicData>
            </a:graphic>
          </wp:anchor>
        </w:drawing>
      </w:r>
      <w:r>
        <w:t xml:space="preserve"> medidas de corrección adoptadas,   </w:t>
      </w:r>
      <w:r>
        <w:t xml:space="preserve">responsable de implementar dichas medidas,   calendario de actuaciones a realizar.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numPr>
          <w:ilvl w:val="2"/>
          <w:numId w:val="30"/>
        </w:numPr>
        <w:ind w:right="100" w:hanging="614"/>
      </w:pPr>
      <w:r>
        <w:t xml:space="preserve">Seguimiento: </w:t>
      </w:r>
    </w:p>
    <w:p w:rsidR="00EE0979" w:rsidRDefault="00B022A0">
      <w:pPr>
        <w:spacing w:after="0" w:line="259" w:lineRule="auto"/>
        <w:ind w:left="14" w:firstLine="0"/>
        <w:jc w:val="left"/>
      </w:pPr>
      <w:r>
        <w:t xml:space="preserve"> </w:t>
      </w:r>
    </w:p>
    <w:p w:rsidR="00EE0979" w:rsidRDefault="00B022A0">
      <w:pPr>
        <w:tabs>
          <w:tab w:val="center" w:pos="5064"/>
        </w:tabs>
        <w:ind w:left="0" w:firstLine="0"/>
        <w:jc w:val="left"/>
      </w:pPr>
      <w:r>
        <w:t xml:space="preserve"> </w:t>
      </w:r>
      <w:r>
        <w:tab/>
        <w:t xml:space="preserve">El Presidente de la Corporación remitirá el plan de acción al órgano interventor para que:  </w:t>
      </w:r>
    </w:p>
    <w:p w:rsidR="00EE0979" w:rsidRDefault="00B022A0">
      <w:pPr>
        <w:spacing w:after="0" w:line="259" w:lineRule="auto"/>
        <w:ind w:left="14" w:firstLine="0"/>
        <w:jc w:val="left"/>
      </w:pPr>
      <w:r>
        <w:t xml:space="preserve"> </w:t>
      </w:r>
    </w:p>
    <w:p w:rsidR="00EE0979" w:rsidRDefault="00B022A0">
      <w:pPr>
        <w:spacing w:after="131"/>
        <w:ind w:left="14" w:right="100" w:firstLine="166"/>
      </w:pPr>
      <w:r>
        <w:rPr>
          <w:noProof/>
        </w:rPr>
        <w:drawing>
          <wp:anchor distT="0" distB="0" distL="114300" distR="114300" simplePos="0" relativeHeight="251662336" behindDoc="1" locked="0" layoutInCell="1" allowOverlap="0">
            <wp:simplePos x="0" y="0"/>
            <wp:positionH relativeFrom="column">
              <wp:posOffset>9144</wp:posOffset>
            </wp:positionH>
            <wp:positionV relativeFrom="paragraph">
              <wp:posOffset>397</wp:posOffset>
            </wp:positionV>
            <wp:extent cx="210312" cy="156972"/>
            <wp:effectExtent l="0" t="0" r="0" b="0"/>
            <wp:wrapNone/>
            <wp:docPr id="8426" name="Picture 8426"/>
            <wp:cNvGraphicFramePr/>
            <a:graphic xmlns:a="http://schemas.openxmlformats.org/drawingml/2006/main">
              <a:graphicData uri="http://schemas.openxmlformats.org/drawingml/2006/picture">
                <pic:pic xmlns:pic="http://schemas.openxmlformats.org/drawingml/2006/picture">
                  <pic:nvPicPr>
                    <pic:cNvPr id="8426" name="Picture 8426"/>
                    <pic:cNvPicPr/>
                  </pic:nvPicPr>
                  <pic:blipFill>
                    <a:blip r:embed="rId19"/>
                    <a:stretch>
                      <a:fillRect/>
                    </a:stretch>
                  </pic:blipFill>
                  <pic:spPr>
                    <a:xfrm>
                      <a:off x="0" y="0"/>
                      <a:ext cx="210312" cy="156972"/>
                    </a:xfrm>
                    <a:prstGeom prst="rect">
                      <a:avLst/>
                    </a:prstGeom>
                  </pic:spPr>
                </pic:pic>
              </a:graphicData>
            </a:graphic>
          </wp:anchor>
        </w:drawing>
      </w:r>
      <w:r>
        <w:t xml:space="preserve"> Valore su adecuación para solventar </w:t>
      </w:r>
      <w:r>
        <w:t xml:space="preserve">las deficiencias señaladas y en su caso los resultados obtenidos.  </w:t>
      </w:r>
    </w:p>
    <w:p w:rsidR="00EE0979" w:rsidRDefault="00B022A0">
      <w:pPr>
        <w:spacing w:after="128"/>
        <w:ind w:left="14" w:right="100" w:firstLine="166"/>
      </w:pPr>
      <w:r>
        <w:rPr>
          <w:noProof/>
        </w:rPr>
        <w:drawing>
          <wp:anchor distT="0" distB="0" distL="114300" distR="114300" simplePos="0" relativeHeight="251663360" behindDoc="1" locked="0" layoutInCell="1" allowOverlap="0">
            <wp:simplePos x="0" y="0"/>
            <wp:positionH relativeFrom="column">
              <wp:posOffset>9144</wp:posOffset>
            </wp:positionH>
            <wp:positionV relativeFrom="paragraph">
              <wp:posOffset>396</wp:posOffset>
            </wp:positionV>
            <wp:extent cx="210312" cy="156972"/>
            <wp:effectExtent l="0" t="0" r="0" b="0"/>
            <wp:wrapNone/>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19"/>
                    <a:stretch>
                      <a:fillRect/>
                    </a:stretch>
                  </pic:blipFill>
                  <pic:spPr>
                    <a:xfrm>
                      <a:off x="0" y="0"/>
                      <a:ext cx="210312" cy="156972"/>
                    </a:xfrm>
                    <a:prstGeom prst="rect">
                      <a:avLst/>
                    </a:prstGeom>
                  </pic:spPr>
                </pic:pic>
              </a:graphicData>
            </a:graphic>
          </wp:anchor>
        </w:drawing>
      </w:r>
      <w:r>
        <w:t xml:space="preserve"> Informe al Pleno sobre la situación de la corrección de las debilidades puestas de manifiesto en el ejercicio del control interno, permitiendo así que el Pleno realice un seguimiento per</w:t>
      </w:r>
      <w:r>
        <w:t xml:space="preserve">iódico de las medidas correctoras implantadas para la mejora de las gestiones económico financiera.  </w:t>
      </w:r>
    </w:p>
    <w:p w:rsidR="00EE0979" w:rsidRDefault="00B022A0">
      <w:pPr>
        <w:ind w:left="14" w:right="100" w:firstLine="166"/>
      </w:pPr>
      <w:r>
        <w:rPr>
          <w:noProof/>
        </w:rPr>
        <w:drawing>
          <wp:anchor distT="0" distB="0" distL="114300" distR="114300" simplePos="0" relativeHeight="251664384" behindDoc="1" locked="0" layoutInCell="1" allowOverlap="0">
            <wp:simplePos x="0" y="0"/>
            <wp:positionH relativeFrom="column">
              <wp:posOffset>9144</wp:posOffset>
            </wp:positionH>
            <wp:positionV relativeFrom="paragraph">
              <wp:posOffset>396</wp:posOffset>
            </wp:positionV>
            <wp:extent cx="210312" cy="156972"/>
            <wp:effectExtent l="0" t="0" r="0" b="0"/>
            <wp:wrapNone/>
            <wp:docPr id="8442" name="Picture 8442"/>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19"/>
                    <a:stretch>
                      <a:fillRect/>
                    </a:stretch>
                  </pic:blipFill>
                  <pic:spPr>
                    <a:xfrm>
                      <a:off x="0" y="0"/>
                      <a:ext cx="210312" cy="156972"/>
                    </a:xfrm>
                    <a:prstGeom prst="rect">
                      <a:avLst/>
                    </a:prstGeom>
                  </pic:spPr>
                </pic:pic>
              </a:graphicData>
            </a:graphic>
          </wp:anchor>
        </w:drawing>
      </w:r>
      <w:r>
        <w:t xml:space="preserve"> En la remisión anual a la IGAE del informe resumen de los resultados del control interno se informará, asimismo, sobre la corrección de las debilidades </w:t>
      </w:r>
      <w:r>
        <w:t xml:space="preserve">puestas de manifiesto.  </w:t>
      </w:r>
    </w:p>
    <w:p w:rsidR="00EE0979" w:rsidRDefault="00B022A0">
      <w:pPr>
        <w:spacing w:after="0" w:line="259" w:lineRule="auto"/>
        <w:ind w:left="14" w:firstLine="0"/>
        <w:jc w:val="left"/>
      </w:pPr>
      <w:r>
        <w:t xml:space="preserve"> </w:t>
      </w:r>
    </w:p>
    <w:p w:rsidR="00EE0979" w:rsidRDefault="00B022A0">
      <w:pPr>
        <w:ind w:right="100"/>
      </w:pPr>
      <w:r>
        <w:t xml:space="preserve"> Por otro lado, la Resolución de 30 de julio de 2015, de la Intervención General de la Administración del Estado, por la que se dictan instrucciones para el ejercicio de la auditoría pública, también analiza la normativa que regu</w:t>
      </w:r>
      <w:r>
        <w:t xml:space="preserve">la el seguimiento de las medidas correctoras recogidas en los informes y la valoración de los planes de acción. </w:t>
      </w:r>
      <w:r>
        <w:rPr>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Así, la Disposición Vigesimoprimera de la Resolución de 30 de julio de 2015, regula las propuestas y seguimiento de medidas correctoras, di</w:t>
      </w:r>
      <w:r>
        <w:t xml:space="preserve">sponiendo:  </w:t>
      </w:r>
    </w:p>
    <w:p w:rsidR="00EE0979" w:rsidRDefault="00B022A0">
      <w:pPr>
        <w:spacing w:after="0" w:line="259" w:lineRule="auto"/>
        <w:ind w:left="14" w:firstLine="0"/>
        <w:jc w:val="left"/>
      </w:pPr>
      <w:r>
        <w:t xml:space="preserve"> </w:t>
      </w:r>
    </w:p>
    <w:p w:rsidR="00EE0979" w:rsidRDefault="00B022A0">
      <w:pPr>
        <w:numPr>
          <w:ilvl w:val="0"/>
          <w:numId w:val="31"/>
        </w:numPr>
        <w:ind w:right="100"/>
      </w:pPr>
      <w:r>
        <w:t>Los informes de auditoría pública deberán reflejar claramente las debilidades, deficiencias, errores e incumplimientos que se hayan puesto de manifiesto en el trabajo realizado, y la necesidad de adoptar medidas correctoras para solucionar l</w:t>
      </w:r>
      <w:r>
        <w:t xml:space="preserve">as deficiencias puestas de manifiesto y para reparar o evitar perjuicios para la Hacienda Pública o para el órgano gestor.  </w:t>
      </w:r>
    </w:p>
    <w:p w:rsidR="00EE0979" w:rsidRDefault="00B022A0">
      <w:pPr>
        <w:numPr>
          <w:ilvl w:val="0"/>
          <w:numId w:val="31"/>
        </w:numPr>
        <w:ind w:right="100"/>
      </w:pPr>
      <w:r>
        <w:t>Se indicará a la entidad auditada que deberá comunicar al órgano de control las medidas correctoras que la entidad auditada tiene p</w:t>
      </w:r>
      <w:r>
        <w:t xml:space="preserve">revisto adoptar, el calendario previsto para solucionar las deficiencias puestas de manifiesto o las actuaciones realizadas para reparar o evitar perjuicios para la Hacienda Pública o para el ente controlado.  </w:t>
      </w:r>
    </w:p>
    <w:p w:rsidR="00EE0979" w:rsidRDefault="00B022A0">
      <w:pPr>
        <w:spacing w:after="0" w:line="259" w:lineRule="auto"/>
        <w:ind w:left="14" w:firstLine="0"/>
        <w:jc w:val="left"/>
      </w:pPr>
      <w:r>
        <w:t xml:space="preserve"> </w:t>
      </w:r>
    </w:p>
    <w:p w:rsidR="00EE0979" w:rsidRDefault="00B022A0">
      <w:pPr>
        <w:ind w:right="100"/>
      </w:pPr>
      <w:r>
        <w:t xml:space="preserve"> Así las cosas, dicha Disposición puesta en</w:t>
      </w:r>
      <w:r>
        <w:t xml:space="preserve"> conexión con el articulado del RD 424/2017 lleva a concluir que el plan de acción, basado en el informe resumen, ha de abarcar la actuación de control interno ejercida sobre el Ente principal y resto de entes dependientes sobre los que se ha ejercicio el </w:t>
      </w:r>
      <w:r>
        <w:t xml:space="preserve">control financiero permanente y la auditoría pública. </w:t>
      </w:r>
      <w:r>
        <w:rPr>
          <w:sz w:val="24"/>
        </w:rPr>
        <w:t xml:space="preserve"> </w:t>
      </w:r>
    </w:p>
    <w:p w:rsidR="00EE0979" w:rsidRDefault="00B022A0">
      <w:pPr>
        <w:spacing w:after="95" w:line="259" w:lineRule="auto"/>
        <w:ind w:left="14" w:firstLine="0"/>
        <w:jc w:val="left"/>
      </w:pPr>
      <w:r>
        <w:t xml:space="preserve"> </w:t>
      </w:r>
    </w:p>
    <w:p w:rsidR="00EE0979" w:rsidRDefault="00B022A0">
      <w:pPr>
        <w:spacing w:after="113"/>
        <w:ind w:right="99" w:hanging="10"/>
      </w:pPr>
      <w:r>
        <w:rPr>
          <w:b/>
        </w:rPr>
        <w:t>5. METODOLOGÍA DE LAS ACTUACIONES DE CONTROL FINANCIERO</w:t>
      </w:r>
      <w:r>
        <w:t xml:space="preserve"> </w:t>
      </w:r>
    </w:p>
    <w:p w:rsidR="00EE0979" w:rsidRDefault="00B022A0">
      <w:pPr>
        <w:spacing w:after="149" w:line="259" w:lineRule="auto"/>
        <w:ind w:left="14" w:firstLine="0"/>
        <w:jc w:val="left"/>
      </w:pPr>
      <w:r>
        <w:t xml:space="preserve"> </w:t>
      </w:r>
    </w:p>
    <w:p w:rsidR="00EE0979" w:rsidRDefault="00B022A0">
      <w:pPr>
        <w:tabs>
          <w:tab w:val="center" w:pos="2827"/>
        </w:tabs>
        <w:ind w:left="0" w:firstLine="0"/>
        <w:jc w:val="left"/>
      </w:pPr>
      <w:r>
        <w:rPr>
          <w:rFonts w:ascii="Segoe UI Symbol" w:eastAsia="Segoe UI Symbol" w:hAnsi="Segoe UI Symbol" w:cs="Segoe UI Symbol"/>
          <w:sz w:val="24"/>
        </w:rPr>
        <w:t></w:t>
      </w:r>
      <w:r>
        <w:rPr>
          <w:sz w:val="24"/>
        </w:rPr>
        <w:t xml:space="preserve"> </w:t>
      </w:r>
      <w:r>
        <w:rPr>
          <w:sz w:val="24"/>
        </w:rPr>
        <w:tab/>
      </w:r>
      <w:r>
        <w:t xml:space="preserve">Colaboración en las actuaciones de control </w:t>
      </w:r>
    </w:p>
    <w:p w:rsidR="00EE0979" w:rsidRDefault="00B022A0">
      <w:pPr>
        <w:spacing w:after="100" w:line="259" w:lineRule="auto"/>
        <w:ind w:left="14" w:firstLine="0"/>
        <w:jc w:val="left"/>
      </w:pPr>
      <w:r>
        <w:t xml:space="preserve"> </w:t>
      </w:r>
    </w:p>
    <w:p w:rsidR="00EE0979" w:rsidRDefault="00B022A0">
      <w:pPr>
        <w:spacing w:after="112"/>
        <w:ind w:right="100"/>
      </w:pPr>
      <w:r>
        <w:t xml:space="preserve"> </w:t>
      </w:r>
      <w:r>
        <w:t xml:space="preserve">La ejecución del Plan Anual se llevará a cabo por el interventor de esta entidad, con la colaboración mediante los oportunos convenios o contratos, de otros órganos públicos o firmas privadas de auditoría, de acuerdo con lo especificado en cada uno de los </w:t>
      </w:r>
      <w:r>
        <w:t xml:space="preserve">puntos de actuaciones del presente Plan.  </w:t>
      </w:r>
    </w:p>
    <w:p w:rsidR="00EE0979" w:rsidRDefault="00B022A0">
      <w:pPr>
        <w:spacing w:after="100" w:line="259" w:lineRule="auto"/>
        <w:ind w:left="14" w:firstLine="0"/>
        <w:jc w:val="left"/>
      </w:pPr>
      <w:r>
        <w:t xml:space="preserve"> </w:t>
      </w:r>
    </w:p>
    <w:p w:rsidR="00EE0979" w:rsidRDefault="00B022A0">
      <w:pPr>
        <w:spacing w:after="112"/>
        <w:ind w:right="100"/>
      </w:pPr>
      <w:r>
        <w:t xml:space="preserve"> Corresponde al Interventor de la entidad realizar la distribución de los controles previstos de los diferentes equipos de auditoría y a los auditores integrantes del mismo.   </w:t>
      </w:r>
    </w:p>
    <w:p w:rsidR="00EE0979" w:rsidRDefault="00B022A0">
      <w:pPr>
        <w:spacing w:after="100" w:line="259" w:lineRule="auto"/>
        <w:ind w:left="14" w:firstLine="0"/>
        <w:jc w:val="left"/>
      </w:pPr>
      <w:r>
        <w:t xml:space="preserve"> </w:t>
      </w:r>
    </w:p>
    <w:p w:rsidR="00EE0979" w:rsidRDefault="00B022A0">
      <w:pPr>
        <w:spacing w:after="114"/>
        <w:ind w:right="100"/>
      </w:pPr>
      <w:r>
        <w:t xml:space="preserve"> El órgano interventor comunicar</w:t>
      </w:r>
      <w:r>
        <w:t xml:space="preserve">á al órgano gestor el inicio de aquellas actuaciones de control permanente que requieran su colaboración. </w:t>
      </w:r>
    </w:p>
    <w:p w:rsidR="00EE0979" w:rsidRDefault="00B022A0">
      <w:pPr>
        <w:spacing w:after="105" w:line="259" w:lineRule="auto"/>
        <w:ind w:left="14" w:firstLine="0"/>
        <w:jc w:val="left"/>
      </w:pPr>
      <w:r>
        <w:t xml:space="preserve"> </w:t>
      </w:r>
      <w:r>
        <w:tab/>
        <w:t xml:space="preserve"> </w:t>
      </w:r>
    </w:p>
    <w:p w:rsidR="00EE0979" w:rsidRDefault="00B022A0">
      <w:pPr>
        <w:spacing w:after="112"/>
        <w:ind w:right="100"/>
      </w:pPr>
      <w:r>
        <w:t xml:space="preserve"> En el ejercicio de las actuaciones de Control Financiero, la Intervención de Fondos, podrá recabar directamente de quien corresponda los asesora</w:t>
      </w:r>
      <w:r>
        <w:t xml:space="preserve">mientos jurídicos y técnicos que considere necesarios, de conformidad con lo dispuesto en la normativa presupuestaria y de control.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4"/>
        <w:ind w:left="14" w:right="100" w:firstLine="708"/>
      </w:pPr>
      <w:r>
        <w:t xml:space="preserve">Por ello, esta Concejalía Delegada de Hacienda, PROPONE al Ayuntamiento Pleno, la adopción del siguiente ACUERDO: </w:t>
      </w:r>
    </w:p>
    <w:p w:rsidR="00EE0979" w:rsidRDefault="00B022A0">
      <w:pPr>
        <w:spacing w:after="95" w:line="259" w:lineRule="auto"/>
        <w:ind w:left="14" w:firstLine="0"/>
        <w:jc w:val="left"/>
      </w:pPr>
      <w:r>
        <w:t xml:space="preserve"> </w:t>
      </w:r>
    </w:p>
    <w:p w:rsidR="00EE0979" w:rsidRDefault="00B022A0">
      <w:pPr>
        <w:spacing w:after="112"/>
        <w:ind w:right="100"/>
      </w:pPr>
      <w:r>
        <w:rPr>
          <w:b/>
        </w:rPr>
        <w:t xml:space="preserve">Punto único: </w:t>
      </w:r>
      <w:r>
        <w:t>Dar cuenta al Ayuntamiento Pleno,</w:t>
      </w:r>
      <w:r>
        <w:rPr>
          <w:b/>
        </w:rPr>
        <w:t xml:space="preserve"> </w:t>
      </w:r>
      <w:r>
        <w:t xml:space="preserve">a efectos informativos, del Plan Anual de Control Financiero del año 2023, de conformidad con el artículo 31.3 del </w:t>
      </w:r>
      <w:hyperlink r:id="rId20">
        <w:r>
          <w:t xml:space="preserve">Real Decreto 424/2017, de 28 de </w:t>
        </w:r>
      </w:hyperlink>
      <w:hyperlink r:id="rId21">
        <w:r>
          <w:t>abril,</w:t>
        </w:r>
      </w:hyperlink>
      <w:r>
        <w:t xml:space="preserve"> por el que se regula el régimen jurídico del control interno en las entidades del Sector Público Local.” </w:t>
      </w:r>
    </w:p>
    <w:p w:rsidR="00EE0979" w:rsidRDefault="00B022A0">
      <w:pPr>
        <w:spacing w:after="98" w:line="259" w:lineRule="auto"/>
        <w:ind w:left="14" w:firstLine="0"/>
        <w:jc w:val="left"/>
      </w:pPr>
      <w:r>
        <w:t xml:space="preserve"> </w:t>
      </w:r>
    </w:p>
    <w:p w:rsidR="00EE0979" w:rsidRDefault="00B022A0">
      <w:pPr>
        <w:spacing w:after="117" w:line="259" w:lineRule="auto"/>
        <w:ind w:left="14" w:firstLine="0"/>
        <w:jc w:val="left"/>
      </w:pPr>
      <w: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0" w:lineRule="auto"/>
        <w:ind w:left="9" w:right="102" w:hanging="10"/>
      </w:pPr>
      <w:r>
        <w:rPr>
          <w:b/>
          <w:sz w:val="24"/>
        </w:rPr>
        <w:t>DICTAMEN FAVORABLE DE LA COMISIÓN</w:t>
      </w:r>
      <w:r>
        <w:rPr>
          <w:b/>
          <w:sz w:val="24"/>
        </w:rPr>
        <w:t xml:space="preserve"> INFORMATIVA DE HACIENDA, RECURSOS HUMANOS Y SERVICIOS GENERALES DE 24 DE ABRIL DE 2023. </w:t>
      </w:r>
    </w:p>
    <w:p w:rsidR="00EE0979" w:rsidRDefault="00B022A0">
      <w:pPr>
        <w:spacing w:after="0" w:line="259" w:lineRule="auto"/>
        <w:ind w:left="14" w:firstLine="0"/>
        <w:jc w:val="left"/>
      </w:pPr>
      <w:r>
        <w:rPr>
          <w:b/>
          <w:sz w:val="24"/>
        </w:rPr>
        <w:t xml:space="preserve"> </w:t>
      </w:r>
    </w:p>
    <w:p w:rsidR="00EE0979" w:rsidRDefault="00B022A0">
      <w:pPr>
        <w:spacing w:after="10" w:line="249" w:lineRule="auto"/>
        <w:ind w:left="9" w:right="101" w:hanging="10"/>
      </w:pPr>
      <w:r>
        <w:rPr>
          <w:sz w:val="24"/>
        </w:rPr>
        <w:t xml:space="preserve">Los 7 integrantes de la Comisión Informativa quedaron enterados: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 xml:space="preserve">Los 4 concejales del Grupo Socialista: Doña María Concepción Brito Núñez, Don Jorge </w:t>
      </w:r>
    </w:p>
    <w:p w:rsidR="00EE0979" w:rsidRDefault="00B022A0">
      <w:pPr>
        <w:spacing w:after="10" w:line="249" w:lineRule="auto"/>
        <w:ind w:left="9" w:right="101" w:hanging="10"/>
      </w:pPr>
      <w:r>
        <w:rPr>
          <w:sz w:val="24"/>
        </w:rPr>
        <w:t>Baute Delga</w:t>
      </w:r>
      <w:r>
        <w:rPr>
          <w:sz w:val="24"/>
        </w:rPr>
        <w:t xml:space="preserve">do, Doña Margarita Eva Tendero Barroso, y Don Olegario Francisco Alonso Bello.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 xml:space="preserve">El concejal del Grupo Popular, Don Jacobo López Fariña.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La concejal del Grupo Mixto (CC-</w:t>
      </w:r>
      <w:r>
        <w:rPr>
          <w:sz w:val="24"/>
        </w:rPr>
        <w:t xml:space="preserve">PNC): Doña Alicia Mercedes Marrero Meneses. </w:t>
      </w:r>
    </w:p>
    <w:p w:rsidR="00EE0979" w:rsidRDefault="00B022A0">
      <w:pPr>
        <w:spacing w:after="0" w:line="259" w:lineRule="auto"/>
        <w:ind w:left="14" w:firstLine="0"/>
        <w:jc w:val="left"/>
      </w:pPr>
      <w:r>
        <w:rPr>
          <w:b/>
          <w:sz w:val="24"/>
        </w:rPr>
        <w:t xml:space="preserve"> </w:t>
      </w:r>
    </w:p>
    <w:p w:rsidR="00EE0979" w:rsidRDefault="00B022A0">
      <w:pPr>
        <w:spacing w:after="0" w:line="259" w:lineRule="auto"/>
        <w:ind w:left="14" w:firstLine="0"/>
        <w:jc w:val="left"/>
      </w:pPr>
      <w:r>
        <w:rPr>
          <w:b/>
          <w:sz w:val="24"/>
        </w:rPr>
        <w:t xml:space="preserve"> </w:t>
      </w:r>
    </w:p>
    <w:p w:rsidR="00EE0979" w:rsidRDefault="00B022A0">
      <w:pPr>
        <w:spacing w:after="10" w:line="250" w:lineRule="auto"/>
        <w:ind w:left="9" w:right="102" w:hanging="10"/>
      </w:pPr>
      <w:r>
        <w:rPr>
          <w:b/>
          <w:sz w:val="24"/>
        </w:rPr>
        <w:t xml:space="preserve"> JUNTA DE PORTAVOCES DE 24 DE ABRIL DE 2023.  </w:t>
      </w:r>
    </w:p>
    <w:p w:rsidR="00EE0979" w:rsidRDefault="00B022A0">
      <w:pPr>
        <w:spacing w:after="10" w:line="249" w:lineRule="auto"/>
        <w:ind w:left="9" w:right="101" w:hanging="10"/>
      </w:pPr>
      <w:r>
        <w:rPr>
          <w:sz w:val="24"/>
        </w:rPr>
        <w:t xml:space="preserve">Quedó oída.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b/>
          <w:sz w:val="24"/>
        </w:rPr>
        <w:t xml:space="preserve"> </w:t>
      </w:r>
    </w:p>
    <w:p w:rsidR="00EE0979" w:rsidRDefault="00B022A0">
      <w:pPr>
        <w:spacing w:after="10" w:line="250" w:lineRule="auto"/>
        <w:ind w:left="9" w:right="102" w:hanging="10"/>
      </w:pPr>
      <w:r>
        <w:rPr>
          <w:b/>
          <w:sz w:val="24"/>
        </w:rPr>
        <w:t xml:space="preserve">VOTACIÓN EN EL PLENO DE 27 DE ABRIL DE 2023. </w:t>
      </w:r>
    </w:p>
    <w:p w:rsidR="00EE0979" w:rsidRDefault="00B022A0">
      <w:pPr>
        <w:spacing w:after="0" w:line="259" w:lineRule="auto"/>
        <w:ind w:left="14" w:firstLine="0"/>
        <w:jc w:val="left"/>
      </w:pPr>
      <w:r>
        <w:rPr>
          <w:b/>
          <w:sz w:val="24"/>
        </w:rPr>
        <w:t xml:space="preserve"> </w:t>
      </w:r>
    </w:p>
    <w:p w:rsidR="00EE0979" w:rsidRDefault="00B022A0">
      <w:pPr>
        <w:spacing w:after="10" w:line="249" w:lineRule="auto"/>
        <w:ind w:left="9" w:right="101" w:hanging="10"/>
      </w:pPr>
      <w:r>
        <w:rPr>
          <w:sz w:val="24"/>
        </w:rPr>
        <w:t xml:space="preserve">La unanimidad de los 18 concejales presentes quedaron enterados: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11 concejales del Grupo So</w:t>
      </w:r>
      <w:r>
        <w:rPr>
          <w:sz w:val="24"/>
        </w:rPr>
        <w:t>cialista: Doña María Concepción Brito Núñez, Doña Don Jorge Baute Delgado, Doña Olivia Concepción Pérez Díaz, Don José Francisco Pinto Ramos, Doña Hilaria Cecilia Otazo González, Don Airam Pérez Chinea, Doña Margarita Eva Tendero Barroso, Don Manuel Albert</w:t>
      </w:r>
      <w:r>
        <w:rPr>
          <w:sz w:val="24"/>
        </w:rPr>
        <w:t xml:space="preserve">o González Pestano, Doña María del Carmen Clemente Díaz, Don Olegario Francisco Alonso Bello y Don Reinaldo José Triviño Blanco.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 xml:space="preserve">3 concejales del 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131"/>
        <w:ind w:right="100"/>
      </w:pPr>
      <w:r>
        <w:t>2 de lo</w:t>
      </w:r>
      <w:r>
        <w:t xml:space="preserve">s concejales del Grupo Mixto (CC-PNC): Doña Ángela Cruz Perera y Don Emilio Jesús Atiénzar Armas.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 xml:space="preserve">1 de la concejal del Grupo Mixto (SSP): Doña Lourdes del Carmen Mondéjar Rondón., </w:t>
      </w:r>
    </w:p>
    <w:p w:rsidR="00EE0979" w:rsidRDefault="00B022A0">
      <w:pPr>
        <w:spacing w:after="0" w:line="259" w:lineRule="auto"/>
        <w:ind w:left="14" w:firstLine="0"/>
        <w:jc w:val="left"/>
      </w:pPr>
      <w:r>
        <w:rPr>
          <w:sz w:val="24"/>
        </w:rPr>
        <w:t xml:space="preserve"> </w:t>
      </w:r>
    </w:p>
    <w:p w:rsidR="00EE0979" w:rsidRDefault="00B022A0">
      <w:pPr>
        <w:spacing w:after="10" w:line="249" w:lineRule="auto"/>
        <w:ind w:left="9" w:right="101" w:hanging="10"/>
      </w:pPr>
      <w:r>
        <w:rPr>
          <w:sz w:val="24"/>
        </w:rPr>
        <w:t>1 de la concejal del Grupo Mixto (VxC): Doña Alicia Mercedes Marrero M</w:t>
      </w:r>
      <w:r>
        <w:rPr>
          <w:sz w:val="24"/>
        </w:rPr>
        <w:t xml:space="preserve">eneses.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sz w:val="24"/>
        </w:rPr>
        <w:t xml:space="preserve"> </w:t>
      </w:r>
    </w:p>
    <w:p w:rsidR="00EE0979" w:rsidRDefault="00B022A0">
      <w:pPr>
        <w:spacing w:after="0" w:line="259" w:lineRule="auto"/>
        <w:ind w:left="14" w:firstLine="0"/>
        <w:jc w:val="left"/>
      </w:pPr>
      <w:r>
        <w:rPr>
          <w:b/>
          <w:sz w:val="24"/>
        </w:rPr>
        <w:t xml:space="preserve"> </w:t>
      </w:r>
    </w:p>
    <w:p w:rsidR="00EE0979" w:rsidRDefault="00B022A0">
      <w:pPr>
        <w:spacing w:after="10" w:line="250" w:lineRule="auto"/>
        <w:ind w:left="1443" w:right="102" w:hanging="10"/>
      </w:pPr>
      <w:r>
        <w:rPr>
          <w:b/>
          <w:sz w:val="24"/>
        </w:rPr>
        <w:t xml:space="preserve"> ACUERDO DEL PLENO DE 27 DE ABRIL DE 2023. </w:t>
      </w:r>
    </w:p>
    <w:p w:rsidR="00EE0979" w:rsidRDefault="00B022A0">
      <w:pPr>
        <w:spacing w:after="100" w:line="259" w:lineRule="auto"/>
        <w:ind w:left="14" w:firstLine="0"/>
        <w:jc w:val="left"/>
      </w:pPr>
      <w:r>
        <w:rPr>
          <w:b/>
        </w:rPr>
        <w:t xml:space="preserve"> </w:t>
      </w:r>
    </w:p>
    <w:p w:rsidR="00EE0979" w:rsidRDefault="00B022A0">
      <w:pPr>
        <w:spacing w:after="159"/>
        <w:ind w:right="99" w:hanging="10"/>
      </w:pPr>
      <w:r>
        <w:rPr>
          <w:b/>
        </w:rPr>
        <w:t xml:space="preserve">Punto único: Dar cuenta al Ayuntamiento Pleno, a efectos informativos, del Plan Anual de Control Financiero del año 2023, de conformidad con el artículo 31.3 del </w:t>
      </w:r>
      <w:hyperlink r:id="rId22">
        <w:r>
          <w:rPr>
            <w:b/>
          </w:rPr>
          <w:t xml:space="preserve">Real Decreto </w:t>
        </w:r>
      </w:hyperlink>
      <w:hyperlink r:id="rId23">
        <w:r>
          <w:rPr>
            <w:b/>
          </w:rPr>
          <w:t>424/2017, de 28 de abril,</w:t>
        </w:r>
      </w:hyperlink>
      <w:r>
        <w:rPr>
          <w:b/>
        </w:rPr>
        <w:t xml:space="preserve"> por el que se regula el régimen jurídico del control interno en las entidad</w:t>
      </w:r>
      <w:r>
        <w:rPr>
          <w:b/>
        </w:rPr>
        <w:t>es del Sector Público Local.</w:t>
      </w:r>
      <w:r>
        <w:t xml:space="preserve"> </w:t>
      </w:r>
    </w:p>
    <w:p w:rsidR="00EE0979" w:rsidRDefault="00B022A0">
      <w:pPr>
        <w:spacing w:after="0" w:line="426" w:lineRule="auto"/>
        <w:ind w:left="14" w:right="9614" w:firstLine="0"/>
        <w:jc w:val="left"/>
      </w:pPr>
      <w:r>
        <w:rPr>
          <w:i/>
          <w:color w:val="222222"/>
        </w:rPr>
        <w:t xml:space="preserve">            </w:t>
      </w:r>
    </w:p>
    <w:p w:rsidR="00EE0979" w:rsidRDefault="00B022A0">
      <w:pPr>
        <w:spacing w:after="178" w:line="259" w:lineRule="auto"/>
        <w:ind w:left="14" w:firstLine="0"/>
        <w:jc w:val="left"/>
      </w:pPr>
      <w:r>
        <w:rPr>
          <w:i/>
          <w:color w:val="222222"/>
        </w:rPr>
        <w:t xml:space="preserve"> </w:t>
      </w:r>
    </w:p>
    <w:p w:rsidR="00EE0979" w:rsidRDefault="00B022A0">
      <w:pPr>
        <w:spacing w:after="0" w:line="425" w:lineRule="auto"/>
        <w:ind w:left="14" w:right="9614" w:firstLine="0"/>
        <w:jc w:val="left"/>
      </w:pPr>
      <w:r>
        <w:rPr>
          <w:i/>
          <w:color w:val="222222"/>
        </w:rPr>
        <w:t xml:space="preserve">       </w:t>
      </w:r>
    </w:p>
    <w:p w:rsidR="00EE0979" w:rsidRDefault="00B022A0">
      <w:pPr>
        <w:spacing w:after="0" w:line="427" w:lineRule="auto"/>
        <w:ind w:left="14" w:right="9614" w:firstLine="0"/>
        <w:jc w:val="left"/>
      </w:pPr>
      <w:r>
        <w:rPr>
          <w:i/>
          <w:color w:val="222222"/>
        </w:rPr>
        <w:t xml:space="preserve">  </w:t>
      </w:r>
    </w:p>
    <w:p w:rsidR="00EE0979" w:rsidRDefault="00B022A0">
      <w:pPr>
        <w:spacing w:after="91" w:line="250" w:lineRule="auto"/>
        <w:ind w:left="9" w:right="102" w:hanging="10"/>
      </w:pPr>
      <w:r>
        <w:rPr>
          <w:b/>
          <w:sz w:val="24"/>
        </w:rPr>
        <w:t>5-</w:t>
      </w:r>
      <w:r>
        <w:rPr>
          <w:b/>
          <w:sz w:val="24"/>
        </w:rPr>
        <w:t>. Expediente 3880/2023. Propuesta del Concejal delegado de Hacienda de 14 de abril de 2023 al Pleno de contrato programa sobre el marco de relaciones entre el Ayuntamiento de Candelaria, la Entidad Pública Empresarial “Gestión de Empresas y Servicios Munic</w:t>
      </w:r>
      <w:r>
        <w:rPr>
          <w:b/>
          <w:sz w:val="24"/>
        </w:rPr>
        <w:t xml:space="preserve">ipales del Ayuntamiento de Candelaria, la Sociedad Mercantil” Empresa de Inserción de Viviendas y Servicios Municipales de Candelaria, SL y la Fundación “Candelaria Solidaria”, para el ejercicio 2023.  </w:t>
      </w:r>
    </w:p>
    <w:p w:rsidR="00EE0979" w:rsidRDefault="00B022A0">
      <w:pPr>
        <w:spacing w:after="101" w:line="259" w:lineRule="auto"/>
        <w:ind w:left="14" w:firstLine="0"/>
        <w:jc w:val="left"/>
      </w:pPr>
      <w:r>
        <w:rPr>
          <w:b/>
        </w:rPr>
        <w:t xml:space="preserve"> </w:t>
      </w:r>
    </w:p>
    <w:p w:rsidR="00EE0979" w:rsidRDefault="00B022A0">
      <w:pPr>
        <w:spacing w:after="114"/>
        <w:ind w:right="99" w:hanging="10"/>
      </w:pPr>
      <w:r>
        <w:rPr>
          <w:b/>
        </w:rPr>
        <w:t>Consta en el expediente Informe de Intervención emi</w:t>
      </w:r>
      <w:r>
        <w:rPr>
          <w:b/>
        </w:rPr>
        <w:t>tido por Don Nicolás Rojo Garnica, que desempeña el puesto de trabajo de Interventor Municipal, de 14 de abril de 2023, del siguiente tenor literal:</w:t>
      </w:r>
      <w:r>
        <w:t xml:space="preserve"> </w:t>
      </w:r>
    </w:p>
    <w:p w:rsidR="00EE0979" w:rsidRDefault="00B022A0">
      <w:pPr>
        <w:spacing w:after="100" w:line="259" w:lineRule="auto"/>
        <w:ind w:left="14" w:firstLine="0"/>
        <w:jc w:val="left"/>
      </w:pPr>
      <w:r>
        <w:rPr>
          <w:b/>
        </w:rPr>
        <w:t xml:space="preserve"> </w:t>
      </w:r>
    </w:p>
    <w:p w:rsidR="00EE0979" w:rsidRDefault="00B022A0">
      <w:pPr>
        <w:spacing w:after="136" w:line="259" w:lineRule="auto"/>
        <w:ind w:left="14" w:firstLine="0"/>
        <w:jc w:val="left"/>
      </w:pPr>
      <w:r>
        <w:t xml:space="preserve"> </w:t>
      </w:r>
    </w:p>
    <w:p w:rsidR="00EE0979" w:rsidRDefault="00B022A0">
      <w:pPr>
        <w:pStyle w:val="Ttulo1"/>
        <w:numPr>
          <w:ilvl w:val="0"/>
          <w:numId w:val="0"/>
        </w:numPr>
        <w:ind w:left="624" w:right="712"/>
      </w:pPr>
      <w:r>
        <w:t xml:space="preserve">“INFORME DE INTERVENCIÓN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Asunto: CONTRATO PROGRAMA SOBRE EL MARCO DE RELACIONES ENTRE EL AYUNTAMIEN</w:t>
      </w:r>
      <w:r>
        <w:rPr>
          <w:b/>
        </w:rPr>
        <w:t>TO DE CANDELARIA, LA ENTIDAD PUBLICA EMPRESARIAL “GESTIÓN DE EMPRESAS Y SERVICIOS MUNICIPALES DEL AYUNTAMIENTO DE LA VILLA DE CANDELARIA”, LA SOCIEDAD MERCANTIL “EMPRESA DE INSERCIÓN VIVIENDAS Y SERVICIOS MUNICIPALES DE CANDELARIA S.L.” Y LA FUNDACIÓN “CAN</w:t>
      </w:r>
      <w:r>
        <w:rPr>
          <w:b/>
        </w:rPr>
        <w:t>DELARIA SOLIDARIA” PARA EL EJERCICIO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43787" name="Group 24378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8885" name="Shape 888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3787" style="width:477.1pt;height:2.04pt;mso-position-horizontal-relative:char;mso-position-vertical-relative:line" coordsize="60591,259">
                <v:shape id="Shape 8885"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0" w:line="259" w:lineRule="auto"/>
        <w:ind w:left="14" w:firstLine="0"/>
        <w:jc w:val="left"/>
      </w:pPr>
      <w: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ind w:right="38"/>
      </w:pPr>
      <w:r>
        <w:rPr>
          <w:rFonts w:ascii="Times New Roman" w:eastAsia="Times New Roman" w:hAnsi="Times New Roman" w:cs="Times New Roman"/>
          <w:sz w:val="24"/>
        </w:rPr>
        <w:t xml:space="preserve"> </w:t>
      </w:r>
      <w:r>
        <w:t xml:space="preserve">Visto el Contrato-Programa, relativo al marco de relaciones entre la entidad publica empresarial “gestión de empresas y servicios municipales del ayuntamiento de la villa de candelaria” </w:t>
      </w:r>
      <w:r>
        <w:t>y la sociedad mercantil “empresa de inserción viviendas y servicios municipales de candelaria s.l.”, para el ejercicio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Considerando que los contratos-programa son acuerdos plurianuales entre organizaciones para regular sus relaciones jurídicas o </w:t>
      </w:r>
      <w:r>
        <w:t xml:space="preserve">económicas, que presentan como característica fundamental, su posición desequilibrada, pues una de ellas ostenta la potestad financiadora, mientras que otra, de carácter </w:t>
      </w:r>
      <w:r>
        <w:rPr>
          <w:i/>
        </w:rPr>
        <w:t>instrumental</w:t>
      </w:r>
      <w:r>
        <w:t>, lo presta en régimen de cierta autonomía.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t>Considerando que en la actualidad, los contratos-programa de ámbito estatal cuentan con soporte procedimental detallado, merced a la previsión del artículo 68.1 de la Ley 47/2003, General Presupuestaria (LGP) que exige, como mínimo, unas cláusulas de hipót</w:t>
      </w:r>
      <w:r>
        <w:t xml:space="preserve">esis macroeconómicas, de aportaciones presupuestarias, de objetivos de la política de personal, de rentabilidad, de productividad o de reestructuración, así como sus indicadores de evaluación y los efectos del incumplimiento de los compromisos acordados.  </w:t>
      </w:r>
    </w:p>
    <w:p w:rsidR="00EE0979" w:rsidRDefault="00B022A0">
      <w:pPr>
        <w:spacing w:after="0" w:line="259" w:lineRule="auto"/>
        <w:ind w:left="722" w:firstLine="0"/>
        <w:jc w:val="left"/>
      </w:pPr>
      <w:r>
        <w:t xml:space="preserve"> </w:t>
      </w:r>
    </w:p>
    <w:p w:rsidR="00EE0979" w:rsidRDefault="00B022A0">
      <w:pPr>
        <w:ind w:left="14" w:right="100" w:firstLine="708"/>
      </w:pPr>
      <w:r>
        <w:t>Considerando que a través del actual Contrato-Programa, se articula la alineación de estos entes instrumentales a la planificación y el  modelo de gestión y presupuestación del Ayuntamiento, adecuándose la gestión a los principios de eficiencia, eficaci</w:t>
      </w:r>
      <w:r>
        <w:t>a y economia, y a las recomendaciones de los Auditores que verifiquen su gestión, comprobando la actividad económico-financiera de las entidades auditadas, mediante la aplicación de los procedimientos de revisión selectivos, contenidos en las normas de aud</w:t>
      </w:r>
      <w:r>
        <w:t>itoría e instrucciones que dicte la Intervención General de la Administración del Estado.</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Asimismo, se establece la financiación de los citados entes, mediante la oportuna dotación presupuestaria, a través de aplicaciones presupuestarias independientes,</w:t>
      </w:r>
      <w:r>
        <w:t xml:space="preserve"> que permita conocer, los costes de los Servicios que presta cada entidad. </w:t>
      </w:r>
    </w:p>
    <w:p w:rsidR="00EE0979" w:rsidRDefault="00B022A0">
      <w:pPr>
        <w:spacing w:after="0" w:line="259" w:lineRule="auto"/>
        <w:ind w:left="722" w:firstLine="0"/>
        <w:jc w:val="left"/>
      </w:pPr>
      <w:r>
        <w:t xml:space="preserve"> </w:t>
      </w:r>
    </w:p>
    <w:p w:rsidR="00EE0979" w:rsidRDefault="00B022A0">
      <w:pPr>
        <w:ind w:left="14" w:right="100" w:firstLine="708"/>
      </w:pPr>
      <w:r>
        <w:t>Resultando que a través de la Orden EHA/733/2010, ha supuesto una aclaración del régimen de contabilización hasta ahora vigente, de las transferencias entre la entidad local y su</w:t>
      </w:r>
      <w:r>
        <w:t xml:space="preserve">s sociedades mercantiles dependientes.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En efecto, la norma sexta se refiere a esta cuestión, definiendo los criterios para calificar Jurídicamente a las transferencias que se realicen: </w:t>
      </w:r>
    </w:p>
    <w:p w:rsidR="00EE0979" w:rsidRDefault="00B022A0">
      <w:pPr>
        <w:spacing w:after="0" w:line="259" w:lineRule="auto"/>
        <w:ind w:left="722" w:firstLine="0"/>
        <w:jc w:val="left"/>
      </w:pPr>
      <w:r>
        <w:t xml:space="preserve"> </w:t>
      </w:r>
    </w:p>
    <w:p w:rsidR="00EE0979" w:rsidRDefault="00B022A0">
      <w:pPr>
        <w:ind w:left="9" w:right="98" w:hanging="10"/>
      </w:pPr>
      <w:r>
        <w:rPr>
          <w:i/>
        </w:rPr>
        <w:t>«Sexta. Criterios aplicables para calificar una actividad subvenc</w:t>
      </w:r>
      <w:r>
        <w:rPr>
          <w:i/>
        </w:rPr>
        <w:t>ionada como de «interés público o general»:</w:t>
      </w:r>
      <w:r>
        <w:rPr>
          <w:rFonts w:ascii="Times New Roman" w:eastAsia="Times New Roman" w:hAnsi="Times New Roman" w:cs="Times New Roman"/>
          <w:sz w:val="24"/>
        </w:rPr>
        <w:t xml:space="preserve"> </w:t>
      </w:r>
    </w:p>
    <w:p w:rsidR="00EE0979" w:rsidRDefault="00B022A0">
      <w:pPr>
        <w:ind w:left="9" w:right="98" w:hanging="10"/>
      </w:pPr>
      <w:r>
        <w:rPr>
          <w:i/>
        </w:rPr>
        <w:t>1. Las empresas públicas que reciban subvenciones de la entidad pública dominante para financiar actividades de «interés público o general» contabilizarán dichas ayudas de acuerdo con los criterios generales rec</w:t>
      </w:r>
      <w:r>
        <w:rPr>
          <w:i/>
        </w:rPr>
        <w:t>ogidos en el apartado 1 de la norma de registro y valoración 18. «Subvenciones, donaciones y Legados recibidos», del Plan General de Contabilidad. En particular, estos criterios se aplicarán en los siguientes casos:</w:t>
      </w:r>
      <w:r>
        <w:rPr>
          <w:rFonts w:ascii="Times New Roman" w:eastAsia="Times New Roman" w:hAnsi="Times New Roman" w:cs="Times New Roman"/>
          <w:sz w:val="24"/>
        </w:rPr>
        <w:t xml:space="preserve"> </w:t>
      </w:r>
    </w:p>
    <w:p w:rsidR="00EE0979" w:rsidRDefault="00B022A0">
      <w:pPr>
        <w:numPr>
          <w:ilvl w:val="0"/>
          <w:numId w:val="32"/>
        </w:numPr>
        <w:ind w:right="98" w:hanging="10"/>
      </w:pPr>
      <w:r>
        <w:rPr>
          <w:i/>
        </w:rPr>
        <w:t>Subvenciones concedidas a las empresas públicas por entidades públicas dominantes que cumplan los requisitos establecidos en la Ley 38/2003, de 17 de noviembre, General de Subvenciones.</w:t>
      </w:r>
      <w:r>
        <w:rPr>
          <w:rFonts w:ascii="Times New Roman" w:eastAsia="Times New Roman" w:hAnsi="Times New Roman" w:cs="Times New Roman"/>
          <w:sz w:val="24"/>
        </w:rPr>
        <w:t xml:space="preserve"> </w:t>
      </w:r>
    </w:p>
    <w:p w:rsidR="00EE0979" w:rsidRDefault="00B022A0">
      <w:pPr>
        <w:numPr>
          <w:ilvl w:val="0"/>
          <w:numId w:val="32"/>
        </w:numPr>
        <w:ind w:right="98" w:hanging="10"/>
      </w:pPr>
      <w:r>
        <w:rPr>
          <w:i/>
        </w:rPr>
        <w:t>Transferencias u otras entregas sin contraprestación recibidas de las</w:t>
      </w:r>
      <w:r>
        <w:rPr>
          <w:i/>
        </w:rPr>
        <w:t xml:space="preserve"> entidades públicas dominantes para financiar actividades específicas que cumplan alguno de los siguientes requisitos:</w:t>
      </w:r>
      <w:r>
        <w:rPr>
          <w:rFonts w:ascii="Times New Roman" w:eastAsia="Times New Roman" w:hAnsi="Times New Roman" w:cs="Times New Roman"/>
          <w:sz w:val="24"/>
        </w:rPr>
        <w:t xml:space="preserve"> </w:t>
      </w:r>
    </w:p>
    <w:p w:rsidR="00EE0979" w:rsidRDefault="00B022A0">
      <w:pPr>
        <w:numPr>
          <w:ilvl w:val="1"/>
          <w:numId w:val="32"/>
        </w:numPr>
        <w:ind w:right="98" w:hanging="10"/>
      </w:pPr>
      <w:r>
        <w:rPr>
          <w:i/>
        </w:rPr>
        <w:t>Las destinadas a financiar actividades específicas que hayan sido declaradas de interés público o general mediante una norma Jurídica. S</w:t>
      </w:r>
      <w:r>
        <w:rPr>
          <w:i/>
        </w:rPr>
        <w:t>i la transferencia compensa pérdidas genéricas será de aplicación el apartado 2 de esta norma, salvo que la empresa desarrolle una sola actividad específica que haya sido declarada de interés público o general mediante una norma Jurídica.</w:t>
      </w:r>
      <w:r>
        <w:rPr>
          <w:rFonts w:ascii="Times New Roman" w:eastAsia="Times New Roman" w:hAnsi="Times New Roman" w:cs="Times New Roman"/>
          <w:sz w:val="24"/>
        </w:rPr>
        <w:t xml:space="preserve"> </w:t>
      </w:r>
    </w:p>
    <w:p w:rsidR="00EE0979" w:rsidRDefault="00B022A0">
      <w:pPr>
        <w:numPr>
          <w:ilvl w:val="1"/>
          <w:numId w:val="32"/>
        </w:numPr>
        <w:ind w:right="98" w:hanging="10"/>
      </w:pPr>
      <w:r>
        <w:rPr>
          <w:i/>
        </w:rPr>
        <w:t>Las establecidas</w:t>
      </w:r>
      <w:r>
        <w:rPr>
          <w:i/>
        </w:rPr>
        <w:t xml:space="preserve"> mediante contratos-programa, convenios, planes aprobados por el correspondiente Gobierno u otros instrumentos Jurídicos cuya finalidad sea la realización de una determinada actividad o la prestación de un determinado servicio de interés público o general,</w:t>
      </w:r>
      <w:r>
        <w:rPr>
          <w:i/>
        </w:rPr>
        <w:t xml:space="preserve"> siempre que en dichos instrumentos Jurídicos se especifiquen las distintas finalidades que pueda tener la transferencia y los importes que financian cada una de las actividades específicas. </w:t>
      </w:r>
    </w:p>
    <w:p w:rsidR="00EE0979" w:rsidRDefault="00B022A0">
      <w:pPr>
        <w:spacing w:after="0" w:line="259" w:lineRule="auto"/>
        <w:ind w:left="14" w:firstLine="0"/>
        <w:jc w:val="left"/>
      </w:pPr>
      <w:r>
        <w:rPr>
          <w:i/>
        </w:rPr>
        <w:t xml:space="preserve"> </w:t>
      </w:r>
    </w:p>
    <w:p w:rsidR="00EE0979" w:rsidRDefault="00B022A0">
      <w:pPr>
        <w:ind w:left="14" w:right="100" w:firstLine="708"/>
      </w:pPr>
      <w:r>
        <w:t>Con la entrada en vigor del Real Decreto 424/2017, de 28 de ab</w:t>
      </w:r>
      <w:r>
        <w:t xml:space="preserve">ril, por el que se regula el régimen jurídico del control interno en las entidades del Sector Público Local, las entidades dependientes de la Corporación local, deberán someterse a las auditorías de cuentas, de cumplimiento y operativa. </w:t>
      </w:r>
    </w:p>
    <w:p w:rsidR="00EE0979" w:rsidRDefault="00B022A0">
      <w:pPr>
        <w:spacing w:after="0" w:line="259" w:lineRule="auto"/>
        <w:ind w:left="722" w:firstLine="0"/>
        <w:jc w:val="left"/>
      </w:pPr>
      <w:r>
        <w:t xml:space="preserve"> </w:t>
      </w:r>
    </w:p>
    <w:p w:rsidR="00EE0979" w:rsidRDefault="00B022A0">
      <w:pPr>
        <w:ind w:left="14" w:right="100" w:firstLine="708"/>
      </w:pPr>
      <w:r>
        <w:t>Por primera vez,</w:t>
      </w:r>
      <w:r>
        <w:t xml:space="preserve"> se determinan objetivos para las entidades dependientes, con detalle de los indicadores de gestión y de los efectos del incumplimiento de los compromisos acordados, en cumplimiento del articulo 68 de la Ley 47/2003 de 26 de novembre, General Presupuestari</w:t>
      </w:r>
      <w:r>
        <w:t>a.</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Una vez emitidos los informes correspondientes, por parte de las citadas entidades, se trasladan las mismas en los siguientes cuadros, poniéndose de manifiesto, que se han cumplido por parte de las diferentes entidades, los indicadores, por lo que no</w:t>
      </w:r>
      <w:r>
        <w:t xml:space="preserve"> procede detraer cantidad alguna con cargo al Presupuesto General, para este ejercicio: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rPr>
          <w:rFonts w:ascii="Times New Roman" w:eastAsia="Times New Roman" w:hAnsi="Times New Roman" w:cs="Times New Roman"/>
          <w:sz w:val="24"/>
        </w:rPr>
        <w:t xml:space="preserve"> </w:t>
      </w:r>
    </w:p>
    <w:p w:rsidR="00EE0979" w:rsidRDefault="00B022A0">
      <w:pPr>
        <w:spacing w:after="10" w:line="248" w:lineRule="auto"/>
        <w:ind w:left="9" w:right="95" w:hanging="10"/>
      </w:pPr>
      <w:r>
        <w:rPr>
          <w:b/>
          <w:i/>
        </w:rPr>
        <w:t xml:space="preserve">1.- Entidad Pública Empresarial: </w:t>
      </w:r>
    </w:p>
    <w:p w:rsidR="00EE0979" w:rsidRDefault="00B022A0">
      <w:pPr>
        <w:spacing w:after="0" w:line="259" w:lineRule="auto"/>
        <w:ind w:left="14" w:firstLine="0"/>
        <w:jc w:val="left"/>
      </w:pPr>
      <w:r>
        <w:t xml:space="preserve"> </w:t>
      </w:r>
    </w:p>
    <w:tbl>
      <w:tblPr>
        <w:tblStyle w:val="TableGrid"/>
        <w:tblW w:w="9556" w:type="dxa"/>
        <w:tblInd w:w="19" w:type="dxa"/>
        <w:tblCellMar>
          <w:top w:w="7" w:type="dxa"/>
          <w:left w:w="106" w:type="dxa"/>
          <w:bottom w:w="0" w:type="dxa"/>
          <w:right w:w="45" w:type="dxa"/>
        </w:tblCellMar>
        <w:tblLook w:val="04A0" w:firstRow="1" w:lastRow="0" w:firstColumn="1" w:lastColumn="0" w:noHBand="0" w:noVBand="1"/>
      </w:tblPr>
      <w:tblGrid>
        <w:gridCol w:w="1542"/>
        <w:gridCol w:w="1757"/>
        <w:gridCol w:w="1910"/>
        <w:gridCol w:w="2100"/>
        <w:gridCol w:w="2247"/>
      </w:tblGrid>
      <w:tr w:rsidR="00EE0979">
        <w:trPr>
          <w:trHeight w:val="1023"/>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b/>
              </w:rPr>
              <w:t xml:space="preserve">OBJETIVOS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b/>
              </w:rPr>
              <w:t xml:space="preserve">INDICADORES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b/>
              </w:rPr>
              <w:t xml:space="preserve">GRADO </w:t>
            </w:r>
          </w:p>
          <w:p w:rsidR="00EE0979" w:rsidRDefault="00B022A0">
            <w:pPr>
              <w:spacing w:after="0" w:line="259" w:lineRule="auto"/>
              <w:ind w:left="2" w:firstLine="0"/>
              <w:jc w:val="left"/>
            </w:pPr>
            <w:r>
              <w:rPr>
                <w:b/>
              </w:rPr>
              <w:t>CUMPLIMIENT</w:t>
            </w:r>
          </w:p>
          <w:p w:rsidR="00EE0979" w:rsidRDefault="00B022A0">
            <w:pPr>
              <w:spacing w:after="0" w:line="259" w:lineRule="auto"/>
              <w:ind w:left="2" w:firstLine="0"/>
              <w:jc w:val="left"/>
            </w:pPr>
            <w:r>
              <w:rPr>
                <w:b/>
              </w:rPr>
              <w:t xml:space="preserve">O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rPr>
              <w:t xml:space="preserve">CUMPLIMIENTO </w:t>
            </w:r>
          </w:p>
          <w:p w:rsidR="00EE0979" w:rsidRDefault="00B022A0">
            <w:pPr>
              <w:spacing w:after="0" w:line="259" w:lineRule="auto"/>
              <w:ind w:left="0" w:firstLine="0"/>
              <w:jc w:val="left"/>
            </w:pPr>
            <w:r>
              <w:rPr>
                <w:b/>
              </w:rPr>
              <w:t xml:space="preserve">/ </w:t>
            </w:r>
          </w:p>
          <w:p w:rsidR="00EE0979" w:rsidRDefault="00B022A0">
            <w:pPr>
              <w:spacing w:after="0" w:line="259" w:lineRule="auto"/>
              <w:ind w:left="0" w:firstLine="0"/>
              <w:jc w:val="left"/>
            </w:pPr>
            <w:r>
              <w:rPr>
                <w:b/>
              </w:rPr>
              <w:t>INCUMPLIMIENT</w:t>
            </w:r>
          </w:p>
          <w:p w:rsidR="00EE0979" w:rsidRDefault="00B022A0">
            <w:pPr>
              <w:spacing w:after="0" w:line="259" w:lineRule="auto"/>
              <w:ind w:left="0" w:firstLine="0"/>
              <w:jc w:val="left"/>
            </w:pPr>
            <w:r>
              <w:rPr>
                <w:b/>
              </w:rPr>
              <w:t xml:space="preserve">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b/>
              </w:rPr>
              <w:t xml:space="preserve">EFECTOS </w:t>
            </w:r>
          </w:p>
          <w:p w:rsidR="00EE0979" w:rsidRDefault="00B022A0">
            <w:pPr>
              <w:spacing w:after="0" w:line="259" w:lineRule="auto"/>
              <w:ind w:left="2" w:firstLine="0"/>
              <w:jc w:val="left"/>
            </w:pPr>
            <w:r>
              <w:rPr>
                <w:b/>
              </w:rPr>
              <w:t>INCUMPLIMIENTO</w:t>
            </w:r>
          </w:p>
          <w:p w:rsidR="00EE0979" w:rsidRDefault="00B022A0">
            <w:pPr>
              <w:spacing w:after="0" w:line="259" w:lineRule="auto"/>
              <w:ind w:left="2" w:firstLine="0"/>
              <w:jc w:val="left"/>
            </w:pPr>
            <w:r>
              <w:rPr>
                <w:b/>
              </w:rPr>
              <w:t xml:space="preserve">S </w:t>
            </w:r>
          </w:p>
        </w:tc>
      </w:tr>
      <w:tr w:rsidR="00EE0979">
        <w:trPr>
          <w:trHeight w:val="768"/>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390"/>
              </w:tabs>
              <w:spacing w:after="0" w:line="259" w:lineRule="auto"/>
              <w:ind w:left="0" w:firstLine="0"/>
              <w:jc w:val="left"/>
            </w:pPr>
            <w:r>
              <w:t xml:space="preserve">Pago </w:t>
            </w:r>
            <w:r>
              <w:tab/>
              <w:t xml:space="preserve">a </w:t>
            </w:r>
          </w:p>
          <w:p w:rsidR="00EE0979" w:rsidRDefault="00B022A0">
            <w:pPr>
              <w:spacing w:after="0" w:line="259" w:lineRule="auto"/>
              <w:ind w:left="2" w:firstLine="0"/>
              <w:jc w:val="left"/>
            </w:pPr>
            <w:r>
              <w:t xml:space="preserve">Proveedores en Plazo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4" w:firstLine="0"/>
            </w:pPr>
            <w:r>
              <w:t xml:space="preserve">Cumplimiento Periodo Medio de pago anual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5,79 &lt; 30 días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NO </w:t>
            </w:r>
          </w:p>
        </w:tc>
      </w:tr>
      <w:tr w:rsidR="00EE0979">
        <w:trPr>
          <w:trHeight w:val="1022"/>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390"/>
              </w:tabs>
              <w:spacing w:after="0" w:line="259" w:lineRule="auto"/>
              <w:ind w:left="0" w:firstLine="0"/>
              <w:jc w:val="left"/>
            </w:pPr>
            <w:r>
              <w:t xml:space="preserve">Costes </w:t>
            </w:r>
            <w:r>
              <w:tab/>
              <w:t xml:space="preserve">de </w:t>
            </w:r>
          </w:p>
          <w:p w:rsidR="00EE0979" w:rsidRDefault="00B022A0">
            <w:pPr>
              <w:spacing w:after="0" w:line="259" w:lineRule="auto"/>
              <w:ind w:left="2" w:firstLine="0"/>
              <w:jc w:val="left"/>
            </w:pPr>
            <w:r>
              <w:t xml:space="preserve">Personal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1" w:firstLine="0"/>
            </w:pPr>
            <w:r>
              <w:t xml:space="preserve">No superar las Previsiones presupuestada s en Personal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39" w:lineRule="auto"/>
              <w:ind w:left="2" w:right="63" w:firstLine="0"/>
            </w:pPr>
            <w:r>
              <w:t xml:space="preserve">540.704,21 € Presupuesto) &gt; 440.543,09 € </w:t>
            </w:r>
          </w:p>
          <w:p w:rsidR="00EE0979" w:rsidRDefault="00B022A0">
            <w:pPr>
              <w:spacing w:after="0" w:line="259" w:lineRule="auto"/>
              <w:ind w:left="2" w:firstLine="0"/>
              <w:jc w:val="left"/>
            </w:pPr>
            <w:r>
              <w:t xml:space="preserve">(Gasto)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NO </w:t>
            </w:r>
          </w:p>
        </w:tc>
      </w:tr>
      <w:tr w:rsidR="00EE0979">
        <w:trPr>
          <w:trHeight w:val="1275"/>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3" w:firstLine="0"/>
            </w:pPr>
            <w:r>
              <w:t xml:space="preserve">Cumplimient o Legislación fiscal, laboral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Presentación </w:t>
            </w:r>
          </w:p>
          <w:p w:rsidR="00EE0979" w:rsidRDefault="00B022A0">
            <w:pPr>
              <w:spacing w:after="0" w:line="259" w:lineRule="auto"/>
              <w:ind w:left="2" w:right="60" w:firstLine="0"/>
            </w:pPr>
            <w:r>
              <w:t xml:space="preserve">en plazo de Modelos de ámbito fiscal y Laboral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PRESENTACIÓ</w:t>
            </w:r>
          </w:p>
          <w:p w:rsidR="00EE0979" w:rsidRDefault="00B022A0">
            <w:pPr>
              <w:spacing w:after="0" w:line="259" w:lineRule="auto"/>
              <w:ind w:left="2" w:firstLine="0"/>
            </w:pPr>
            <w:r>
              <w:t xml:space="preserve">N EN PLAZO DE </w:t>
            </w:r>
          </w:p>
          <w:p w:rsidR="00EE0979" w:rsidRDefault="00B022A0">
            <w:pPr>
              <w:spacing w:after="0" w:line="259" w:lineRule="auto"/>
              <w:ind w:left="2" w:firstLine="0"/>
              <w:jc w:val="left"/>
            </w:pPr>
            <w:r>
              <w:t xml:space="preserve">MODELOS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NO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10" w:line="248" w:lineRule="auto"/>
        <w:ind w:left="9" w:right="95" w:hanging="10"/>
      </w:pPr>
      <w:r>
        <w:rPr>
          <w:b/>
          <w:i/>
        </w:rPr>
        <w:t xml:space="preserve">2.- Empresa de Inserción de Viviendas: </w:t>
      </w:r>
    </w:p>
    <w:p w:rsidR="00EE0979" w:rsidRDefault="00B022A0">
      <w:pPr>
        <w:spacing w:after="0" w:line="259" w:lineRule="auto"/>
        <w:ind w:left="14" w:firstLine="0"/>
        <w:jc w:val="left"/>
      </w:pPr>
      <w:r>
        <w:rPr>
          <w:rFonts w:ascii="Times New Roman" w:eastAsia="Times New Roman" w:hAnsi="Times New Roman" w:cs="Times New Roman"/>
          <w:b/>
          <w:i/>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i/>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i/>
          <w:sz w:val="24"/>
        </w:rPr>
        <w:t xml:space="preserve"> </w:t>
      </w:r>
    </w:p>
    <w:tbl>
      <w:tblPr>
        <w:tblStyle w:val="TableGrid"/>
        <w:tblW w:w="9556" w:type="dxa"/>
        <w:tblInd w:w="19" w:type="dxa"/>
        <w:tblCellMar>
          <w:top w:w="7" w:type="dxa"/>
          <w:left w:w="108" w:type="dxa"/>
          <w:bottom w:w="0" w:type="dxa"/>
          <w:right w:w="44" w:type="dxa"/>
        </w:tblCellMar>
        <w:tblLook w:val="04A0" w:firstRow="1" w:lastRow="0" w:firstColumn="1" w:lastColumn="0" w:noHBand="0" w:noVBand="1"/>
      </w:tblPr>
      <w:tblGrid>
        <w:gridCol w:w="1562"/>
        <w:gridCol w:w="1781"/>
        <w:gridCol w:w="1940"/>
        <w:gridCol w:w="2074"/>
        <w:gridCol w:w="2199"/>
      </w:tblGrid>
      <w:tr w:rsidR="00EE0979">
        <w:trPr>
          <w:trHeight w:val="468"/>
        </w:trPr>
        <w:tc>
          <w:tcPr>
            <w:tcW w:w="15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OBJETIVOS </w:t>
            </w:r>
          </w:p>
        </w:tc>
        <w:tc>
          <w:tcPr>
            <w:tcW w:w="178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INDICADORES </w:t>
            </w:r>
          </w:p>
        </w:tc>
        <w:tc>
          <w:tcPr>
            <w:tcW w:w="194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GRADO </w:t>
            </w:r>
          </w:p>
          <w:p w:rsidR="00EE0979" w:rsidRDefault="00B022A0">
            <w:pPr>
              <w:spacing w:after="0" w:line="259" w:lineRule="auto"/>
              <w:ind w:left="0" w:firstLine="0"/>
              <w:jc w:val="left"/>
            </w:pPr>
            <w:r>
              <w:rPr>
                <w:b/>
                <w:sz w:val="20"/>
              </w:rPr>
              <w:t xml:space="preserve">CUMPLIMIENTO </w:t>
            </w:r>
          </w:p>
        </w:tc>
        <w:tc>
          <w:tcPr>
            <w:tcW w:w="207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CUMPLIMIENTO </w:t>
            </w:r>
          </w:p>
          <w:p w:rsidR="00EE0979" w:rsidRDefault="00B022A0">
            <w:pPr>
              <w:spacing w:after="0" w:line="259" w:lineRule="auto"/>
              <w:ind w:left="0" w:firstLine="0"/>
            </w:pPr>
            <w:r>
              <w:rPr>
                <w:b/>
                <w:sz w:val="20"/>
              </w:rPr>
              <w:t xml:space="preserve">/ INCUMPLIMIENTO </w:t>
            </w:r>
          </w:p>
        </w:tc>
        <w:tc>
          <w:tcPr>
            <w:tcW w:w="219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EFECTOS </w:t>
            </w:r>
          </w:p>
          <w:p w:rsidR="00EE0979" w:rsidRDefault="00B022A0">
            <w:pPr>
              <w:spacing w:after="0" w:line="259" w:lineRule="auto"/>
              <w:ind w:left="0" w:firstLine="0"/>
              <w:jc w:val="left"/>
            </w:pPr>
            <w:r>
              <w:rPr>
                <w:b/>
                <w:sz w:val="20"/>
              </w:rPr>
              <w:t xml:space="preserve">INCUMPLIMIENTOS </w:t>
            </w:r>
          </w:p>
        </w:tc>
      </w:tr>
      <w:tr w:rsidR="00EE0979">
        <w:trPr>
          <w:trHeight w:val="770"/>
        </w:trPr>
        <w:tc>
          <w:tcPr>
            <w:tcW w:w="1562"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410"/>
              </w:tabs>
              <w:spacing w:after="0" w:line="259" w:lineRule="auto"/>
              <w:ind w:left="0" w:firstLine="0"/>
              <w:jc w:val="left"/>
            </w:pPr>
            <w:r>
              <w:t xml:space="preserve">Pago </w:t>
            </w:r>
            <w:r>
              <w:tab/>
              <w:t xml:space="preserve">a </w:t>
            </w:r>
          </w:p>
          <w:p w:rsidR="00EE0979" w:rsidRDefault="00B022A0">
            <w:pPr>
              <w:spacing w:after="0" w:line="259" w:lineRule="auto"/>
              <w:ind w:left="0" w:firstLine="0"/>
              <w:jc w:val="left"/>
            </w:pPr>
            <w:r>
              <w:t xml:space="preserve">Proveedores en Plazo </w:t>
            </w:r>
          </w:p>
        </w:tc>
        <w:tc>
          <w:tcPr>
            <w:tcW w:w="178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5" w:firstLine="0"/>
            </w:pPr>
            <w:r>
              <w:t xml:space="preserve">Cumplimiento Periodo Medio de pago anual </w:t>
            </w:r>
          </w:p>
        </w:tc>
        <w:tc>
          <w:tcPr>
            <w:tcW w:w="194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24,1 &lt; 30 días </w:t>
            </w:r>
          </w:p>
        </w:tc>
        <w:tc>
          <w:tcPr>
            <w:tcW w:w="207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CUMPLIENTO </w:t>
            </w:r>
          </w:p>
        </w:tc>
        <w:tc>
          <w:tcPr>
            <w:tcW w:w="219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 NO </w:t>
            </w:r>
          </w:p>
        </w:tc>
      </w:tr>
      <w:tr w:rsidR="00EE0979">
        <w:trPr>
          <w:trHeight w:val="1023"/>
        </w:trPr>
        <w:tc>
          <w:tcPr>
            <w:tcW w:w="1562"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410"/>
              </w:tabs>
              <w:spacing w:after="0" w:line="259" w:lineRule="auto"/>
              <w:ind w:left="0" w:firstLine="0"/>
              <w:jc w:val="left"/>
            </w:pPr>
            <w:r>
              <w:t xml:space="preserve">Costes </w:t>
            </w:r>
            <w:r>
              <w:tab/>
              <w:t xml:space="preserve">de </w:t>
            </w:r>
          </w:p>
          <w:p w:rsidR="00EE0979" w:rsidRDefault="00B022A0">
            <w:pPr>
              <w:spacing w:after="0" w:line="259" w:lineRule="auto"/>
              <w:ind w:left="0" w:firstLine="0"/>
              <w:jc w:val="left"/>
            </w:pPr>
            <w:r>
              <w:t xml:space="preserve">Personal </w:t>
            </w:r>
          </w:p>
        </w:tc>
        <w:tc>
          <w:tcPr>
            <w:tcW w:w="178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pPr>
            <w:r>
              <w:t xml:space="preserve">No superar las Previsiones presupuestadas en Personal </w:t>
            </w:r>
          </w:p>
        </w:tc>
        <w:tc>
          <w:tcPr>
            <w:tcW w:w="194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40" w:lineRule="auto"/>
              <w:ind w:left="0" w:right="62" w:firstLine="0"/>
            </w:pPr>
            <w:r>
              <w:t xml:space="preserve">1.004.390,37 € Presupuesto) &gt; 871.304,60 € </w:t>
            </w:r>
          </w:p>
          <w:p w:rsidR="00EE0979" w:rsidRDefault="00B022A0">
            <w:pPr>
              <w:spacing w:after="0" w:line="259" w:lineRule="auto"/>
              <w:ind w:left="0" w:firstLine="0"/>
              <w:jc w:val="left"/>
            </w:pPr>
            <w:r>
              <w:t xml:space="preserve">(Gasto) </w:t>
            </w:r>
          </w:p>
        </w:tc>
        <w:tc>
          <w:tcPr>
            <w:tcW w:w="207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19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NO </w:t>
            </w:r>
          </w:p>
        </w:tc>
      </w:tr>
      <w:tr w:rsidR="00EE0979">
        <w:trPr>
          <w:trHeight w:val="1274"/>
        </w:trPr>
        <w:tc>
          <w:tcPr>
            <w:tcW w:w="156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Legislación fiscal, laboral </w:t>
            </w:r>
          </w:p>
        </w:tc>
        <w:tc>
          <w:tcPr>
            <w:tcW w:w="178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Presentación </w:t>
            </w:r>
          </w:p>
          <w:p w:rsidR="00EE0979" w:rsidRDefault="00B022A0">
            <w:pPr>
              <w:spacing w:after="0" w:line="259" w:lineRule="auto"/>
              <w:ind w:left="0" w:right="61" w:firstLine="0"/>
            </w:pPr>
            <w:r>
              <w:t xml:space="preserve">en plazo de Modelos de ámbito fiscal y Laboral </w:t>
            </w:r>
          </w:p>
        </w:tc>
        <w:tc>
          <w:tcPr>
            <w:tcW w:w="1940" w:type="dxa"/>
            <w:tcBorders>
              <w:top w:val="single" w:sz="4" w:space="0" w:color="000000"/>
              <w:left w:val="single" w:sz="4" w:space="0" w:color="000000"/>
              <w:bottom w:val="single" w:sz="4" w:space="0" w:color="000000"/>
              <w:right w:val="single" w:sz="4" w:space="0" w:color="000000"/>
            </w:tcBorders>
          </w:tcPr>
          <w:p w:rsidR="00EE0979" w:rsidRDefault="00B022A0">
            <w:pPr>
              <w:spacing w:after="2" w:line="238" w:lineRule="auto"/>
              <w:ind w:left="0" w:firstLine="0"/>
              <w:jc w:val="center"/>
            </w:pPr>
            <w:r>
              <w:t xml:space="preserve">PRESENTACIÓN EN PLAZO DE </w:t>
            </w:r>
          </w:p>
          <w:p w:rsidR="00EE0979" w:rsidRDefault="00B022A0">
            <w:pPr>
              <w:spacing w:after="0" w:line="259" w:lineRule="auto"/>
              <w:ind w:left="0" w:firstLine="0"/>
              <w:jc w:val="left"/>
            </w:pPr>
            <w:r>
              <w:t xml:space="preserve">MODELOS </w:t>
            </w:r>
          </w:p>
        </w:tc>
        <w:tc>
          <w:tcPr>
            <w:tcW w:w="207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199"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NO </w:t>
            </w:r>
          </w:p>
        </w:tc>
      </w:tr>
    </w:tbl>
    <w:p w:rsidR="00EE0979" w:rsidRDefault="00B022A0">
      <w:pPr>
        <w:spacing w:after="0" w:line="259" w:lineRule="auto"/>
        <w:ind w:left="14" w:firstLine="0"/>
        <w:jc w:val="left"/>
      </w:pPr>
      <w:r>
        <w:rPr>
          <w:rFonts w:ascii="Times New Roman" w:eastAsia="Times New Roman" w:hAnsi="Times New Roman" w:cs="Times New Roman"/>
          <w:b/>
          <w:i/>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10" w:line="248" w:lineRule="auto"/>
        <w:ind w:left="9" w:right="95" w:hanging="10"/>
      </w:pPr>
      <w:r>
        <w:rPr>
          <w:b/>
          <w:i/>
        </w:rPr>
        <w:t xml:space="preserve">3.- </w:t>
      </w:r>
      <w:r>
        <w:rPr>
          <w:b/>
          <w:i/>
        </w:rPr>
        <w:t xml:space="preserve">Fundación Candesol: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9556" w:type="dxa"/>
        <w:tblInd w:w="19" w:type="dxa"/>
        <w:tblCellMar>
          <w:top w:w="7" w:type="dxa"/>
          <w:left w:w="106" w:type="dxa"/>
          <w:bottom w:w="0" w:type="dxa"/>
          <w:right w:w="45" w:type="dxa"/>
        </w:tblCellMar>
        <w:tblLook w:val="04A0" w:firstRow="1" w:lastRow="0" w:firstColumn="1" w:lastColumn="0" w:noHBand="0" w:noVBand="1"/>
      </w:tblPr>
      <w:tblGrid>
        <w:gridCol w:w="1542"/>
        <w:gridCol w:w="1757"/>
        <w:gridCol w:w="1910"/>
        <w:gridCol w:w="2100"/>
        <w:gridCol w:w="2247"/>
      </w:tblGrid>
      <w:tr w:rsidR="00EE0979">
        <w:trPr>
          <w:trHeight w:val="1020"/>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b/>
              </w:rPr>
              <w:t xml:space="preserve">OBJETIVOS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b/>
              </w:rPr>
              <w:t xml:space="preserve">INDICADORES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b/>
              </w:rPr>
              <w:t xml:space="preserve">GRADO </w:t>
            </w:r>
          </w:p>
          <w:p w:rsidR="00EE0979" w:rsidRDefault="00B022A0">
            <w:pPr>
              <w:spacing w:after="0" w:line="259" w:lineRule="auto"/>
              <w:ind w:left="2" w:firstLine="0"/>
              <w:jc w:val="left"/>
            </w:pPr>
            <w:r>
              <w:rPr>
                <w:b/>
              </w:rPr>
              <w:t>CUMPLIMIENT</w:t>
            </w:r>
          </w:p>
          <w:p w:rsidR="00EE0979" w:rsidRDefault="00B022A0">
            <w:pPr>
              <w:spacing w:after="0" w:line="259" w:lineRule="auto"/>
              <w:ind w:left="2" w:firstLine="0"/>
              <w:jc w:val="left"/>
            </w:pPr>
            <w:r>
              <w:rPr>
                <w:b/>
              </w:rPr>
              <w:t xml:space="preserve">O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rPr>
              <w:t xml:space="preserve">CUMPLIMIENTO </w:t>
            </w:r>
          </w:p>
          <w:p w:rsidR="00EE0979" w:rsidRDefault="00B022A0">
            <w:pPr>
              <w:spacing w:after="0" w:line="259" w:lineRule="auto"/>
              <w:ind w:left="0" w:firstLine="0"/>
              <w:jc w:val="left"/>
            </w:pPr>
            <w:r>
              <w:rPr>
                <w:b/>
              </w:rPr>
              <w:t xml:space="preserve">/ </w:t>
            </w:r>
          </w:p>
          <w:p w:rsidR="00EE0979" w:rsidRDefault="00B022A0">
            <w:pPr>
              <w:spacing w:after="0" w:line="259" w:lineRule="auto"/>
              <w:ind w:left="0" w:firstLine="0"/>
              <w:jc w:val="left"/>
            </w:pPr>
            <w:r>
              <w:rPr>
                <w:b/>
              </w:rPr>
              <w:t>INCUMPLIMIENT</w:t>
            </w:r>
          </w:p>
          <w:p w:rsidR="00EE0979" w:rsidRDefault="00B022A0">
            <w:pPr>
              <w:spacing w:after="0" w:line="259" w:lineRule="auto"/>
              <w:ind w:left="0" w:firstLine="0"/>
              <w:jc w:val="left"/>
            </w:pPr>
            <w:r>
              <w:rPr>
                <w:b/>
              </w:rPr>
              <w:t xml:space="preserve">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b/>
              </w:rPr>
              <w:t xml:space="preserve">EFECTOS </w:t>
            </w:r>
          </w:p>
          <w:p w:rsidR="00EE0979" w:rsidRDefault="00B022A0">
            <w:pPr>
              <w:spacing w:after="0" w:line="259" w:lineRule="auto"/>
              <w:ind w:left="2" w:firstLine="0"/>
              <w:jc w:val="left"/>
            </w:pPr>
            <w:r>
              <w:rPr>
                <w:b/>
              </w:rPr>
              <w:t>INCUMPLIMIENTO</w:t>
            </w:r>
          </w:p>
          <w:p w:rsidR="00EE0979" w:rsidRDefault="00B022A0">
            <w:pPr>
              <w:spacing w:after="0" w:line="259" w:lineRule="auto"/>
              <w:ind w:left="2" w:firstLine="0"/>
              <w:jc w:val="left"/>
            </w:pPr>
            <w:r>
              <w:rPr>
                <w:b/>
              </w:rPr>
              <w:t xml:space="preserve">S </w:t>
            </w:r>
          </w:p>
        </w:tc>
      </w:tr>
      <w:tr w:rsidR="00EE0979">
        <w:trPr>
          <w:trHeight w:val="771"/>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390"/>
              </w:tabs>
              <w:spacing w:after="0" w:line="259" w:lineRule="auto"/>
              <w:ind w:left="0" w:firstLine="0"/>
              <w:jc w:val="left"/>
            </w:pPr>
            <w:r>
              <w:t xml:space="preserve">Pago </w:t>
            </w:r>
            <w:r>
              <w:tab/>
              <w:t xml:space="preserve">a </w:t>
            </w:r>
          </w:p>
          <w:p w:rsidR="00EE0979" w:rsidRDefault="00B022A0">
            <w:pPr>
              <w:spacing w:after="0" w:line="259" w:lineRule="auto"/>
              <w:ind w:left="2" w:firstLine="0"/>
              <w:jc w:val="left"/>
            </w:pPr>
            <w:r>
              <w:t xml:space="preserve">Proveedores en Plazo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4" w:firstLine="0"/>
            </w:pPr>
            <w:r>
              <w:t xml:space="preserve">Cumplimiento Periodo Medio de pago anual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7,11 &lt; 30 días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NO </w:t>
            </w:r>
          </w:p>
        </w:tc>
      </w:tr>
      <w:tr w:rsidR="00EE0979">
        <w:trPr>
          <w:trHeight w:val="1022"/>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1390"/>
              </w:tabs>
              <w:spacing w:after="0" w:line="259" w:lineRule="auto"/>
              <w:ind w:left="0" w:firstLine="0"/>
              <w:jc w:val="left"/>
            </w:pPr>
            <w:r>
              <w:t xml:space="preserve">Costes </w:t>
            </w:r>
            <w:r>
              <w:tab/>
              <w:t xml:space="preserve">de </w:t>
            </w:r>
          </w:p>
          <w:p w:rsidR="00EE0979" w:rsidRDefault="00B022A0">
            <w:pPr>
              <w:spacing w:after="0" w:line="259" w:lineRule="auto"/>
              <w:ind w:left="2" w:firstLine="0"/>
              <w:jc w:val="left"/>
            </w:pPr>
            <w:r>
              <w:t xml:space="preserve">Personal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1" w:firstLine="0"/>
            </w:pPr>
            <w:r>
              <w:t xml:space="preserve">No superar las Previsiones presupuestada s en Personal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39" w:lineRule="auto"/>
              <w:ind w:left="2" w:right="63" w:firstLine="0"/>
            </w:pPr>
            <w:r>
              <w:t xml:space="preserve">169.693,93 € Presupuesto) &gt; 150.473,52 € </w:t>
            </w:r>
          </w:p>
          <w:p w:rsidR="00EE0979" w:rsidRDefault="00B022A0">
            <w:pPr>
              <w:spacing w:after="0" w:line="259" w:lineRule="auto"/>
              <w:ind w:left="2" w:firstLine="0"/>
              <w:jc w:val="left"/>
            </w:pPr>
            <w:r>
              <w:t xml:space="preserve">(Gasto)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NO </w:t>
            </w:r>
          </w:p>
        </w:tc>
      </w:tr>
      <w:tr w:rsidR="00EE0979">
        <w:trPr>
          <w:trHeight w:val="1274"/>
        </w:trPr>
        <w:tc>
          <w:tcPr>
            <w:tcW w:w="15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right="63" w:firstLine="0"/>
            </w:pPr>
            <w:r>
              <w:t xml:space="preserve">Cumplimient o Legislación fiscal, laboral </w:t>
            </w:r>
          </w:p>
        </w:tc>
        <w:tc>
          <w:tcPr>
            <w:tcW w:w="17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Presentación </w:t>
            </w:r>
          </w:p>
          <w:p w:rsidR="00EE0979" w:rsidRDefault="00B022A0">
            <w:pPr>
              <w:spacing w:after="0" w:line="259" w:lineRule="auto"/>
              <w:ind w:left="2" w:right="60" w:firstLine="0"/>
            </w:pPr>
            <w:r>
              <w:t xml:space="preserve">en plazo de Modelos de ámbito fiscal y Laboral </w:t>
            </w:r>
          </w:p>
        </w:tc>
        <w:tc>
          <w:tcPr>
            <w:tcW w:w="191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PRESENTACIÓ</w:t>
            </w:r>
          </w:p>
          <w:p w:rsidR="00EE0979" w:rsidRDefault="00B022A0">
            <w:pPr>
              <w:spacing w:after="0" w:line="259" w:lineRule="auto"/>
              <w:ind w:left="2" w:firstLine="0"/>
            </w:pPr>
            <w:r>
              <w:t xml:space="preserve">N EN PLAZO DE </w:t>
            </w:r>
          </w:p>
          <w:p w:rsidR="00EE0979" w:rsidRDefault="00B022A0">
            <w:pPr>
              <w:spacing w:after="0" w:line="259" w:lineRule="auto"/>
              <w:ind w:left="2" w:firstLine="0"/>
              <w:jc w:val="left"/>
            </w:pPr>
            <w:r>
              <w:t xml:space="preserve">MODELOS </w:t>
            </w:r>
          </w:p>
        </w:tc>
        <w:tc>
          <w:tcPr>
            <w:tcW w:w="210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p>
        </w:tc>
        <w:tc>
          <w:tcPr>
            <w:tcW w:w="224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NO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rPr>
          <w:rFonts w:ascii="Times New Roman" w:eastAsia="Times New Roman" w:hAnsi="Times New Roman" w:cs="Times New Roman"/>
          <w:sz w:val="24"/>
        </w:rPr>
        <w:t xml:space="preserve"> </w:t>
      </w:r>
    </w:p>
    <w:p w:rsidR="00EE0979" w:rsidRDefault="00B022A0">
      <w:pPr>
        <w:ind w:left="14" w:right="100" w:firstLine="360"/>
      </w:pPr>
      <w:r>
        <w:t xml:space="preserve">Por ello, este interventor informa favorablemente el presente Contrato Programa para el ejercicio 2023, entre el Ayuntamiento de Candelarira, Epelcan, Empresa de inserción y la Fundación Candesol.” </w:t>
      </w:r>
    </w:p>
    <w:p w:rsidR="00EE0979" w:rsidRDefault="00B022A0">
      <w:pPr>
        <w:spacing w:after="115" w:line="259" w:lineRule="auto"/>
        <w:ind w:left="14" w:firstLine="0"/>
        <w:jc w:val="left"/>
      </w:pPr>
      <w:r>
        <w:rPr>
          <w:b/>
        </w:rPr>
        <w:t xml:space="preserve"> </w:t>
      </w:r>
    </w:p>
    <w:p w:rsidR="00EE0979" w:rsidRDefault="00B022A0">
      <w:pPr>
        <w:spacing w:after="0" w:line="259" w:lineRule="auto"/>
        <w:ind w:left="10"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 xml:space="preserve">    </w:t>
      </w:r>
      <w:r>
        <w:rPr>
          <w:b/>
        </w:rPr>
        <w:t xml:space="preserve">Consta en el expediente propuesta del Concejal delegado de Hacienda, D. Airam Pérez Chinea, de fecha 14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16" w:line="259" w:lineRule="auto"/>
        <w:ind w:left="14" w:firstLine="0"/>
        <w:jc w:val="left"/>
      </w:pPr>
      <w:r>
        <w:rPr>
          <w:b/>
        </w:rPr>
        <w:t xml:space="preserve"> </w:t>
      </w:r>
    </w:p>
    <w:p w:rsidR="00EE0979" w:rsidRDefault="00B022A0">
      <w:pPr>
        <w:pStyle w:val="Ttulo1"/>
        <w:numPr>
          <w:ilvl w:val="0"/>
          <w:numId w:val="0"/>
        </w:numPr>
        <w:spacing w:after="98"/>
        <w:ind w:left="624" w:right="711"/>
      </w:pPr>
      <w:r>
        <w:t xml:space="preserve">“Propuesta de la Concejalía Delegada de Hacienda </w:t>
      </w:r>
    </w:p>
    <w:p w:rsidR="00EE0979" w:rsidRDefault="00B022A0">
      <w:pPr>
        <w:spacing w:after="95" w:line="259" w:lineRule="auto"/>
        <w:ind w:left="14" w:firstLine="0"/>
        <w:jc w:val="left"/>
      </w:pPr>
      <w:r>
        <w:t xml:space="preserve">  </w:t>
      </w:r>
    </w:p>
    <w:p w:rsidR="00EE0979" w:rsidRDefault="00B022A0">
      <w:pPr>
        <w:spacing w:after="6"/>
        <w:ind w:right="99" w:hanging="10"/>
      </w:pPr>
      <w:r>
        <w:rPr>
          <w:b/>
        </w:rPr>
        <w:t>Asunto: CONTRATO PROGRAMA SOBRE EL MARCO D</w:t>
      </w:r>
      <w:r>
        <w:rPr>
          <w:b/>
        </w:rPr>
        <w:t xml:space="preserve">E RELACIONES ENTRE EL AYUNTAMIENTO DE CANDELARIA, LA ENTIDAD PUBLICA EMPRESARIAL “GESTIÓN DE EMPRESAS Y SERVICIOS MUNICIPALES DEL AYUNTAMIENTO DE LA VILLA DE CANDELARIA”, LA SOCIEDAD MERCANTIL “EMPRESA DE INSERCIÓN VIVIENDAS Y </w:t>
      </w:r>
    </w:p>
    <w:p w:rsidR="00EE0979" w:rsidRDefault="00B022A0">
      <w:pPr>
        <w:spacing w:after="6"/>
        <w:ind w:right="99" w:hanging="10"/>
      </w:pPr>
      <w:r>
        <w:rPr>
          <w:b/>
        </w:rPr>
        <w:t>SERVICIOS MUNICIPALES DE CAN</w:t>
      </w:r>
      <w:r>
        <w:rPr>
          <w:b/>
        </w:rPr>
        <w:t>DELARIA S.L.” Y LA FUNDACIÓN “CANDELARIA SOLIDARIA” PARA EL EJERCICIO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47864" name="Group 24786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9577" name="Shape 9577"/>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7864" style="width:477.1pt;height:2.04pt;mso-position-horizontal-relative:char;mso-position-vertical-relative:line" coordsize="60591,259">
                <v:shape id="Shape 9577" style="position:absolute;width:60591;height:0;left:0;top:0;" coordsize="6059170,0" path="m0,0l6059170,0">
                  <v:stroke weight="2.04pt" endcap="square" joinstyle="miter" miterlimit="10" on="true" color="#993366"/>
                  <v:fill on="false" color="#000000" opacity="0"/>
                </v:shape>
              </v:group>
            </w:pict>
          </mc:Fallback>
        </mc:AlternateConten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ind w:left="727" w:right="100"/>
      </w:pPr>
      <w:r>
        <w:t xml:space="preserve">Visto el Contrato-Programa que se transcribe a continuación: </w:t>
      </w:r>
    </w:p>
    <w:p w:rsidR="00EE0979" w:rsidRDefault="00B022A0">
      <w:pPr>
        <w:spacing w:after="0" w:line="259" w:lineRule="auto"/>
        <w:ind w:left="14" w:firstLine="0"/>
        <w:jc w:val="left"/>
      </w:pPr>
      <w:r>
        <w:rPr>
          <w:b/>
        </w:rPr>
        <w:t xml:space="preserve"> </w:t>
      </w:r>
    </w:p>
    <w:p w:rsidR="00EE0979" w:rsidRDefault="00B022A0">
      <w:pPr>
        <w:ind w:right="100"/>
      </w:pPr>
      <w:r>
        <w:rPr>
          <w:b/>
        </w:rPr>
        <w:t>“I.-</w:t>
      </w:r>
      <w:r>
        <w:t>El objeto del CONTRATO-</w:t>
      </w:r>
      <w:r>
        <w:t xml:space="preserve">PROGRAMA, es establecer un marco de relaciones y compromisos en materia de gestión, financiera y de ámbito de actividad, entre el Ayuntamiento de Candelaria y sus entes dependientes: la Entidad Pública Empresarial “Gestión de Empresas y Servicios Públicos </w:t>
      </w:r>
      <w:r>
        <w:t>del Ayuntamiento de la Villa Candelaria,” la Sociedad Mercantil Municipal “E.I. Viviendas y Servicios Municipales de Candelaria S.L.” y la Fundación “Candelaria Solidaria”.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II.- Que actualmente la Entidad Pública Empresarial, al amparo de lo preceptuado</w:t>
      </w:r>
      <w:r>
        <w:t xml:space="preserve"> en el artículo 6.1.b.) de sus Estatutos, presta actualmente la gestión de los siguientes servicios:</w:t>
      </w:r>
      <w:r>
        <w:rPr>
          <w:rFonts w:ascii="Times New Roman" w:eastAsia="Times New Roman" w:hAnsi="Times New Roman" w:cs="Times New Roman"/>
          <w:sz w:val="24"/>
        </w:rPr>
        <w:t xml:space="preserve"> </w:t>
      </w:r>
    </w:p>
    <w:p w:rsidR="00EE0979" w:rsidRDefault="00B022A0">
      <w:pPr>
        <w:spacing w:after="14" w:line="259" w:lineRule="auto"/>
        <w:ind w:left="14" w:firstLine="0"/>
        <w:jc w:val="left"/>
      </w:pPr>
      <w:r>
        <w:t xml:space="preserve"> </w:t>
      </w:r>
    </w:p>
    <w:p w:rsidR="00EE0979" w:rsidRDefault="00B022A0">
      <w:pPr>
        <w:numPr>
          <w:ilvl w:val="0"/>
          <w:numId w:val="33"/>
        </w:numPr>
        <w:ind w:right="100" w:hanging="360"/>
      </w:pPr>
      <w:r>
        <w:t>La Atención Sociosanitaria a personas en domicilio.</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limpieza interior de inmuebles municipales y equipamientos urbanos.</w:t>
      </w:r>
      <w:r>
        <w:rPr>
          <w:rFonts w:ascii="Times New Roman" w:eastAsia="Times New Roman" w:hAnsi="Times New Roman" w:cs="Times New Roman"/>
          <w:sz w:val="24"/>
        </w:rPr>
        <w:t xml:space="preserve"> </w:t>
      </w:r>
    </w:p>
    <w:p w:rsidR="00EE0979" w:rsidRDefault="00B022A0">
      <w:pPr>
        <w:numPr>
          <w:ilvl w:val="0"/>
          <w:numId w:val="33"/>
        </w:numPr>
        <w:ind w:right="100" w:hanging="360"/>
      </w:pPr>
      <w:r>
        <w:t xml:space="preserve">La conserjería en </w:t>
      </w:r>
      <w:r>
        <w:t>edificios municipales.</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Gestión de la Piscina Municipal.</w:t>
      </w:r>
      <w:r>
        <w:rPr>
          <w:rFonts w:ascii="Times New Roman" w:eastAsia="Times New Roman" w:hAnsi="Times New Roman" w:cs="Times New Roman"/>
          <w:sz w:val="24"/>
        </w:rPr>
        <w:t xml:space="preserve"> </w:t>
      </w:r>
    </w:p>
    <w:p w:rsidR="00EE0979" w:rsidRDefault="00B022A0">
      <w:pPr>
        <w:numPr>
          <w:ilvl w:val="0"/>
          <w:numId w:val="33"/>
        </w:numPr>
        <w:spacing w:after="27"/>
        <w:ind w:right="100" w:hanging="360"/>
      </w:pPr>
      <w:r>
        <w:t xml:space="preserve">La gestión de la Radio Municipal de Candelaria. </w:t>
      </w:r>
    </w:p>
    <w:p w:rsidR="00EE0979" w:rsidRDefault="00B022A0">
      <w:pPr>
        <w:numPr>
          <w:ilvl w:val="0"/>
          <w:numId w:val="33"/>
        </w:numPr>
        <w:ind w:right="100" w:hanging="360"/>
      </w:pPr>
      <w:r>
        <w:t>La gestión de la Escuela Infantil Municipal.</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gestión de los cursos municipales de natación, en las siguientes modalidades: natación terapéutic</w:t>
      </w:r>
      <w:r>
        <w:t xml:space="preserve">a; natación  de iniciación y perfeccionamiento; cursos de verano para menores; y, natación individualitzada. </w:t>
      </w:r>
    </w:p>
    <w:p w:rsidR="00EE0979" w:rsidRDefault="00B022A0">
      <w:pPr>
        <w:numPr>
          <w:ilvl w:val="0"/>
          <w:numId w:val="33"/>
        </w:numPr>
        <w:ind w:right="100" w:hanging="360"/>
      </w:pPr>
      <w:r>
        <w:t xml:space="preserve">Campamento Urbano. </w:t>
      </w:r>
    </w:p>
    <w:p w:rsidR="00EE0979" w:rsidRDefault="00B022A0">
      <w:pPr>
        <w:numPr>
          <w:ilvl w:val="0"/>
          <w:numId w:val="33"/>
        </w:numPr>
        <w:ind w:right="100" w:hanging="360"/>
      </w:pPr>
      <w:r>
        <w:t xml:space="preserve">Comic </w:t>
      </w:r>
    </w:p>
    <w:p w:rsidR="00EE0979" w:rsidRDefault="00B022A0">
      <w:pPr>
        <w:numPr>
          <w:ilvl w:val="0"/>
          <w:numId w:val="33"/>
        </w:numPr>
        <w:ind w:right="100" w:hanging="360"/>
      </w:pPr>
      <w:r>
        <w:t xml:space="preserve">Gestión de Viviendas/Plazas de Garaje </w:t>
      </w:r>
      <w:r>
        <w:rPr>
          <w:rFonts w:ascii="Times New Roman" w:eastAsia="Times New Roman" w:hAnsi="Times New Roman" w:cs="Times New Roman"/>
        </w:rPr>
        <w:t>-</w:t>
      </w:r>
      <w:r>
        <w:t xml:space="preserve"> </w:t>
      </w:r>
      <w:r>
        <w:tab/>
        <w:t xml:space="preserve">Vending. </w:t>
      </w:r>
    </w:p>
    <w:p w:rsidR="00EE0979" w:rsidRDefault="00B022A0">
      <w:pPr>
        <w:numPr>
          <w:ilvl w:val="0"/>
          <w:numId w:val="33"/>
        </w:numPr>
        <w:ind w:right="100" w:hanging="360"/>
      </w:pPr>
      <w:r>
        <w:t xml:space="preserve">Gestión de la Playa. </w:t>
      </w:r>
    </w:p>
    <w:p w:rsidR="00EE0979" w:rsidRDefault="00B022A0">
      <w:pPr>
        <w:numPr>
          <w:ilvl w:val="0"/>
          <w:numId w:val="33"/>
        </w:numPr>
        <w:ind w:right="100" w:hanging="360"/>
      </w:pPr>
      <w:r>
        <w:t xml:space="preserve">Gestión Escuelas Deportivas </w:t>
      </w:r>
    </w:p>
    <w:p w:rsidR="00EE0979" w:rsidRDefault="00B022A0">
      <w:pPr>
        <w:spacing w:after="0" w:line="259" w:lineRule="auto"/>
        <w:ind w:left="14" w:firstLine="0"/>
        <w:jc w:val="left"/>
      </w:pPr>
      <w:r>
        <w:t xml:space="preserve"> </w:t>
      </w:r>
    </w:p>
    <w:p w:rsidR="00EE0979" w:rsidRDefault="00B022A0">
      <w:pPr>
        <w:ind w:right="100"/>
      </w:pPr>
      <w:r>
        <w:t>III.- Que actua</w:t>
      </w:r>
      <w:r>
        <w:t>lmente, la Sociedad Municipal de Viviendas y Servicios Municipales de Candelaria S.L.U., cuya razón de ser de la Empresa Municipal, es promover la inserción sociolaboral de personas en situación de exclusión o en riesgo de padecerla y aquellos servicios qu</w:t>
      </w:r>
      <w:r>
        <w:t>e permitan realizar itinerarios individualizados de inserción laboral, según la normativa vigente, nacional y  autonómica, y en particular la derivada de la Ley 44/2007, de 13 de diciembre, para la regulación del régimen de las empresas de inserción:</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A</w:t>
      </w:r>
      <w:r>
        <w:t>tención Sociosanitaria a personas en domicilio.</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limpieza interior de inmuebles municipales y equipamientos urbanos.</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conserjería en edificios municipales.</w:t>
      </w:r>
      <w:r>
        <w:rPr>
          <w:rFonts w:ascii="Times New Roman" w:eastAsia="Times New Roman" w:hAnsi="Times New Roman" w:cs="Times New Roman"/>
          <w:sz w:val="24"/>
        </w:rPr>
        <w:t xml:space="preserve"> </w:t>
      </w:r>
    </w:p>
    <w:p w:rsidR="00EE0979" w:rsidRDefault="00B022A0">
      <w:pPr>
        <w:numPr>
          <w:ilvl w:val="0"/>
          <w:numId w:val="33"/>
        </w:numPr>
        <w:ind w:right="100" w:hanging="360"/>
      </w:pPr>
      <w:r>
        <w:t>La Gestión del Centro Alfarero.</w:t>
      </w:r>
      <w:r>
        <w:rPr>
          <w:rFonts w:ascii="Times New Roman" w:eastAsia="Times New Roman" w:hAnsi="Times New Roman" w:cs="Times New Roman"/>
          <w:sz w:val="24"/>
        </w:rPr>
        <w:t xml:space="preserve"> </w:t>
      </w:r>
    </w:p>
    <w:p w:rsidR="00EE0979" w:rsidRDefault="00B022A0">
      <w:pPr>
        <w:numPr>
          <w:ilvl w:val="0"/>
          <w:numId w:val="33"/>
        </w:numPr>
        <w:ind w:right="100" w:hanging="360"/>
      </w:pPr>
      <w:r>
        <w:t xml:space="preserve">Piscina municipal. </w:t>
      </w:r>
    </w:p>
    <w:p w:rsidR="00EE0979" w:rsidRDefault="00B022A0">
      <w:pPr>
        <w:spacing w:after="0" w:line="259" w:lineRule="auto"/>
        <w:ind w:left="14" w:firstLine="0"/>
        <w:jc w:val="left"/>
      </w:pPr>
      <w:r>
        <w:t xml:space="preserve"> </w:t>
      </w:r>
    </w:p>
    <w:p w:rsidR="00EE0979" w:rsidRDefault="00B022A0">
      <w:pPr>
        <w:ind w:right="100"/>
      </w:pPr>
      <w:r>
        <w:t>IV.- Que la Fundación Candelaria Solid</w:t>
      </w:r>
      <w:r>
        <w:t xml:space="preserve">aria, conforme los fines previstos en los Estatutos y el Plan de Acción, que se aprueba anualmente por el Patronato, se puede concretar en: </w:t>
      </w:r>
    </w:p>
    <w:p w:rsidR="00EE0979" w:rsidRDefault="00B022A0">
      <w:pPr>
        <w:numPr>
          <w:ilvl w:val="0"/>
          <w:numId w:val="33"/>
        </w:numPr>
        <w:ind w:right="100" w:hanging="360"/>
      </w:pPr>
      <w:r>
        <w:t xml:space="preserve">Gestión Centro Ocupacional Arco Iris. </w:t>
      </w:r>
    </w:p>
    <w:p w:rsidR="00EE0979" w:rsidRDefault="00B022A0">
      <w:pPr>
        <w:numPr>
          <w:ilvl w:val="0"/>
          <w:numId w:val="33"/>
        </w:numPr>
        <w:ind w:right="100" w:hanging="360"/>
      </w:pPr>
      <w:r>
        <w:t xml:space="preserve">Centro Solidario de Alimentos. </w:t>
      </w:r>
    </w:p>
    <w:p w:rsidR="00EE0979" w:rsidRDefault="00B022A0">
      <w:pPr>
        <w:spacing w:after="0" w:line="259" w:lineRule="auto"/>
        <w:ind w:left="14" w:firstLine="0"/>
        <w:jc w:val="left"/>
      </w:pPr>
      <w:r>
        <w:t xml:space="preserve"> </w:t>
      </w:r>
    </w:p>
    <w:p w:rsidR="00EE0979" w:rsidRDefault="00B022A0">
      <w:pPr>
        <w:ind w:right="100"/>
      </w:pPr>
      <w:r>
        <w:t>V.- Que la vigencia del Contrato-</w:t>
      </w:r>
      <w:r>
        <w:t xml:space="preserve">programa será indefinida, mientras existan las entidades vinculadas con el presente Contrato- Programa.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VII.- El motivo del presente contrato-programa se justifica, desde la perspectiva interna, en el compromiso de alinear a la Empresa Municipal de In</w:t>
      </w:r>
      <w:r>
        <w:t>serción, la Entidad Pública Empresarial del Ayuntamiento de la Villa de Candelaria y la Fundación, con el modelo de gestión municipal, regulando la financiación; y desde una perspectiva externa, en lograr una gestión eficiente de las actividades y servicio</w:t>
      </w:r>
      <w:r>
        <w:t xml:space="preserve">s a realizar.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De acuerdo con ello, las líneas estratégicas de los entes vinculados al contrato-programa, son las siguientes:</w:t>
      </w:r>
      <w:r>
        <w:rPr>
          <w:rFonts w:ascii="Times New Roman" w:eastAsia="Times New Roman" w:hAnsi="Times New Roman" w:cs="Times New Roman"/>
          <w:sz w:val="24"/>
        </w:rPr>
        <w:t xml:space="preserve"> </w:t>
      </w:r>
    </w:p>
    <w:p w:rsidR="00EE0979" w:rsidRDefault="00B022A0">
      <w:pPr>
        <w:spacing w:after="31" w:line="259" w:lineRule="auto"/>
        <w:ind w:left="14" w:firstLine="0"/>
        <w:jc w:val="left"/>
      </w:pPr>
      <w:r>
        <w:t xml:space="preserve"> </w:t>
      </w:r>
    </w:p>
    <w:p w:rsidR="00EE0979" w:rsidRDefault="00B022A0">
      <w:pPr>
        <w:numPr>
          <w:ilvl w:val="1"/>
          <w:numId w:val="33"/>
        </w:numPr>
        <w:ind w:right="100" w:hanging="360"/>
      </w:pPr>
      <w:r>
        <w:t xml:space="preserve">Alinear la planificación y el  modelo de gestión y presupuestación con el del Ayuntamiento. </w:t>
      </w:r>
    </w:p>
    <w:p w:rsidR="00EE0979" w:rsidRDefault="00B022A0">
      <w:pPr>
        <w:numPr>
          <w:ilvl w:val="1"/>
          <w:numId w:val="33"/>
        </w:numPr>
        <w:ind w:right="100" w:hanging="360"/>
      </w:pPr>
      <w:r>
        <w:t xml:space="preserve">Pasar de  la cultura del gasto a la cultura del coste. </w:t>
      </w:r>
    </w:p>
    <w:p w:rsidR="00EE0979" w:rsidRDefault="00B022A0">
      <w:pPr>
        <w:numPr>
          <w:ilvl w:val="1"/>
          <w:numId w:val="33"/>
        </w:numPr>
        <w:ind w:right="100" w:hanging="360"/>
      </w:pPr>
      <w:r>
        <w:t xml:space="preserve">Gestionar con transparencia. </w:t>
      </w:r>
    </w:p>
    <w:p w:rsidR="00EE0979" w:rsidRDefault="00B022A0">
      <w:pPr>
        <w:numPr>
          <w:ilvl w:val="1"/>
          <w:numId w:val="33"/>
        </w:numPr>
        <w:spacing w:after="45"/>
        <w:ind w:right="100" w:hanging="360"/>
      </w:pPr>
      <w:r>
        <w:t>Adecuar la gestión a los principios de eficiencia, eficacia y economia, conforme el Real Decreto 424/2017 de 28 de abril, por el que se regula el régimen jurídico del sis</w:t>
      </w:r>
      <w:r>
        <w:t xml:space="preserve">tema de control interno. </w:t>
      </w:r>
    </w:p>
    <w:p w:rsidR="00EE0979" w:rsidRDefault="00B022A0">
      <w:pPr>
        <w:numPr>
          <w:ilvl w:val="1"/>
          <w:numId w:val="33"/>
        </w:numPr>
        <w:ind w:right="100" w:hanging="360"/>
      </w:pPr>
      <w:r>
        <w:t>Adecuar su funcionamiento a las recomendaciones de los Auditores que verifiquen su gestión, contratados para la prestación de los servicios de colaboración con la intervención Municipal en la realización de Auditorías Públicas con</w:t>
      </w:r>
      <w:r>
        <w:t>sistente, en la verificación, realizada con posterioridad y efectuada de forma sistemática, de la actividad económico-financiera de las entidades auditadas, mediante la aplicación de los procedimientos de revisión selectivos, contenidos en las normas de au</w:t>
      </w:r>
      <w:r>
        <w:t>ditoría e instrucciones que dicte la Intervención General de la Administración del Estado.</w:t>
      </w:r>
      <w:r>
        <w:rPr>
          <w:rFonts w:ascii="Times New Roman" w:eastAsia="Times New Roman" w:hAnsi="Times New Roman" w:cs="Times New Roman"/>
          <w:sz w:val="24"/>
        </w:rPr>
        <w:t xml:space="preserve"> </w:t>
      </w:r>
    </w:p>
    <w:p w:rsidR="00EE0979" w:rsidRDefault="00B022A0">
      <w:pPr>
        <w:numPr>
          <w:ilvl w:val="1"/>
          <w:numId w:val="33"/>
        </w:numPr>
        <w:ind w:right="100" w:hanging="360"/>
      </w:pPr>
      <w:r>
        <w:t xml:space="preserve">Definir los centros gestores de Gastos e Ingresos. </w:t>
      </w:r>
    </w:p>
    <w:p w:rsidR="00EE0979" w:rsidRDefault="00B022A0">
      <w:pPr>
        <w:spacing w:after="0" w:line="259" w:lineRule="auto"/>
        <w:ind w:left="14" w:firstLine="0"/>
        <w:jc w:val="left"/>
      </w:pPr>
      <w:r>
        <w:t xml:space="preserve"> </w:t>
      </w:r>
    </w:p>
    <w:p w:rsidR="00EE0979" w:rsidRDefault="00B022A0">
      <w:pPr>
        <w:ind w:right="100"/>
      </w:pPr>
      <w:r>
        <w:t>Para su desarrollo, los objetivos estratégicos de actuación serán los siguientes: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1.- Incorporar la Planifi</w:t>
      </w:r>
      <w:r>
        <w:t xml:space="preserve">cación en la gestión de todas las entidades. </w:t>
      </w:r>
    </w:p>
    <w:p w:rsidR="00EE0979" w:rsidRDefault="00B022A0">
      <w:pPr>
        <w:ind w:right="100"/>
      </w:pPr>
      <w:r>
        <w:t xml:space="preserve">2.- Adaptar las previsiones de ingresos y gastos de los entes, conforme los principios de economia, eficiencia y eficacia.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VIII.- </w:t>
      </w:r>
      <w:r>
        <w:t>Las entidades dependientes del Ayuntamiento de Candelaria, sometidas al presente ContratoPrograma, anualmente, deberán someterse a un proceso de auditoria, por la empresa que resulte adjudicataria por el Ayuntamiento, verificando la actividad económico-fin</w:t>
      </w:r>
      <w:r>
        <w:t xml:space="preserve">anciera de las citadas entidades , que deberá emitir informes que presentarán los hechos reales de forma exacta, incluyendo únicamente información sobre hechos comprobados y conclusiones fundamentadas por evidencia suficiente, contenidos en los papeles de </w:t>
      </w:r>
      <w:r>
        <w:t>trabajo. Deberán incluirse de forma clara las conclusiones y, en su caso, las recomendaciones.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Las modalidades de auditorías a realizar son: </w:t>
      </w:r>
    </w:p>
    <w:p w:rsidR="00EE0979" w:rsidRDefault="00B022A0">
      <w:pPr>
        <w:spacing w:after="0" w:line="259" w:lineRule="auto"/>
        <w:ind w:left="14" w:firstLine="0"/>
        <w:jc w:val="left"/>
      </w:pPr>
      <w:r>
        <w:t xml:space="preserve"> </w:t>
      </w:r>
    </w:p>
    <w:p w:rsidR="00EE0979" w:rsidRDefault="00B022A0">
      <w:pPr>
        <w:ind w:right="100"/>
      </w:pPr>
      <w:r>
        <w:t>1- Auditoría de las Cuentas Anuales. Examen de los estados financieros de la Sociedad, mediante procedimiento</w:t>
      </w:r>
      <w:r>
        <w:t>s de verificación, comparación, confirmación, análisis y demás que se considere oportuno aplicar, con objeto de opinar sobre si los mismos reflejan adecuadamente su situación patrimonial, los resultados de sus operaciones y los cambios en su situación fina</w:t>
      </w:r>
      <w:r>
        <w:t xml:space="preserve">nciera, de acuerdo con los principios de contabilidad generalmente aceptados y la legislación vigente. </w:t>
      </w:r>
    </w:p>
    <w:p w:rsidR="00EE0979" w:rsidRDefault="00B022A0">
      <w:pPr>
        <w:spacing w:after="0" w:line="259" w:lineRule="auto"/>
        <w:ind w:left="14" w:firstLine="0"/>
        <w:jc w:val="left"/>
      </w:pPr>
      <w:r>
        <w:t xml:space="preserve"> </w:t>
      </w:r>
    </w:p>
    <w:p w:rsidR="00EE0979" w:rsidRDefault="00B022A0">
      <w:pPr>
        <w:ind w:right="100"/>
      </w:pPr>
      <w:r>
        <w:t>2.- Auditoría de cumplimiento. Los trabajos realizados abarcarán las distintas áreas de gestión de cada sociedad objeto de control, desde la perspecti</w:t>
      </w:r>
      <w:r>
        <w:t xml:space="preserve">va del cumplimiento de la legalidad: </w:t>
      </w:r>
    </w:p>
    <w:p w:rsidR="00EE0979" w:rsidRDefault="00B022A0">
      <w:pPr>
        <w:spacing w:after="0" w:line="259" w:lineRule="auto"/>
        <w:ind w:left="14" w:firstLine="0"/>
        <w:jc w:val="left"/>
      </w:pPr>
      <w:r>
        <w:t xml:space="preserve"> </w:t>
      </w:r>
    </w:p>
    <w:p w:rsidR="00EE0979" w:rsidRDefault="00B022A0">
      <w:pPr>
        <w:ind w:right="100"/>
      </w:pPr>
      <w:r>
        <w:rPr>
          <w:u w:val="single" w:color="000000"/>
        </w:rPr>
        <w:t>Área de ingresos</w:t>
      </w:r>
      <w:r>
        <w:t xml:space="preserve">: se analizarán los recursos que gestiona la entidad, así como su procedencia. Se comprobará la correcta contabilización de los ingresos, analizando los ingresos devengados y recaudados.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Se compr</w:t>
      </w:r>
      <w:r>
        <w:t xml:space="preserve">obará que los ingresos que proceden de prestaciones de servicios o contratos de Entes distintos a la entidad matriz se adecuan al objeto y Estatutos de la sociedad, y que se han tramitado de acuerdo con la normativa de aplicación.  </w:t>
      </w:r>
    </w:p>
    <w:p w:rsidR="00EE0979" w:rsidRDefault="00B022A0">
      <w:pPr>
        <w:spacing w:after="0" w:line="259" w:lineRule="auto"/>
        <w:ind w:left="14" w:firstLine="0"/>
        <w:jc w:val="left"/>
      </w:pPr>
      <w:r>
        <w:t xml:space="preserve"> </w:t>
      </w:r>
    </w:p>
    <w:p w:rsidR="00EE0979" w:rsidRDefault="00B022A0">
      <w:pPr>
        <w:ind w:right="100"/>
      </w:pPr>
      <w:r>
        <w:rPr>
          <w:u w:val="single" w:color="000000"/>
        </w:rPr>
        <w:t>Área de activos</w:t>
      </w:r>
      <w:r>
        <w:t>: Se c</w:t>
      </w:r>
      <w:r>
        <w:t xml:space="preserve">omprobará la existencia de un Inventario y el uso racional y regular de los activos de la entidad, así como la posible existencia de activos no contemplados en la contabilidad de la misma.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u w:val="single" w:color="000000"/>
        </w:rPr>
        <w:t>Área de Recursos Humanos</w:t>
      </w:r>
      <w:r>
        <w:t>: Se analizarán las altas y las bajas d</w:t>
      </w:r>
      <w:r>
        <w:t>el personal en los periodos controlados, comprobando la existencia de procedimientos de selección adecuados. Por otra parte, se analizará la política retributiva de la entidad. Se analizará de forma exhaustiva los puestos de Dirección, Gerencia e equivalen</w:t>
      </w:r>
      <w:r>
        <w:t xml:space="preserve">tes. Finalmente se comprobarán los gastos salariales y de seguridad social de la entidad.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Respecto de las altas y bajas, se verificará la existencia de un procedimiento de selección de personal que se adecue a las normas que resulten aplicables a la en</w:t>
      </w:r>
      <w:r>
        <w:t>tidad y, en todo caso, a los principios de igualdad, mérito, capacidad y publicidad, comprobando sobre una muestra representativa, que la contratación del personal se realiza conforme al citado procedimiento, responde a las necesidades de la entidad y resp</w:t>
      </w:r>
      <w:r>
        <w:t xml:space="preserve">eta lo establecido en la normativa que le resulte de aplicación.  </w:t>
      </w:r>
    </w:p>
    <w:p w:rsidR="00EE0979" w:rsidRDefault="00B022A0">
      <w:pPr>
        <w:spacing w:after="0" w:line="259" w:lineRule="auto"/>
        <w:ind w:left="14" w:firstLine="0"/>
        <w:jc w:val="left"/>
      </w:pPr>
      <w:r>
        <w:t xml:space="preserve"> </w:t>
      </w:r>
    </w:p>
    <w:p w:rsidR="00EE0979" w:rsidRDefault="00B022A0">
      <w:pPr>
        <w:ind w:right="100"/>
      </w:pPr>
      <w:r>
        <w:t xml:space="preserve">Se verificarán todos expedientes de ceses por despidos.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Respecto de la política retributiva, se verificará la existencia de un sistema de retribuciones que se establezca en considerac</w:t>
      </w:r>
      <w:r>
        <w:t>ión al contenido de los puestos de trabajo a desempeñar, desglosando adecuadamente todos los conceptos e importes que integran las retribuciones del personal; verificando que éste se aplica de forma homogénea al personal. Finalmente, se comprobará que la p</w:t>
      </w:r>
      <w:r>
        <w:t xml:space="preserve">olítica retributiva de la sociedad en los ejercicios controlados respeta lo establecido en la normativa que le resulta de aplicación.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Respecto de los puestos de Dirección o Gerencia, se comprobará el cumplimiento de la normativa que le resulte de aplic</w:t>
      </w:r>
      <w:r>
        <w:t>ación en los siguientes aspectos: procedimientos de selección y nombramientos, retribuciones anuales aprobadas, modalidad de contrato formalizado, cláusulas indemnizatorias en los supuestos de ceses, percepción de otro tipo de remuneraciones distintas a la</w:t>
      </w:r>
      <w:r>
        <w:t xml:space="preserve">s estipuladas en contrato, disposición y utilización de tarjetas de crédito, y poderes otorgados.  </w:t>
      </w:r>
    </w:p>
    <w:p w:rsidR="00EE0979" w:rsidRDefault="00B022A0">
      <w:pPr>
        <w:spacing w:after="0" w:line="259" w:lineRule="auto"/>
        <w:ind w:left="14" w:firstLine="0"/>
        <w:jc w:val="left"/>
      </w:pPr>
      <w:r>
        <w:t xml:space="preserve"> </w:t>
      </w:r>
    </w:p>
    <w:p w:rsidR="00EE0979" w:rsidRDefault="00B022A0">
      <w:pPr>
        <w:ind w:right="100"/>
      </w:pPr>
      <w:r>
        <w:t xml:space="preserve"> El alcance de las comprobaciones en este apartado, será del cien por cien de los puestos de dirección, el cien por cien de sus gastos salariales, así com</w:t>
      </w:r>
      <w:r>
        <w:t xml:space="preserve">o gastos por desplazamientos y dietas, y respecto de los procedimientos de selección y cese, podrán extenderse a periodos distintos a los controlados.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 xml:space="preserve">Respecto de los gastos salariales y de seguridad social, se analizará su variación respecto del ejercicio anterior, comprobando que respeta lo establecido en la Ley de Presupuestos Generales del Estado. Se comprobará su adecuado registro contable, y sobre </w:t>
      </w:r>
      <w:r>
        <w:t xml:space="preserve">una muestra representativa de trabajadores, se comprobarán los contratos de trabajo, las nóminas y seguros sociales.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Se comprobará la existencia de algún tipo de beneficios sociales en la entidad, para valorar la correcta concesión y gestión de los mism</w:t>
      </w:r>
      <w:r>
        <w:t xml:space="preserve">os (créditos al personal, ayudas para estudios y formación, planes y fondos de pensiones, pólizas de seguros de vida, seguros médicos, comedor de empresa, premios de vinculación, etc.). </w:t>
      </w:r>
    </w:p>
    <w:p w:rsidR="00EE0979" w:rsidRDefault="00B022A0">
      <w:pPr>
        <w:spacing w:after="0" w:line="259" w:lineRule="auto"/>
        <w:ind w:left="14" w:firstLine="0"/>
        <w:jc w:val="left"/>
      </w:pPr>
      <w:r>
        <w:t xml:space="preserve"> </w:t>
      </w:r>
    </w:p>
    <w:p w:rsidR="00EE0979" w:rsidRDefault="00B022A0">
      <w:pPr>
        <w:numPr>
          <w:ilvl w:val="0"/>
          <w:numId w:val="34"/>
        </w:numPr>
        <w:ind w:right="100"/>
      </w:pPr>
      <w:r>
        <w:t xml:space="preserve">Finalmente, se analizará los gastos por desplazamientos y dietas del personal, y sobre una muestra representativa se verificará su aprobación conforme a los importes debidos, su adecuada justificación documental, pago y contabilización, así como el motivo </w:t>
      </w:r>
      <w:r>
        <w:t xml:space="preserve">que la justifica y su adecuación a los fines y actividades de la entidad. </w:t>
      </w:r>
    </w:p>
    <w:p w:rsidR="00EE0979" w:rsidRDefault="00B022A0">
      <w:pPr>
        <w:spacing w:after="0" w:line="259" w:lineRule="auto"/>
        <w:ind w:left="14" w:firstLine="0"/>
        <w:jc w:val="left"/>
      </w:pPr>
      <w:r>
        <w:t xml:space="preserve"> </w:t>
      </w:r>
    </w:p>
    <w:p w:rsidR="00EE0979" w:rsidRDefault="00B022A0">
      <w:pPr>
        <w:ind w:right="100"/>
      </w:pPr>
      <w:r>
        <w:rPr>
          <w:u w:val="single" w:color="000000"/>
        </w:rPr>
        <w:t>Área de contratación</w:t>
      </w:r>
      <w:r>
        <w:t>: se comprobará que la actividad de contratación de la entidad con sus proveedores se realiza siguiendo lo dispuesto en la normativa que le resulte de aplicaci</w:t>
      </w:r>
      <w:r>
        <w:t>ón, que con carácter general será la Ley de Contratos del Sector Público.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Se comprobará si la tramitación, formalización y ejecución de los distintos contratos respeta lo establecido en las instrucciones de contratación y/o el LCSP.  </w:t>
      </w:r>
    </w:p>
    <w:p w:rsidR="00EE0979" w:rsidRDefault="00B022A0">
      <w:pPr>
        <w:spacing w:after="0" w:line="259" w:lineRule="auto"/>
        <w:ind w:left="14" w:firstLine="0"/>
        <w:jc w:val="left"/>
      </w:pPr>
      <w:r>
        <w:t xml:space="preserve"> </w:t>
      </w:r>
    </w:p>
    <w:p w:rsidR="00EE0979" w:rsidRDefault="00B022A0">
      <w:pPr>
        <w:ind w:right="100"/>
      </w:pPr>
      <w:r>
        <w:t xml:space="preserve"> El alcance en </w:t>
      </w:r>
      <w:r>
        <w:t>esta área abarcará tanto los contratos licitados y adjudicados en el ejercicio objeto de control, como aquellos otros que, habiendo sido adjudicados en ejercicios anteriores, se ejecuten, desarrollen o liquiden durante el ejercicio auditado. Sobre la total</w:t>
      </w:r>
      <w:r>
        <w:t xml:space="preserve">idad de los contratos adjudicados se seleccionará una muestra representativa de los mismos y se verificará el cumplimiento de la normativa que le sea de aplicación.  </w:t>
      </w:r>
    </w:p>
    <w:p w:rsidR="00EE0979" w:rsidRDefault="00B022A0">
      <w:pPr>
        <w:spacing w:after="0" w:line="259" w:lineRule="auto"/>
        <w:ind w:left="14" w:firstLine="0"/>
        <w:jc w:val="left"/>
      </w:pPr>
      <w:r>
        <w:t xml:space="preserve"> </w:t>
      </w:r>
    </w:p>
    <w:p w:rsidR="00EE0979" w:rsidRDefault="00B022A0">
      <w:pPr>
        <w:ind w:right="100"/>
      </w:pPr>
      <w:r>
        <w:rPr>
          <w:u w:val="single" w:color="000000"/>
        </w:rPr>
        <w:t>Área de gestión Económica o financiera</w:t>
      </w:r>
      <w:r>
        <w:t xml:space="preserve">: Se verificarán los siguientes aspectos: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El </w:t>
      </w:r>
      <w:r>
        <w:t xml:space="preserve">cumplimiento de los aspectos formales en materia fiscal que le sea de aplicación a la entidad.  </w:t>
      </w:r>
    </w:p>
    <w:p w:rsidR="00EE0979" w:rsidRDefault="00B022A0">
      <w:pPr>
        <w:numPr>
          <w:ilvl w:val="0"/>
          <w:numId w:val="35"/>
        </w:numPr>
        <w:ind w:right="100" w:hanging="360"/>
      </w:pPr>
      <w:r>
        <w:t>La gestión de la tesorería conforme a los principios de buena gestión financiera. En este apartado será necesario verificar, al menos, los medios de pago utili</w:t>
      </w:r>
      <w:r>
        <w:t>zados por la entidad, totalidad de cuentas bancarias abiertas, personas debidamente autorizadas en las citadas cuentas especificando límites de disposición y carácter solidario o mancomunado, conciliación de saldos bancarios con los datos contables, existe</w:t>
      </w:r>
      <w:r>
        <w:t>ncia de cajas de efectivo, procedimientos de utilización de éstas, saldos iniciales y finales, arqueos debidamente firmados y, en su caso, selección de una muestra de pagos realizados a través de caja para comprobar su adecuada justificación y adecuación a</w:t>
      </w:r>
      <w:r>
        <w:t xml:space="preserve"> los fines y actividades de la entidad.  </w:t>
      </w:r>
    </w:p>
    <w:p w:rsidR="00EE0979" w:rsidRDefault="00B022A0">
      <w:pPr>
        <w:spacing w:after="0" w:line="259" w:lineRule="auto"/>
        <w:ind w:left="14" w:firstLine="0"/>
        <w:jc w:val="left"/>
      </w:pPr>
      <w:r>
        <w:t xml:space="preserve"> </w:t>
      </w:r>
    </w:p>
    <w:p w:rsidR="00EE0979" w:rsidRDefault="00B022A0">
      <w:pPr>
        <w:ind w:right="100"/>
      </w:pPr>
      <w:r>
        <w:t xml:space="preserve">Sobre una muestra de pagos por cuenta corriente se constatará la realidad del destinatario de los fondos.  </w:t>
      </w:r>
    </w:p>
    <w:p w:rsidR="00EE0979" w:rsidRDefault="00B022A0">
      <w:pPr>
        <w:spacing w:after="0" w:line="259" w:lineRule="auto"/>
        <w:ind w:left="14" w:firstLine="0"/>
        <w:jc w:val="left"/>
      </w:pPr>
      <w:r>
        <w:t xml:space="preserve"> </w:t>
      </w:r>
    </w:p>
    <w:p w:rsidR="00EE0979" w:rsidRDefault="00B022A0">
      <w:pPr>
        <w:ind w:right="100"/>
      </w:pPr>
      <w:r>
        <w:t>3.- Informe de Auditoría Operativa. Tiene como objetivo realizar una evaluación global, en términos de</w:t>
      </w:r>
      <w:r>
        <w:t xml:space="preserve"> economía, eficiencia y eficacia de la gestión de la Empresa, así como de los procedimientos operativos, de control interno y consecución de los objetivos previamente fijados.  </w:t>
      </w:r>
    </w:p>
    <w:p w:rsidR="00EE0979" w:rsidRDefault="00B022A0">
      <w:pPr>
        <w:spacing w:after="0" w:line="259" w:lineRule="auto"/>
        <w:ind w:left="14" w:firstLine="0"/>
        <w:jc w:val="left"/>
      </w:pPr>
      <w:r>
        <w:t xml:space="preserve"> </w:t>
      </w:r>
    </w:p>
    <w:p w:rsidR="00EE0979" w:rsidRDefault="00B022A0">
      <w:pPr>
        <w:tabs>
          <w:tab w:val="center" w:pos="4360"/>
        </w:tabs>
        <w:ind w:left="0" w:firstLine="0"/>
        <w:jc w:val="left"/>
      </w:pPr>
      <w:r>
        <w:t xml:space="preserve"> </w:t>
      </w:r>
      <w:r>
        <w:tab/>
      </w:r>
      <w:r>
        <w:t xml:space="preserve">El trabajo de la técnica de auditoria, debe analizar los siguientes aspectos:  </w:t>
      </w:r>
    </w:p>
    <w:p w:rsidR="00EE0979" w:rsidRDefault="00B022A0">
      <w:pPr>
        <w:spacing w:after="0" w:line="259" w:lineRule="auto"/>
        <w:ind w:left="14" w:firstLine="0"/>
        <w:jc w:val="left"/>
      </w:pPr>
      <w:r>
        <w:t xml:space="preserve"> </w:t>
      </w:r>
    </w:p>
    <w:p w:rsidR="00EE0979" w:rsidRDefault="00B022A0">
      <w:pPr>
        <w:spacing w:after="10" w:line="249" w:lineRule="auto"/>
        <w:ind w:left="9" w:right="96" w:hanging="10"/>
      </w:pPr>
      <w:r>
        <w:rPr>
          <w:u w:val="single" w:color="000000"/>
        </w:rPr>
        <w:t>Con respecto a la eficacia:</w:t>
      </w:r>
      <w: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La existencia de Programas claramente definidos.  </w:t>
      </w:r>
    </w:p>
    <w:p w:rsidR="00EE0979" w:rsidRDefault="00B022A0">
      <w:pPr>
        <w:spacing w:after="0" w:line="259" w:lineRule="auto"/>
        <w:ind w:left="14" w:firstLine="0"/>
        <w:jc w:val="left"/>
      </w:pPr>
      <w:r>
        <w:t xml:space="preserve">  </w:t>
      </w:r>
    </w:p>
    <w:p w:rsidR="00EE0979" w:rsidRDefault="00B022A0">
      <w:pPr>
        <w:ind w:right="100"/>
      </w:pPr>
      <w:r>
        <w:t xml:space="preserve">         En el caso de que así fuera si éstos han sido aprobados por algún órgano y con q</w:t>
      </w:r>
      <w:r>
        <w:t xml:space="preserve">ué criterios se aprueban.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Si los Programas aprobados fijan claramente y cuantitativamente cuales son los objetivos a cumplir.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La posible racionalidad a la hora de fijar los objetivos que determinen la consecución y éxito de dichos programas.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L</w:t>
      </w:r>
      <w:r>
        <w:t xml:space="preserve">a existencia de un conjunto de indicadores que nos permitan analizar el grado de consecución de los mismos, entendiendo además que dichos objetivos son óptimos a la hora de determinar que se consigue el objetivo propuesto.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La existencia de una memoria </w:t>
      </w:r>
      <w:r>
        <w:t xml:space="preserve">final de evaluación de los programas ejecutados. Así como en su caso la aprobación por algún órgano de la entidad y en base a que criterio.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La posible existencia de programas que no se consideran necesarios según su actividad o la necesidad e implant</w:t>
      </w:r>
      <w:r>
        <w:t xml:space="preserve">ar nuevos programas que actualmente no se prestan.  </w:t>
      </w:r>
    </w:p>
    <w:p w:rsidR="00EE0979" w:rsidRDefault="00B022A0">
      <w:pPr>
        <w:spacing w:after="0" w:line="259" w:lineRule="auto"/>
        <w:ind w:left="14" w:firstLine="0"/>
        <w:jc w:val="left"/>
      </w:pPr>
      <w:r>
        <w:t xml:space="preserve"> </w:t>
      </w:r>
    </w:p>
    <w:p w:rsidR="00EE0979" w:rsidRDefault="00B022A0">
      <w:pPr>
        <w:spacing w:after="10" w:line="249" w:lineRule="auto"/>
        <w:ind w:left="9" w:right="96" w:hanging="10"/>
      </w:pPr>
      <w:r>
        <w:rPr>
          <w:u w:val="single" w:color="000000"/>
        </w:rPr>
        <w:t>Con respecto a la economía y eficiencia:</w:t>
      </w:r>
      <w: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Analizar si los gastos de personal y medios materiales son adecuados a la estructura de la empresa.  </w:t>
      </w:r>
    </w:p>
    <w:p w:rsidR="00EE0979" w:rsidRDefault="00B022A0">
      <w:pPr>
        <w:numPr>
          <w:ilvl w:val="0"/>
          <w:numId w:val="35"/>
        </w:numPr>
        <w:ind w:right="100" w:hanging="360"/>
      </w:pPr>
      <w:r>
        <w:t xml:space="preserve">Analizar si los gastos de personal y medios materiales son adecuados al nivel de la actividad de la empresa y comparable con otras entidades similares.  </w:t>
      </w:r>
    </w:p>
    <w:p w:rsidR="00EE0979" w:rsidRDefault="00B022A0">
      <w:pPr>
        <w:spacing w:after="0" w:line="259" w:lineRule="auto"/>
        <w:ind w:left="14" w:firstLine="0"/>
        <w:jc w:val="left"/>
      </w:pPr>
      <w:r>
        <w:t xml:space="preserve"> </w:t>
      </w:r>
    </w:p>
    <w:p w:rsidR="00EE0979" w:rsidRDefault="00B022A0">
      <w:pPr>
        <w:spacing w:after="10" w:line="249" w:lineRule="auto"/>
        <w:ind w:left="9" w:right="96" w:hanging="10"/>
      </w:pPr>
      <w:r>
        <w:rPr>
          <w:u w:val="single" w:color="000000"/>
        </w:rPr>
        <w:t>Con respecto a los sistemas y procedimientos:</w:t>
      </w:r>
      <w:r>
        <w:t xml:space="preserve">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35"/>
        </w:numPr>
        <w:ind w:right="100" w:hanging="360"/>
      </w:pPr>
      <w:r>
        <w:t xml:space="preserve">Los procedimientos que tengan fijados la empresa se ajustan a los legalmente establecidos.   - La existencia de un sistema en relación a costes y rendimientos lo suficientemente detallada, amplia y fiable.  </w:t>
      </w:r>
    </w:p>
    <w:p w:rsidR="00EE0979" w:rsidRDefault="00B022A0">
      <w:pPr>
        <w:numPr>
          <w:ilvl w:val="0"/>
          <w:numId w:val="35"/>
        </w:numPr>
        <w:ind w:right="100" w:hanging="360"/>
      </w:pPr>
      <w:r>
        <w:t>La existencia de un sistema de control interno e</w:t>
      </w:r>
      <w:r>
        <w:t xml:space="preserve">n relación a las actividades relacionadas, así como cuales han sido las actuaciones llevadas a cabo por el mismo y procedimiento de notificación a los órganos superiores de la entidad de las debilidades o defectos detectadas. </w:t>
      </w:r>
    </w:p>
    <w:p w:rsidR="00EE0979" w:rsidRDefault="00B022A0">
      <w:pPr>
        <w:spacing w:after="0" w:line="259" w:lineRule="auto"/>
        <w:ind w:left="14" w:firstLine="0"/>
        <w:jc w:val="left"/>
      </w:pPr>
      <w:r>
        <w:t xml:space="preserve"> </w:t>
      </w:r>
      <w:r>
        <w:tab/>
        <w:t xml:space="preserve"> </w:t>
      </w:r>
    </w:p>
    <w:p w:rsidR="00EE0979" w:rsidRDefault="00B022A0">
      <w:pPr>
        <w:ind w:right="100"/>
      </w:pPr>
      <w:r>
        <w:t>IX.- Se determinan objeti</w:t>
      </w:r>
      <w:r>
        <w:t xml:space="preserve">vos para las entidades dependientes, con detalle de los indicadores de gestión y de los efectos del incumplimiento de los compromisos acordados, en cumplimiento del articulo 68 de la Ley 47/2003 de 26 de novembre, General Presupuestaria: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left="9" w:right="98" w:hanging="10"/>
      </w:pPr>
      <w:r>
        <w:rPr>
          <w:i/>
        </w:rPr>
        <w:t xml:space="preserve">1.- Entidad Pública Empresarial: </w:t>
      </w:r>
    </w:p>
    <w:p w:rsidR="00EE0979" w:rsidRDefault="00B022A0">
      <w:pPr>
        <w:spacing w:after="0" w:line="259" w:lineRule="auto"/>
        <w:ind w:left="14" w:firstLine="0"/>
        <w:jc w:val="left"/>
      </w:pPr>
      <w:r>
        <w:t xml:space="preserve"> </w:t>
      </w:r>
    </w:p>
    <w:tbl>
      <w:tblPr>
        <w:tblStyle w:val="TableGrid"/>
        <w:tblW w:w="8646" w:type="dxa"/>
        <w:tblInd w:w="19" w:type="dxa"/>
        <w:tblCellMar>
          <w:top w:w="9" w:type="dxa"/>
          <w:left w:w="106" w:type="dxa"/>
          <w:bottom w:w="0" w:type="dxa"/>
          <w:right w:w="49" w:type="dxa"/>
        </w:tblCellMar>
        <w:tblLook w:val="04A0" w:firstRow="1" w:lastRow="0" w:firstColumn="1" w:lastColumn="0" w:noHBand="0" w:noVBand="1"/>
      </w:tblPr>
      <w:tblGrid>
        <w:gridCol w:w="2883"/>
        <w:gridCol w:w="2880"/>
        <w:gridCol w:w="2883"/>
      </w:tblGrid>
      <w:tr w:rsidR="00EE0979">
        <w:trPr>
          <w:trHeight w:val="516"/>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OBJETIVOS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INDICADORES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EFECTOS </w:t>
            </w:r>
          </w:p>
          <w:p w:rsidR="00EE0979" w:rsidRDefault="00B022A0">
            <w:pPr>
              <w:spacing w:after="0" w:line="259" w:lineRule="auto"/>
              <w:ind w:left="2" w:firstLine="0"/>
              <w:jc w:val="left"/>
            </w:pPr>
            <w:r>
              <w:t xml:space="preserve">INCUMPLIMIENTOS </w:t>
            </w:r>
          </w:p>
        </w:tc>
      </w:tr>
      <w:tr w:rsidR="00EE0979">
        <w:trPr>
          <w:trHeight w:val="516"/>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t xml:space="preserve">Pago a Proveedores en </w:t>
            </w:r>
          </w:p>
          <w:p w:rsidR="00EE0979" w:rsidRDefault="00B022A0">
            <w:pPr>
              <w:spacing w:after="0" w:line="259" w:lineRule="auto"/>
              <w:ind w:left="2" w:firstLine="0"/>
              <w:jc w:val="left"/>
            </w:pPr>
            <w:r>
              <w:t xml:space="preserve">Plazo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tabs>
                <w:tab w:val="right" w:pos="2725"/>
              </w:tabs>
              <w:spacing w:after="0" w:line="259" w:lineRule="auto"/>
              <w:ind w:left="0" w:firstLine="0"/>
              <w:jc w:val="left"/>
            </w:pPr>
            <w:r>
              <w:t xml:space="preserve">Cumplimiento </w:t>
            </w:r>
            <w:r>
              <w:tab/>
              <w:t xml:space="preserve">Periodo </w:t>
            </w:r>
          </w:p>
          <w:p w:rsidR="00EE0979" w:rsidRDefault="00B022A0">
            <w:pPr>
              <w:spacing w:after="0" w:line="259" w:lineRule="auto"/>
              <w:ind w:left="0" w:firstLine="0"/>
              <w:jc w:val="left"/>
            </w:pPr>
            <w:r>
              <w:t xml:space="preserve">Medio de pago anual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69"/>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Costes de Personal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41" w:lineRule="auto"/>
              <w:ind w:left="0" w:firstLine="0"/>
            </w:pPr>
            <w:r>
              <w:t xml:space="preserve">No superar las Previsiones presupuestadas en </w:t>
            </w:r>
          </w:p>
          <w:p w:rsidR="00EE0979" w:rsidRDefault="00B022A0">
            <w:pPr>
              <w:spacing w:after="0" w:line="259" w:lineRule="auto"/>
              <w:ind w:left="0" w:firstLine="0"/>
              <w:jc w:val="left"/>
            </w:pPr>
            <w:r>
              <w:t xml:space="preserve">Personal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70"/>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Cumplimiento Legislación </w:t>
            </w:r>
          </w:p>
          <w:p w:rsidR="00EE0979" w:rsidRDefault="00B022A0">
            <w:pPr>
              <w:spacing w:after="0" w:line="259" w:lineRule="auto"/>
              <w:ind w:left="2" w:firstLine="0"/>
              <w:jc w:val="left"/>
            </w:pPr>
            <w:r>
              <w:t xml:space="preserve">fiscal, laboral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38" w:lineRule="auto"/>
              <w:ind w:left="0" w:firstLine="0"/>
            </w:pPr>
            <w:r>
              <w:t xml:space="preserve">Presentación en plazo de Modelos de ámbito fiscal y </w:t>
            </w:r>
          </w:p>
          <w:p w:rsidR="00EE0979" w:rsidRDefault="00B022A0">
            <w:pPr>
              <w:spacing w:after="0" w:line="259" w:lineRule="auto"/>
              <w:ind w:left="0" w:firstLine="0"/>
              <w:jc w:val="left"/>
            </w:pPr>
            <w:r>
              <w:t xml:space="preserve">Laboral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1 % Aportación Municipal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left="9" w:right="98" w:hanging="10"/>
      </w:pPr>
      <w:r>
        <w:rPr>
          <w:i/>
        </w:rPr>
        <w:t xml:space="preserve">2.- Empresa de Inserción de Viviendas: </w:t>
      </w:r>
    </w:p>
    <w:p w:rsidR="00EE0979" w:rsidRDefault="00B022A0">
      <w:pPr>
        <w:spacing w:after="0" w:line="259" w:lineRule="auto"/>
        <w:ind w:left="14" w:firstLine="0"/>
        <w:jc w:val="left"/>
      </w:pPr>
      <w:r>
        <w:t xml:space="preserve"> </w:t>
      </w:r>
    </w:p>
    <w:tbl>
      <w:tblPr>
        <w:tblStyle w:val="TableGrid"/>
        <w:tblW w:w="8646" w:type="dxa"/>
        <w:tblInd w:w="19" w:type="dxa"/>
        <w:tblCellMar>
          <w:top w:w="9" w:type="dxa"/>
          <w:left w:w="106" w:type="dxa"/>
          <w:bottom w:w="0" w:type="dxa"/>
          <w:right w:w="49" w:type="dxa"/>
        </w:tblCellMar>
        <w:tblLook w:val="04A0" w:firstRow="1" w:lastRow="0" w:firstColumn="1" w:lastColumn="0" w:noHBand="0" w:noVBand="1"/>
      </w:tblPr>
      <w:tblGrid>
        <w:gridCol w:w="2883"/>
        <w:gridCol w:w="2880"/>
        <w:gridCol w:w="2883"/>
      </w:tblGrid>
      <w:tr w:rsidR="00EE0979">
        <w:trPr>
          <w:trHeight w:val="516"/>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OBJETIVOS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INDICADORES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EFECTOS </w:t>
            </w:r>
          </w:p>
          <w:p w:rsidR="00EE0979" w:rsidRDefault="00B022A0">
            <w:pPr>
              <w:spacing w:after="0" w:line="259" w:lineRule="auto"/>
              <w:ind w:left="2" w:firstLine="0"/>
              <w:jc w:val="left"/>
            </w:pPr>
            <w:r>
              <w:t xml:space="preserve">INCUMPLIMIENTOS </w:t>
            </w:r>
          </w:p>
        </w:tc>
      </w:tr>
      <w:tr w:rsidR="00EE0979">
        <w:trPr>
          <w:trHeight w:val="516"/>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Pago a Proveedores en Plazo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r>
              <w:tab/>
              <w:t xml:space="preserve">Periodo Medio de pago anual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68"/>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Costes de Personal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2" w:line="238" w:lineRule="auto"/>
              <w:ind w:left="0" w:firstLine="0"/>
            </w:pPr>
            <w:r>
              <w:t xml:space="preserve">No superar las Previsiones presupuestadas en </w:t>
            </w:r>
          </w:p>
          <w:p w:rsidR="00EE0979" w:rsidRDefault="00B022A0">
            <w:pPr>
              <w:spacing w:after="0" w:line="259" w:lineRule="auto"/>
              <w:ind w:left="0" w:firstLine="0"/>
              <w:jc w:val="left"/>
            </w:pPr>
            <w:r>
              <w:t xml:space="preserve">Personal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70"/>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Cumplimiento Legislación </w:t>
            </w:r>
          </w:p>
          <w:p w:rsidR="00EE0979" w:rsidRDefault="00B022A0">
            <w:pPr>
              <w:spacing w:after="0" w:line="259" w:lineRule="auto"/>
              <w:ind w:left="2" w:firstLine="0"/>
              <w:jc w:val="left"/>
            </w:pPr>
            <w:r>
              <w:t xml:space="preserve">fiscal, laboral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40" w:lineRule="auto"/>
              <w:ind w:left="0" w:firstLine="0"/>
            </w:pPr>
            <w:r>
              <w:t xml:space="preserve">Presentación en plazo de Modelos de ámbito fiscal y </w:t>
            </w:r>
          </w:p>
          <w:p w:rsidR="00EE0979" w:rsidRDefault="00B022A0">
            <w:pPr>
              <w:spacing w:after="0" w:line="259" w:lineRule="auto"/>
              <w:ind w:left="0" w:firstLine="0"/>
              <w:jc w:val="left"/>
            </w:pPr>
            <w:r>
              <w:t xml:space="preserve">Laboral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1 % Aportación Municipal </w:t>
            </w:r>
          </w:p>
        </w:tc>
      </w:tr>
    </w:tbl>
    <w:p w:rsidR="00EE0979" w:rsidRDefault="00B022A0">
      <w:pPr>
        <w:spacing w:after="0" w:line="259" w:lineRule="auto"/>
        <w:ind w:left="14" w:firstLine="0"/>
        <w:jc w:val="left"/>
      </w:pPr>
      <w:r>
        <w:t xml:space="preserve"> </w:t>
      </w:r>
    </w:p>
    <w:p w:rsidR="00EE0979" w:rsidRDefault="00B022A0">
      <w:pPr>
        <w:ind w:left="9" w:right="98" w:hanging="10"/>
      </w:pPr>
      <w:r>
        <w:rPr>
          <w:i/>
        </w:rPr>
        <w:t xml:space="preserve">3.- Fundación Candesol: </w:t>
      </w:r>
    </w:p>
    <w:p w:rsidR="00EE0979" w:rsidRDefault="00B022A0">
      <w:pPr>
        <w:spacing w:after="0" w:line="259" w:lineRule="auto"/>
        <w:ind w:left="14" w:firstLine="0"/>
        <w:jc w:val="left"/>
      </w:pPr>
      <w:r>
        <w:t xml:space="preserve"> </w:t>
      </w:r>
    </w:p>
    <w:tbl>
      <w:tblPr>
        <w:tblStyle w:val="TableGrid"/>
        <w:tblW w:w="8646" w:type="dxa"/>
        <w:tblInd w:w="19" w:type="dxa"/>
        <w:tblCellMar>
          <w:top w:w="9" w:type="dxa"/>
          <w:left w:w="106" w:type="dxa"/>
          <w:bottom w:w="0" w:type="dxa"/>
          <w:right w:w="49" w:type="dxa"/>
        </w:tblCellMar>
        <w:tblLook w:val="04A0" w:firstRow="1" w:lastRow="0" w:firstColumn="1" w:lastColumn="0" w:noHBand="0" w:noVBand="1"/>
      </w:tblPr>
      <w:tblGrid>
        <w:gridCol w:w="2883"/>
        <w:gridCol w:w="2880"/>
        <w:gridCol w:w="2883"/>
      </w:tblGrid>
      <w:tr w:rsidR="00EE0979">
        <w:trPr>
          <w:trHeight w:val="516"/>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OBJETIVOS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INDICADORES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EFECTOS </w:t>
            </w:r>
          </w:p>
          <w:p w:rsidR="00EE0979" w:rsidRDefault="00B022A0">
            <w:pPr>
              <w:spacing w:after="0" w:line="259" w:lineRule="auto"/>
              <w:ind w:left="2" w:firstLine="0"/>
              <w:jc w:val="left"/>
            </w:pPr>
            <w:r>
              <w:t xml:space="preserve">INCUMPLIMIENTOS </w:t>
            </w:r>
          </w:p>
        </w:tc>
      </w:tr>
      <w:tr w:rsidR="00EE0979">
        <w:trPr>
          <w:trHeight w:val="517"/>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Pago a Proveedores en Plazo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Cumplimiento </w:t>
            </w:r>
            <w:r>
              <w:tab/>
              <w:t>Periodo Medio de pago anual</w:t>
            </w: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68"/>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Costes de Personal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2" w:line="238" w:lineRule="auto"/>
              <w:ind w:left="0" w:firstLine="0"/>
            </w:pPr>
            <w:r>
              <w:t xml:space="preserve">No superar las Previsiones presupuestadas en </w:t>
            </w:r>
          </w:p>
          <w:p w:rsidR="00EE0979" w:rsidRDefault="00B022A0">
            <w:pPr>
              <w:spacing w:after="0" w:line="259" w:lineRule="auto"/>
              <w:ind w:left="0" w:firstLine="0"/>
              <w:jc w:val="left"/>
            </w:pPr>
            <w:r>
              <w:t xml:space="preserve">Personal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 1 % Aportación Municipal </w:t>
            </w:r>
          </w:p>
        </w:tc>
      </w:tr>
      <w:tr w:rsidR="00EE0979">
        <w:trPr>
          <w:trHeight w:val="770"/>
        </w:trPr>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Cumplimiento Legislación </w:t>
            </w:r>
          </w:p>
          <w:p w:rsidR="00EE0979" w:rsidRDefault="00B022A0">
            <w:pPr>
              <w:spacing w:after="0" w:line="259" w:lineRule="auto"/>
              <w:ind w:left="2" w:firstLine="0"/>
              <w:jc w:val="left"/>
            </w:pPr>
            <w:r>
              <w:t xml:space="preserve">fiscal, laboral </w:t>
            </w:r>
          </w:p>
        </w:tc>
        <w:tc>
          <w:tcPr>
            <w:tcW w:w="288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40" w:lineRule="auto"/>
              <w:ind w:left="0" w:firstLine="0"/>
            </w:pPr>
            <w:r>
              <w:t xml:space="preserve">Presentación en plazo de Modelos de ámbito fiscal y </w:t>
            </w:r>
          </w:p>
          <w:p w:rsidR="00EE0979" w:rsidRDefault="00B022A0">
            <w:pPr>
              <w:spacing w:after="0" w:line="259" w:lineRule="auto"/>
              <w:ind w:left="0" w:firstLine="0"/>
              <w:jc w:val="left"/>
            </w:pPr>
            <w:r>
              <w:t xml:space="preserve">Laboral </w:t>
            </w:r>
          </w:p>
        </w:tc>
        <w:tc>
          <w:tcPr>
            <w:tcW w:w="288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t xml:space="preserve">1 % Aportación Municipal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t>X.- Las aportaciones a las entidades incluidas en el Contrato-</w:t>
      </w:r>
      <w:r>
        <w:t xml:space="preserve">Programa, que han sido reflejadas en el Presupuesto General del ejercicio 2023, se distribuye a lo siguientes servicios que se detallan a continuación, una vez aprobado y publicado el documento presupuestario para cada ejercicio: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9505" w:type="dxa"/>
        <w:tblInd w:w="-28" w:type="dxa"/>
        <w:tblCellMar>
          <w:top w:w="58" w:type="dxa"/>
          <w:left w:w="74" w:type="dxa"/>
          <w:bottom w:w="0" w:type="dxa"/>
          <w:right w:w="15" w:type="dxa"/>
        </w:tblCellMar>
        <w:tblLook w:val="04A0" w:firstRow="1" w:lastRow="0" w:firstColumn="1" w:lastColumn="0" w:noHBand="0" w:noVBand="1"/>
      </w:tblPr>
      <w:tblGrid>
        <w:gridCol w:w="7627"/>
        <w:gridCol w:w="1878"/>
      </w:tblGrid>
      <w:tr w:rsidR="00EE0979">
        <w:trPr>
          <w:trHeight w:val="863"/>
        </w:trPr>
        <w:tc>
          <w:tcPr>
            <w:tcW w:w="7628"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EE0979" w:rsidRDefault="00B022A0">
            <w:pPr>
              <w:spacing w:after="0" w:line="259" w:lineRule="auto"/>
              <w:ind w:left="0" w:firstLine="0"/>
              <w:jc w:val="left"/>
            </w:pPr>
            <w:r>
              <w:t>SERVICIOS ENCOMENDA</w:t>
            </w:r>
            <w:r>
              <w:t xml:space="preserve">DOS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1" w:firstLine="0"/>
              <w:jc w:val="left"/>
            </w:pPr>
            <w:r>
              <w:t xml:space="preserve">APORTACIÓN </w:t>
            </w:r>
          </w:p>
          <w:p w:rsidR="00EE0979" w:rsidRDefault="00B022A0">
            <w:pPr>
              <w:spacing w:after="0" w:line="259" w:lineRule="auto"/>
              <w:ind w:left="1" w:firstLine="0"/>
            </w:pPr>
            <w:r>
              <w:t xml:space="preserve">ESTIMADA POR </w:t>
            </w:r>
          </w:p>
          <w:p w:rsidR="00EE0979" w:rsidRDefault="00B022A0">
            <w:pPr>
              <w:spacing w:after="0" w:line="259" w:lineRule="auto"/>
              <w:ind w:left="1" w:firstLine="0"/>
              <w:jc w:val="left"/>
            </w:pPr>
            <w:r>
              <w:t xml:space="preserve">SERVICIO 2023 </w:t>
            </w:r>
          </w:p>
        </w:tc>
      </w:tr>
      <w:tr w:rsidR="00EE0979">
        <w:trPr>
          <w:trHeight w:val="44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SAD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450.279,92 € </w:t>
            </w:r>
          </w:p>
        </w:tc>
      </w:tr>
      <w:tr w:rsidR="00EE0979">
        <w:trPr>
          <w:trHeight w:val="420"/>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LIMP. Y CONSERJERÍA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505.132,09 €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CENTRO ALFARERO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69.971,09 €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RADIO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96.725,73 €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PISCINA MUNICIPAL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70.569,30 €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GESTIÓN ESCUELAS DEPORTIVAS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27.331,86 €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VIGILANCIA DE PLAYAS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13.168,96 € </w:t>
            </w:r>
          </w:p>
        </w:tc>
      </w:tr>
      <w:tr w:rsidR="00EE0979">
        <w:trPr>
          <w:trHeight w:val="418"/>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ESCUELA INFANTIL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66.478,38 € </w:t>
            </w:r>
          </w:p>
        </w:tc>
      </w:tr>
      <w:tr w:rsidR="00EE0979">
        <w:trPr>
          <w:trHeight w:val="422"/>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jc w:val="left"/>
            </w:pPr>
            <w:r>
              <w:t xml:space="preserve">PLAN DE ACCIÓN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115.000,00 € </w:t>
            </w:r>
          </w:p>
        </w:tc>
      </w:tr>
      <w:tr w:rsidR="00EE0979">
        <w:trPr>
          <w:trHeight w:val="385"/>
        </w:trPr>
        <w:tc>
          <w:tcPr>
            <w:tcW w:w="7628" w:type="dxa"/>
            <w:tcBorders>
              <w:top w:val="single" w:sz="6" w:space="0" w:color="00000A"/>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0" w:firstLine="0"/>
              <w:jc w:val="left"/>
            </w:pPr>
            <w:r>
              <w:t xml:space="preserve">TOTAL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1" w:firstLine="0"/>
              <w:jc w:val="left"/>
            </w:pPr>
            <w:r>
              <w:t xml:space="preserve">1.414.657,33 € </w:t>
            </w:r>
          </w:p>
        </w:tc>
      </w:tr>
    </w:tbl>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Y por entidades: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9505" w:type="dxa"/>
        <w:tblInd w:w="-28" w:type="dxa"/>
        <w:tblCellMar>
          <w:top w:w="58" w:type="dxa"/>
          <w:left w:w="74" w:type="dxa"/>
          <w:bottom w:w="0" w:type="dxa"/>
          <w:right w:w="15" w:type="dxa"/>
        </w:tblCellMar>
        <w:tblLook w:val="04A0" w:firstRow="1" w:lastRow="0" w:firstColumn="1" w:lastColumn="0" w:noHBand="0" w:noVBand="1"/>
      </w:tblPr>
      <w:tblGrid>
        <w:gridCol w:w="7627"/>
        <w:gridCol w:w="1878"/>
      </w:tblGrid>
      <w:tr w:rsidR="00EE0979">
        <w:trPr>
          <w:trHeight w:val="891"/>
        </w:trPr>
        <w:tc>
          <w:tcPr>
            <w:tcW w:w="7628"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EE0979" w:rsidRDefault="00B022A0">
            <w:pPr>
              <w:spacing w:after="0" w:line="259" w:lineRule="auto"/>
              <w:ind w:left="0" w:firstLine="0"/>
              <w:jc w:val="left"/>
            </w:pPr>
            <w:r>
              <w:t xml:space="preserve">ENTIDADES DEPENDIENTES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1" w:firstLine="0"/>
              <w:jc w:val="left"/>
            </w:pPr>
            <w:r>
              <w:t xml:space="preserve">APORTACIÓN </w:t>
            </w:r>
          </w:p>
          <w:p w:rsidR="00EE0979" w:rsidRDefault="00B022A0">
            <w:pPr>
              <w:spacing w:after="0" w:line="259" w:lineRule="auto"/>
              <w:ind w:left="1" w:firstLine="0"/>
            </w:pPr>
            <w:r>
              <w:t xml:space="preserve">ESTIMADA POR </w:t>
            </w:r>
          </w:p>
          <w:p w:rsidR="00EE0979" w:rsidRDefault="00B022A0">
            <w:pPr>
              <w:spacing w:after="0" w:line="259" w:lineRule="auto"/>
              <w:ind w:left="1" w:firstLine="0"/>
              <w:jc w:val="left"/>
            </w:pPr>
            <w:r>
              <w:t xml:space="preserve">SERVICIO 2023 </w:t>
            </w:r>
          </w:p>
        </w:tc>
      </w:tr>
      <w:tr w:rsidR="00EE0979">
        <w:trPr>
          <w:trHeight w:val="700"/>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pPr>
            <w:r>
              <w:t>Entidad Pública Empresarial de Gestión de Empresas y Servicios Públicos del Ayuntamiento de Candelaria (Epelcan)</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541.435,01 € </w:t>
            </w:r>
          </w:p>
        </w:tc>
      </w:tr>
      <w:tr w:rsidR="00EE0979">
        <w:trPr>
          <w:trHeight w:val="673"/>
        </w:trPr>
        <w:tc>
          <w:tcPr>
            <w:tcW w:w="762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0" w:firstLine="0"/>
            </w:pPr>
            <w:r>
              <w:t>Sociedad Municipal de Viviendas y Servicios Municipales de Candelaria S.L.U.</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tcPr>
          <w:p w:rsidR="00EE0979" w:rsidRDefault="00B022A0">
            <w:pPr>
              <w:spacing w:after="0" w:line="259" w:lineRule="auto"/>
              <w:ind w:left="1" w:firstLine="0"/>
              <w:jc w:val="left"/>
            </w:pPr>
            <w:r>
              <w:t xml:space="preserve">758.222,32 € </w:t>
            </w:r>
          </w:p>
        </w:tc>
      </w:tr>
      <w:tr w:rsidR="00EE0979">
        <w:trPr>
          <w:trHeight w:val="448"/>
        </w:trPr>
        <w:tc>
          <w:tcPr>
            <w:tcW w:w="7628" w:type="dxa"/>
            <w:tcBorders>
              <w:top w:val="single" w:sz="6" w:space="0" w:color="00000A"/>
              <w:left w:val="single" w:sz="6" w:space="0" w:color="00000A"/>
              <w:bottom w:val="single" w:sz="31" w:space="0" w:color="993366"/>
              <w:right w:val="single" w:sz="6" w:space="0" w:color="00000A"/>
            </w:tcBorders>
          </w:tcPr>
          <w:p w:rsidR="00EE0979" w:rsidRDefault="00B022A0">
            <w:pPr>
              <w:spacing w:after="0" w:line="259" w:lineRule="auto"/>
              <w:ind w:left="0" w:firstLine="0"/>
              <w:jc w:val="left"/>
            </w:pPr>
            <w:r>
              <w:t>Fundación Candelaria Solidaria (Candesol)</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31" w:space="0" w:color="993366"/>
              <w:right w:val="single" w:sz="6" w:space="0" w:color="00000A"/>
            </w:tcBorders>
            <w:vAlign w:val="center"/>
          </w:tcPr>
          <w:p w:rsidR="00EE0979" w:rsidRDefault="00B022A0">
            <w:pPr>
              <w:spacing w:after="0" w:line="259" w:lineRule="auto"/>
              <w:ind w:left="1" w:firstLine="0"/>
              <w:jc w:val="left"/>
            </w:pPr>
            <w:r>
              <w:t xml:space="preserve">115.000,00 € </w:t>
            </w:r>
          </w:p>
        </w:tc>
      </w:tr>
      <w:tr w:rsidR="00EE0979">
        <w:trPr>
          <w:trHeight w:val="358"/>
        </w:trPr>
        <w:tc>
          <w:tcPr>
            <w:tcW w:w="7628" w:type="dxa"/>
            <w:tcBorders>
              <w:top w:val="single" w:sz="31" w:space="0" w:color="993366"/>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0" w:firstLine="0"/>
              <w:jc w:val="left"/>
            </w:pPr>
            <w:r>
              <w:t xml:space="preserve">TOTAL </w:t>
            </w:r>
          </w:p>
        </w:tc>
        <w:tc>
          <w:tcPr>
            <w:tcW w:w="1878" w:type="dxa"/>
            <w:tcBorders>
              <w:top w:val="single" w:sz="31" w:space="0" w:color="993366"/>
              <w:left w:val="single" w:sz="6" w:space="0" w:color="00000A"/>
              <w:bottom w:val="single" w:sz="6" w:space="0" w:color="00000A"/>
              <w:right w:val="single" w:sz="6" w:space="0" w:color="00000A"/>
            </w:tcBorders>
            <w:shd w:val="clear" w:color="auto" w:fill="993366"/>
          </w:tcPr>
          <w:p w:rsidR="00EE0979" w:rsidRDefault="00B022A0">
            <w:pPr>
              <w:spacing w:after="0" w:line="259" w:lineRule="auto"/>
              <w:ind w:left="1" w:firstLine="0"/>
              <w:jc w:val="left"/>
            </w:pPr>
            <w:r>
              <w:t xml:space="preserve">1.414.657,33 € </w:t>
            </w:r>
          </w:p>
        </w:tc>
      </w:tr>
    </w:tbl>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E0979" w:rsidRDefault="00B022A0">
      <w:pPr>
        <w:ind w:left="14" w:right="100" w:firstLine="708"/>
      </w:pPr>
      <w:r>
        <w:t xml:space="preserve">El abono de las citadas aportaciones, se realizarà trimestralmente con caràcter anticipado, prèvia presentación de las analíticas de costes, que pongan de manifiesto las transacciones y demàs hechos económicos realizados en el trimestre anterior”. </w:t>
      </w:r>
    </w:p>
    <w:p w:rsidR="00EE0979" w:rsidRDefault="00B022A0">
      <w:pPr>
        <w:spacing w:after="0" w:line="259" w:lineRule="auto"/>
        <w:ind w:left="14" w:firstLine="0"/>
        <w:jc w:val="left"/>
      </w:pPr>
      <w:r>
        <w:rPr>
          <w:i/>
        </w:rPr>
        <w:t xml:space="preserve"> </w:t>
      </w:r>
    </w:p>
    <w:p w:rsidR="00EE0979" w:rsidRDefault="00B022A0">
      <w:pPr>
        <w:ind w:left="14" w:right="100" w:firstLine="708"/>
      </w:pPr>
      <w:r>
        <w:t>Visto</w:t>
      </w:r>
      <w:r>
        <w:t xml:space="preserve"> el informe favorable del Interventor municipal que pone de manifiesto, que se han cumplido por parte de las diferentes entidades, los indicadores recogidos en el Contrato Programa del ejercicio 2022, por lo que no procede detraer cantidad alguna con cargo</w:t>
      </w:r>
      <w:r>
        <w:t xml:space="preserve"> al Presupuesto General, para este ejercicio: </w:t>
      </w:r>
      <w:r>
        <w:rPr>
          <w:rFonts w:ascii="Times New Roman" w:eastAsia="Times New Roman" w:hAnsi="Times New Roman" w:cs="Times New Roman"/>
          <w:sz w:val="24"/>
        </w:rPr>
        <w:t xml:space="preserve"> </w:t>
      </w:r>
    </w:p>
    <w:p w:rsidR="00EE0979" w:rsidRDefault="00B022A0">
      <w:pPr>
        <w:ind w:left="14" w:right="100" w:firstLine="708"/>
      </w:pPr>
      <w:r>
        <w:t xml:space="preserve">Por ello, esta Concejalía PROPONE al Pleno municipal, la adopción del presente ACUERDO: </w:t>
      </w:r>
    </w:p>
    <w:p w:rsidR="00EE0979" w:rsidRDefault="00B022A0">
      <w:pPr>
        <w:spacing w:after="0" w:line="259" w:lineRule="auto"/>
        <w:ind w:left="722"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rPr>
          <w:b/>
        </w:rPr>
        <w:t>Primero:</w:t>
      </w:r>
      <w:r>
        <w:t xml:space="preserve"> Aprobar el Contrato Programa sobre el marco de relaciones entre el Ayuntamiento de </w:t>
      </w:r>
    </w:p>
    <w:p w:rsidR="00EE0979" w:rsidRDefault="00B022A0">
      <w:pPr>
        <w:ind w:right="100"/>
      </w:pPr>
      <w:r>
        <w:t>Candelaria, la Entidad Pública Empresarial “Gestión de Empresas y Servicios Municipales del Ayuntamiento de la villa de Candelaria, la Sociedad Mercantil ”Empresa de Inserción de Viviendas y Servicios Municipales de Candelaria, SL y la Fundación “Candelari</w:t>
      </w:r>
      <w:r>
        <w:t>a Solidaria”, para el ejercicio 2023</w:t>
      </w:r>
      <w:r>
        <w:rPr>
          <w:b/>
        </w:rPr>
        <w:t>.</w:t>
      </w:r>
      <w:r>
        <w:rPr>
          <w:rFonts w:ascii="Times New Roman" w:eastAsia="Times New Roman" w:hAnsi="Times New Roman" w:cs="Times New Roman"/>
          <w:sz w:val="24"/>
        </w:rPr>
        <w:t xml:space="preserve"> </w:t>
      </w:r>
    </w:p>
    <w:p w:rsidR="00EE0979" w:rsidRDefault="00B022A0">
      <w:pPr>
        <w:spacing w:after="10" w:line="259" w:lineRule="auto"/>
        <w:ind w:left="14" w:firstLine="0"/>
        <w:jc w:val="left"/>
      </w:pPr>
      <w:r>
        <w:t xml:space="preserve"> </w:t>
      </w:r>
    </w:p>
    <w:p w:rsidR="00EE0979" w:rsidRDefault="00B022A0">
      <w:pPr>
        <w:ind w:right="100"/>
      </w:pPr>
      <w:r>
        <w:rPr>
          <w:b/>
        </w:rPr>
        <w:t>Segundo:</w:t>
      </w:r>
      <w:r>
        <w:t xml:space="preserve"> Notificar el presente acuerdo a la Entidad Pública Empresarial “Gestión de Empresas y Servicios Municipales del Ayuntamiento de la villa de Candelaria, la Sociedad Mercantil” Empresa de Inserción de Viviend</w:t>
      </w:r>
      <w:r>
        <w:t>as y Servicios Municipales de Candelaria, SL y la Fundación “Candelaria Solidaria”.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4. </w:t>
      </w:r>
    </w:p>
    <w:p w:rsidR="00EE0979" w:rsidRDefault="00B022A0">
      <w:pPr>
        <w:spacing w:after="0" w:line="259" w:lineRule="auto"/>
        <w:ind w:left="14" w:firstLine="0"/>
        <w:jc w:val="left"/>
      </w:pPr>
      <w:r>
        <w:t xml:space="preserve"> </w:t>
      </w:r>
    </w:p>
    <w:p w:rsidR="00EE0979" w:rsidRDefault="00B022A0">
      <w:pPr>
        <w:ind w:right="100"/>
      </w:pPr>
      <w:r>
        <w:t>Los 4 concejales de</w:t>
      </w:r>
      <w:r>
        <w:t xml:space="preserve">l Grupo Socialista: Doña María Concepción Brito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t xml:space="preserve"> </w:t>
      </w:r>
    </w:p>
    <w:p w:rsidR="00EE0979" w:rsidRDefault="00B022A0">
      <w:pPr>
        <w:ind w:right="100"/>
      </w:pPr>
      <w:r>
        <w:t xml:space="preserve">Abstenciones: 3. </w:t>
      </w:r>
    </w:p>
    <w:p w:rsidR="00EE0979" w:rsidRDefault="00B022A0">
      <w:pPr>
        <w:spacing w:after="0" w:line="259" w:lineRule="auto"/>
        <w:ind w:left="14" w:firstLine="0"/>
        <w:jc w:val="left"/>
      </w:pPr>
      <w:r>
        <w:t xml:space="preserve"> </w:t>
      </w:r>
    </w:p>
    <w:p w:rsidR="00EE0979" w:rsidRDefault="00B022A0">
      <w:pPr>
        <w:ind w:right="100"/>
      </w:pPr>
      <w:r>
        <w:t>El concejal del Grupo Popular, Don Jacobo López Fariña.</w:t>
      </w:r>
      <w:r>
        <w:t xml:space="preserve">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w:t>
      </w:r>
      <w:r>
        <w:rPr>
          <w:b/>
        </w:rPr>
        <w:t xml:space="preserve">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17.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Hilaria Cecilia Otazo Gonzále</w:t>
      </w:r>
      <w:r>
        <w:t xml:space="preserve">z, Don Airam Pérez Chinea, 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Grupo Popular: Don Andrés </w:t>
      </w:r>
      <w:r>
        <w:t xml:space="preserve">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2"/>
        <w:ind w:right="100"/>
      </w:pPr>
      <w:r>
        <w:t xml:space="preserve">2 de los concejales del Grupo Mixto (CC-PNC): Doña Ángela Cruz Perera y Don Emilio Jesús Atiénzar Armas. </w:t>
      </w:r>
    </w:p>
    <w:p w:rsidR="00EE0979" w:rsidRDefault="00B022A0">
      <w:pPr>
        <w:ind w:right="100"/>
      </w:pPr>
      <w:r>
        <w:t>1 de la concejal del Grupo Mixto (VxC): Doña Alicia Mercedes Marrero Meneses.</w:t>
      </w:r>
      <w: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Votos en contra: 0. </w:t>
      </w:r>
    </w:p>
    <w:p w:rsidR="00EE0979" w:rsidRDefault="00B022A0">
      <w:pPr>
        <w:spacing w:after="0" w:line="259" w:lineRule="auto"/>
        <w:ind w:left="14" w:firstLine="0"/>
        <w:jc w:val="left"/>
      </w:pPr>
      <w:r>
        <w:rPr>
          <w:b/>
        </w:rPr>
        <w:t xml:space="preserve">  </w:t>
      </w:r>
    </w:p>
    <w:p w:rsidR="00EE0979" w:rsidRDefault="00B022A0">
      <w:pPr>
        <w:ind w:right="100"/>
      </w:pPr>
      <w:r>
        <w:t xml:space="preserve"> Abstenciones: 1.             </w:t>
      </w:r>
    </w:p>
    <w:p w:rsidR="00EE0979" w:rsidRDefault="00B022A0">
      <w:pPr>
        <w:ind w:right="100"/>
      </w:pPr>
      <w:r>
        <w:rPr>
          <w:b/>
        </w:rPr>
        <w:t xml:space="preserve"> </w:t>
      </w:r>
      <w:r>
        <w:t>1 de 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left="2931" w:right="99" w:hanging="10"/>
      </w:pPr>
      <w:r>
        <w:rPr>
          <w:b/>
        </w:rPr>
        <w:t xml:space="preserve">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Primero:</w:t>
      </w:r>
      <w:r>
        <w:t xml:space="preserve"> </w:t>
      </w:r>
      <w:r>
        <w:rPr>
          <w:b/>
        </w:rPr>
        <w:t>Aprobar el Contrato Programa sobre el marco de relaciones entre el Ayuntamiento de Candelaria, la Entidad Pública Empresarial “Gestión de Empresas y Servicios Municipales del Ayuntamiento de la villa de Candelaria, la Sociedad Mercantil” Empresa de Inserci</w:t>
      </w:r>
      <w:r>
        <w:rPr>
          <w:b/>
        </w:rPr>
        <w:t>ón de Viviendas y Servicios Municipales de Candelaria, SL y la Fundación “Candelaria Solidaria”, para el ejercicio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160"/>
        <w:ind w:right="99" w:hanging="10"/>
      </w:pPr>
      <w:r>
        <w:rPr>
          <w:b/>
        </w:rPr>
        <w:t>Segundo: Notificar el presente acuerdo a la Entidad Pública Empresarial “Gestión de Empresas y Servicios Municipales del Ayuntamient</w:t>
      </w:r>
      <w:r>
        <w:rPr>
          <w:b/>
        </w:rPr>
        <w:t>o de la villa de Candelaria, la Sociedad Mercantil” Empresa de Inserción de Viviendas y Servicios Municipales de Candelaria, SL y la Fundación “Candelaria Solidaria.”</w:t>
      </w:r>
      <w: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0" w:line="427" w:lineRule="auto"/>
        <w:ind w:left="14" w:right="9614" w:firstLine="0"/>
        <w:jc w:val="left"/>
      </w:pPr>
      <w:r>
        <w:rPr>
          <w:i/>
          <w:color w:val="222222"/>
        </w:rPr>
        <w:t xml:space="preserve">  </w:t>
      </w:r>
    </w:p>
    <w:p w:rsidR="00EE0979" w:rsidRDefault="00B022A0">
      <w:pPr>
        <w:spacing w:after="91" w:line="250" w:lineRule="auto"/>
        <w:ind w:left="9" w:right="102" w:hanging="10"/>
      </w:pPr>
      <w:r>
        <w:rPr>
          <w:b/>
          <w:sz w:val="24"/>
        </w:rPr>
        <w:t xml:space="preserve">6.- </w:t>
      </w:r>
      <w:r>
        <w:rPr>
          <w:b/>
          <w:sz w:val="24"/>
        </w:rPr>
        <w:t>Expediente 2752/2019. Propuesta del Concejal delegado de Hacienda de 19 de abril de 2023 al Pleno de revisión de precios del contrato de gestión de servicios públicos bajo la modalidad de concesión del servicio de recogida de residuos sólidos urbanos a fav</w:t>
      </w:r>
      <w:r>
        <w:rPr>
          <w:b/>
          <w:sz w:val="24"/>
        </w:rPr>
        <w:t xml:space="preserve">or de la empresa Urbaser S.A adjudicado por acuerdo del pleno de 29 de diciembre de 2000. </w:t>
      </w:r>
    </w:p>
    <w:p w:rsidR="00EE0979" w:rsidRDefault="00B022A0">
      <w:pPr>
        <w:spacing w:after="101" w:line="259" w:lineRule="auto"/>
        <w:ind w:left="14" w:firstLine="0"/>
        <w:jc w:val="left"/>
      </w:pPr>
      <w:r>
        <w:rPr>
          <w:b/>
          <w:color w:val="2F3E4D"/>
        </w:rPr>
        <w:t xml:space="preserve"> </w:t>
      </w:r>
    </w:p>
    <w:p w:rsidR="00EE0979" w:rsidRDefault="00B022A0">
      <w:pPr>
        <w:spacing w:after="116"/>
        <w:ind w:right="99" w:hanging="10"/>
      </w:pPr>
      <w:r>
        <w:rPr>
          <w:b/>
        </w:rPr>
        <w:t>Consta en el expediente Informe de Intervención emitido por Don Nicolás Rojo Garnica, que desempeña el puesto de trabajo de Interventor Municipal, de 14 de abril d</w:t>
      </w:r>
      <w:r>
        <w:rPr>
          <w:b/>
        </w:rPr>
        <w:t>e 2023, del siguiente tenor literal:</w:t>
      </w:r>
      <w:r>
        <w:t xml:space="preserve"> </w:t>
      </w:r>
    </w:p>
    <w:p w:rsidR="00EE0979" w:rsidRDefault="00B022A0">
      <w:pPr>
        <w:spacing w:after="134" w:line="259" w:lineRule="auto"/>
        <w:ind w:left="14" w:firstLine="0"/>
        <w:jc w:val="left"/>
      </w:pPr>
      <w:r>
        <w:t xml:space="preserve"> </w:t>
      </w:r>
    </w:p>
    <w:p w:rsidR="00EE0979" w:rsidRDefault="00B022A0">
      <w:pPr>
        <w:spacing w:after="3" w:line="265" w:lineRule="auto"/>
        <w:ind w:left="624" w:right="712" w:hanging="10"/>
        <w:jc w:val="center"/>
      </w:pPr>
      <w:r>
        <w:rPr>
          <w:b/>
        </w:rPr>
        <w:t xml:space="preserve">“INFORME DE INTERVENCIÓN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698"/>
      </w:pPr>
      <w:r>
        <w:t>Asunto: Revisión de las Tarifas del ejercicio 2023</w:t>
      </w:r>
      <w:r>
        <w:rPr>
          <w:rFonts w:ascii="Times New Roman" w:eastAsia="Times New Roman" w:hAnsi="Times New Roman" w:cs="Times New Roman"/>
          <w:b w:val="0"/>
          <w:sz w:val="24"/>
        </w:rPr>
        <w:t xml:space="preserve"> </w:t>
      </w:r>
    </w:p>
    <w:p w:rsidR="00EE0979" w:rsidRDefault="00B022A0">
      <w:pPr>
        <w:spacing w:after="204" w:line="265" w:lineRule="auto"/>
        <w:ind w:left="624" w:right="695" w:hanging="10"/>
        <w:jc w:val="center"/>
      </w:pPr>
      <w:r>
        <w:rPr>
          <w:b/>
        </w:rPr>
        <w:t xml:space="preserve"> de la Concesión del Servicios de Recogida de Residuos y Limpieza Viaria.</w:t>
      </w:r>
      <w:r>
        <w:rPr>
          <w:rFonts w:ascii="Times New Roman" w:eastAsia="Times New Roman" w:hAnsi="Times New Roman" w:cs="Times New Roman"/>
          <w:sz w:val="24"/>
        </w:rPr>
        <w:t xml:space="preserve"> </w:t>
      </w:r>
    </w:p>
    <w:p w:rsidR="00EE0979" w:rsidRDefault="00B022A0">
      <w:pPr>
        <w:ind w:right="100"/>
      </w:pPr>
      <w:r>
        <w:t xml:space="preserve">    Visto los escritos presentados por D. Federico González B</w:t>
      </w:r>
      <w:r>
        <w:t xml:space="preserve">ueno, con  </w:t>
      </w:r>
    </w:p>
    <w:p w:rsidR="00EE0979" w:rsidRDefault="00B022A0">
      <w:pPr>
        <w:ind w:right="100"/>
      </w:pPr>
      <w:r>
        <w:t xml:space="preserve">N.I.F. ***9823**, en nombre y representación de URBASER SA, con CIF A79524054, en la que solicita, revisión de precios del ejercicio 2023, con efectividad desde 1 de enero de 2023. </w:t>
      </w:r>
    </w:p>
    <w:p w:rsidR="00EE0979" w:rsidRDefault="00B022A0">
      <w:pPr>
        <w:spacing w:after="0" w:line="259" w:lineRule="auto"/>
        <w:ind w:left="10" w:firstLine="0"/>
        <w:jc w:val="left"/>
      </w:pPr>
      <w:r>
        <w:t xml:space="preserve"> </w:t>
      </w:r>
    </w:p>
    <w:p w:rsidR="00EE0979" w:rsidRDefault="00B022A0">
      <w:pPr>
        <w:pStyle w:val="Ttulo1"/>
        <w:numPr>
          <w:ilvl w:val="0"/>
          <w:numId w:val="0"/>
        </w:numPr>
        <w:ind w:left="624" w:right="700"/>
      </w:pPr>
      <w:r>
        <w:t xml:space="preserve">Antecedentes de Hecho </w:t>
      </w:r>
    </w:p>
    <w:p w:rsidR="00EE0979" w:rsidRDefault="00B022A0">
      <w:pPr>
        <w:ind w:left="14" w:right="100" w:firstLine="708"/>
      </w:pPr>
      <w:r>
        <w:t>Por Acuerdo Plenario de fecha 29 de diciembre de 2000 se adjudicó a la empresa URBASER SA la gestión del servicio de Recogida de Residuos Sólidos urbanos, por un precio de 1.666.481,43, con un periodo de 10 años, pudiéndose prorrogar hasta un periodo de ha</w:t>
      </w:r>
      <w:r>
        <w:t xml:space="preserve">sta cinco años, firmándose el contrato de adjudicación en febrero de 2001 e iniciándose la prestación del servicio el 1 de marzo de 2001. </w:t>
      </w:r>
    </w:p>
    <w:p w:rsidR="00EE0979" w:rsidRDefault="00B022A0">
      <w:pPr>
        <w:pStyle w:val="Ttulo1"/>
        <w:numPr>
          <w:ilvl w:val="0"/>
          <w:numId w:val="0"/>
        </w:numPr>
        <w:ind w:left="624" w:right="697"/>
      </w:pPr>
      <w:r>
        <w:t xml:space="preserve">Fundamentos de Derecho </w:t>
      </w:r>
    </w:p>
    <w:p w:rsidR="00EE0979" w:rsidRDefault="00B022A0">
      <w:pPr>
        <w:ind w:left="14" w:right="100" w:firstLine="708"/>
      </w:pPr>
      <w:r>
        <w:t>A). - Que la concesión es una modalidad de gestión de servicios públicos en la que el empresa</w:t>
      </w:r>
      <w:r>
        <w:t>rio gestiona el servicio a su riesgo y ventura, pero que debe coordinarse con la exigencia del mantenimiento del equilibrio financiero. En efecto, la exigencia del mantenimiento del equilibrio económico a lo largo de la vida de la concesión es sobre todo u</w:t>
      </w:r>
      <w:r>
        <w:t xml:space="preserve">na técnica dirigida a satisfacer el interés público, esto es, a garantizar la continuidad del servicio y su prestación a nivel adecuado, que puede ponerse en peligro por una onerosidad sobrevenida, bien por hechos imputables a la Administración o bien por </w:t>
      </w:r>
      <w:r>
        <w:t>eventos imprevisibles ( artículos 126 y 127 del Reglamento de Servicios de las Corporaciones Locales, de 17 de junio de 1955 ). Por tanto rigen en la institución concesional el principio de remuneración suficiente( artículos 129.3 del Reglamento de Servici</w:t>
      </w:r>
      <w:r>
        <w:t xml:space="preserve">os de las Corporaciones Locales ), debiéndose incorporar en el Pliego de condiciones económicas, las previsiones suficientes para que desde el inicio de la concesión, al concesionario perciba las cantidades precisas para que éste consiga los objetivos que </w:t>
      </w:r>
      <w:r>
        <w:t>establece el artículo 129 antes citado, esto es, amortizar durante el plazo de la concesión el costo del establecimiento del servicio, cubrir los gastos de explotación y lograr un margen normal de beneficio industrial. El problema radica en delimitar el al</w:t>
      </w:r>
      <w:r>
        <w:t>cance de este principio, pero ha de quedar constancia, en cualquier caso, a tenor de la jurisprudencia, que este principio está concebido como una técnica que tiene por fin último asegurar el mantenimiento del servicio público en circunstancias anormales y</w:t>
      </w:r>
      <w:r>
        <w:t xml:space="preserve"> conseguir igualmente el mantenimiento del principio de continuidad en la prestación del servicio.  </w:t>
      </w:r>
    </w:p>
    <w:p w:rsidR="00EE0979" w:rsidRDefault="00B022A0">
      <w:pPr>
        <w:spacing w:after="0" w:line="259" w:lineRule="auto"/>
        <w:ind w:left="708" w:firstLine="0"/>
        <w:jc w:val="left"/>
      </w:pPr>
      <w:r>
        <w:t xml:space="preserve"> </w:t>
      </w:r>
    </w:p>
    <w:p w:rsidR="00EE0979" w:rsidRDefault="00B022A0">
      <w:pPr>
        <w:ind w:right="100"/>
      </w:pPr>
      <w:r>
        <w:t xml:space="preserve">El principio de equilibrio económico que inspira la concesión en su  </w:t>
      </w:r>
    </w:p>
    <w:p w:rsidR="00EE0979" w:rsidRDefault="00B022A0">
      <w:pPr>
        <w:spacing w:after="111"/>
        <w:ind w:right="100"/>
      </w:pPr>
      <w:r>
        <w:t>desarrollo se logra a través de diversas técnicas que son la adecuada respuesta a l</w:t>
      </w:r>
      <w:r>
        <w:t xml:space="preserve">as posibles modificaciones y circunstancias concurrentes durante la vida de la concesión: </w:t>
      </w:r>
    </w:p>
    <w:p w:rsidR="00EE0979" w:rsidRDefault="00B022A0">
      <w:pPr>
        <w:spacing w:after="508"/>
        <w:ind w:right="100"/>
      </w:pPr>
      <w:r>
        <w:t>1ª.-El Ius Variandi o derecho de la Administración a modificar el contrato, cuya respuesta es la compensación económica para restablecer la ecuación o equilibrio rot</w:t>
      </w:r>
      <w:r>
        <w:t xml:space="preserve">o por una decisión puntual de la Administración (ejemplo: ordenar la ampliación del servicio). </w:t>
      </w:r>
    </w:p>
    <w:p w:rsidR="00EE0979" w:rsidRDefault="00B022A0">
      <w:pPr>
        <w:spacing w:after="510"/>
        <w:ind w:right="100"/>
      </w:pPr>
      <w:r>
        <w:t>2º.- El Factum Principios o disposición de carácter general que incide en la economía del contrato (ejemplo. aumento general de salarios ordenado por el Estado)</w:t>
      </w:r>
      <w:r>
        <w:t xml:space="preserve">. Su respuesta ha de ser la revisión de tarifas o el aumento de la subvención concedida. </w:t>
      </w:r>
    </w:p>
    <w:p w:rsidR="00EE0979" w:rsidRDefault="00B022A0">
      <w:pPr>
        <w:spacing w:after="508"/>
        <w:ind w:right="100"/>
      </w:pPr>
      <w:r>
        <w:t>3º.- Tª de la Imprevisión o Circunstancias Imprevisibles, a la que se refiere el artículo 127.2.2 b) del Reglamento de Servicios de las Corporaciones Locales, de 17 d</w:t>
      </w:r>
      <w:r>
        <w:t>e junio de 1955, cuando sin mediar modificaciones en el servicio concurren circunstancias sobrevenidas o imprevisibles que determinan la ruptura de la economía de la concesión. Por tanto, son causas ajenas e imprevisibles que exceden el riesgo normal de to</w:t>
      </w:r>
      <w:r>
        <w:t xml:space="preserve">do contrato, por lo que para restablecer el equilibrio sería necesario aumentar las tarifas o incrementar la subvención. </w:t>
      </w:r>
    </w:p>
    <w:p w:rsidR="00EE0979" w:rsidRDefault="00B022A0">
      <w:pPr>
        <w:ind w:right="100"/>
      </w:pPr>
      <w:r>
        <w:t>B).- El artículo 46 del Pliego de Condiciones Facultativas Económico Administrativas y Jurídicas, relativo a la Revisión de Precios, d</w:t>
      </w:r>
      <w:r>
        <w:t>ispone que para el año 2000 no se admitirá ninguna revisión de precios, siendo la primera revisión del ejercicio 2001. El tope máximo para cada revisión de precios, será el incremento que experimente el IPC en la Comunidad Autónoma de Canarias, en el año a</w:t>
      </w:r>
      <w:r>
        <w:t xml:space="preserve">nterior, es decir el índice de revisión, será el resultante de diciembre a diciembre del año precedente al de la revisión.  </w:t>
      </w:r>
    </w:p>
    <w:p w:rsidR="00EE0979" w:rsidRDefault="00B022A0">
      <w:pPr>
        <w:pStyle w:val="Ttulo1"/>
        <w:numPr>
          <w:ilvl w:val="0"/>
          <w:numId w:val="0"/>
        </w:numPr>
        <w:ind w:left="624" w:right="690"/>
      </w:pPr>
      <w:r>
        <w:t xml:space="preserve">Informe </w:t>
      </w:r>
    </w:p>
    <w:p w:rsidR="00EE0979" w:rsidRDefault="00B022A0">
      <w:pPr>
        <w:ind w:left="14" w:right="100" w:firstLine="708"/>
      </w:pPr>
      <w:r>
        <w:t>El Ayuntamiento de Candelaria, recibe mensualmente en la actualidad, facturas emitidas por la empresa URBASER SA, por impo</w:t>
      </w:r>
      <w:r>
        <w:t xml:space="preserve">rte, sin IGIC, de 205.636,49 Euros mensuales (220.031,04 Euros con IGIC del 7 %) y 2.467.637,87 Euros anuales (2.640.372,53 Euros con IGIC), conforme la última revisión de precios, aprobado por acuerdo plenario de fecha 27 de octubre de 2022.  </w:t>
      </w:r>
    </w:p>
    <w:p w:rsidR="00EE0979" w:rsidRDefault="00B022A0">
      <w:pPr>
        <w:spacing w:after="0" w:line="259" w:lineRule="auto"/>
        <w:ind w:left="708" w:firstLine="0"/>
        <w:jc w:val="left"/>
      </w:pPr>
      <w:r>
        <w:t xml:space="preserve"> </w:t>
      </w:r>
    </w:p>
    <w:p w:rsidR="00EE0979" w:rsidRDefault="00B022A0">
      <w:pPr>
        <w:ind w:left="14" w:right="100" w:firstLine="708"/>
      </w:pPr>
      <w:r>
        <w:t>Dado que el IPC Canario de diciembre de 2021 hasta diciembre de 2022 es del 5,8 %, nos da un canon mensual, de 217.563,41 Euros (232.792,85 Euros con IGIC) mensuales</w:t>
      </w:r>
      <w:r>
        <w:rPr>
          <w:b/>
        </w:rPr>
        <w:t xml:space="preserve"> </w:t>
      </w:r>
      <w:r>
        <w:t>en el 2023, lo cual representa un canon anual de 2.610.760,87 Euros (2.793.514,13 Euros co</w:t>
      </w:r>
      <w:r>
        <w:t>n IGIC), lo cual supone 153.141,61 Euros anuales (12.761,80 Euros mensuales), más para el presente ejercicio, incluido el IGIC correspondiente.</w:t>
      </w:r>
      <w:r>
        <w:rPr>
          <w:rFonts w:ascii="Times New Roman" w:eastAsia="Times New Roman" w:hAnsi="Times New Roman" w:cs="Times New Roman"/>
          <w:sz w:val="24"/>
        </w:rPr>
        <w:t xml:space="preserve"> </w:t>
      </w:r>
    </w:p>
    <w:p w:rsidR="00EE0979" w:rsidRDefault="00B022A0">
      <w:pPr>
        <w:spacing w:after="0" w:line="259" w:lineRule="auto"/>
        <w:ind w:left="708" w:firstLine="0"/>
        <w:jc w:val="left"/>
      </w:pPr>
      <w:r>
        <w:t xml:space="preserve">   </w:t>
      </w:r>
    </w:p>
    <w:p w:rsidR="00EE0979" w:rsidRDefault="00B022A0">
      <w:pPr>
        <w:spacing w:after="546"/>
        <w:ind w:left="14" w:right="100" w:firstLine="708"/>
      </w:pPr>
      <w:r>
        <w:t>Considerando que existe consignación presupuestaria en las aplicaciones 163.00-227.00 y 162.10-227.00 del P</w:t>
      </w:r>
      <w:r>
        <w:t xml:space="preserve">resupuesto General para el ejercicio 2023 (RC 2.23.0.02807), para hacer frente a estas revisiones de precios. </w:t>
      </w:r>
    </w:p>
    <w:p w:rsidR="00EE0979" w:rsidRDefault="00B022A0">
      <w:pPr>
        <w:ind w:left="14" w:right="100" w:firstLine="708"/>
      </w:pPr>
      <w:r>
        <w:t xml:space="preserve">Por tanto, este Interventor, de acuerdo con el artículo 46 del Pliego de Condiciones Facultativas Económico Administrativas y Jurídicas, informa </w:t>
      </w:r>
      <w:r>
        <w:t xml:space="preserve">favorablemente la revisión de precios para el ejercicio 2023, para un canon anual, por la cantidad de DOS MILLONES SETECIENTOS NOVENTA Y TRES MIL QUINIENTOS CATORCE EUROS CON TRECE CÉNTIMOS (2.793.514,13 Euros con IGIC), con efectos de 1 de enero de 2023, </w:t>
      </w:r>
      <w:r>
        <w:t xml:space="preserve">debiéndose reconocer una deuda con la empresa desde la factura de enero y siguientes presentadas, hasta la notificación del acuerdo plenario.”   </w:t>
      </w:r>
    </w:p>
    <w:p w:rsidR="00EE0979" w:rsidRDefault="00B022A0">
      <w:pPr>
        <w:spacing w:after="98" w:line="259" w:lineRule="auto"/>
        <w:ind w:left="14" w:firstLine="0"/>
        <w:jc w:val="left"/>
      </w:pPr>
      <w:r>
        <w:rPr>
          <w:b/>
        </w:rPr>
        <w:t xml:space="preserve"> </w:t>
      </w:r>
    </w:p>
    <w:p w:rsidR="00EE0979" w:rsidRDefault="00B022A0">
      <w:pPr>
        <w:spacing w:after="114"/>
        <w:ind w:right="99" w:hanging="10"/>
      </w:pPr>
      <w:r>
        <w:rPr>
          <w:b/>
        </w:rPr>
        <w:t xml:space="preserve">   Consta en el expediente Informe Jurídico emitido por Doña Mª del Pilar Chico Delgado, que desempeña el pu</w:t>
      </w:r>
      <w:r>
        <w:rPr>
          <w:b/>
        </w:rPr>
        <w:t>esto de Técnico de Administración General, conformado por D. Octavio Manuel Fernández Hernández, Secretario General, y debidamente fiscalizado por D. Nicolás Rojo Garnica, Interventor Municipal, de 18 de abril de 2023, del siguiente tenor literal:</w:t>
      </w:r>
      <w:r>
        <w:t xml:space="preserve"> </w:t>
      </w:r>
    </w:p>
    <w:p w:rsidR="00EE0979" w:rsidRDefault="00B022A0">
      <w:pPr>
        <w:spacing w:after="219" w:line="259" w:lineRule="auto"/>
        <w:ind w:left="14" w:firstLine="0"/>
        <w:jc w:val="left"/>
      </w:pPr>
      <w:r>
        <w:t xml:space="preserve"> </w:t>
      </w:r>
    </w:p>
    <w:p w:rsidR="00EE0979" w:rsidRDefault="00B022A0">
      <w:pPr>
        <w:pStyle w:val="Ttulo1"/>
        <w:numPr>
          <w:ilvl w:val="0"/>
          <w:numId w:val="0"/>
        </w:numPr>
        <w:spacing w:after="95"/>
        <w:ind w:left="624" w:right="2423"/>
      </w:pPr>
      <w:r>
        <w:t xml:space="preserve">     </w:t>
      </w:r>
      <w:r>
        <w:t xml:space="preserve">              “INFORME                             </w:t>
      </w:r>
      <w:r>
        <w:rPr>
          <w:b w:val="0"/>
        </w:rPr>
        <w:t xml:space="preserve"> </w:t>
      </w:r>
    </w:p>
    <w:p w:rsidR="00EE0979" w:rsidRDefault="00B022A0">
      <w:pPr>
        <w:spacing w:after="114"/>
        <w:ind w:right="99" w:hanging="10"/>
      </w:pPr>
      <w:r>
        <w:rPr>
          <w:b/>
        </w:rPr>
        <w:t>Visto el expediente antedicho, la funcionaria Mª del Pilar Chico Delgado, que desempeña el puesto de trabajo de técnico de adm.gral., conformado por el Secretario General, debidamente fiscalizado favorab</w:t>
      </w:r>
      <w:r>
        <w:rPr>
          <w:b/>
        </w:rPr>
        <w:t>lemente por el Interventor municipal, emite el siguiente informe:</w:t>
      </w:r>
      <w:r>
        <w:t xml:space="preserve"> </w:t>
      </w:r>
    </w:p>
    <w:p w:rsidR="00EE0979" w:rsidRDefault="00B022A0">
      <w:pPr>
        <w:spacing w:after="98" w:line="259" w:lineRule="auto"/>
        <w:ind w:left="14" w:firstLine="0"/>
        <w:jc w:val="left"/>
      </w:pPr>
      <w:r>
        <w:t xml:space="preserve">  </w:t>
      </w:r>
    </w:p>
    <w:p w:rsidR="00EE0979" w:rsidRDefault="00B022A0">
      <w:pPr>
        <w:pStyle w:val="Ttulo1"/>
        <w:numPr>
          <w:ilvl w:val="0"/>
          <w:numId w:val="0"/>
        </w:numPr>
        <w:spacing w:after="95"/>
        <w:ind w:left="624" w:right="710"/>
      </w:pPr>
      <w:r>
        <w:t xml:space="preserve">Antecedentes de hecho </w:t>
      </w:r>
      <w:r>
        <w:rPr>
          <w:b w:val="0"/>
        </w:rPr>
        <w:t xml:space="preserve"> </w:t>
      </w:r>
    </w:p>
    <w:p w:rsidR="00EE0979" w:rsidRDefault="00B022A0">
      <w:pPr>
        <w:ind w:left="14" w:right="100" w:firstLine="708"/>
      </w:pPr>
      <w:r>
        <w:t xml:space="preserve"> Visto el escrito presentado por D. Eduardo Domínguez-Adame Bozzano, con N.I.F. ***9182**, en nombre y representación de URBASER SA, con CIF A-79524054, con regis</w:t>
      </w:r>
      <w:r>
        <w:t xml:space="preserve">tro de entrada nº 452 y de fecha 26 de enero de 2023, en el que solicita la revisión de precios en el ejercicio 2023, con efectividad desde 1 de enero  de 2023. </w:t>
      </w:r>
    </w:p>
    <w:p w:rsidR="00EE0979" w:rsidRDefault="00B022A0">
      <w:pPr>
        <w:spacing w:after="0" w:line="259" w:lineRule="auto"/>
        <w:ind w:left="14" w:firstLine="0"/>
        <w:jc w:val="left"/>
      </w:pPr>
      <w:r>
        <w:t xml:space="preserve"> </w:t>
      </w:r>
    </w:p>
    <w:p w:rsidR="00EE0979" w:rsidRDefault="00B022A0">
      <w:pPr>
        <w:ind w:left="14" w:right="100" w:firstLine="708"/>
      </w:pPr>
      <w:r>
        <w:rPr>
          <w:b/>
        </w:rPr>
        <w:t>Resultando</w:t>
      </w:r>
      <w:r>
        <w:t xml:space="preserve"> </w:t>
      </w:r>
      <w:r>
        <w:t>que por Acuerdo Plenario de fecha 29 de diciembre de 2000 se adjudicó a la empresa URBASER SA la gestión del servicio de Recogida de Residuos Sólidos urbanos, por un precio de 1.666.481,43, con un periodo de 10 años, pudiéndose prorrogar hasta un periodo d</w:t>
      </w:r>
      <w:r>
        <w:t>e hasta cinco años, firmándose el contrato de adjudicación en febrero de 2001 e iniciándose la prestación del servicio el 1 de marzo de 2001.</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rPr>
          <w:b/>
        </w:rPr>
        <w:t>Resultando</w:t>
      </w:r>
      <w:r>
        <w:t xml:space="preserve"> que por Acuerdo Plenario de fecha 24 de febrero de 2011, se acordó que por el principio de continuid</w:t>
      </w:r>
      <w:r>
        <w:t>ad, la empresa Urbaser, S.A. como adjudicataria del servicio continuara prestando todos los servicios adjudicados hasta que el Ayuntamiento, en gestión directa o el nuevo concesionario se haga cargo del mismo.</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ind w:left="14" w:right="100" w:firstLine="576"/>
      </w:pPr>
      <w:r>
        <w:rPr>
          <w:b/>
        </w:rPr>
        <w:t>Resultando</w:t>
      </w:r>
      <w:r>
        <w:t xml:space="preserve"> que consta informe favorable d</w:t>
      </w:r>
      <w:r>
        <w:t xml:space="preserve">el Interventor Municipal de fecha 14 de abril de 2023, que dice: </w:t>
      </w:r>
      <w:r>
        <w:rPr>
          <w:rFonts w:ascii="Times New Roman" w:eastAsia="Times New Roman" w:hAnsi="Times New Roman" w:cs="Times New Roman"/>
          <w:sz w:val="24"/>
        </w:rPr>
        <w:t xml:space="preserve"> </w:t>
      </w:r>
    </w:p>
    <w:p w:rsidR="00EE0979" w:rsidRDefault="00B022A0">
      <w:pPr>
        <w:spacing w:after="14" w:line="259" w:lineRule="auto"/>
        <w:ind w:left="590" w:firstLine="0"/>
        <w:jc w:val="left"/>
      </w:pPr>
      <w:r>
        <w:t xml:space="preserve"> </w:t>
      </w:r>
    </w:p>
    <w:p w:rsidR="00EE0979" w:rsidRDefault="00B022A0">
      <w:pPr>
        <w:spacing w:after="3" w:line="265" w:lineRule="auto"/>
        <w:ind w:left="624" w:right="712" w:hanging="10"/>
        <w:jc w:val="center"/>
      </w:pPr>
      <w:r>
        <w:rPr>
          <w:b/>
        </w:rPr>
        <w:t xml:space="preserve">“INFORME DE INTERVENCIÓN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Asunto: Revisión de las Tarifas del ejercicio 2023 </w:t>
      </w:r>
    </w:p>
    <w:p w:rsidR="00EE0979" w:rsidRDefault="00B022A0">
      <w:pPr>
        <w:spacing w:after="3" w:line="265" w:lineRule="auto"/>
        <w:ind w:left="624" w:right="711" w:hanging="10"/>
        <w:jc w:val="center"/>
      </w:pPr>
      <w:r>
        <w:rPr>
          <w:b/>
        </w:rPr>
        <w:t xml:space="preserve"> de la Concesión del Servicios de Recogida de Residuos y Limpieza Viaria.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 w:line="241" w:lineRule="auto"/>
        <w:ind w:left="9" w:hanging="10"/>
        <w:jc w:val="left"/>
      </w:pPr>
      <w:r>
        <w:rPr>
          <w:b/>
        </w:rPr>
        <w:t xml:space="preserve"> </w:t>
      </w:r>
      <w:r>
        <w:rPr>
          <w:b/>
        </w:rPr>
        <w:tab/>
      </w:r>
      <w:r>
        <w:rPr>
          <w:b/>
        </w:rPr>
        <w:t xml:space="preserve">Visto los escritos presentados por D. Federico González Bueno, con N.I.F. ***9823**, en nombre y representación de URBASER SA, con CIF A-79524054, en la que solicita, revisión de precios del ejercicio 2023, con efectividad desde 1 de enero de 2023. </w:t>
      </w:r>
    </w:p>
    <w:p w:rsidR="00EE0979" w:rsidRDefault="00B022A0">
      <w:pPr>
        <w:spacing w:after="0" w:line="259" w:lineRule="auto"/>
        <w:ind w:left="14" w:firstLine="0"/>
        <w:jc w:val="left"/>
      </w:pPr>
      <w:r>
        <w:rPr>
          <w:b/>
        </w:rPr>
        <w:t xml:space="preserve"> </w:t>
      </w:r>
    </w:p>
    <w:p w:rsidR="00EE0979" w:rsidRDefault="00B022A0">
      <w:pPr>
        <w:pStyle w:val="Ttulo1"/>
        <w:numPr>
          <w:ilvl w:val="0"/>
          <w:numId w:val="0"/>
        </w:numPr>
        <w:ind w:left="624" w:right="710"/>
      </w:pPr>
      <w:r>
        <w:t>Ante</w:t>
      </w:r>
      <w:r>
        <w:t xml:space="preserve">cedentes de Hecho </w:t>
      </w:r>
    </w:p>
    <w:p w:rsidR="00EE0979" w:rsidRDefault="00B022A0">
      <w:pPr>
        <w:spacing w:after="0" w:line="259" w:lineRule="auto"/>
        <w:ind w:left="14" w:firstLine="0"/>
        <w:jc w:val="left"/>
      </w:pPr>
      <w:r>
        <w:t xml:space="preserve"> </w:t>
      </w:r>
    </w:p>
    <w:p w:rsidR="00EE0979" w:rsidRDefault="00B022A0">
      <w:pPr>
        <w:spacing w:after="1" w:line="241" w:lineRule="auto"/>
        <w:ind w:left="-1" w:firstLine="708"/>
        <w:jc w:val="left"/>
      </w:pPr>
      <w:r>
        <w:rPr>
          <w:b/>
        </w:rPr>
        <w:t>Por Acuerdo Plenario de fecha 29 de diciembre de 2000 se adjudicó a la empresa URBASER SA la gestión del servicio de Recogida de Residuos Sólidos urbanos,………, por un precio de 1.666.481,43, con un periodo de 10 años, pudiéndose prorrog</w:t>
      </w:r>
      <w:r>
        <w:rPr>
          <w:b/>
        </w:rPr>
        <w:t xml:space="preserve">ar hasta un periodo de hasta cinco años, firmándose el contrato de adjudicación en febrero de 2001 e iniciándose la prestación del servicio el 1 de marzo de 2001.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Fundamentos de Derecho </w:t>
      </w:r>
    </w:p>
    <w:p w:rsidR="00EE0979" w:rsidRDefault="00B022A0">
      <w:pPr>
        <w:spacing w:after="0" w:line="259" w:lineRule="auto"/>
        <w:ind w:left="14" w:firstLine="0"/>
        <w:jc w:val="left"/>
      </w:pPr>
      <w:r>
        <w:t xml:space="preserve"> </w:t>
      </w:r>
    </w:p>
    <w:p w:rsidR="00EE0979" w:rsidRDefault="00B022A0">
      <w:pPr>
        <w:spacing w:after="113"/>
        <w:ind w:left="14" w:right="100" w:firstLine="708"/>
      </w:pPr>
      <w:r>
        <w:t xml:space="preserve">A).- Que la concesión  es una modalidad de gestión de servicios </w:t>
      </w:r>
      <w:r>
        <w:t>públicos en la que el empresario gestiona el servicio a su riesgo y ventura, pero que debe coordinarse con la exigencia del mantenimiento del equilibrio financiero. En efecto, la exigencia del mantenimiento del equilibrio económico a lo largo de la vida de</w:t>
      </w:r>
      <w:r>
        <w:t xml:space="preserve"> la concesión es sobre todo una técnica dirigida a satisfacer el interés público, esto es, a garantizar la continuidad del servicio y su prestación a nivel adecuado, que puede ponerse en peligro por una onerosidad sobrevenida, bien por hechos imputables a </w:t>
      </w:r>
      <w:r>
        <w:t>la Administración o bien por eventos imprevisibles ( artículos 126 y 127 del Reglamento de Servicios de las Corporaciones Locales, de 17 de junio de 1955 ). Por tanto rigen en la institución concesional el principio de remuneración suficiente( artículos 12</w:t>
      </w:r>
      <w:r>
        <w:t>9.3 del Reglamento de Servicios de las Corporaciones Locales ), debiéndose incorporar en el Pliego de condiciones económicas, las previsiones suficientes para que desde el inicio de la concesión, al concesionario perciba las cantidades precisas para que és</w:t>
      </w:r>
      <w:r>
        <w:t>te consiga los objetivos que establece el artículo 129 antes citado, esto es, amortizar durante el plazo de la concesión el costo del establecimiento del servicio, cubrir los gastos de explotación y lograr un margen normal de beneficio industrial. El probl</w:t>
      </w:r>
      <w:r>
        <w:t>ema radica en delimitar el alcance de este principio, pero ha de quedar constancia, en cualquier caso, a tenor de la jurisprudencia, que este principio está concebido como una técnica que tiene  por fin último asegurar el mantenimiento del servicio público</w:t>
      </w:r>
      <w:r>
        <w:t xml:space="preserve"> en circunstancias anormales y conseguir igualmente el mantenimiento del principio de continuidad en la prestación del servicio.  </w:t>
      </w:r>
    </w:p>
    <w:p w:rsidR="00EE0979" w:rsidRDefault="00B022A0">
      <w:pPr>
        <w:spacing w:after="114"/>
        <w:ind w:right="100"/>
      </w:pPr>
      <w:r>
        <w:t xml:space="preserve">  El principio de equilibrio económico que inspira la concesión en su desarrollo se logra a través de diversas técnicas que s</w:t>
      </w:r>
      <w:r>
        <w:t xml:space="preserve">on la adecuada respuesta a las posibles modificaciones y circunstancias concurrentes durante la vida de la concesión: </w:t>
      </w:r>
    </w:p>
    <w:p w:rsidR="00EE0979" w:rsidRDefault="00B022A0">
      <w:pPr>
        <w:spacing w:after="111"/>
        <w:ind w:right="100"/>
      </w:pPr>
      <w:r>
        <w:t xml:space="preserve">1ª.-El Ius Variandi o derecho de la Administración a modificar el contrato, cuya respuesta es la compensación económica para restablecer </w:t>
      </w:r>
      <w:r>
        <w:t xml:space="preserve">la ecuación o equilibrio roto por una decisión puntual de la Administración (ejemplo: ordenar la ampliación del servicio). </w:t>
      </w:r>
    </w:p>
    <w:p w:rsidR="00EE0979" w:rsidRDefault="00B022A0">
      <w:pPr>
        <w:spacing w:after="100" w:line="259" w:lineRule="auto"/>
        <w:ind w:left="14" w:firstLine="0"/>
        <w:jc w:val="left"/>
      </w:pPr>
      <w:r>
        <w:t xml:space="preserve"> </w:t>
      </w:r>
    </w:p>
    <w:p w:rsidR="00EE0979" w:rsidRDefault="00B022A0">
      <w:pPr>
        <w:spacing w:after="114"/>
        <w:ind w:right="100"/>
      </w:pPr>
      <w:r>
        <w:t>2º.- El Factum Principios o disposición de carácter general que incide en la economía del contrato (ejemplo. aumento general de sa</w:t>
      </w:r>
      <w:r>
        <w:t xml:space="preserve">larios ordenado por el Estado). Su respuesta ha de ser la revisión de tarifas o el aumento de la subvención concedida. </w:t>
      </w:r>
    </w:p>
    <w:p w:rsidR="00EE0979" w:rsidRDefault="00B022A0">
      <w:pPr>
        <w:spacing w:after="105" w:line="259" w:lineRule="auto"/>
        <w:ind w:left="14" w:firstLine="0"/>
        <w:jc w:val="left"/>
      </w:pPr>
      <w:r>
        <w:t xml:space="preserve"> </w:t>
      </w:r>
      <w:r>
        <w:tab/>
        <w:t xml:space="preserve"> </w:t>
      </w:r>
    </w:p>
    <w:p w:rsidR="00EE0979" w:rsidRDefault="00B022A0">
      <w:pPr>
        <w:ind w:right="100"/>
      </w:pPr>
      <w:r>
        <w:t xml:space="preserve">3º.- </w:t>
      </w:r>
      <w:r>
        <w:t>Tª de la Imprevisión o Circunstancias Imprevisibles, a la que se refiere el artículo 127.2.2 b) del Reglamento de Servicios de las Corporaciones Locales, de 17 de junio de 1955, cuando sin mediar modificaciones en el servicio concurren circunstancias sobre</w:t>
      </w:r>
      <w:r>
        <w:t>venidas o imprevisibles que determinan la ruptura de la economía de la concesión. Por tanto, son causas ajenas e imprevisibles que exceden el riesgo normal de todo contrato, por lo que para restablecer el equilibrio sería necesario aumentar las tarifas o i</w:t>
      </w:r>
      <w:r>
        <w:t xml:space="preserve">ncrementar la subvención. </w:t>
      </w:r>
    </w:p>
    <w:p w:rsidR="00EE0979" w:rsidRDefault="00B022A0">
      <w:pPr>
        <w:spacing w:after="98" w:line="259" w:lineRule="auto"/>
        <w:ind w:left="14" w:firstLine="0"/>
        <w:jc w:val="left"/>
      </w:pPr>
      <w:r>
        <w:t xml:space="preserve"> </w:t>
      </w:r>
    </w:p>
    <w:p w:rsidR="00EE0979" w:rsidRDefault="00B022A0">
      <w:pPr>
        <w:spacing w:after="1" w:line="241" w:lineRule="auto"/>
        <w:ind w:left="9" w:hanging="10"/>
        <w:jc w:val="left"/>
      </w:pPr>
      <w:r>
        <w:rPr>
          <w:b/>
        </w:rPr>
        <w:t>B). - El artículo 46 del Pliego de Condiciones Facultativas Económico Administrativas y Jurídicas, relativo a la Revisión de Precios, dispone que para el año 2000 no se admitirá ninguna revisión de precios, siendo la primera re</w:t>
      </w:r>
      <w:r>
        <w:rPr>
          <w:b/>
        </w:rPr>
        <w:t>visión del ejercicio 2001. El tope máximo para cada revisión de precios, será el incremento que experimente el IPC en la Comunidad Autónoma de Canarias, en el año anterior, es decir el índice de revisión, será el resultante de diciembre a diciembre del año</w:t>
      </w:r>
      <w:r>
        <w:rPr>
          <w:b/>
        </w:rPr>
        <w:t xml:space="preserve"> precedente al de la revisión.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0"/>
      </w:pPr>
      <w:r>
        <w:t xml:space="preserve">Informe </w:t>
      </w:r>
    </w:p>
    <w:p w:rsidR="00EE0979" w:rsidRDefault="00B022A0">
      <w:pPr>
        <w:spacing w:after="0" w:line="259" w:lineRule="auto"/>
        <w:ind w:left="14" w:firstLine="0"/>
        <w:jc w:val="left"/>
      </w:pPr>
      <w:r>
        <w:t xml:space="preserve"> </w:t>
      </w:r>
    </w:p>
    <w:p w:rsidR="00EE0979" w:rsidRDefault="00B022A0">
      <w:pPr>
        <w:ind w:left="14" w:right="100" w:firstLine="708"/>
      </w:pPr>
      <w:r>
        <w:t>El Ayuntamiento de Candelaria, recibe mensualmente en la actualidad, facturas emitidas por la empresa URBASER SA, por importe, sin IGIC, de 205.636,49 Euros mensuales (220.031,04 Euros con IGIC del 7 %) y 2.467</w:t>
      </w:r>
      <w:r>
        <w:t xml:space="preserve">.637,87 Euros anuales (2.640.372,53 Euros con IGIC), conforme la última revisión de precios, aprobado por acuerdo plenario de fecha 27 de octubre de 2022.   </w:t>
      </w:r>
    </w:p>
    <w:p w:rsidR="00EE0979" w:rsidRDefault="00B022A0">
      <w:pPr>
        <w:spacing w:after="0" w:line="259" w:lineRule="auto"/>
        <w:ind w:left="722" w:firstLine="0"/>
        <w:jc w:val="left"/>
      </w:pPr>
      <w:r>
        <w:t xml:space="preserve"> </w:t>
      </w:r>
    </w:p>
    <w:p w:rsidR="00EE0979" w:rsidRDefault="00B022A0">
      <w:pPr>
        <w:ind w:left="14" w:right="100" w:firstLine="708"/>
      </w:pPr>
      <w:r>
        <w:t>Dado que el IPC Canario de diciembre de 2021 hasta diciembre de 2022 es del 5,8 %, nos da un can</w:t>
      </w:r>
      <w:r>
        <w:t>on mensual, de 217.563,41 Euros (232.792,85 Euros con IGIC) mensuales</w:t>
      </w:r>
      <w:r>
        <w:rPr>
          <w:b/>
        </w:rPr>
        <w:t xml:space="preserve"> </w:t>
      </w:r>
      <w:r>
        <w:t>en el 2023, lo cual representa un canon anual de 2.610.760,87 Euros (2.793.514,13 Euros con IGIC), lo cual supone 153.141,61 Euros anuales (12.761,80 Euros mensuales), más para el presen</w:t>
      </w:r>
      <w:r>
        <w:t xml:space="preserve">te ejercicio, incluido el IGIC correspondiente.  </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Considerando que existe consignación presupuestaria en las aplicaciones 163.00-227.00 y 162.10-227.00 del Presupuesto General para el ejercicio 2023 (RC 2.23.0.02807), para hacer frente a estas revisione</w:t>
      </w:r>
      <w:r>
        <w:t xml:space="preserve">s de precios.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 Por tanto, este Interventor, de acuerdo con el artículo 46 del Pliego de Condiciones Facultativas Económico Administrativas y Jurídicas, informa favorablemente la revisión de precios para el ejercicio 2023, para un canon anual, por la c</w:t>
      </w:r>
      <w:r>
        <w:t xml:space="preserve">antidad de DOS MILLONES SETECIENTOS </w:t>
      </w:r>
    </w:p>
    <w:p w:rsidR="00EE0979" w:rsidRDefault="00B022A0">
      <w:pPr>
        <w:ind w:right="100"/>
      </w:pPr>
      <w:r>
        <w:t xml:space="preserve">NOVENTA Y TRES MIL QUINIENTOS CATORCE EUROS CON TRECE CÉNTIMOS  </w:t>
      </w:r>
    </w:p>
    <w:p w:rsidR="00EE0979" w:rsidRDefault="00B022A0">
      <w:pPr>
        <w:ind w:right="100"/>
      </w:pPr>
      <w:r>
        <w:t xml:space="preserve">(2.793.514,13 Euros con IGIC), con efectos de 1 de enero de 2023, debiéndose reconocer una deuda con la empresa desde la factura de enero y siguientes presentadas, hasta la notificación del acuerdo plenario.”   </w:t>
      </w:r>
    </w:p>
    <w:p w:rsidR="00EE0979" w:rsidRDefault="00B022A0">
      <w:pPr>
        <w:spacing w:after="0" w:line="259" w:lineRule="auto"/>
        <w:ind w:left="590" w:firstLine="0"/>
        <w:jc w:val="left"/>
      </w:pPr>
      <w:r>
        <w:t xml:space="preserve"> </w:t>
      </w:r>
    </w:p>
    <w:p w:rsidR="00EE0979" w:rsidRDefault="00B022A0">
      <w:pPr>
        <w:ind w:left="14" w:right="100" w:firstLine="708"/>
      </w:pPr>
      <w:r>
        <w:rPr>
          <w:b/>
        </w:rPr>
        <w:t>Considerando</w:t>
      </w:r>
      <w:r>
        <w:t xml:space="preserve"> lo previsto en el art. 46 del</w:t>
      </w:r>
      <w:r>
        <w:t xml:space="preserve"> Pliego de Cláusulas Administrativas aprobado, que dice: “La fórmula de revisión de precios será propuesta por el licitador, de acuerdo a los siguientes aspectos:</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727" w:right="100"/>
      </w:pPr>
      <w:r>
        <w:t xml:space="preserve">1.- Por el año 2000 no se admitirá revisión de precios alguna. </w:t>
      </w:r>
    </w:p>
    <w:p w:rsidR="00EE0979" w:rsidRDefault="00B022A0">
      <w:pPr>
        <w:ind w:left="14" w:right="100" w:firstLine="708"/>
      </w:pPr>
      <w:r>
        <w:t xml:space="preserve">2.- No se podrá presentar </w:t>
      </w:r>
      <w:r>
        <w:t xml:space="preserve">revisión de precios alguna por el año 2000 y, la primera revisión de precios será la correspondiente al año 2001, la cual tendrá efectos del 1 de enero del citado año. </w:t>
      </w:r>
    </w:p>
    <w:p w:rsidR="00EE0979" w:rsidRDefault="00B022A0">
      <w:pPr>
        <w:ind w:left="14" w:right="100" w:firstLine="708"/>
      </w:pPr>
      <w:r>
        <w:t>3.- Solamente se presentará una revisión de precisos en cada año, por todos los concept</w:t>
      </w:r>
      <w:r>
        <w:t xml:space="preserve">os revisables del contrato, la cual tendrá efectos de aplicación desde el 1 de enero. </w:t>
      </w:r>
    </w:p>
    <w:p w:rsidR="00EE0979" w:rsidRDefault="00B022A0">
      <w:pPr>
        <w:ind w:left="14" w:right="100" w:firstLine="708"/>
      </w:pPr>
      <w:r>
        <w:t xml:space="preserve">4.- Si se opta por fórmula polinómica, ésta tendrá como máximo cuatro elementos: personal, combustibles y lubricantes, resto del costo y amortizaciones. </w:t>
      </w:r>
    </w:p>
    <w:p w:rsidR="00EE0979" w:rsidRDefault="00B022A0">
      <w:pPr>
        <w:ind w:left="14" w:right="100" w:firstLine="708"/>
      </w:pPr>
      <w:r>
        <w:t>5.- El tope máx</w:t>
      </w:r>
      <w:r>
        <w:t>imo para cada revisión de precios, será el mismo porcentaje de desviación o incremento, que experimente el IPC (Indice de precios al consumo) en la Comunidad Autónoma de Canarias, en el año anterior. Es decir, el Indice de revisión, será el resultante de d</w:t>
      </w:r>
      <w:r>
        <w:t xml:space="preserve">iciembre a diciembre del año precedente al de revisión. Por ejemplo, en la revisión de precios correspondiente al año 2001, de aplicación a partir del 1 de enero de dicho año, el índice de revisión será el de diciembre 1999 a diciembre de 2000. </w:t>
      </w:r>
    </w:p>
    <w:p w:rsidR="00EE0979" w:rsidRDefault="00B022A0">
      <w:pPr>
        <w:ind w:left="14" w:right="100" w:firstLine="708"/>
      </w:pPr>
      <w:r>
        <w:t xml:space="preserve">6.- </w:t>
      </w:r>
      <w:r>
        <w:t xml:space="preserve">El adjudicatario deberá solicitar y presentar las revisiones de precios, a principio de cada año.” </w:t>
      </w:r>
    </w:p>
    <w:p w:rsidR="00EE0979" w:rsidRDefault="00B022A0">
      <w:pPr>
        <w:spacing w:after="0" w:line="259" w:lineRule="auto"/>
        <w:ind w:left="722" w:firstLine="0"/>
        <w:jc w:val="left"/>
      </w:pPr>
      <w:r>
        <w:t xml:space="preserve"> </w:t>
      </w:r>
    </w:p>
    <w:p w:rsidR="00EE0979" w:rsidRDefault="00B022A0">
      <w:pPr>
        <w:ind w:left="14" w:right="100" w:firstLine="708"/>
      </w:pPr>
      <w:r>
        <w:rPr>
          <w:b/>
        </w:rPr>
        <w:t>Considerando</w:t>
      </w:r>
      <w:r>
        <w:t xml:space="preserve"> que el órgano competente para la aprobación de la revisión de precios es el Ayuntamiento Pleno.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722" w:firstLine="0"/>
        <w:jc w:val="left"/>
      </w:pPr>
      <w:r>
        <w:t xml:space="preserve"> </w:t>
      </w:r>
    </w:p>
    <w:p w:rsidR="00EE0979" w:rsidRDefault="00B022A0">
      <w:pPr>
        <w:ind w:right="100"/>
      </w:pPr>
      <w:r>
        <w:t xml:space="preserve"> </w:t>
      </w:r>
      <w:r>
        <w:tab/>
        <w:t xml:space="preserve">En base a los antecedentes de hecho </w:t>
      </w:r>
      <w:r>
        <w:t xml:space="preserve">y fundamentos de Derecho expuestos, se emite la siguiente, </w:t>
      </w:r>
    </w:p>
    <w:p w:rsidR="00EE0979" w:rsidRDefault="00B022A0">
      <w:pPr>
        <w:spacing w:after="0" w:line="259" w:lineRule="auto"/>
        <w:ind w:left="14" w:firstLine="0"/>
        <w:jc w:val="left"/>
      </w:pPr>
      <w:r>
        <w:t xml:space="preserve"> </w:t>
      </w:r>
    </w:p>
    <w:p w:rsidR="00EE0979" w:rsidRDefault="00B022A0">
      <w:pPr>
        <w:spacing w:after="0" w:line="259" w:lineRule="auto"/>
        <w:ind w:left="0" w:right="36" w:firstLine="0"/>
        <w:jc w:val="center"/>
      </w:pPr>
      <w:r>
        <w:rPr>
          <w:b/>
        </w:rPr>
        <w:t xml:space="preserve"> </w:t>
      </w:r>
    </w:p>
    <w:p w:rsidR="00EE0979" w:rsidRDefault="00B022A0">
      <w:pPr>
        <w:spacing w:after="0" w:line="259" w:lineRule="auto"/>
        <w:ind w:left="0" w:right="36" w:firstLine="0"/>
        <w:jc w:val="center"/>
      </w:pPr>
      <w:r>
        <w:rPr>
          <w:b/>
        </w:rPr>
        <w:t xml:space="preserve"> </w:t>
      </w:r>
    </w:p>
    <w:p w:rsidR="00EE0979" w:rsidRDefault="00B022A0">
      <w:pPr>
        <w:spacing w:after="0" w:line="259" w:lineRule="auto"/>
        <w:ind w:left="0" w:right="36" w:firstLine="0"/>
        <w:jc w:val="center"/>
      </w:pPr>
      <w:r>
        <w:rPr>
          <w:b/>
        </w:rPr>
        <w:t xml:space="preserve"> </w:t>
      </w:r>
    </w:p>
    <w:p w:rsidR="00EE0979" w:rsidRDefault="00B022A0">
      <w:pPr>
        <w:spacing w:after="3" w:line="265" w:lineRule="auto"/>
        <w:ind w:left="624" w:right="712" w:hanging="10"/>
        <w:jc w:val="center"/>
      </w:pPr>
      <w:r>
        <w:rPr>
          <w:b/>
        </w:rPr>
        <w:t xml:space="preserve">PROPUESTA DE RESOLUCIÓN: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rPr>
          <w:b/>
        </w:rPr>
        <w:t>1º</w:t>
      </w:r>
      <w:r>
        <w:t xml:space="preserve">.- Aprobar la revisión de precios para el ejercicio 2023, que nos da un canon mensual de 217.563,41 Euros (232.792,85 Euros con IGIC) mensuales en el 2023, </w:t>
      </w:r>
      <w:r>
        <w:t>lo cual representa un canon anual de 2.610.760,87 Euros (2.793.514,13 Euros con IGIC), lo cual supone 153.141,61 Euros anuales (12.761,80 Euros mensuales), más para el presente ejercicio, incluido el IGIC, correspondiente a la gestión del servicio de recog</w:t>
      </w:r>
      <w:r>
        <w:t>ida de residuos sólidos urbanos adjudicado a favor de la empresa “Urbaser, S.A.”, con cargo a las aplicaciones presupuestarias 16210.22700 y 16300.22700 (AD. 2.23.0.02956).</w:t>
      </w:r>
      <w:r>
        <w:rPr>
          <w:rFonts w:ascii="Times New Roman" w:eastAsia="Times New Roman" w:hAnsi="Times New Roman" w:cs="Times New Roman"/>
          <w:sz w:val="24"/>
        </w:rPr>
        <w:t xml:space="preserve"> </w:t>
      </w:r>
    </w:p>
    <w:p w:rsidR="00EE0979" w:rsidRDefault="00B022A0">
      <w:pPr>
        <w:spacing w:after="13" w:line="259" w:lineRule="auto"/>
        <w:ind w:left="722" w:firstLine="0"/>
        <w:jc w:val="left"/>
      </w:pPr>
      <w:r>
        <w:t xml:space="preserve"> </w:t>
      </w:r>
    </w:p>
    <w:p w:rsidR="00EE0979" w:rsidRDefault="00B022A0">
      <w:pPr>
        <w:ind w:left="14" w:right="100" w:firstLine="708"/>
      </w:pPr>
      <w:r>
        <w:rPr>
          <w:b/>
        </w:rPr>
        <w:t xml:space="preserve">2º.- </w:t>
      </w:r>
      <w:r>
        <w:t>Reconocer una deuda a favor de la empresa “Urbaser, SA” por importe de 51.0</w:t>
      </w:r>
      <w:r>
        <w:t xml:space="preserve">47,20 euros, correspondiente a la diferencia resultante de la actualización del canon del año 2023 y que no se ha reflejado en la facturación de las facturas emitidas durante los meses desde enero a abril, debiendo la empresa emitir factura por el importe </w:t>
      </w:r>
      <w:r>
        <w:t>reseñado para la tramitación de su abono por parte del Ayuntamiento.</w:t>
      </w:r>
      <w:r>
        <w:rPr>
          <w:rFonts w:ascii="Times New Roman" w:eastAsia="Times New Roman" w:hAnsi="Times New Roman" w:cs="Times New Roman"/>
          <w:sz w:val="24"/>
        </w:rPr>
        <w:t xml:space="preserve"> </w:t>
      </w:r>
    </w:p>
    <w:p w:rsidR="00EE0979" w:rsidRDefault="00B022A0">
      <w:pPr>
        <w:spacing w:after="16" w:line="259" w:lineRule="auto"/>
        <w:ind w:left="722" w:firstLine="0"/>
        <w:jc w:val="left"/>
      </w:pPr>
      <w:r>
        <w:t xml:space="preserve"> </w:t>
      </w:r>
    </w:p>
    <w:p w:rsidR="00EE0979" w:rsidRDefault="00B022A0">
      <w:pPr>
        <w:spacing w:after="222"/>
        <w:ind w:left="14" w:right="100" w:firstLine="708"/>
      </w:pPr>
      <w:r>
        <w:rPr>
          <w:b/>
        </w:rPr>
        <w:t xml:space="preserve">3º.- </w:t>
      </w:r>
      <w:r>
        <w:t>Notificar el acuerdo que se adopte a la empresa “Urbaser,S.A.”, así como a la Intervención de Fondos y a la Tesorería Municipal.”</w:t>
      </w:r>
      <w:r>
        <w:rPr>
          <w:rFonts w:ascii="Times New Roman" w:eastAsia="Times New Roman" w:hAnsi="Times New Roman" w:cs="Times New Roman"/>
          <w:sz w:val="24"/>
        </w:rPr>
        <w:t xml:space="preserve"> </w:t>
      </w:r>
      <w:r>
        <w:t xml:space="preserve"> </w:t>
      </w:r>
    </w:p>
    <w:p w:rsidR="00EE0979" w:rsidRDefault="00B022A0">
      <w:pPr>
        <w:spacing w:after="0" w:line="259" w:lineRule="auto"/>
        <w:ind w:left="10" w:firstLine="0"/>
        <w:jc w:val="left"/>
      </w:pPr>
      <w:r>
        <w:t xml:space="preserve"> </w:t>
      </w:r>
    </w:p>
    <w:p w:rsidR="00EE0979" w:rsidRDefault="00B022A0">
      <w:pPr>
        <w:spacing w:after="6"/>
        <w:ind w:right="99" w:hanging="10"/>
      </w:pPr>
      <w:r>
        <w:rPr>
          <w:b/>
        </w:rPr>
        <w:t xml:space="preserve">Consta en el expediente propuesta del Concejal delegado de Hacienda, D. Airam Pérez Chinea, de fecha 19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15" w:line="259" w:lineRule="auto"/>
        <w:ind w:left="14" w:firstLine="0"/>
        <w:jc w:val="left"/>
      </w:pPr>
      <w:r>
        <w:rPr>
          <w:b/>
        </w:rPr>
        <w:t xml:space="preserve"> </w:t>
      </w:r>
    </w:p>
    <w:p w:rsidR="00EE0979" w:rsidRDefault="00B022A0">
      <w:pPr>
        <w:pStyle w:val="Ttulo1"/>
        <w:numPr>
          <w:ilvl w:val="0"/>
          <w:numId w:val="0"/>
        </w:numPr>
        <w:ind w:left="624" w:right="711"/>
      </w:pPr>
      <w:r>
        <w:t xml:space="preserve">“PROPUESTA </w:t>
      </w:r>
    </w:p>
    <w:p w:rsidR="00EE0979" w:rsidRDefault="00B022A0">
      <w:pPr>
        <w:spacing w:after="0" w:line="259" w:lineRule="auto"/>
        <w:ind w:left="14" w:firstLine="0"/>
        <w:jc w:val="left"/>
      </w:pPr>
      <w:r>
        <w:t xml:space="preserve"> </w:t>
      </w:r>
    </w:p>
    <w:p w:rsidR="00EE0979" w:rsidRDefault="00B022A0">
      <w:pPr>
        <w:ind w:right="100"/>
      </w:pPr>
      <w:r>
        <w:t>El que suscribe, Concejal Delegado de Hacienda, Recursos Humanos, Empresas Muni</w:t>
      </w:r>
      <w:r>
        <w:t>cipales y Concesionarias del Ayuntamiento de la Villa de Candelaria, al amparo de lo dispuesto en el Reglamento de Organización, Funcionamiento y Régimen Jurídico de las Entidades Locales, así como en la Ley 7/1985, de 2 de abril, Reguladora de las Bases d</w:t>
      </w:r>
      <w:r>
        <w:t xml:space="preserve">e Régimen Local, tienen el honor de someter a la consideración del Ayuntamiento Pleno la siguiente propuesta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3"/>
        <w:ind w:left="624" w:right="2423"/>
      </w:pPr>
      <w:r>
        <w:t xml:space="preserve">                               “INFORME                             </w:t>
      </w:r>
      <w:r>
        <w:rPr>
          <w:b w:val="0"/>
        </w:rPr>
        <w:t xml:space="preserve"> </w:t>
      </w:r>
    </w:p>
    <w:p w:rsidR="00EE0979" w:rsidRDefault="00B022A0">
      <w:pPr>
        <w:spacing w:after="114"/>
        <w:ind w:right="99" w:hanging="10"/>
      </w:pPr>
      <w:r>
        <w:rPr>
          <w:b/>
        </w:rPr>
        <w:t>Visto el expediente antedicho, la funcionaria Mª del Pilar Chico Delgado</w:t>
      </w:r>
      <w:r>
        <w:rPr>
          <w:b/>
        </w:rPr>
        <w:t>, que desempeña el puesto de trabajo de técnico de adm.gral., conformado por el Secretario General, debidamente fiscalizado favorablemente por el Interventor municipal, emite el siguiente informe:</w:t>
      </w:r>
      <w:r>
        <w:t xml:space="preserve"> </w:t>
      </w:r>
    </w:p>
    <w:p w:rsidR="00EE0979" w:rsidRDefault="00B022A0">
      <w:pPr>
        <w:spacing w:after="95" w:line="259" w:lineRule="auto"/>
        <w:ind w:left="14" w:firstLine="0"/>
        <w:jc w:val="left"/>
      </w:pPr>
      <w:r>
        <w:t xml:space="preserve">  </w:t>
      </w:r>
    </w:p>
    <w:p w:rsidR="00EE0979" w:rsidRDefault="00B022A0">
      <w:pPr>
        <w:pStyle w:val="Ttulo1"/>
        <w:numPr>
          <w:ilvl w:val="0"/>
          <w:numId w:val="0"/>
        </w:numPr>
        <w:spacing w:after="97"/>
        <w:ind w:left="624" w:right="709"/>
      </w:pPr>
      <w:r>
        <w:t xml:space="preserve">Antecedentes de hecho </w:t>
      </w:r>
      <w:r>
        <w:rPr>
          <w:b w:val="0"/>
        </w:rPr>
        <w:t xml:space="preserve"> </w:t>
      </w:r>
    </w:p>
    <w:p w:rsidR="00EE0979" w:rsidRDefault="00B022A0">
      <w:pPr>
        <w:ind w:left="14" w:right="100" w:firstLine="708"/>
      </w:pPr>
      <w:r>
        <w:t xml:space="preserve"> </w:t>
      </w:r>
      <w:r>
        <w:t>Visto el escrito presentado por D. Eduardo Domínguez-Adame Bozzano, con N.I.F. ***9182**, en nombre y representación de URBASER SA, con CIF A-79524054, con registro de entrada nº 452 y de fecha 26 de enero de 2023, en el que solicita la revisión de precios</w:t>
      </w:r>
      <w:r>
        <w:t xml:space="preserve"> en el ejercicio 2023, con efectividad desde 1 de enero de 2023. </w:t>
      </w:r>
    </w:p>
    <w:p w:rsidR="00EE0979" w:rsidRDefault="00B022A0">
      <w:pPr>
        <w:spacing w:after="0" w:line="259" w:lineRule="auto"/>
        <w:ind w:left="14" w:firstLine="0"/>
        <w:jc w:val="left"/>
      </w:pPr>
      <w:r>
        <w:t xml:space="preserve"> </w:t>
      </w:r>
    </w:p>
    <w:p w:rsidR="00EE0979" w:rsidRDefault="00B022A0">
      <w:pPr>
        <w:ind w:left="14" w:right="100" w:firstLine="708"/>
      </w:pPr>
      <w:r>
        <w:rPr>
          <w:b/>
        </w:rPr>
        <w:t>Resultando</w:t>
      </w:r>
      <w:r>
        <w:t xml:space="preserve"> que por Acuerdo Plenario de fecha 29 de diciembre de 2000 se adjudicó a la empresa URBASER SA la gestión del servicio de Recogida de Residuos Sólidos urbanos, por un precio de 1</w:t>
      </w:r>
      <w:r>
        <w:t>.666.481,43, con un periodo de 10 años, pudiéndose prorrogar hasta un periodo de hasta cinco años, firmándose el contrato de adjudicación en febrero de 2001 e iniciándose la prestación del servicio el 1 de marzo de 2001.</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rPr>
          <w:b/>
        </w:rPr>
        <w:t>Resultando</w:t>
      </w:r>
      <w:r>
        <w:t xml:space="preserve"> que por Acuerdo Plena</w:t>
      </w:r>
      <w:r>
        <w:t>rio de fecha 24 de febrero de 2011, se acordó que por el principio de continuidad, la empresa Urbaser, S.A. como adjudicataria del servicio continuara prestando todos los servicios adjudicados hasta que el Ayuntamiento, en gestión directa o el nuevo conces</w:t>
      </w:r>
      <w:r>
        <w:t>ionario se haga cargo del mismo.</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ind w:left="14" w:right="100" w:firstLine="576"/>
      </w:pPr>
      <w:r>
        <w:rPr>
          <w:b/>
        </w:rPr>
        <w:t>Resultando</w:t>
      </w:r>
      <w:r>
        <w:t xml:space="preserve"> que consta informe favorable del Interventor Municipal de fecha 14 de abril de 2023, que dice: </w:t>
      </w:r>
      <w:r>
        <w:rPr>
          <w:rFonts w:ascii="Times New Roman" w:eastAsia="Times New Roman" w:hAnsi="Times New Roman" w:cs="Times New Roman"/>
          <w:sz w:val="24"/>
        </w:rPr>
        <w:t xml:space="preserve"> </w:t>
      </w:r>
    </w:p>
    <w:p w:rsidR="00EE0979" w:rsidRDefault="00B022A0">
      <w:pPr>
        <w:spacing w:after="17" w:line="259" w:lineRule="auto"/>
        <w:ind w:left="590" w:firstLine="0"/>
        <w:jc w:val="left"/>
      </w:pPr>
      <w:r>
        <w:t xml:space="preserve"> </w:t>
      </w:r>
    </w:p>
    <w:p w:rsidR="00EE0979" w:rsidRDefault="00B022A0">
      <w:pPr>
        <w:spacing w:after="3" w:line="265" w:lineRule="auto"/>
        <w:ind w:left="624" w:right="712" w:hanging="10"/>
        <w:jc w:val="center"/>
      </w:pPr>
      <w:r>
        <w:rPr>
          <w:b/>
        </w:rPr>
        <w:t xml:space="preserve">“INFORME DE INTERVENCIÓN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Asunto: Revisión de las Tarifas del ejercicio 2023 </w:t>
      </w:r>
    </w:p>
    <w:p w:rsidR="00EE0979" w:rsidRDefault="00B022A0">
      <w:pPr>
        <w:spacing w:after="3" w:line="265" w:lineRule="auto"/>
        <w:ind w:left="624" w:right="710" w:hanging="10"/>
        <w:jc w:val="center"/>
      </w:pPr>
      <w:r>
        <w:rPr>
          <w:b/>
        </w:rPr>
        <w:t xml:space="preserve"> de la Concesión del </w:t>
      </w:r>
      <w:r>
        <w:rPr>
          <w:b/>
        </w:rPr>
        <w:t>Servicios de Recogida de Residuos y Limpieza Viaria.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 w:line="241" w:lineRule="auto"/>
        <w:ind w:left="9" w:hanging="10"/>
        <w:jc w:val="left"/>
      </w:pPr>
      <w:r>
        <w:rPr>
          <w:b/>
        </w:rPr>
        <w:t xml:space="preserve"> </w:t>
      </w:r>
      <w:r>
        <w:rPr>
          <w:b/>
        </w:rPr>
        <w:tab/>
        <w:t>Visto los escritos presentados por D. Federico González Bueno, con N.I.F. ***9823**, en nombre y representación de URBASER SA, con CIF A-</w:t>
      </w:r>
      <w:r>
        <w:rPr>
          <w:b/>
        </w:rPr>
        <w:t xml:space="preserve">79524054, en la que solicita, revisión de precios del ejercicio 2023, con efectividad desde 1 de enero de 2023. </w:t>
      </w:r>
    </w:p>
    <w:p w:rsidR="00EE0979" w:rsidRDefault="00B022A0">
      <w:pPr>
        <w:spacing w:after="0" w:line="259" w:lineRule="auto"/>
        <w:ind w:left="14" w:firstLine="0"/>
        <w:jc w:val="left"/>
      </w:pPr>
      <w:r>
        <w:rPr>
          <w:b/>
        </w:rPr>
        <w:t xml:space="preserve"> </w:t>
      </w:r>
    </w:p>
    <w:p w:rsidR="00EE0979" w:rsidRDefault="00B022A0">
      <w:pPr>
        <w:pStyle w:val="Ttulo1"/>
        <w:numPr>
          <w:ilvl w:val="0"/>
          <w:numId w:val="0"/>
        </w:numPr>
        <w:ind w:left="624" w:right="710"/>
      </w:pPr>
      <w:r>
        <w:t xml:space="preserve">Antecedentes de Hecho </w:t>
      </w:r>
    </w:p>
    <w:p w:rsidR="00EE0979" w:rsidRDefault="00B022A0">
      <w:pPr>
        <w:spacing w:after="0" w:line="259" w:lineRule="auto"/>
        <w:ind w:left="14" w:firstLine="0"/>
        <w:jc w:val="left"/>
      </w:pPr>
      <w:r>
        <w:t xml:space="preserve"> </w:t>
      </w:r>
    </w:p>
    <w:p w:rsidR="00EE0979" w:rsidRDefault="00B022A0">
      <w:pPr>
        <w:spacing w:after="1" w:line="241" w:lineRule="auto"/>
        <w:ind w:left="-1" w:firstLine="708"/>
        <w:jc w:val="left"/>
      </w:pPr>
      <w:r>
        <w:rPr>
          <w:b/>
        </w:rPr>
        <w:t>Por Acuerdo Plenario de fecha 29 de diciembre de 2000 se adjudicó a la empresa URBASER SA la gestión del servicio de</w:t>
      </w:r>
      <w:r>
        <w:rPr>
          <w:b/>
        </w:rPr>
        <w:t xml:space="preserve"> Recogida de Residuos Sólidos urbanos,………, por un precio de 1.666.481,43, con un periodo de 10 años, pudiéndose prorrogar hasta un periodo de hasta cinco años, firmándose el contrato de adjudicación en febrero de 2001 e iniciándose la prestación del servic</w:t>
      </w:r>
      <w:r>
        <w:rPr>
          <w:b/>
        </w:rPr>
        <w:t xml:space="preserve">io el 1 de marzo de 2001.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Fundamentos de Derecho </w:t>
      </w:r>
    </w:p>
    <w:p w:rsidR="00EE0979" w:rsidRDefault="00B022A0">
      <w:pPr>
        <w:spacing w:after="0" w:line="259" w:lineRule="auto"/>
        <w:ind w:left="14" w:firstLine="0"/>
        <w:jc w:val="left"/>
      </w:pPr>
      <w:r>
        <w:t xml:space="preserve"> </w:t>
      </w:r>
    </w:p>
    <w:p w:rsidR="00EE0979" w:rsidRDefault="00B022A0">
      <w:pPr>
        <w:spacing w:after="113"/>
        <w:ind w:left="14" w:right="100" w:firstLine="708"/>
      </w:pPr>
      <w:r>
        <w:t>A).- Que la concesión  es una modalidad de gestión de servicios públicos en la que el empresario gestiona el servicio a su riesgo y ventura, pero que debe coordinarse con la exigencia del mantenimiento</w:t>
      </w:r>
      <w:r>
        <w:t xml:space="preserve"> del equilibrio financiero. En efecto, la exigencia del mantenimiento del equilibrio económico a lo largo de la vida de la concesión es sobre todo una técnica dirigida a satisfacer el interés público, esto es, a garantizar la continuidad del servicio y su </w:t>
      </w:r>
      <w:r>
        <w:t xml:space="preserve">prestación a nivel adecuado, que puede ponerse en peligro por una onerosidad sobrevenida, bien por hechos imputables a la Administración o bien por eventos imprevisibles ( artículos 126 y 127 del Reglamento de Servicios de las Corporaciones Locales, de 17 </w:t>
      </w:r>
      <w:r>
        <w:t>de junio de 1955 ). Por tanto rigen en la institución concesional el principio de remuneración suficiente( artículos 129.3 del Reglamento de Servicios de las Corporaciones Locales ), debiéndose incorporar en el Pliego de condiciones económicas, las previsi</w:t>
      </w:r>
      <w:r>
        <w:t>ones suficientes para que desde el inicio de la concesión, al concesionario perciba las cantidades precisas para que éste consiga los objetivos que establece el artículo 129 antes citado, esto es, amortizar durante el plazo de la concesión el costo del est</w:t>
      </w:r>
      <w:r>
        <w:t xml:space="preserve">ablecimiento del servicio, cubrir los gastos de explotación y lograr un margen normal de beneficio industrial. El problema radica en delimitar el alcance de este principio, pero ha de quedar constancia, en cualquier caso, a tenor de la jurisprudencia, que </w:t>
      </w:r>
      <w:r>
        <w:t xml:space="preserve">este principio está concebido como una técnica que tiene  por fin último asegurar el mantenimiento del servicio público en circunstancias anormales y conseguir igualmente el mantenimiento del principio de continuidad en la prestación del servicio.  </w:t>
      </w:r>
    </w:p>
    <w:p w:rsidR="00EE0979" w:rsidRDefault="00B022A0">
      <w:pPr>
        <w:spacing w:after="114"/>
        <w:ind w:right="100"/>
      </w:pPr>
      <w:r>
        <w:t xml:space="preserve">  El p</w:t>
      </w:r>
      <w:r>
        <w:t xml:space="preserve">rincipio de equilibrio económico que inspira la concesión en su desarrollo se logra a través de diversas técnicas que son la adecuada respuesta a las posibles modificaciones y circunstancias concurrentes durante la vida de la concesión: </w:t>
      </w:r>
    </w:p>
    <w:p w:rsidR="00EE0979" w:rsidRDefault="00B022A0">
      <w:pPr>
        <w:spacing w:after="111"/>
        <w:ind w:right="100"/>
      </w:pPr>
      <w:r>
        <w:t>1ª.-El Ius Variand</w:t>
      </w:r>
      <w:r>
        <w:t xml:space="preserve">i o derecho de la Administración a modificar el contrato, cuya respuesta es la compensación económica para restablecer la ecuación o equilibrio roto por una decisión puntual de la Administración (ejemplo: ordenar la ampliación del servicio). </w:t>
      </w:r>
    </w:p>
    <w:p w:rsidR="00EE0979" w:rsidRDefault="00B022A0">
      <w:pPr>
        <w:spacing w:after="98" w:line="259" w:lineRule="auto"/>
        <w:ind w:left="14" w:firstLine="0"/>
        <w:jc w:val="left"/>
      </w:pPr>
      <w:r>
        <w:t xml:space="preserve"> </w:t>
      </w:r>
    </w:p>
    <w:p w:rsidR="00EE0979" w:rsidRDefault="00B022A0">
      <w:pPr>
        <w:spacing w:after="114"/>
        <w:ind w:right="100"/>
      </w:pPr>
      <w:r>
        <w:t>2º.- El Fac</w:t>
      </w:r>
      <w:r>
        <w:t xml:space="preserve">tum Principios o disposición de carácter general que incide en la economía del contrato (ejemplo. aumento general de salarios ordenado por el Estado). Su respuesta ha de ser la revisión de tarifas o el aumento de la subvención concedida. </w:t>
      </w:r>
    </w:p>
    <w:p w:rsidR="00EE0979" w:rsidRDefault="00B022A0">
      <w:pPr>
        <w:spacing w:after="105" w:line="259" w:lineRule="auto"/>
        <w:ind w:left="14" w:firstLine="0"/>
        <w:jc w:val="left"/>
      </w:pPr>
      <w:r>
        <w:t xml:space="preserve"> </w:t>
      </w:r>
      <w:r>
        <w:tab/>
        <w:t xml:space="preserve"> </w:t>
      </w:r>
    </w:p>
    <w:p w:rsidR="00EE0979" w:rsidRDefault="00B022A0">
      <w:pPr>
        <w:spacing w:after="114"/>
        <w:ind w:right="100"/>
      </w:pPr>
      <w:r>
        <w:t xml:space="preserve">3º.- </w:t>
      </w:r>
      <w:r>
        <w:t>Tª de la Imprevisión o Circunstancias Imprevisibles, a la que se refiere el artículo 127.2.2 b) del Reglamento de Servicios de las Corporaciones Locales, de 17 de junio de 1955, cuando sin mediar modificaciones en el servicio concurren circunstancias sobre</w:t>
      </w:r>
      <w:r>
        <w:t>venidas o imprevisibles que determinan la ruptura de la economía de la concesión. Por tanto, son causas ajenas e imprevisibles que exceden el riesgo normal de todo contrato, por lo que para restablecer el equilibrio sería necesario aumentar las tarifas o i</w:t>
      </w:r>
      <w:r>
        <w:t xml:space="preserve">ncrementar la subvención. </w:t>
      </w:r>
    </w:p>
    <w:p w:rsidR="00EE0979" w:rsidRDefault="00B022A0">
      <w:pPr>
        <w:spacing w:after="96" w:line="259" w:lineRule="auto"/>
        <w:ind w:left="14" w:firstLine="0"/>
        <w:jc w:val="left"/>
      </w:pPr>
      <w:r>
        <w:t xml:space="preserve"> </w:t>
      </w:r>
    </w:p>
    <w:p w:rsidR="00EE0979" w:rsidRDefault="00B022A0">
      <w:pPr>
        <w:spacing w:after="1" w:line="241" w:lineRule="auto"/>
        <w:ind w:left="9" w:hanging="10"/>
        <w:jc w:val="left"/>
      </w:pPr>
      <w:r>
        <w:rPr>
          <w:b/>
        </w:rPr>
        <w:t>B). - El artículo 46 del Pliego de Condiciones Facultativas Económico Administrativas y Jurídicas, relativo a la Revisión de Precios, dispone que para el año 2000 no se admitirá ninguna revisión de precios, siendo la primera re</w:t>
      </w:r>
      <w:r>
        <w:rPr>
          <w:b/>
        </w:rPr>
        <w:t>visión del ejercicio 2001. El tope máximo para cada revisión de precios, será el incremento que experimente el IPC en la Comunidad Autónoma de Canarias, en el año anterior, es decir el índice de revisión, será el resultante de diciembre a diciembre del año</w:t>
      </w:r>
      <w:r>
        <w:rPr>
          <w:b/>
        </w:rPr>
        <w:t xml:space="preserve"> precedente al de la revisión.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0"/>
      </w:pPr>
      <w:r>
        <w:t xml:space="preserve">Informe </w:t>
      </w:r>
    </w:p>
    <w:p w:rsidR="00EE0979" w:rsidRDefault="00B022A0">
      <w:pPr>
        <w:spacing w:after="0" w:line="259" w:lineRule="auto"/>
        <w:ind w:left="14" w:firstLine="0"/>
        <w:jc w:val="left"/>
      </w:pPr>
      <w:r>
        <w:t xml:space="preserve"> </w:t>
      </w:r>
    </w:p>
    <w:p w:rsidR="00EE0979" w:rsidRDefault="00B022A0">
      <w:pPr>
        <w:ind w:left="14" w:right="100" w:firstLine="708"/>
      </w:pPr>
      <w:r>
        <w:t>El Ayuntamiento de Candelaria, recibe mensualmente en la actualidad, facturas emitidas por la empresa URBASER SA, por importe, sin IGIC, de 205.636,49 Euros mensuales (220.031,04 Euros con IGIC del 7 %) y 2.467</w:t>
      </w:r>
      <w:r>
        <w:t xml:space="preserve">.637,87 Euros anuales (2.640.372,53 Euros con IGIC), conforme la última revisión de precios, aprobado por acuerdo plenario de fecha 27 de octubre de 2022.   </w:t>
      </w:r>
    </w:p>
    <w:p w:rsidR="00EE0979" w:rsidRDefault="00B022A0">
      <w:pPr>
        <w:spacing w:after="0" w:line="259" w:lineRule="auto"/>
        <w:ind w:left="722" w:firstLine="0"/>
        <w:jc w:val="left"/>
      </w:pPr>
      <w:r>
        <w:t xml:space="preserve"> </w:t>
      </w:r>
    </w:p>
    <w:p w:rsidR="00EE0979" w:rsidRDefault="00B022A0">
      <w:pPr>
        <w:ind w:left="14" w:right="100" w:firstLine="708"/>
      </w:pPr>
      <w:r>
        <w:t>Dado que el IPC Canario de diciembre de 2021 hasta diciembre de 2022 es del 5,8 %, nos da un can</w:t>
      </w:r>
      <w:r>
        <w:t>on mensual, de 217.563,41 Euros (232.792,85 Euros con IGIC) mensuales</w:t>
      </w:r>
      <w:r>
        <w:rPr>
          <w:b/>
        </w:rPr>
        <w:t xml:space="preserve"> </w:t>
      </w:r>
      <w:r>
        <w:t>en el 2023, lo cual representa un canon anual de 2.610.760,87 Euros (2.793.514,13 Euros con IGIC), lo cual supone 153.141,61 Euros anuales (12.761,80 Euros mensuales), más para el presen</w:t>
      </w:r>
      <w:r>
        <w:t xml:space="preserve">te ejercicio, incluido el IGIC correspondiente.  </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Considerando que existe consignación presupuestaria en las aplicaciones 163.00-227.00 y 162.10-227.00 del Presupuesto General para el ejercicio 2023 (RC 2.23.0.02807), para hacer frente a estas revisione</w:t>
      </w:r>
      <w:r>
        <w:t xml:space="preserve">s de precios. </w:t>
      </w:r>
    </w:p>
    <w:p w:rsidR="00EE0979" w:rsidRDefault="00B022A0">
      <w:pPr>
        <w:spacing w:after="0" w:line="259" w:lineRule="auto"/>
        <w:ind w:left="722" w:firstLine="0"/>
        <w:jc w:val="left"/>
      </w:pPr>
      <w: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t xml:space="preserve"> Por tanto, este Interventor, de acuerdo con el artículo 46 del Pliego de Condiciones Facultativas Económico Administrativas y Jurídicas, informa favorablemente la revisión de precios para el ejercicio 2023, para un canon anual, por la c</w:t>
      </w:r>
      <w:r>
        <w:t xml:space="preserve">antidad de DOS MILLONES SETECIENTOS </w:t>
      </w:r>
    </w:p>
    <w:p w:rsidR="00EE0979" w:rsidRDefault="00B022A0">
      <w:pPr>
        <w:ind w:right="100"/>
      </w:pPr>
      <w:r>
        <w:t xml:space="preserve">NOVENTA Y TRES MIL QUINIENTOS CATORCE EUROS CON TRECE CÉNTIMOS  </w:t>
      </w:r>
    </w:p>
    <w:p w:rsidR="00EE0979" w:rsidRDefault="00B022A0">
      <w:pPr>
        <w:ind w:right="100"/>
      </w:pPr>
      <w:r>
        <w:t xml:space="preserve">(2.793.514,13 Euros con IGIC), con efectos de 1 de enero de 2023, debiéndose reconocer una deuda con la empresa desde la factura de enero y siguientes presentadas, hasta la notificación del acuerdo plenario.”   </w:t>
      </w:r>
    </w:p>
    <w:p w:rsidR="00EE0979" w:rsidRDefault="00B022A0">
      <w:pPr>
        <w:spacing w:after="0" w:line="259" w:lineRule="auto"/>
        <w:ind w:left="590" w:firstLine="0"/>
        <w:jc w:val="left"/>
      </w:pPr>
      <w:r>
        <w:t xml:space="preserve"> </w:t>
      </w:r>
    </w:p>
    <w:p w:rsidR="00EE0979" w:rsidRDefault="00B022A0">
      <w:pPr>
        <w:ind w:left="14" w:right="100" w:firstLine="708"/>
      </w:pPr>
      <w:r>
        <w:rPr>
          <w:b/>
        </w:rPr>
        <w:t>Considerando</w:t>
      </w:r>
      <w:r>
        <w:t xml:space="preserve"> lo previsto en el art. 46 del</w:t>
      </w:r>
      <w:r>
        <w:t xml:space="preserve"> Pliego de Cláusulas Administrativas aprobado, que dice: “La fórmula de revisión de precios será propuesta por el licitador, de acuerdo a los siguientes aspectos:</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727" w:right="100"/>
      </w:pPr>
      <w:r>
        <w:t xml:space="preserve">1.- Por el año 2000 no se admitirá revisión de precios alguna. </w:t>
      </w:r>
    </w:p>
    <w:p w:rsidR="00EE0979" w:rsidRDefault="00B022A0">
      <w:pPr>
        <w:ind w:left="14" w:right="100" w:firstLine="708"/>
      </w:pPr>
      <w:r>
        <w:t xml:space="preserve">2.- </w:t>
      </w:r>
      <w:r>
        <w:t xml:space="preserve">No se podrá presentar revisión de precios alguna por el año 2000 y, la primera revisión de precios será la correspondiente al año 2001, la cual tendrá efectos del 1 de enero del citado año. </w:t>
      </w:r>
    </w:p>
    <w:p w:rsidR="00EE0979" w:rsidRDefault="00B022A0">
      <w:pPr>
        <w:ind w:left="14" w:right="100" w:firstLine="708"/>
      </w:pPr>
      <w:r>
        <w:t>3.- Solamente se presentará una revisión de precisos en cada año,</w:t>
      </w:r>
      <w:r>
        <w:t xml:space="preserve"> por todos los conceptos revisables del contrato, la cual tendrá efectos de aplicación desde el 1 de enero. </w:t>
      </w:r>
    </w:p>
    <w:p w:rsidR="00EE0979" w:rsidRDefault="00B022A0">
      <w:pPr>
        <w:ind w:left="14" w:right="100" w:firstLine="708"/>
      </w:pPr>
      <w:r>
        <w:t>4.- Si se opta por fórmula polinómica, ésta tendrá como máximo cuatro elementos: personal, combustibles y lubricantes, resto del costo y amortizaci</w:t>
      </w:r>
      <w:r>
        <w:t xml:space="preserve">ones. </w:t>
      </w:r>
    </w:p>
    <w:p w:rsidR="00EE0979" w:rsidRDefault="00B022A0">
      <w:pPr>
        <w:ind w:left="14" w:right="100" w:firstLine="708"/>
      </w:pPr>
      <w:r>
        <w:t>5.- El tope máximo para cada revisión de precios, será el mismo porcentaje de desviación o incremento, que experimente el IPC (Indice de precios al consumo) en la Comunidad Autónoma de Canarias, en el año anterior. Es decir, el Indice de revisión, s</w:t>
      </w:r>
      <w:r>
        <w:t>erá el resultante de diciembre a diciembre del año precedente al de revisión. Por ejemplo, en la revisión de precios correspondiente al año 2001, de aplicación a partir del 1 de enero de dicho año, el índice de revisión será el de diciembre 1999 a diciembr</w:t>
      </w:r>
      <w:r>
        <w:t xml:space="preserve">e de 2000. </w:t>
      </w:r>
    </w:p>
    <w:p w:rsidR="00EE0979" w:rsidRDefault="00B022A0">
      <w:pPr>
        <w:ind w:left="14" w:right="100" w:firstLine="708"/>
      </w:pPr>
      <w:r>
        <w:t xml:space="preserve">6.- El adjudicatario deberá solicitar y presentar las revisiones de precios, a principio de cada año.” </w:t>
      </w:r>
    </w:p>
    <w:p w:rsidR="00EE0979" w:rsidRDefault="00B022A0">
      <w:pPr>
        <w:spacing w:after="0" w:line="259" w:lineRule="auto"/>
        <w:ind w:left="722" w:firstLine="0"/>
        <w:jc w:val="left"/>
      </w:pPr>
      <w:r>
        <w:t xml:space="preserve"> </w:t>
      </w:r>
    </w:p>
    <w:p w:rsidR="00EE0979" w:rsidRDefault="00B022A0">
      <w:pPr>
        <w:ind w:left="14" w:right="100" w:firstLine="708"/>
      </w:pPr>
      <w:r>
        <w:rPr>
          <w:b/>
        </w:rPr>
        <w:t>Considerando</w:t>
      </w:r>
      <w:r>
        <w:t xml:space="preserve"> que el órgano competente para la aprobación de la revisión de precios es el Ayuntamiento Pleno.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722" w:firstLine="0"/>
        <w:jc w:val="left"/>
      </w:pPr>
      <w:r>
        <w:t xml:space="preserve"> </w:t>
      </w:r>
    </w:p>
    <w:p w:rsidR="00EE0979" w:rsidRDefault="00B022A0">
      <w:pPr>
        <w:ind w:right="100"/>
      </w:pPr>
      <w:r>
        <w:t xml:space="preserve"> </w:t>
      </w:r>
      <w:r>
        <w:tab/>
        <w:t>En base a los antece</w:t>
      </w:r>
      <w:r>
        <w:t xml:space="preserve">dentes de hecho y fundamentos de Derecho expuestos, se emite la siguiente,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3" w:line="265" w:lineRule="auto"/>
        <w:ind w:left="624" w:right="712" w:hanging="10"/>
        <w:jc w:val="center"/>
      </w:pPr>
      <w:r>
        <w:rPr>
          <w:b/>
        </w:rPr>
        <w:t xml:space="preserve">PROPUESTA DE RESOLUCIÓN: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14" w:right="100" w:firstLine="708"/>
      </w:pPr>
      <w:r>
        <w:rPr>
          <w:b/>
        </w:rPr>
        <w:t>1º</w:t>
      </w:r>
      <w:r>
        <w:t xml:space="preserve">.- </w:t>
      </w:r>
      <w:r>
        <w:t>Aprobar la revisión de precios para el ejercicio 2023, que nos da un canon mensual de 217.563,41 Euros (232.792,85 Euros con IGIC) mensuales en el 2023, lo cual representa un canon anual de 2.610.760,87 Euros (2.793.514,13 Euros con IGIC), lo cual supone 1</w:t>
      </w:r>
      <w:r>
        <w:t>53.141,61 Euros anuales (12.761,80 Euros mensuales), más para el presente ejercicio, incluido el IGIC, correspondiente a la gestión del servicio de recogida de residuos sólidos urbanos adjudicado a favor de la empresa “Urbaser, S.A.”, con cargo a las aplic</w:t>
      </w:r>
      <w:r>
        <w:t>aciones presupuestarias 16210.22700 y 16300.22700 (AD. 2.23.0.02956).</w:t>
      </w:r>
      <w:r>
        <w:rPr>
          <w:rFonts w:ascii="Times New Roman" w:eastAsia="Times New Roman" w:hAnsi="Times New Roman" w:cs="Times New Roman"/>
          <w:sz w:val="24"/>
        </w:rPr>
        <w:t xml:space="preserve"> </w:t>
      </w:r>
    </w:p>
    <w:p w:rsidR="00EE0979" w:rsidRDefault="00B022A0">
      <w:pPr>
        <w:spacing w:after="15" w:line="259" w:lineRule="auto"/>
        <w:ind w:left="722" w:firstLine="0"/>
        <w:jc w:val="left"/>
      </w:pPr>
      <w:r>
        <w:t xml:space="preserve"> </w:t>
      </w:r>
    </w:p>
    <w:p w:rsidR="00EE0979" w:rsidRDefault="00B022A0">
      <w:pPr>
        <w:ind w:left="14" w:right="100" w:firstLine="708"/>
      </w:pPr>
      <w:r>
        <w:rPr>
          <w:b/>
        </w:rPr>
        <w:t xml:space="preserve">2º.- </w:t>
      </w:r>
      <w:r>
        <w:t>Reconocer una deuda a favor de la empresa “Urbaser, SA” por importe de 51.047,20 euros, correspondiente a la diferencia resultante de la actualización del canon del año 2023 y qu</w:t>
      </w:r>
      <w:r>
        <w:t>e no se ha reflejado en la facturación de las facturas emitidas durante los meses desde enero a abril, debiendo la empresa emitir factura por el importe reseñado para la tramitación de su abono por parte del Ayuntamiento.</w:t>
      </w:r>
      <w:r>
        <w:rPr>
          <w:rFonts w:ascii="Times New Roman" w:eastAsia="Times New Roman" w:hAnsi="Times New Roman" w:cs="Times New Roman"/>
          <w:sz w:val="24"/>
        </w:rPr>
        <w:t xml:space="preserve"> </w:t>
      </w:r>
    </w:p>
    <w:p w:rsidR="00EE0979" w:rsidRDefault="00B022A0">
      <w:pPr>
        <w:spacing w:after="13" w:line="259" w:lineRule="auto"/>
        <w:ind w:left="722" w:firstLine="0"/>
        <w:jc w:val="left"/>
      </w:pPr>
      <w:r>
        <w:t xml:space="preserve"> </w:t>
      </w:r>
    </w:p>
    <w:p w:rsidR="00EE0979" w:rsidRDefault="00B022A0">
      <w:pPr>
        <w:ind w:right="100"/>
      </w:pPr>
      <w:r>
        <w:rPr>
          <w:b/>
        </w:rPr>
        <w:t xml:space="preserve">3º.- </w:t>
      </w:r>
      <w:r>
        <w:t>Notificar el acuerdo que s</w:t>
      </w:r>
      <w:r>
        <w:t>e adopte a la empresa “Urbaser,S.A.”, así como a la Intervención de Fondos y a la Tesorería Municipal.”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En virtud de lo expuesto se somete al </w:t>
      </w:r>
      <w:r>
        <w:rPr>
          <w:b/>
        </w:rPr>
        <w:t>Pleno</w:t>
      </w:r>
      <w:r>
        <w:t xml:space="preserve"> la siguiente propuesta de acuerdo: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PROPUESTA DE ACUERDO </w:t>
      </w:r>
    </w:p>
    <w:p w:rsidR="00EE0979" w:rsidRDefault="00B022A0">
      <w:pPr>
        <w:spacing w:after="0" w:line="259" w:lineRule="auto"/>
        <w:ind w:left="14" w:firstLine="0"/>
        <w:jc w:val="left"/>
      </w:pPr>
      <w:r>
        <w:t xml:space="preserve"> </w:t>
      </w:r>
    </w:p>
    <w:p w:rsidR="00EE0979" w:rsidRDefault="00B022A0">
      <w:pPr>
        <w:ind w:right="100"/>
      </w:pPr>
      <w:r>
        <w:t xml:space="preserve">1º.- </w:t>
      </w:r>
      <w:r>
        <w:t>Aprobar la revisión de precios para el ejercicio 2023, que nos da un canon mensual de 217.563,41 Euros (232.792,85 Euros con IGIC) mensuales en el 2023, lo cual representa un canon anual de 2.610.760,87 Euros (2.793.514,13 Euros con IGIC), lo cual supone 1</w:t>
      </w:r>
      <w:r>
        <w:t>53.141,61 Euros anuales (12.761,80 Euros mensuales), más para el presente ejercicio, incluido el IGIC, correspondiente a la gestión del servicio de recogida de residuos sólidos urbanos adjudicado a favor de la empresa “Urbaser, S.A.”, con cargo a las aplic</w:t>
      </w:r>
      <w:r>
        <w:t xml:space="preserve">aciones presupuestarias 16210.22700 y 16300.22700 (AD. 2.23.0.02956).  </w:t>
      </w:r>
    </w:p>
    <w:p w:rsidR="00EE0979" w:rsidRDefault="00B022A0">
      <w:pPr>
        <w:spacing w:after="15" w:line="259" w:lineRule="auto"/>
        <w:ind w:left="14" w:firstLine="0"/>
        <w:jc w:val="left"/>
      </w:pPr>
      <w:r>
        <w:t xml:space="preserve"> </w:t>
      </w:r>
    </w:p>
    <w:p w:rsidR="00EE0979" w:rsidRDefault="00B022A0">
      <w:pPr>
        <w:ind w:right="100"/>
      </w:pPr>
      <w:r>
        <w:t>2º.- Reconocer una deuda a favor de la empresa “Urbaser, SA” por importe de 51.047,20 euros, correspondiente a la diferencia resultante de la actualización del canon del año 2023 y q</w:t>
      </w:r>
      <w:r>
        <w:t xml:space="preserve">ue no se ha reflejado en la facturación de las facturas emitidas durante los meses desde enero a abril, debiendo la empresa emitir factura por el importe reseñado para la tramitación de su abono por parte del Ayuntamiento.  </w:t>
      </w:r>
    </w:p>
    <w:p w:rsidR="00EE0979" w:rsidRDefault="00B022A0">
      <w:pPr>
        <w:spacing w:after="0" w:line="259" w:lineRule="auto"/>
        <w:ind w:left="14" w:firstLine="0"/>
        <w:jc w:val="left"/>
      </w:pPr>
      <w:r>
        <w:t xml:space="preserve"> </w:t>
      </w:r>
    </w:p>
    <w:p w:rsidR="00EE0979" w:rsidRDefault="00B022A0">
      <w:pPr>
        <w:spacing w:after="18" w:line="259" w:lineRule="auto"/>
        <w:ind w:left="14" w:firstLine="0"/>
        <w:jc w:val="left"/>
      </w:pPr>
      <w:r>
        <w:t xml:space="preserve"> </w:t>
      </w:r>
    </w:p>
    <w:p w:rsidR="00EE0979" w:rsidRDefault="00B022A0">
      <w:pPr>
        <w:ind w:right="100"/>
      </w:pPr>
      <w:r>
        <w:t>3º.- Notificar el acuerdo q</w:t>
      </w:r>
      <w:r>
        <w:t xml:space="preserve">ue se adopte a la empresa “Urbaser,S.A.”, así como a la Intervención de Fondos y a la Tesorería Municipal.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Votos a favor: 4.</w:t>
      </w: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Los 4 concejales del Grupo Socialista: Doña María Concepción Brito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t xml:space="preserve"> </w:t>
      </w:r>
    </w:p>
    <w:p w:rsidR="00EE0979" w:rsidRDefault="00B022A0">
      <w:pPr>
        <w:ind w:right="100"/>
      </w:pPr>
      <w:r>
        <w:t xml:space="preserve">Abstenciones: 3. </w:t>
      </w:r>
    </w:p>
    <w:p w:rsidR="00EE0979" w:rsidRDefault="00B022A0">
      <w:pPr>
        <w:spacing w:after="0" w:line="259" w:lineRule="auto"/>
        <w:ind w:left="14" w:firstLine="0"/>
        <w:jc w:val="left"/>
      </w:pPr>
      <w:r>
        <w:t xml:space="preserve"> </w:t>
      </w:r>
    </w:p>
    <w:p w:rsidR="00EE0979" w:rsidRDefault="00B022A0">
      <w:pPr>
        <w:ind w:right="100"/>
      </w:pPr>
      <w:r>
        <w:t>El concejal del Grupo Popular, D</w:t>
      </w:r>
      <w:r>
        <w:t xml:space="preserve">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17.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Hilaria Cecili</w:t>
      </w:r>
      <w:r>
        <w:t xml:space="preserve">a Otazo González, Don Airam Pérez Chinea, 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w:t>
      </w:r>
      <w:r>
        <w:t xml:space="preserve">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1"/>
        <w:ind w:right="100"/>
      </w:pPr>
      <w:r>
        <w:t xml:space="preserve">2 de los concejales del Grupo Mixto (CC-PNC): Doña Ángela Cruz Perera y Don Emilio Jesús Atiénzar Armas. </w:t>
      </w:r>
    </w:p>
    <w:p w:rsidR="00EE0979" w:rsidRDefault="00B022A0">
      <w:pPr>
        <w:ind w:right="100"/>
      </w:pPr>
      <w:r>
        <w:t>1 de la concejal del Grupo Mixto (VxC): Doña Alicia Mercedes M</w:t>
      </w:r>
      <w:r>
        <w:t xml:space="preserve">arrero Meneses.  </w:t>
      </w:r>
    </w:p>
    <w:p w:rsidR="00EE0979" w:rsidRDefault="00B022A0">
      <w:pPr>
        <w:spacing w:after="0" w:line="259" w:lineRule="auto"/>
        <w:ind w:left="14" w:firstLine="0"/>
        <w:jc w:val="left"/>
      </w:pPr>
      <w:r>
        <w:rPr>
          <w:b/>
        </w:rPr>
        <w:t xml:space="preserve"> </w:t>
      </w:r>
    </w:p>
    <w:p w:rsidR="00EE0979" w:rsidRDefault="00B022A0">
      <w:pPr>
        <w:ind w:right="100"/>
      </w:pPr>
      <w:r>
        <w:t xml:space="preserve">Votos en contra: 1. </w:t>
      </w:r>
    </w:p>
    <w:p w:rsidR="00EE0979" w:rsidRDefault="00B022A0">
      <w:pPr>
        <w:spacing w:after="0" w:line="259" w:lineRule="auto"/>
        <w:ind w:left="14" w:firstLine="0"/>
        <w:jc w:val="left"/>
      </w:pPr>
      <w:r>
        <w:rPr>
          <w:b/>
        </w:rPr>
        <w:t xml:space="preserve">  </w:t>
      </w:r>
    </w:p>
    <w:p w:rsidR="00EE0979" w:rsidRDefault="00B022A0">
      <w:pPr>
        <w:ind w:right="100"/>
      </w:pPr>
      <w:r>
        <w:t>1 de 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Abstenciones: 0.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3" w:line="265" w:lineRule="auto"/>
        <w:ind w:left="624" w:right="712" w:hanging="10"/>
        <w:jc w:val="center"/>
      </w:pPr>
      <w:r>
        <w:rPr>
          <w:b/>
        </w:rPr>
        <w:t xml:space="preserve">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1º.- </w:t>
      </w:r>
      <w:r>
        <w:rPr>
          <w:b/>
        </w:rPr>
        <w:t>Aprobar la revisión de precios para el ejercicio 2023, que nos da un canon mensual de 217.563,41 Euros (232.792,85 Euros con IGIC) mensuales en el 2023, lo cual representa un canon anual de 2.610.760,87 Euros (2.793.514,13 Euros con IGIC), lo cual supone 1</w:t>
      </w:r>
      <w:r>
        <w:rPr>
          <w:b/>
        </w:rPr>
        <w:t>53.141,61 Euros anuales (12.761,80 Euros mensuales), más para el presente ejercicio, incluido el IGIC, correspondiente a la gestión del servicio de recogida de residuos sólidos urbanos adjudicado a favor de la empresa “Urbaser, S.A.”, con cargo a las aplic</w:t>
      </w:r>
      <w:r>
        <w:rPr>
          <w:b/>
        </w:rPr>
        <w:t xml:space="preserve">aciones presupuestarias 16210.22700 y 16300.22700 (AD. 2.23.0.02956).  </w:t>
      </w:r>
    </w:p>
    <w:p w:rsidR="00EE0979" w:rsidRDefault="00B022A0">
      <w:pPr>
        <w:spacing w:after="15" w:line="259" w:lineRule="auto"/>
        <w:ind w:left="14" w:firstLine="0"/>
        <w:jc w:val="left"/>
      </w:pPr>
      <w:r>
        <w:rPr>
          <w:b/>
        </w:rPr>
        <w:t xml:space="preserve"> </w:t>
      </w:r>
    </w:p>
    <w:p w:rsidR="00EE0979" w:rsidRDefault="00B022A0">
      <w:pPr>
        <w:spacing w:after="6"/>
        <w:ind w:right="99" w:hanging="10"/>
      </w:pPr>
      <w:r>
        <w:rPr>
          <w:b/>
        </w:rPr>
        <w:t>2º.- Reconocer una deuda a favor de la empresa “Urbaser, SA” por importe de 51.047,20 euros, correspondiente a la diferencia resultante de la actualización del canon del año 2023 y q</w:t>
      </w:r>
      <w:r>
        <w:rPr>
          <w:b/>
        </w:rPr>
        <w:t xml:space="preserve">ue no se ha reflejado en la facturación de las facturas emitidas durante los meses desde enero a abril, debiendo la empresa emitir factura por el importe reseñado para la tramitación de su abono por parte del Ayuntamiento.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3º.- Notificar el acuerdo que</w:t>
      </w:r>
      <w:r>
        <w:rPr>
          <w:b/>
        </w:rPr>
        <w:t xml:space="preserve"> se adopte a la empresa “Urbaser,S.A.”, así como a la Intervención de Fondos y a la Tesorería Municipal.</w:t>
      </w:r>
      <w:r>
        <w:rPr>
          <w:rFonts w:ascii="Times New Roman" w:eastAsia="Times New Roman" w:hAnsi="Times New Roman" w:cs="Times New Roman"/>
          <w:sz w:val="24"/>
        </w:rPr>
        <w:t xml:space="preserve"> </w:t>
      </w:r>
    </w:p>
    <w:p w:rsidR="00EE0979" w:rsidRDefault="00B022A0">
      <w:pPr>
        <w:spacing w:after="1" w:line="425" w:lineRule="auto"/>
        <w:ind w:left="14" w:right="9614" w:firstLine="0"/>
        <w:jc w:val="left"/>
      </w:pPr>
      <w:r>
        <w:rPr>
          <w:i/>
          <w:color w:val="222222"/>
        </w:rPr>
        <w:t xml:space="preserve">     </w:t>
      </w:r>
    </w:p>
    <w:p w:rsidR="00EE0979" w:rsidRDefault="00B022A0">
      <w:pPr>
        <w:spacing w:after="127" w:line="259" w:lineRule="auto"/>
        <w:ind w:left="14" w:firstLine="0"/>
        <w:jc w:val="left"/>
      </w:pPr>
      <w:r>
        <w:rPr>
          <w:i/>
          <w:color w:val="222222"/>
        </w:rPr>
        <w:t xml:space="preserve"> </w:t>
      </w:r>
    </w:p>
    <w:p w:rsidR="00EE0979" w:rsidRDefault="00B022A0">
      <w:pPr>
        <w:spacing w:after="100" w:line="259" w:lineRule="auto"/>
        <w:ind w:left="14" w:firstLine="0"/>
        <w:jc w:val="left"/>
      </w:pPr>
      <w:r>
        <w:rPr>
          <w:b/>
        </w:rPr>
        <w:t xml:space="preserve"> </w:t>
      </w:r>
    </w:p>
    <w:p w:rsidR="00EE0979" w:rsidRDefault="00B022A0">
      <w:pPr>
        <w:spacing w:after="98" w:line="259" w:lineRule="auto"/>
        <w:ind w:left="14" w:firstLine="0"/>
        <w:jc w:val="left"/>
      </w:pPr>
      <w:r>
        <w:rPr>
          <w:b/>
        </w:rPr>
        <w:t xml:space="preserve"> </w:t>
      </w:r>
    </w:p>
    <w:p w:rsidR="00EE0979" w:rsidRDefault="00B022A0">
      <w:pPr>
        <w:spacing w:after="10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100" w:line="259" w:lineRule="auto"/>
        <w:ind w:left="14" w:firstLine="0"/>
        <w:jc w:val="left"/>
      </w:pPr>
      <w:r>
        <w:rPr>
          <w:b/>
        </w:rPr>
        <w:t xml:space="preserve"> </w:t>
      </w:r>
    </w:p>
    <w:p w:rsidR="00EE0979" w:rsidRDefault="00B022A0">
      <w:pPr>
        <w:spacing w:after="118" w:line="259" w:lineRule="auto"/>
        <w:ind w:left="14" w:firstLine="0"/>
        <w:jc w:val="left"/>
      </w:pPr>
      <w:r>
        <w:rPr>
          <w:b/>
        </w:rPr>
        <w:t xml:space="preserve"> </w:t>
      </w:r>
    </w:p>
    <w:p w:rsidR="00EE0979" w:rsidRDefault="00B022A0">
      <w:pPr>
        <w:spacing w:after="91" w:line="250" w:lineRule="auto"/>
        <w:ind w:left="9" w:right="102" w:hanging="10"/>
      </w:pPr>
      <w:r>
        <w:rPr>
          <w:b/>
        </w:rPr>
        <w:t xml:space="preserve">7.-  </w:t>
      </w:r>
      <w:r>
        <w:rPr>
          <w:b/>
          <w:sz w:val="24"/>
        </w:rPr>
        <w:t>Propuesta del Concejal delegado de Hacienda al Pleno con fecha 19 de abril de 2023 de expediente de modificación presupuestaria nº 4029/2023 por una cantidad total de 4.223.072,19 euros.</w:t>
      </w: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 xml:space="preserve">    Consta en el expediente propuesta del Concejal delegado de Hac</w:t>
      </w:r>
      <w:r>
        <w:rPr>
          <w:b/>
        </w:rPr>
        <w:t xml:space="preserve">ienda, D. Airam Pérez Chinea, de fecha 19 de abril de 2023, que transcrito literalmente dice: </w:t>
      </w:r>
    </w:p>
    <w:p w:rsidR="00EE0979" w:rsidRDefault="00B022A0">
      <w:pPr>
        <w:spacing w:after="0" w:line="259" w:lineRule="auto"/>
        <w:ind w:left="14" w:firstLine="0"/>
        <w:jc w:val="left"/>
      </w:pPr>
      <w:r>
        <w:rPr>
          <w:b/>
        </w:rPr>
        <w:t xml:space="preserve"> </w:t>
      </w:r>
    </w:p>
    <w:p w:rsidR="00EE0979" w:rsidRDefault="00B022A0">
      <w:pPr>
        <w:spacing w:after="133" w:line="259" w:lineRule="auto"/>
        <w:ind w:left="14" w:firstLine="0"/>
        <w:jc w:val="left"/>
      </w:pPr>
      <w:r>
        <w:rPr>
          <w:b/>
        </w:rPr>
        <w:t xml:space="preserve"> </w:t>
      </w:r>
    </w:p>
    <w:p w:rsidR="00EE0979" w:rsidRDefault="00B022A0">
      <w:pPr>
        <w:spacing w:after="119"/>
        <w:ind w:left="14" w:right="100" w:firstLine="708"/>
      </w:pPr>
      <w:r>
        <w:t xml:space="preserve">“Dado expediente </w:t>
      </w:r>
      <w:r>
        <w:rPr>
          <w:b/>
        </w:rPr>
        <w:t>4029/2023 de Créditos Extraordinarios</w:t>
      </w:r>
      <w:r>
        <w:t>, y visto informe de la Intervención General que se transcribe a continuación:</w:t>
      </w:r>
      <w:r>
        <w:rPr>
          <w:rFonts w:ascii="Times New Roman" w:eastAsia="Times New Roman" w:hAnsi="Times New Roman" w:cs="Times New Roman"/>
          <w:sz w:val="24"/>
        </w:rPr>
        <w:t xml:space="preserve"> </w:t>
      </w:r>
    </w:p>
    <w:p w:rsidR="00EE0979" w:rsidRDefault="00B022A0">
      <w:pPr>
        <w:spacing w:after="44"/>
        <w:ind w:left="14" w:right="100" w:firstLine="708"/>
      </w:pPr>
      <w:r>
        <w:t>“</w:t>
      </w:r>
      <w:r>
        <w:t>Vista la propuesta de la Alcaldesa, 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EE0979" w:rsidRDefault="00B022A0">
      <w:pPr>
        <w:spacing w:after="50" w:line="259" w:lineRule="auto"/>
        <w:ind w:left="722" w:firstLine="0"/>
        <w:jc w:val="left"/>
      </w:pPr>
      <w:r>
        <w:t xml:space="preserve">  </w:t>
      </w:r>
    </w:p>
    <w:p w:rsidR="00EE0979" w:rsidRDefault="00B022A0">
      <w:pPr>
        <w:spacing w:after="57"/>
        <w:ind w:left="14" w:right="100" w:firstLine="708"/>
      </w:pPr>
      <w:r>
        <w:t>“El Ayuntamiento de Candelaria necesita créditos extraordinarios a l</w:t>
      </w:r>
      <w:r>
        <w:t>os consignados en el Presupuesto vigente para llevar a cabo actuaciones de mejora de instalaciones e infraestructuras municipales con ocasión de la ejecución de los proyectos siguientes, según memorias-propuestas presentadas:</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rPr>
          <w:rFonts w:ascii="Times New Roman" w:eastAsia="Times New Roman" w:hAnsi="Times New Roman" w:cs="Times New Roman"/>
          <w:sz w:val="24"/>
        </w:rPr>
        <w:t xml:space="preserve"> </w:t>
      </w:r>
    </w:p>
    <w:tbl>
      <w:tblPr>
        <w:tblStyle w:val="TableGrid"/>
        <w:tblW w:w="8822" w:type="dxa"/>
        <w:tblInd w:w="94" w:type="dxa"/>
        <w:tblCellMar>
          <w:top w:w="9" w:type="dxa"/>
          <w:left w:w="70" w:type="dxa"/>
          <w:bottom w:w="0" w:type="dxa"/>
          <w:right w:w="8" w:type="dxa"/>
        </w:tblCellMar>
        <w:tblLook w:val="04A0" w:firstRow="1" w:lastRow="0" w:firstColumn="1" w:lastColumn="0" w:noHBand="0" w:noVBand="1"/>
      </w:tblPr>
      <w:tblGrid>
        <w:gridCol w:w="7398"/>
        <w:gridCol w:w="1424"/>
      </w:tblGrid>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rPr>
              <w:t>Listados de Proyectos de la</w:t>
            </w:r>
            <w:r>
              <w:rPr>
                <w:b/>
              </w:rPr>
              <w:t xml:space="preserve">s Memorias Justificativas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rPr>
                <w:b/>
              </w:rPr>
              <w:t xml:space="preserve">Importes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Renovación Parque Infantil Punta Larga Multiaventura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120.395,75 </w:t>
            </w:r>
          </w:p>
        </w:tc>
      </w:tr>
      <w:tr w:rsidR="00EE0979">
        <w:trPr>
          <w:trHeight w:val="293"/>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Punto Recarga Vehículo Eléctrico en Avda. Marítima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4.577,99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t xml:space="preserve">Mantenimiento y reparación vallado, puertas de acceso y servicios asociados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12.198,00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Instalaciones Autoconsumo renovables sin almacenamiento (Fotovoltaicas) CEIP, Centros Culturales, Escuela Hostelería, Escuela Infantil y CERI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474.545,98 </w:t>
            </w:r>
          </w:p>
        </w:tc>
      </w:tr>
      <w:tr w:rsidR="00EE0979">
        <w:trPr>
          <w:trHeight w:val="517"/>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Proyecto de Eficiencia energética: Adquisición e Instalación de Farolas Fotovoltaicas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457.558,03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Asistencia Técnica especializada para gestionar la implementación del Plan de Acción Local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16.023,18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26" w:firstLine="0"/>
              <w:jc w:val="left"/>
            </w:pPr>
            <w:r>
              <w:t xml:space="preserve">Redacción proyecto de ejecución y dirección obra "Urbanismo táctico en el entorno escolar del CEIP Punta Larga"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15.782,50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Ejecución Proyecto Red Saneamiento del sector sur del núcleo de La Viuda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634.555,24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t xml:space="preserve">Dirección de obra y coordinación Seguridad y Salud Obra Ascensor Santa Ana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13.200,00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Dirección de obra y coordinación Seguridad y Salud Obra Mejora y Acondicionamiento Calles Amance y Manuel Sabina Coello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14.231,00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Servicios complementarios de Seguridad y Emergencia para el desarrollo de actividades, actos y eventos municipales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62.796,</w:t>
            </w:r>
            <w:r>
              <w:t xml:space="preserve">90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Proyecto para mejora de elementos e infraestructuras municipales: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right"/>
            </w:pPr>
            <w:r>
              <w:t xml:space="preserve">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Accesibilidad del Parque de Punta Larga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15.091,10 </w:t>
            </w:r>
          </w:p>
        </w:tc>
      </w:tr>
    </w:tbl>
    <w:p w:rsidR="00EE0979" w:rsidRDefault="00EE0979">
      <w:pPr>
        <w:spacing w:after="0" w:line="259" w:lineRule="auto"/>
        <w:ind w:left="-1404" w:right="774" w:firstLine="0"/>
        <w:jc w:val="left"/>
      </w:pPr>
    </w:p>
    <w:tbl>
      <w:tblPr>
        <w:tblStyle w:val="TableGrid"/>
        <w:tblW w:w="8822" w:type="dxa"/>
        <w:tblInd w:w="94" w:type="dxa"/>
        <w:tblCellMar>
          <w:top w:w="4" w:type="dxa"/>
          <w:left w:w="70" w:type="dxa"/>
          <w:bottom w:w="0" w:type="dxa"/>
          <w:right w:w="8" w:type="dxa"/>
        </w:tblCellMar>
        <w:tblLook w:val="04A0" w:firstRow="1" w:lastRow="0" w:firstColumn="1" w:lastColumn="0" w:noHBand="0" w:noVBand="1"/>
      </w:tblPr>
      <w:tblGrid>
        <w:gridCol w:w="7398"/>
        <w:gridCol w:w="1424"/>
      </w:tblGrid>
      <w:tr w:rsidR="00EE0979">
        <w:trPr>
          <w:trHeight w:val="259"/>
        </w:trPr>
        <w:tc>
          <w:tcPr>
            <w:tcW w:w="7398"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Accesibilidad de la Plaza de Barranco Hondo </w:t>
            </w:r>
          </w:p>
        </w:tc>
        <w:tc>
          <w:tcPr>
            <w:tcW w:w="1424"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3.835,95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Escaleras en la Playa La Hornilla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7.189,61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Marquesinas en la Estación de Guaguas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73.853,17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Rehabilitación de la plaza de la Capilla en Barranco Hondo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42.596,02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t xml:space="preserve">Reforma y Mejora de Instalaciones de Atención al público Edificio SS.Sociales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6.159,36 </w:t>
            </w:r>
          </w:p>
        </w:tc>
      </w:tr>
      <w:tr w:rsidR="00EE0979">
        <w:trPr>
          <w:trHeight w:val="517"/>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Formación y Asesoramiento en mejora de la calidad de establecimientos de restauración adheridos al Club de producto Local de Candelaria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15.836,00 </w:t>
            </w:r>
          </w:p>
        </w:tc>
      </w:tr>
      <w:tr w:rsidR="00EE0979">
        <w:trPr>
          <w:trHeight w:val="770"/>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1" w:firstLine="0"/>
              <w:jc w:val="left"/>
            </w:pPr>
            <w:r>
              <w:t xml:space="preserve">Planificación, organización, dirección y control del 6º Concurso regional de cocineros/as y reposteros/as de Canarias, junto con otros conceptos vinculados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13.268,00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Redacción Proyecto "Diseño de un modelo de Parklet para el </w:t>
            </w:r>
            <w:r>
              <w:t xml:space="preserve">dominio público del municipio de Candelaria"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14.766,00 </w:t>
            </w:r>
          </w:p>
        </w:tc>
      </w:tr>
      <w:tr w:rsidR="00EE0979">
        <w:trPr>
          <w:trHeight w:val="307"/>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Compra de Vehículos Municipales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682.320,08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Proyecto de Inversión de Mejora de puerta de Protección Civil y salida de emergencias Cine Viejo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9.837,83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Proyecto Inversión Asfaltado diversas áreas y zonas del municipio (Plan Asfaltado I)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773.640,00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Dotación de Ordenadores portátiles para la Sala de Informática del </w:t>
            </w:r>
          </w:p>
          <w:p w:rsidR="00EE0979" w:rsidRDefault="00B022A0">
            <w:pPr>
              <w:spacing w:after="0" w:line="259" w:lineRule="auto"/>
              <w:ind w:left="0" w:firstLine="0"/>
              <w:jc w:val="left"/>
            </w:pPr>
            <w:r>
              <w:t xml:space="preserve">CTCAN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18.504,49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Redacción proyecto de Reforma interior de Oficinas del Servicio de Ate</w:t>
            </w:r>
            <w:r>
              <w:t xml:space="preserve">nción Ciudadana (SAC) y Agencia Desarrollo Local (ADL)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12.781,15 </w:t>
            </w:r>
          </w:p>
        </w:tc>
      </w:tr>
      <w:tr w:rsidR="00EE0979">
        <w:trPr>
          <w:trHeight w:val="360"/>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Proyecto Extracción de Aire del taller de impresión digital del CTCAN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2.384,47 </w:t>
            </w:r>
          </w:p>
        </w:tc>
      </w:tr>
      <w:tr w:rsidR="00EE0979">
        <w:trPr>
          <w:trHeight w:val="295"/>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Equipamiento E. M. de ciclismo.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8.982,52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Equipamiento E. M. de tenis de mesa.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9.695,08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Equipamiento E .M. de fútbol.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9.852,23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Equipamiento E .M. de Triatlón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3.976,00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Maquinaria y elementos de fitness para gimnasio.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15.678,96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 de biosaludables para Gimnasios Urbanos.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14.322,05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Software de gestión para los marcadores deportivos.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4.900,00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Sustitución césped campo de fútbol 5 de Candelaria.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37.411,99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Reforma integral Vestuario campo de fútbol de B. Hondo.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40.933,92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cuarto de material en el pabellón de Punta Larga.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23.242,89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Implementación de altura para andamio de seguridad.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2.610,30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Adecuación de B.T. y Cerramiento de aluminio de cafetería del campo de fútbol de B.H.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27.681,02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Adecuación de B.T. de cafetería del terrero de lucha de Araya.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19.270,82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Zona de sombra en grada del campo de fútbol de B.H.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35.845,00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Mejora de las entradas de ventilación del Pabellón CEIP P.L.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2.300,50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Sustitución de pavimento del Pabellón del IES Punta Larga.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121.854,56 </w:t>
            </w:r>
          </w:p>
        </w:tc>
      </w:tr>
      <w:tr w:rsidR="00EE0979">
        <w:trPr>
          <w:trHeight w:val="310"/>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Suministros eléctricos temporales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16.050,00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Estudio e identificación de elementos, recursos y bienes patrimoniales de la costa de Candelaria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13.796,78 </w:t>
            </w:r>
          </w:p>
        </w:tc>
      </w:tr>
      <w:tr w:rsidR="00EE0979">
        <w:trPr>
          <w:trHeight w:val="516"/>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Diseño y redacción de proyecto técnico de construcción de zona de exterior del archivo municipal </w:t>
            </w:r>
          </w:p>
        </w:tc>
        <w:tc>
          <w:tcPr>
            <w:tcW w:w="1424" w:type="dxa"/>
            <w:tcBorders>
              <w:top w:val="single" w:sz="4" w:space="0" w:color="000000"/>
              <w:left w:val="single" w:sz="4" w:space="0" w:color="000000"/>
              <w:bottom w:val="single" w:sz="4" w:space="0" w:color="000000"/>
              <w:right w:val="single" w:sz="4" w:space="0" w:color="000000"/>
            </w:tcBorders>
            <w:vAlign w:val="center"/>
          </w:tcPr>
          <w:p w:rsidR="00EE0979" w:rsidRDefault="00B022A0">
            <w:pPr>
              <w:spacing w:after="0" w:line="259" w:lineRule="auto"/>
              <w:ind w:left="0" w:right="59" w:firstLine="0"/>
              <w:jc w:val="right"/>
            </w:pPr>
            <w:r>
              <w:t xml:space="preserve">6.955,00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 de equipos de aire acondicionado para espacios cultuales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15.729,00 </w:t>
            </w:r>
          </w:p>
        </w:tc>
      </w:tr>
      <w:tr w:rsidR="00EE0979">
        <w:trPr>
          <w:trHeight w:val="259"/>
        </w:trPr>
        <w:tc>
          <w:tcPr>
            <w:tcW w:w="7398"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Pantalla exterior cartelera Cine Viejo </w:t>
            </w:r>
          </w:p>
        </w:tc>
        <w:tc>
          <w:tcPr>
            <w:tcW w:w="1424"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23.302,03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reforma del escenario de la plaza de la Libertad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14.589,45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rehabilitación de la Plazoleta, vía del Cabildo, Igueste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8.761,96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rehabilitación de acera perimetral Plaza Dimas Coello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42.696,85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eficiencia energética del Cine Viejo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15.721,27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Obra de adecuación de instalaciones eléctricas en espacios públicos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27.828,74 </w:t>
            </w:r>
          </w:p>
        </w:tc>
      </w:tr>
      <w:tr w:rsidR="00EE0979">
        <w:trPr>
          <w:trHeight w:val="293"/>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 e instalación de estanterías móviles para el archivo municipal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39.816,95 </w:t>
            </w:r>
          </w:p>
        </w:tc>
      </w:tr>
      <w:tr w:rsidR="00EE0979">
        <w:trPr>
          <w:trHeight w:val="265"/>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Mobiliario para el archivo histórico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7.068,00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 de escenario para actos al aire libre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14.974,65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Material de mesas, sillas y carpas para actos públicos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8.694,66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Material para la caja escénica del cine viejo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13.014,41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Suministro y reparación instrumentos escuela municipal de música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12.318,80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Adquisición Escultura Alejandro Tosco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30.360,00 </w:t>
            </w:r>
          </w:p>
        </w:tc>
      </w:tr>
      <w:tr w:rsidR="00EE0979">
        <w:trPr>
          <w:trHeight w:val="262"/>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Busto Luisa Ruiz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t xml:space="preserve">14.908,00 </w:t>
            </w:r>
          </w:p>
        </w:tc>
      </w:tr>
      <w:tr w:rsidR="00EE0979">
        <w:trPr>
          <w:trHeight w:val="264"/>
        </w:trPr>
        <w:tc>
          <w:tcPr>
            <w:tcW w:w="739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rPr>
              <w:t xml:space="preserve">Total Importe </w:t>
            </w:r>
          </w:p>
        </w:tc>
        <w:tc>
          <w:tcPr>
            <w:tcW w:w="142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b/>
              </w:rPr>
              <w:t xml:space="preserve">4.223.072,19 </w:t>
            </w:r>
          </w:p>
        </w:tc>
      </w:tr>
    </w:tbl>
    <w:p w:rsidR="00EE0979" w:rsidRDefault="00B022A0">
      <w:pPr>
        <w:spacing w:after="75" w:line="259" w:lineRule="auto"/>
        <w:ind w:left="722" w:firstLine="0"/>
        <w:jc w:val="left"/>
      </w:pPr>
      <w:r>
        <w:rPr>
          <w:rFonts w:ascii="Times New Roman" w:eastAsia="Times New Roman" w:hAnsi="Times New Roman" w:cs="Times New Roman"/>
          <w:sz w:val="20"/>
        </w:rPr>
        <w:t xml:space="preserve"> </w:t>
      </w:r>
    </w:p>
    <w:p w:rsidR="00EE0979" w:rsidRDefault="00B022A0">
      <w:pPr>
        <w:spacing w:after="137"/>
        <w:ind w:left="14" w:right="100" w:firstLine="720"/>
      </w:pPr>
      <w:r>
        <w:t xml:space="preserve">Siendo un gasto específico y determinado ante la imposibilidad de demorarlo a ejercicios posteriores, y no habiendo crédito suficiente en las aplicaciónes presupuestarias. </w:t>
      </w:r>
    </w:p>
    <w:p w:rsidR="00EE0979" w:rsidRDefault="00B022A0">
      <w:pPr>
        <w:spacing w:after="136" w:line="259" w:lineRule="auto"/>
        <w:ind w:left="0" w:right="36" w:firstLine="0"/>
        <w:jc w:val="center"/>
      </w:pPr>
      <w:r>
        <w:rPr>
          <w:b/>
        </w:rPr>
        <w:t xml:space="preserve"> </w:t>
      </w:r>
    </w:p>
    <w:p w:rsidR="00EE0979" w:rsidRDefault="00B022A0">
      <w:pPr>
        <w:spacing w:after="95" w:line="265" w:lineRule="auto"/>
        <w:ind w:left="624" w:right="708" w:hanging="10"/>
        <w:jc w:val="center"/>
      </w:pPr>
      <w:r>
        <w:rPr>
          <w:b/>
        </w:rPr>
        <w:t>SE PROPONE:</w:t>
      </w:r>
      <w:r>
        <w:rPr>
          <w:rFonts w:ascii="Times New Roman" w:eastAsia="Times New Roman" w:hAnsi="Times New Roman" w:cs="Times New Roman"/>
          <w:sz w:val="24"/>
        </w:rPr>
        <w:t xml:space="preserve"> </w:t>
      </w:r>
    </w:p>
    <w:p w:rsidR="00EE0979" w:rsidRDefault="00B022A0">
      <w:pPr>
        <w:spacing w:after="116"/>
        <w:ind w:right="100"/>
      </w:pPr>
      <w:r>
        <w:t xml:space="preserve">Único: Tramitar expediente </w:t>
      </w:r>
      <w:r>
        <w:rPr>
          <w:b/>
        </w:rPr>
        <w:t>4029/2023</w:t>
      </w:r>
      <w:r>
        <w:t xml:space="preserve"> de modificación presupuestaria </w:t>
      </w:r>
      <w:r>
        <w:t xml:space="preserve">por </w:t>
      </w:r>
      <w:r>
        <w:rPr>
          <w:b/>
        </w:rPr>
        <w:t xml:space="preserve">Créditos extraordinarios </w:t>
      </w:r>
      <w:r>
        <w:t>financiado con Remanente de Tesorería para gastos generales, por una cantidad total de</w:t>
      </w:r>
      <w:r>
        <w:rPr>
          <w:b/>
        </w:rPr>
        <w:t xml:space="preserve"> 4.223.072,19 euros</w:t>
      </w:r>
      <w:r>
        <w:t xml:space="preserve">, de acuerdo al siguiente detalle: </w:t>
      </w:r>
    </w:p>
    <w:p w:rsidR="00EE0979" w:rsidRDefault="00B022A0">
      <w:pPr>
        <w:spacing w:after="105" w:line="259" w:lineRule="auto"/>
        <w:ind w:left="14" w:firstLine="0"/>
        <w:jc w:val="left"/>
      </w:pPr>
      <w:r>
        <w:t xml:space="preserve"> </w:t>
      </w:r>
    </w:p>
    <w:p w:rsidR="00EE0979" w:rsidRDefault="00B022A0">
      <w:pPr>
        <w:tabs>
          <w:tab w:val="center" w:pos="4797"/>
          <w:tab w:val="center" w:pos="8858"/>
        </w:tabs>
        <w:spacing w:after="32"/>
        <w:ind w:left="0" w:firstLine="0"/>
        <w:jc w:val="left"/>
      </w:pPr>
      <w:r>
        <w:t xml:space="preserve"> </w:t>
      </w:r>
      <w:r>
        <w:tab/>
        <w:t xml:space="preserve">Estado de gastos </w:t>
      </w:r>
      <w:r>
        <w:tab/>
        <w:t xml:space="preserve"> </w:t>
      </w:r>
    </w:p>
    <w:p w:rsidR="00EE0979" w:rsidRDefault="00B022A0">
      <w:pPr>
        <w:spacing w:after="0" w:line="259" w:lineRule="auto"/>
        <w:ind w:left="15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r>
        <w:tab/>
        <w:t xml:space="preserve"> </w:t>
      </w:r>
    </w:p>
    <w:tbl>
      <w:tblPr>
        <w:tblStyle w:val="TableGrid"/>
        <w:tblW w:w="9425" w:type="dxa"/>
        <w:tblInd w:w="85" w:type="dxa"/>
        <w:tblCellMar>
          <w:top w:w="5" w:type="dxa"/>
          <w:left w:w="68" w:type="dxa"/>
          <w:bottom w:w="6" w:type="dxa"/>
          <w:right w:w="12" w:type="dxa"/>
        </w:tblCellMar>
        <w:tblLook w:val="04A0" w:firstRow="1" w:lastRow="0" w:firstColumn="1" w:lastColumn="0" w:noHBand="0" w:noVBand="1"/>
      </w:tblPr>
      <w:tblGrid>
        <w:gridCol w:w="1325"/>
        <w:gridCol w:w="6792"/>
        <w:gridCol w:w="1308"/>
      </w:tblGrid>
      <w:tr w:rsidR="00EE0979">
        <w:trPr>
          <w:trHeight w:val="305"/>
        </w:trPr>
        <w:tc>
          <w:tcPr>
            <w:tcW w:w="8117"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1247" w:firstLine="0"/>
              <w:jc w:val="center"/>
            </w:pPr>
            <w:r>
              <w:rPr>
                <w:b/>
                <w:sz w:val="20"/>
              </w:rPr>
              <w:t xml:space="preserve">Proyecto de gasto P 23.3.35 </w:t>
            </w:r>
          </w:p>
        </w:tc>
        <w:tc>
          <w:tcPr>
            <w:tcW w:w="130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467"/>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81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1" w:firstLine="0"/>
              <w:jc w:val="center"/>
            </w:pPr>
            <w:r>
              <w:rPr>
                <w:b/>
                <w:sz w:val="20"/>
              </w:rPr>
              <w:t xml:space="preserve">DENOMINACIÓN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31" w:firstLine="0"/>
              <w:jc w:val="left"/>
            </w:pPr>
            <w:r>
              <w:rPr>
                <w:b/>
                <w:sz w:val="20"/>
              </w:rPr>
              <w:t xml:space="preserve">IMPORTE </w:t>
            </w:r>
          </w:p>
        </w:tc>
      </w:tr>
      <w:tr w:rsidR="00EE0979">
        <w:trPr>
          <w:trHeight w:val="273"/>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17100.62504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RENOVACION PARQUE INFANTIL PUNTA LARGA MULTIAVENTURA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120.395,75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15320,62300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PUNTO DE RECARGA VEHÍCULO ELECTRICO AVENIDA MARITIMA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4.577,99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41500.21001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MANTENIMINETO Y REPARACIÓN VALLADO Y SERVICIOS ASOCIADOS PUERTO PESQUERO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12.198,00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17000.62300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AUTOCONSUMO RENOVABLES SIN ALMACENAMIENTO (FOTOVOLTAICAS)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932.104,01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17000.22712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ASITENCIA TÉCNICA Y REDACCIÓN DE PROYECTOS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31.805,68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16000.60902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 DE SANEAMIENTO del sector sur del núcleo de La Viuda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634.555,24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15100.22716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DIRECCIÓN DE OBRA Y SEGURIDAD Y SALUD OBRA ASCNSOR Y CALLE AMANCE Y MANUEL SABINA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27.431,00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SERVICIOS COMPLEMENTARIOS SEGURIDAD Y EMERGENCIA EVENTOS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62.796,90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45900.61914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PROYECTOS PARA MEJORAS DE ELEMENTOS E INFRAESTRUCTURAS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142.565,85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23100.61900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REFORMA Y MEJORA INSTALACIONES DE ATENCIÓN AL PÚBLICO EDIFICIO SERVICIOS SOCIALES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6.159,36 </w:t>
            </w:r>
          </w:p>
        </w:tc>
      </w:tr>
      <w:tr w:rsidR="00EE0979">
        <w:trPr>
          <w:trHeight w:val="466"/>
        </w:trPr>
        <w:tc>
          <w:tcPr>
            <w:tcW w:w="1306" w:type="dxa"/>
            <w:tcBorders>
              <w:top w:val="nil"/>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43100.22713 </w:t>
            </w:r>
          </w:p>
        </w:tc>
        <w:tc>
          <w:tcPr>
            <w:tcW w:w="6811"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FORMACIÓN, ASESORAMIENTO, REDACCIÓN PROYECTO... "COMERCIO CANDELARIA" </w:t>
            </w:r>
          </w:p>
        </w:tc>
        <w:tc>
          <w:tcPr>
            <w:tcW w:w="1308" w:type="dxa"/>
            <w:tcBorders>
              <w:top w:val="nil"/>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43.870,00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92000.62400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VEHÍCULOS MUNICIPALES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682.320,08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MEJORA PUERTA PROTECCIÓN CIVIL Y SALIDA EMERGENCIAS CINE VIEJO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9.837,83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15320.61902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ASFALTADO DIVERSAS AREAS Y ZONAS MUNICIPIO (PLAN ASFALTADO 1)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773.640,00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49200.62601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ORDENADORES PARA SALA INFORMÁTICA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18.504,49 </w:t>
            </w:r>
          </w:p>
        </w:tc>
      </w:tr>
      <w:tr w:rsidR="00EE0979">
        <w:trPr>
          <w:trHeight w:val="469"/>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49200.22713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REDACCIÓN DE PROYECTO REFORMA INTERIOR OFICINAS SAC Y AEDL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12.781,15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49200.62302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EXTRACCIÓN AIRE DE TALLER IMPRESIÓN DIGITAL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2.384,47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34100.22613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EQUIPAMIENTO ESCUELAS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32.505,83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34100.62304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MAQUINARIA Y SUMINISTROS BIOSALUDABLES PARA GIMANSIOS URBANOS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30.001,01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34100.64100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SOFTWARE DE GESTIÓN MARCADORES DEPORTIVOS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4.900,00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34100.61912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OBRAS EN INSTALACIONES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311.151,00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33400,21301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INSTALACIONES ELECTRICAS TEMPORALES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16.050,00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REDACCIÓN DE ESTUDIOS Y DISEÑOS DE PROYECTOS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20.751,78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33400.62302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EQUIPOS DE AIRE ACONDICIONADO Y PANTALLAS INFORMATIVAS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39.031,03 </w:t>
            </w:r>
          </w:p>
        </w:tc>
      </w:tr>
      <w:tr w:rsidR="00EE0979">
        <w:trPr>
          <w:trHeight w:val="471"/>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33400.61903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OBRAS DE REFORMA Y REHABILITACION DE ESPACIOS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109.598,27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33400.62501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MOBILIARIO ARCHIVOS HISTÓRICO Y ACTOS CULTURALES, ENSERES Y ESCULTURAS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141.155,47 </w:t>
            </w:r>
          </w:p>
        </w:tc>
      </w:tr>
      <w:tr w:rsidR="00EE0979">
        <w:trPr>
          <w:trHeight w:val="269"/>
        </w:trPr>
        <w:tc>
          <w:tcPr>
            <w:tcW w:w="8117" w:type="dxa"/>
            <w:gridSpan w:val="2"/>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2" w:firstLine="0"/>
              <w:jc w:val="right"/>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b/>
                <w:sz w:val="20"/>
              </w:rPr>
              <w:t xml:space="preserve">4.223.072,19 </w:t>
            </w:r>
          </w:p>
        </w:tc>
      </w:tr>
    </w:tbl>
    <w:p w:rsidR="00EE0979" w:rsidRDefault="00B022A0">
      <w:pPr>
        <w:spacing w:after="20" w:line="259" w:lineRule="auto"/>
        <w:ind w:left="0" w:right="37" w:firstLine="0"/>
        <w:jc w:val="center"/>
      </w:pPr>
      <w:r>
        <w:rPr>
          <w:b/>
          <w:sz w:val="20"/>
        </w:rPr>
        <w:t xml:space="preserve"> </w:t>
      </w:r>
      <w:r>
        <w:rPr>
          <w:sz w:val="20"/>
        </w:rPr>
        <w:t xml:space="preserve"> </w:t>
      </w:r>
      <w:r>
        <w:rPr>
          <w:sz w:val="20"/>
        </w:rPr>
        <w:tab/>
        <w:t xml:space="preserve"> </w:t>
      </w:r>
    </w:p>
    <w:p w:rsidR="00EE0979" w:rsidRDefault="00B022A0">
      <w:pPr>
        <w:tabs>
          <w:tab w:val="center" w:pos="4796"/>
          <w:tab w:val="center" w:pos="8858"/>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9425" w:type="dxa"/>
        <w:tblInd w:w="85" w:type="dxa"/>
        <w:tblCellMar>
          <w:top w:w="6" w:type="dxa"/>
          <w:left w:w="0" w:type="dxa"/>
          <w:bottom w:w="9" w:type="dxa"/>
          <w:right w:w="12" w:type="dxa"/>
        </w:tblCellMar>
        <w:tblLook w:val="04A0" w:firstRow="1" w:lastRow="0" w:firstColumn="1" w:lastColumn="0" w:noHBand="0" w:noVBand="1"/>
      </w:tblPr>
      <w:tblGrid>
        <w:gridCol w:w="1306"/>
        <w:gridCol w:w="6093"/>
        <w:gridCol w:w="718"/>
        <w:gridCol w:w="1308"/>
      </w:tblGrid>
      <w:tr w:rsidR="00EE0979">
        <w:trPr>
          <w:trHeight w:val="468"/>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093"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25" w:firstLine="0"/>
              <w:jc w:val="center"/>
            </w:pPr>
            <w:r>
              <w:rPr>
                <w:b/>
                <w:sz w:val="20"/>
              </w:rPr>
              <w:t xml:space="preserve">DENOMINACIÓN </w:t>
            </w:r>
          </w:p>
        </w:tc>
        <w:tc>
          <w:tcPr>
            <w:tcW w:w="71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99" w:firstLine="0"/>
              <w:jc w:val="left"/>
            </w:pPr>
            <w:r>
              <w:rPr>
                <w:b/>
                <w:sz w:val="20"/>
              </w:rPr>
              <w:t xml:space="preserve">IMPORTE </w:t>
            </w:r>
          </w:p>
        </w:tc>
      </w:tr>
      <w:tr w:rsidR="00EE0979">
        <w:trPr>
          <w:trHeight w:val="270"/>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sz w:val="20"/>
              </w:rPr>
              <w:t xml:space="preserve">87000 </w:t>
            </w:r>
          </w:p>
        </w:tc>
        <w:tc>
          <w:tcPr>
            <w:tcW w:w="6093"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REMANENTE DE TESORERIA PARA GASTOS GENERALES  </w:t>
            </w:r>
          </w:p>
        </w:tc>
        <w:tc>
          <w:tcPr>
            <w:tcW w:w="718"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sz w:val="20"/>
              </w:rPr>
              <w:t xml:space="preserve">4.223.071,67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b/>
                <w:sz w:val="20"/>
              </w:rPr>
              <w:t xml:space="preserve">  </w:t>
            </w:r>
          </w:p>
        </w:tc>
        <w:tc>
          <w:tcPr>
            <w:tcW w:w="6093"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8"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b/>
                <w:sz w:val="20"/>
              </w:rPr>
              <w:t xml:space="preserve">4.223.072,19 </w:t>
            </w:r>
          </w:p>
        </w:tc>
      </w:tr>
    </w:tbl>
    <w:p w:rsidR="00EE0979" w:rsidRDefault="00B022A0">
      <w:pPr>
        <w:spacing w:after="137" w:line="259" w:lineRule="auto"/>
        <w:ind w:left="722" w:firstLine="0"/>
        <w:jc w:val="left"/>
      </w:pPr>
      <w:r>
        <w:rPr>
          <w:rFonts w:ascii="Times New Roman" w:eastAsia="Times New Roman" w:hAnsi="Times New Roman" w:cs="Times New Roman"/>
          <w:sz w:val="24"/>
        </w:rPr>
        <w:t xml:space="preserve"> </w:t>
      </w:r>
    </w:p>
    <w:p w:rsidR="00EE0979" w:rsidRDefault="00B022A0">
      <w:pPr>
        <w:spacing w:after="163"/>
        <w:ind w:left="14" w:right="100"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EE0979" w:rsidRDefault="00B022A0">
      <w:pPr>
        <w:spacing w:after="34"/>
        <w:ind w:right="100"/>
      </w:pPr>
      <w:r>
        <w:rPr>
          <w:b/>
        </w:rPr>
        <w:t xml:space="preserve">PRIMERO. </w:t>
      </w:r>
      <w:r>
        <w:t>Visto Acuerdo del Congreso de los Diputados del 22 de se</w:t>
      </w:r>
      <w:r>
        <w:t>ptiembre de 2022 por el que el Congreso de los Diputados, a petición del Gobierno, ha respaldado que en España se mantienen las condiciones de excepcionalidad que aconsejan y justifican mantener la suspensión de las reglas fiscales, en línea con la recomen</w:t>
      </w:r>
      <w:r>
        <w:t>dación de la Comisión Europea, que también ha decidido extender la cláusula de salvaguarda del Pacto de Estabilidad y Crecimiento ante la crisis desatada por el encarecimiento de precios derivados de la invasión rusa de Ucrania.</w:t>
      </w:r>
      <w:r>
        <w:rPr>
          <w:sz w:val="24"/>
        </w:rPr>
        <w:t xml:space="preserve"> </w:t>
      </w:r>
    </w:p>
    <w:p w:rsidR="00EE0979" w:rsidRDefault="00B022A0">
      <w:pPr>
        <w:spacing w:after="40"/>
        <w:ind w:right="100"/>
      </w:pPr>
      <w:r>
        <w:t xml:space="preserve"> Atendiendo al acuerdo del</w:t>
      </w:r>
      <w:r>
        <w:t xml:space="preserve"> Consejo de Ministros de 26 de julio de 2022, mediante el que se acuerda: “</w:t>
      </w:r>
      <w:r>
        <w:rPr>
          <w:b/>
        </w:rPr>
        <w:t xml:space="preserve">Suspensión de las reglas fiscales: </w:t>
      </w:r>
      <w:r>
        <w:t xml:space="preserve">El acuerdo de Consejo de Ministros también incluye el mantenimiento de la suspensión de las reglas fiscales. Una medida que ya se ha realizado en </w:t>
      </w:r>
      <w:r>
        <w:t xml:space="preserve">años anteriores y va en línea con la decisión de la Comisión Europea de mantener la cláusula de salvaguarda del Pacto de Estabilidad y Crecimiento también para 2023. Esto permite dotar a los países de mayor flexibilidad para afrontar la crisis derivada de </w:t>
      </w:r>
      <w:r>
        <w:t xml:space="preserve">la invasión de Ucrania. </w:t>
      </w:r>
      <w:r>
        <w:rPr>
          <w:rFonts w:ascii="Times New Roman" w:eastAsia="Times New Roman" w:hAnsi="Times New Roman" w:cs="Times New Roman"/>
          <w:sz w:val="24"/>
        </w:rPr>
        <w:t xml:space="preserve"> </w:t>
      </w:r>
    </w:p>
    <w:p w:rsidR="00EE0979" w:rsidRDefault="00B022A0">
      <w:pPr>
        <w:ind w:right="100"/>
      </w:pPr>
      <w:r>
        <w:t xml:space="preserve">Por tanto, el Gobierno solicitará de nuevo al Congreso de los Diputados que aprecie si en España concurren las circunstancias extraordinarias previstas en el artículo 135.4 de la Constitución Española y 11.3 de la Ley Orgánica de </w:t>
      </w:r>
      <w:r>
        <w:t>Estabilidad Presupuestaria y Sostenibilidad Financiera. Es el mismo trámite que se siguió en años anteriores para suspender las reglas fiscales nacionales.   En cualquier caso, la suspensión de las reglas fiscales no implica abandonar la responsabilidad fi</w:t>
      </w:r>
      <w:r>
        <w:t xml:space="preserve">scal, sino que el compromiso con la reducción del déficit público se mantiene con una senda descendente que llevará al déficit por debajo del 3% en 2025.” </w:t>
      </w:r>
    </w:p>
    <w:p w:rsidR="00EE0979" w:rsidRDefault="00B022A0">
      <w:pPr>
        <w:ind w:right="100"/>
      </w:pPr>
      <w:r>
        <w:t xml:space="preserve"> La suspensión de las reglas fiscales ha supuesto que el superávit no tenga que dedicarse a amortiza</w:t>
      </w:r>
      <w:r>
        <w:t>r deuda, aun siendo posible realizar esta amortización si la EELL lo considera. La regla del artículo 32 de la LOEPSF puede no aplicarse a partir del momento en que se han suspendido las reglas fiscales, ya que estas son el fundamento de aquella regla. Reg</w:t>
      </w:r>
      <w:r>
        <w:t xml:space="preserve">la que conecta con el objetivo de estabilidad presupuestaria y con el de deuda pública.  </w:t>
      </w:r>
    </w:p>
    <w:p w:rsidR="00EE0979" w:rsidRDefault="00B022A0">
      <w:pPr>
        <w:spacing w:after="0" w:line="259" w:lineRule="auto"/>
        <w:ind w:left="722" w:firstLine="0"/>
        <w:jc w:val="left"/>
      </w:pPr>
      <w:r>
        <w:t xml:space="preserve"> </w:t>
      </w:r>
    </w:p>
    <w:p w:rsidR="00EE0979" w:rsidRDefault="00B022A0">
      <w:pPr>
        <w:ind w:right="100"/>
      </w:pPr>
      <w:r>
        <w:t xml:space="preserve"> Al no ser aplicable la regla general, tampoco es necesaria la regla especial de destinar el superávit a inversiones financieramente sostenibles, salvo las excepcio</w:t>
      </w:r>
      <w:r>
        <w:t xml:space="preserve">nes siguientes, o mediante norma posterior que prorrogue íntegramente la DA 6ª de la LOEPSF. </w:t>
      </w:r>
    </w:p>
    <w:p w:rsidR="00EE0979" w:rsidRDefault="00B022A0">
      <w:pPr>
        <w:spacing w:after="57" w:line="259" w:lineRule="auto"/>
        <w:ind w:left="14" w:firstLine="0"/>
        <w:jc w:val="left"/>
      </w:pPr>
      <w:r>
        <w:t xml:space="preserve"> </w:t>
      </w:r>
      <w:r>
        <w:tab/>
        <w:t xml:space="preserve"> </w:t>
      </w:r>
    </w:p>
    <w:p w:rsidR="00EE0979" w:rsidRDefault="00B022A0">
      <w:pPr>
        <w:spacing w:after="33"/>
        <w:ind w:right="100"/>
      </w:pPr>
      <w:r>
        <w:rPr>
          <w:b/>
        </w:rPr>
        <w:t>SEGUNDO</w:t>
      </w:r>
      <w:r>
        <w:t>. La legislación aplicable es la siguiente:</w:t>
      </w:r>
      <w:r>
        <w:rPr>
          <w:rFonts w:ascii="Times New Roman" w:eastAsia="Times New Roman" w:hAnsi="Times New Roman" w:cs="Times New Roman"/>
          <w:sz w:val="24"/>
        </w:rPr>
        <w:t xml:space="preserve"> </w:t>
      </w:r>
    </w:p>
    <w:p w:rsidR="00EE0979" w:rsidRDefault="00B022A0">
      <w:pPr>
        <w:numPr>
          <w:ilvl w:val="0"/>
          <w:numId w:val="36"/>
        </w:numPr>
        <w:spacing w:after="47" w:line="252" w:lineRule="auto"/>
        <w:ind w:right="100" w:hanging="360"/>
      </w:pPr>
      <w:r>
        <w:t>Los artículos 169, 170 y 172 a 177 del Real Decreto Legislativo 2/2004, de 5 de marzo, por el que se aprue</w:t>
      </w:r>
      <w:r>
        <w:t xml:space="preserve">ba el Texto Refundido de la Ley Reguladora de las Haciendas Locales.  </w:t>
      </w:r>
    </w:p>
    <w:p w:rsidR="00EE0979" w:rsidRDefault="00B022A0">
      <w:pPr>
        <w:numPr>
          <w:ilvl w:val="0"/>
          <w:numId w:val="36"/>
        </w:numPr>
        <w:spacing w:after="54"/>
        <w:ind w:right="100" w:hanging="360"/>
      </w:pPr>
      <w:r>
        <w:t>Los artículos 34 a 38 del Real Decreto 500/1990, de 20 de abril, por el que se desarrolla el Capítulo I, del Título VI, de la Ley 39/1988, de 28 de diciembre, Reguladora de las Hacienda</w:t>
      </w:r>
      <w:r>
        <w:t xml:space="preserve">s Locales, en materia de presupuestos. </w:t>
      </w:r>
    </w:p>
    <w:p w:rsidR="00EE0979" w:rsidRDefault="00B022A0">
      <w:pPr>
        <w:numPr>
          <w:ilvl w:val="0"/>
          <w:numId w:val="36"/>
        </w:numPr>
        <w:spacing w:after="54"/>
        <w:ind w:right="100" w:hanging="360"/>
      </w:pPr>
      <w:r>
        <w:t xml:space="preserve">Los artículos 3, 4, 11, 12, 13, 21, 23 y 32 de la Ley Orgánica 2/2012, de 27 de abril, de Estabilidad Presupuestaria y Sostenibilidad Financiera.  </w:t>
      </w:r>
    </w:p>
    <w:p w:rsidR="00EE0979" w:rsidRDefault="00B022A0">
      <w:pPr>
        <w:numPr>
          <w:ilvl w:val="0"/>
          <w:numId w:val="36"/>
        </w:numPr>
        <w:spacing w:after="55"/>
        <w:ind w:right="100" w:hanging="360"/>
      </w:pPr>
      <w:r>
        <w:t xml:space="preserve">El artículo 16.2 del Real Decreto 1463/2007, de 2 de noviembre, por </w:t>
      </w:r>
      <w:r>
        <w:t xml:space="preserve">el que se aprueba el Reglamento de Desarrollo de la Ley 18/2001, de 12 de noviembre, de Estabilidad Presupuestaria, en su Aplicación a las Entidades Locales. </w:t>
      </w:r>
    </w:p>
    <w:p w:rsidR="00EE0979" w:rsidRDefault="00B022A0">
      <w:pPr>
        <w:numPr>
          <w:ilvl w:val="0"/>
          <w:numId w:val="36"/>
        </w:numPr>
        <w:spacing w:after="54"/>
        <w:ind w:right="100" w:hanging="360"/>
      </w:pPr>
      <w:r>
        <w:t xml:space="preserve">El artículo 22.2.e) de la Ley 7/1985, de 2 de abril, Reguladora de las Bases del Régimen Local. </w:t>
      </w:r>
    </w:p>
    <w:p w:rsidR="00EE0979" w:rsidRDefault="00B022A0">
      <w:pPr>
        <w:numPr>
          <w:ilvl w:val="0"/>
          <w:numId w:val="36"/>
        </w:numPr>
        <w:spacing w:after="90"/>
        <w:ind w:right="100" w:hanging="360"/>
      </w:pPr>
      <w:r>
        <w:t xml:space="preserve">La Disposición Adicional 6.ª de la Ley Orgánica 2/2012, de 27 de abril, de Estabilidad Presupuestaria y Sostenibilidad Financiera. </w:t>
      </w:r>
    </w:p>
    <w:p w:rsidR="00EE0979" w:rsidRDefault="00B022A0">
      <w:pPr>
        <w:numPr>
          <w:ilvl w:val="0"/>
          <w:numId w:val="36"/>
        </w:numPr>
        <w:spacing w:after="38"/>
        <w:ind w:right="100" w:hanging="360"/>
      </w:pPr>
      <w:r>
        <w:t>La Orden EHA/3565/2008, de 3 de diciembre, por la que se aprueba la estructura de presupuestos de las entidades locales. - R</w:t>
      </w:r>
      <w:r>
        <w:t>esolución de 14 de septiembre de 2009, de la Dirección General de Coordinación Financiera con las Comunidades Autónomas y con las Entidades Locales, por la que se Dictan Medidas para el Desarrollo de la Orden EHA/3565/2008, de 3 de diciembre, por la que se</w:t>
      </w:r>
      <w:r>
        <w:t xml:space="preserve"> Aprueba la Estructura de los Presupuestos de las Entidades Locales</w:t>
      </w:r>
      <w:r>
        <w:rPr>
          <w:b/>
        </w:rPr>
        <w:t>.</w:t>
      </w:r>
      <w:r>
        <w:rPr>
          <w:rFonts w:ascii="Times New Roman" w:eastAsia="Times New Roman" w:hAnsi="Times New Roman" w:cs="Times New Roman"/>
          <w:sz w:val="24"/>
        </w:rPr>
        <w:t xml:space="preserve"> </w:t>
      </w:r>
    </w:p>
    <w:p w:rsidR="00EE0979" w:rsidRDefault="00B022A0">
      <w:pPr>
        <w:numPr>
          <w:ilvl w:val="0"/>
          <w:numId w:val="36"/>
        </w:numPr>
        <w:spacing w:after="54"/>
        <w:ind w:right="100" w:hanging="360"/>
      </w:pPr>
      <w:r>
        <w:t xml:space="preserve">La Disposición Adicional 16.ª del Texto Refundido de la Ley Reguladora de las Haciendas Locales.  </w:t>
      </w:r>
    </w:p>
    <w:p w:rsidR="00EE0979" w:rsidRDefault="00B022A0">
      <w:pPr>
        <w:numPr>
          <w:ilvl w:val="0"/>
          <w:numId w:val="36"/>
        </w:numPr>
        <w:ind w:right="100" w:hanging="360"/>
      </w:pPr>
      <w:r>
        <w:t>Acuerdo del Congreso de los Diputados del 13 de octubre de 2020, relativo al Objetivo d</w:t>
      </w:r>
      <w:r>
        <w:t xml:space="preserve">e </w:t>
      </w:r>
    </w:p>
    <w:p w:rsidR="00EE0979" w:rsidRDefault="00B022A0">
      <w:pPr>
        <w:spacing w:after="3" w:line="259" w:lineRule="auto"/>
        <w:ind w:left="10" w:right="111" w:hanging="10"/>
        <w:jc w:val="right"/>
      </w:pPr>
      <w:r>
        <w:t xml:space="preserve">Estabilidad Presupuestaria, según acuerdo del Consejo de Ministros de 6 de octubre de </w:t>
      </w:r>
    </w:p>
    <w:p w:rsidR="00EE0979" w:rsidRDefault="00B022A0">
      <w:pPr>
        <w:spacing w:after="3" w:line="259" w:lineRule="auto"/>
        <w:ind w:left="10" w:right="111" w:hanging="10"/>
        <w:jc w:val="right"/>
      </w:pPr>
      <w:r>
        <w:t xml:space="preserve">2020 de “Someter a la deliberación del Pleno, a los efectos previstos en los artículos 135.4 </w:t>
      </w:r>
    </w:p>
    <w:p w:rsidR="00EE0979" w:rsidRDefault="00B022A0">
      <w:pPr>
        <w:spacing w:after="49"/>
        <w:ind w:left="744" w:right="42" w:hanging="10"/>
        <w:jc w:val="left"/>
      </w:pPr>
      <w:r>
        <w:t xml:space="preserve">de la Constitución y 11.3 de la Ley Orgánica 2/2012, de 27 de abril, de </w:t>
      </w:r>
      <w:r>
        <w:t xml:space="preserve">Estabilidad Presupuestaria y Sostenibilidad Financiera y publicar en el Boletín Oficial de las Cortes Generales.” </w:t>
      </w:r>
    </w:p>
    <w:p w:rsidR="00EE0979" w:rsidRDefault="00B022A0">
      <w:pPr>
        <w:spacing w:after="0" w:line="259" w:lineRule="auto"/>
        <w:ind w:left="14" w:firstLine="0"/>
        <w:jc w:val="left"/>
      </w:pPr>
      <w:r>
        <w:t xml:space="preserve"> </w:t>
      </w:r>
    </w:p>
    <w:p w:rsidR="00EE0979" w:rsidRDefault="00B022A0">
      <w:pPr>
        <w:ind w:right="100"/>
      </w:pPr>
      <w:r>
        <w:rPr>
          <w:b/>
        </w:rPr>
        <w:t>TERCERO</w:t>
      </w:r>
      <w:r>
        <w:t>: Considerando que el artículo 177 del Real Decreto Legislativo 2/2004, de 5 de marzo, por el que se aprueba el texto refundido de l</w:t>
      </w:r>
      <w:r>
        <w:t>a Ley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EE0979" w:rsidRDefault="00B022A0">
      <w:pPr>
        <w:numPr>
          <w:ilvl w:val="0"/>
          <w:numId w:val="37"/>
        </w:numPr>
        <w:ind w:right="100" w:hanging="360"/>
      </w:pPr>
      <w:r>
        <w:t>Cuando haya de realizarse algún gasto que no pueda demorarse hasta el ejercicio si</w:t>
      </w:r>
      <w:r>
        <w:t xml:space="preserve">guiente, y sea insuficiente en el presupuesto de la corporación el crédito consignado, el presidente de la corporación ordenará la incoación del expediente de suplemento de crédito.  </w:t>
      </w:r>
    </w:p>
    <w:p w:rsidR="00EE0979" w:rsidRDefault="00B022A0">
      <w:pPr>
        <w:numPr>
          <w:ilvl w:val="0"/>
          <w:numId w:val="37"/>
        </w:numPr>
        <w:ind w:right="100" w:hanging="360"/>
      </w:pPr>
      <w:r>
        <w:t>El expediente, que habrá de ser previamente informado por la Intervenció</w:t>
      </w:r>
      <w:r>
        <w:t>n, se someterá a la aprobación del Pleno de la corporación, con sujeción a los mismos trámites y requisitos que los presupuestos. Serán, asimismo, de aplicación, las normas sobre información, reclamación y publicidad de los presupuestos a que se refiere el</w:t>
      </w:r>
      <w:r>
        <w:t xml:space="preserve"> artículo 169 de esta ley.  </w:t>
      </w:r>
    </w:p>
    <w:p w:rsidR="00EE0979" w:rsidRDefault="00B022A0">
      <w:pPr>
        <w:numPr>
          <w:ilvl w:val="0"/>
          <w:numId w:val="37"/>
        </w:numPr>
        <w:ind w:right="100" w:hanging="360"/>
      </w:pPr>
      <w:r>
        <w:t xml:space="preserve">El expediente deberá especificar la concreta partida presupuestaria a incrementar y el medio o recurso que ha de financiar el aumento que se propone. </w:t>
      </w:r>
    </w:p>
    <w:p w:rsidR="00EE0979" w:rsidRDefault="00B022A0">
      <w:pPr>
        <w:numPr>
          <w:ilvl w:val="0"/>
          <w:numId w:val="37"/>
        </w:numPr>
        <w:ind w:right="100" w:hanging="360"/>
      </w:pPr>
      <w:r>
        <w:t>Dicho aumento se financiará con cargo al remanente líquido de tesorería, con</w:t>
      </w:r>
      <w:r>
        <w:t xml:space="preserve"> nuevos o mayores ingresos recaudados sobre los totales previstos en el presupuesto corriente, y mediante anulaciones o bajas de créditos de gastos de otras partidas del presupuesto vigente no comprometidos, cuyas dotaciones se estimen reducibles sin pertu</w:t>
      </w:r>
      <w:r>
        <w:t xml:space="preserve">rbación del respectivo servicio. En el expediente se acreditará que los ingresos previstos en el presupuesto vengan efectuándose con normalidad, salvo que aquéllos tengan carácter finalista.  </w:t>
      </w:r>
    </w:p>
    <w:p w:rsidR="00EE0979" w:rsidRDefault="00B022A0">
      <w:pPr>
        <w:spacing w:after="0" w:line="259" w:lineRule="auto"/>
        <w:ind w:left="14" w:firstLine="0"/>
        <w:jc w:val="left"/>
      </w:pPr>
      <w:r>
        <w:rPr>
          <w:b/>
        </w:rPr>
        <w:t xml:space="preserve"> </w:t>
      </w:r>
    </w:p>
    <w:p w:rsidR="00EE0979" w:rsidRDefault="00B022A0">
      <w:pPr>
        <w:ind w:right="100"/>
      </w:pPr>
      <w:r>
        <w:rPr>
          <w:b/>
        </w:rPr>
        <w:t>CUARTO:</w:t>
      </w:r>
      <w:r>
        <w:t xml:space="preserve"> </w:t>
      </w:r>
      <w:r>
        <w:t xml:space="preserve">Vista la Liquidación del Presupuesto general 2022, aprobada por </w:t>
      </w:r>
      <w:r>
        <w:rPr>
          <w:b/>
        </w:rPr>
        <w:t xml:space="preserve">decreto 550/2023 </w:t>
      </w:r>
      <w:r>
        <w:t xml:space="preserve">de 1/03/2023, donde se aprueba un Remanente de Tesorería para gastos Generales (RTGG) por un importe de </w:t>
      </w:r>
      <w:r>
        <w:rPr>
          <w:b/>
        </w:rPr>
        <w:t>23.408.195,38€</w:t>
      </w:r>
      <w:r>
        <w:t>.</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r>
        <w:tab/>
        <w:t xml:space="preserve"> </w:t>
      </w:r>
    </w:p>
    <w:p w:rsidR="00EE0979" w:rsidRDefault="00B022A0">
      <w:pPr>
        <w:ind w:right="100"/>
      </w:pPr>
      <w:r>
        <w:t xml:space="preserve"> Visto Expediente 2209/2023 de Incorporación de Cr</w:t>
      </w:r>
      <w:r>
        <w:t xml:space="preserve">éditos financiados con RTGG, por un importe total de 9.490.282,51€ </w:t>
      </w:r>
    </w:p>
    <w:p w:rsidR="00EE0979" w:rsidRDefault="00B022A0">
      <w:pPr>
        <w:spacing w:after="0" w:line="259" w:lineRule="auto"/>
        <w:ind w:left="14" w:firstLine="0"/>
        <w:jc w:val="left"/>
      </w:pPr>
      <w:r>
        <w:rPr>
          <w:b/>
        </w:rPr>
        <w:t xml:space="preserve"> </w:t>
      </w:r>
      <w:r>
        <w:rPr>
          <w:b/>
        </w:rPr>
        <w:tab/>
        <w:t xml:space="preserve"> </w:t>
      </w:r>
    </w:p>
    <w:p w:rsidR="00EE0979" w:rsidRDefault="00B022A0">
      <w:pPr>
        <w:ind w:right="100"/>
      </w:pPr>
      <w:r>
        <w:rPr>
          <w:b/>
        </w:rPr>
        <w:t xml:space="preserve"> </w:t>
      </w:r>
      <w:r>
        <w:t>Visto expediente 3304/2023 de Creditos extraordinarios Pleno de Marzo financiados con RTGG, por un importe total de 1.859.520,87€.</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 Visto Expediente 3569/2023 de Incorporación de C</w:t>
      </w:r>
      <w:r>
        <w:t xml:space="preserve">réditos financiados con RTGG, por un importe total de 859.904,87€.  </w:t>
      </w:r>
    </w:p>
    <w:p w:rsidR="00EE0979" w:rsidRDefault="00B022A0">
      <w:pPr>
        <w:spacing w:after="0" w:line="259" w:lineRule="auto"/>
        <w:ind w:left="14" w:firstLine="0"/>
        <w:jc w:val="left"/>
      </w:pPr>
      <w:r>
        <w:t xml:space="preserve"> </w:t>
      </w:r>
      <w:r>
        <w:tab/>
        <w:t xml:space="preserve"> </w:t>
      </w:r>
    </w:p>
    <w:p w:rsidR="00EE0979" w:rsidRDefault="00B022A0">
      <w:pPr>
        <w:ind w:right="100"/>
      </w:pPr>
      <w:r>
        <w:t xml:space="preserve"> Visto Expediente 4146/2023 de Incorporación de Créditos financiados con RTGG, por un importe total de 9.787,20€; queda un disponible de Remanente de Tesorería para gastos Generales (</w:t>
      </w:r>
      <w:r>
        <w:t xml:space="preserve">RTGG) de </w:t>
      </w:r>
      <w:r>
        <w:rPr>
          <w:b/>
        </w:rPr>
        <w:t>11.188.699,93€.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r>
        <w:rPr>
          <w:b/>
        </w:rPr>
        <w:tab/>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117"/>
        <w:ind w:right="100"/>
      </w:pPr>
      <w:r>
        <w:rPr>
          <w:b/>
        </w:rPr>
        <w:t>QUINTO:</w:t>
      </w:r>
      <w:r>
        <w:t xml:space="preserve"> Que el expediente de modificación presupuestaria </w:t>
      </w:r>
      <w:r>
        <w:rPr>
          <w:b/>
        </w:rPr>
        <w:t>nº 4029/2023</w:t>
      </w:r>
      <w:r>
        <w:t xml:space="preserve"> de modificación presupuestaria por </w:t>
      </w:r>
      <w:r>
        <w:rPr>
          <w:b/>
        </w:rPr>
        <w:t xml:space="preserve">Créditos extraordinarios </w:t>
      </w:r>
      <w:r>
        <w:t>financiado con Remanente de Tesorería para gastos generales, por una cantidad total de</w:t>
      </w:r>
      <w:r>
        <w:rPr>
          <w:b/>
        </w:rPr>
        <w:t xml:space="preserve"> </w:t>
      </w:r>
      <w:r>
        <w:rPr>
          <w:b/>
        </w:rPr>
        <w:t>4.223.072,19 euros</w:t>
      </w:r>
      <w:r>
        <w:t xml:space="preserve">, de acuerdo al siguiente detalle:  </w:t>
      </w:r>
    </w:p>
    <w:p w:rsidR="00EE0979" w:rsidRDefault="00B022A0">
      <w:pPr>
        <w:spacing w:after="98"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70" w:line="259" w:lineRule="auto"/>
        <w:ind w:left="14" w:firstLine="0"/>
        <w:jc w:val="left"/>
      </w:pPr>
      <w:r>
        <w:t xml:space="preserve"> </w:t>
      </w:r>
    </w:p>
    <w:p w:rsidR="00EE0979" w:rsidRDefault="00B022A0">
      <w:pPr>
        <w:tabs>
          <w:tab w:val="center" w:pos="4794"/>
          <w:tab w:val="center" w:pos="885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0"/>
        </w:rPr>
        <w:t xml:space="preserve">Estado de gastos </w:t>
      </w:r>
      <w:r>
        <w:rPr>
          <w:sz w:val="20"/>
        </w:rPr>
        <w:tab/>
        <w:t xml:space="preserve"> </w:t>
      </w:r>
    </w:p>
    <w:p w:rsidR="00EE0979" w:rsidRDefault="00B022A0">
      <w:pPr>
        <w:spacing w:after="0" w:line="259" w:lineRule="auto"/>
        <w:ind w:left="0" w:right="776" w:firstLine="0"/>
        <w:jc w:val="righ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0"/>
        </w:rPr>
        <w:t xml:space="preserve"> </w:t>
      </w:r>
      <w:r>
        <w:rPr>
          <w:sz w:val="20"/>
        </w:rPr>
        <w:tab/>
        <w:t xml:space="preserve"> </w:t>
      </w:r>
    </w:p>
    <w:tbl>
      <w:tblPr>
        <w:tblStyle w:val="TableGrid"/>
        <w:tblW w:w="9425" w:type="dxa"/>
        <w:tblInd w:w="85" w:type="dxa"/>
        <w:tblCellMar>
          <w:top w:w="7" w:type="dxa"/>
          <w:left w:w="68" w:type="dxa"/>
          <w:bottom w:w="0" w:type="dxa"/>
          <w:right w:w="12" w:type="dxa"/>
        </w:tblCellMar>
        <w:tblLook w:val="04A0" w:firstRow="1" w:lastRow="0" w:firstColumn="1" w:lastColumn="0" w:noHBand="0" w:noVBand="1"/>
      </w:tblPr>
      <w:tblGrid>
        <w:gridCol w:w="1325"/>
        <w:gridCol w:w="6792"/>
        <w:gridCol w:w="1308"/>
      </w:tblGrid>
      <w:tr w:rsidR="00EE0979">
        <w:trPr>
          <w:trHeight w:val="305"/>
        </w:trPr>
        <w:tc>
          <w:tcPr>
            <w:tcW w:w="8117"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1247" w:firstLine="0"/>
              <w:jc w:val="center"/>
            </w:pPr>
            <w:r>
              <w:rPr>
                <w:b/>
                <w:sz w:val="20"/>
              </w:rPr>
              <w:t xml:space="preserve">Proyecto de gasto P 23.3.35 </w:t>
            </w:r>
          </w:p>
        </w:tc>
        <w:tc>
          <w:tcPr>
            <w:tcW w:w="130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467"/>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81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1" w:firstLine="0"/>
              <w:jc w:val="center"/>
            </w:pPr>
            <w:r>
              <w:rPr>
                <w:b/>
                <w:sz w:val="20"/>
              </w:rPr>
              <w:t xml:space="preserve">DENOMINACIÓN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31" w:firstLine="0"/>
              <w:jc w:val="left"/>
            </w:pPr>
            <w:r>
              <w:rPr>
                <w:b/>
                <w:sz w:val="20"/>
              </w:rPr>
              <w:t xml:space="preserve">IMPORTE </w:t>
            </w:r>
          </w:p>
        </w:tc>
      </w:tr>
      <w:tr w:rsidR="00EE0979">
        <w:trPr>
          <w:trHeight w:val="272"/>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17100.62504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RENOVACION PARQUE INFANTIL PUNTA LARGA MULTIAVENTURA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120.395,75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15320,62300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PUNTO DE RECARGA VEHÍCULO ELECTRICO AVENIDA MARITIMA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4.577,99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41500.21001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MANTENIMINETO Y REPARACIÓN VALLADO Y SERVICIOS ASOCIADOS PUERTO PESQUERO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12.198,00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17000.62300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AUTOCONSUMO RENOVABLES SIN ALMACENAMIENTO (FOTOVOLTAICAS)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932.104,01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17000.22712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ASITENCIA TÉCNICA Y REDACCIÓN DE PROYECTOS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31.805,68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16000.60902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 DE SANEAMIENTO del sector sur del núcleo de La Viuda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634.555,24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15100.22716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DIRECCIÓN DE OBRA Y SEGURIDAD Y SALUD OBRA ASCNSOR Y CALLE AMANCE Y MANUEL SABINA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27.431,00 </w:t>
            </w:r>
          </w:p>
        </w:tc>
      </w:tr>
      <w:tr w:rsidR="00EE0979">
        <w:trPr>
          <w:trHeight w:val="471"/>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SERVICIOS COMPLEMENTARIOS SEGURIDAD Y EMERGENCIA EVENTOS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62.796,90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45900.61914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PROYECTOS PARA MEJORAS DE ELEMENTOS E INFRAESTRUCTURAS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142.565,85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23100.61900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REFORMA Y MEJORA INSTALACIONES DE ATENCIÓN AL PÚBLICO EDIFICIO SERVICIOS SOCIALES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6.159,36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43100.22713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FORMACIÓN, ASESORAMIENTO, REDACCIÓN PROYECTO... "COMERCIO CANDELARIA"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43.870,00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92000.62400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VEHÍCULOS MUNICIPALES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682.320,08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MEJORA PUERTA PROTECCIÓN CIVIL Y SALIDA EMERGENCIAS CINE VIEJO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9.837,83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15320.61902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ASFALTADO DIVERSAS AREAS Y ZONAS MUNICIPIO (PLAN ASFALTADO 1)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773.640,00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49200.62601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ORDENADORES PARA SALA INFORMÁTICA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18.504,49 </w:t>
            </w:r>
          </w:p>
        </w:tc>
      </w:tr>
      <w:tr w:rsidR="00EE0979">
        <w:trPr>
          <w:trHeight w:val="471"/>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49200.22713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REDACCIÓN DE PROYECTO REFORMA INTERIOR OFICINAS SAC Y AEDL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12.781,15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49200.62302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EXTRACCIÓN AIRE DE TALLER IMPRESIÓN DIGITAL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2.384,47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34100.22613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EQUIPAMIENTO ESCUELAS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32.505,83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34100.62304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MAQUINARIA Y SUMINISTROS BIOSALUDABLES PARA GIMANSIOS URBANOS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30.001,01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34100.64100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SOFTWARE DE GESTIÓN MARCADORES DEPORTIVOS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4.900,00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34100.61912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OBRAS EN INSTALACIONES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311.151,00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33400,21301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ELECTRICAS TEMPORALES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16.050,00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REDACCIÓN DE ESTUDIOS Y DISEÑOS DE PROYECTOS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20.751,78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33400.62302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EQUIPOS DE AIRE ACONDICIONADO Y PANTALLAS INFORMATIVAS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39.031,03 </w:t>
            </w:r>
          </w:p>
        </w:tc>
      </w:tr>
      <w:tr w:rsidR="00EE0979">
        <w:trPr>
          <w:trHeight w:val="471"/>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33400.61903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OBRAS DE REFORMA Y REHABILITACION DE ESPACIOS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109.598,27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33400.62501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MOBILIARIO ARCHIVOS HISTÓRICO Y ACTOS CULTURALES, ENSERES Y ESCULTURAS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141.155,47 </w:t>
            </w:r>
          </w:p>
        </w:tc>
      </w:tr>
      <w:tr w:rsidR="00EE0979">
        <w:trPr>
          <w:trHeight w:val="271"/>
        </w:trPr>
        <w:tc>
          <w:tcPr>
            <w:tcW w:w="8117" w:type="dxa"/>
            <w:gridSpan w:val="2"/>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2" w:firstLine="0"/>
              <w:jc w:val="right"/>
            </w:pPr>
            <w:r>
              <w:rPr>
                <w:b/>
                <w:sz w:val="20"/>
              </w:rPr>
              <w:t xml:space="preserve">TOTAL </w:t>
            </w:r>
          </w:p>
        </w:tc>
        <w:tc>
          <w:tcPr>
            <w:tcW w:w="1308"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pPr>
            <w:r>
              <w:rPr>
                <w:b/>
                <w:sz w:val="20"/>
              </w:rPr>
              <w:t xml:space="preserve">4.223.072,19 </w:t>
            </w:r>
          </w:p>
        </w:tc>
      </w:tr>
    </w:tbl>
    <w:p w:rsidR="00EE0979" w:rsidRDefault="00B022A0">
      <w:pPr>
        <w:spacing w:after="0" w:line="259" w:lineRule="auto"/>
        <w:ind w:left="0" w:right="37" w:firstLine="0"/>
        <w:jc w:val="center"/>
      </w:pPr>
      <w:r>
        <w:rPr>
          <w:rFonts w:ascii="Times New Roman" w:eastAsia="Times New Roman" w:hAnsi="Times New Roman" w:cs="Times New Roman"/>
          <w:b/>
          <w:sz w:val="20"/>
        </w:rPr>
        <w:t xml:space="preserve"> </w:t>
      </w:r>
      <w:r>
        <w:rPr>
          <w:sz w:val="20"/>
        </w:rPr>
        <w:t xml:space="preserve"> </w:t>
      </w:r>
      <w:r>
        <w:rPr>
          <w:sz w:val="20"/>
        </w:rPr>
        <w:tab/>
        <w:t xml:space="preserve"> </w:t>
      </w:r>
    </w:p>
    <w:p w:rsidR="00EE0979" w:rsidRDefault="00B022A0">
      <w:pPr>
        <w:spacing w:after="0" w:line="259" w:lineRule="auto"/>
        <w:ind w:left="0" w:right="42" w:firstLine="0"/>
        <w:jc w:val="center"/>
      </w:pPr>
      <w:r>
        <w:rPr>
          <w:sz w:val="20"/>
        </w:rPr>
        <w:t xml:space="preserve"> </w:t>
      </w:r>
    </w:p>
    <w:p w:rsidR="00EE0979" w:rsidRDefault="00B022A0">
      <w:pPr>
        <w:spacing w:after="0" w:line="259" w:lineRule="auto"/>
        <w:ind w:left="0" w:right="42" w:firstLine="0"/>
        <w:jc w:val="center"/>
      </w:pPr>
      <w:r>
        <w:rPr>
          <w:sz w:val="20"/>
        </w:rPr>
        <w:t xml:space="preserve"> </w:t>
      </w:r>
    </w:p>
    <w:p w:rsidR="00EE0979" w:rsidRDefault="00B022A0">
      <w:pPr>
        <w:tabs>
          <w:tab w:val="center" w:pos="4796"/>
          <w:tab w:val="center" w:pos="8858"/>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9425" w:type="dxa"/>
        <w:tblInd w:w="85" w:type="dxa"/>
        <w:tblCellMar>
          <w:top w:w="6" w:type="dxa"/>
          <w:left w:w="0" w:type="dxa"/>
          <w:bottom w:w="7" w:type="dxa"/>
          <w:right w:w="12" w:type="dxa"/>
        </w:tblCellMar>
        <w:tblLook w:val="04A0" w:firstRow="1" w:lastRow="0" w:firstColumn="1" w:lastColumn="0" w:noHBand="0" w:noVBand="1"/>
      </w:tblPr>
      <w:tblGrid>
        <w:gridCol w:w="1306"/>
        <w:gridCol w:w="6093"/>
        <w:gridCol w:w="718"/>
        <w:gridCol w:w="1308"/>
      </w:tblGrid>
      <w:tr w:rsidR="00EE0979">
        <w:trPr>
          <w:trHeight w:val="466"/>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093"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25" w:firstLine="0"/>
              <w:jc w:val="center"/>
            </w:pPr>
            <w:r>
              <w:rPr>
                <w:b/>
                <w:sz w:val="20"/>
              </w:rPr>
              <w:t xml:space="preserve">DENOMINACIÓN </w:t>
            </w:r>
          </w:p>
        </w:tc>
        <w:tc>
          <w:tcPr>
            <w:tcW w:w="71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99" w:firstLine="0"/>
              <w:jc w:val="left"/>
            </w:pPr>
            <w:r>
              <w:rPr>
                <w:b/>
                <w:sz w:val="20"/>
              </w:rPr>
              <w:t xml:space="preserve">IMPORTE </w:t>
            </w:r>
          </w:p>
        </w:tc>
      </w:tr>
      <w:tr w:rsidR="00EE0979">
        <w:trPr>
          <w:trHeight w:val="273"/>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sz w:val="20"/>
              </w:rPr>
              <w:t xml:space="preserve">87000 </w:t>
            </w:r>
          </w:p>
        </w:tc>
        <w:tc>
          <w:tcPr>
            <w:tcW w:w="6093"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REMANENTE DE TESORERIA PARA GASTOS GENERALES  </w:t>
            </w:r>
          </w:p>
        </w:tc>
        <w:tc>
          <w:tcPr>
            <w:tcW w:w="718"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sz w:val="20"/>
              </w:rPr>
              <w:t xml:space="preserve">4.223.072,19 </w:t>
            </w:r>
          </w:p>
        </w:tc>
      </w:tr>
      <w:tr w:rsidR="00EE0979">
        <w:trPr>
          <w:trHeight w:val="286"/>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b/>
                <w:sz w:val="24"/>
              </w:rPr>
              <w:t xml:space="preserve">  </w:t>
            </w:r>
          </w:p>
        </w:tc>
        <w:tc>
          <w:tcPr>
            <w:tcW w:w="6093"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8"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b/>
                <w:sz w:val="20"/>
              </w:rPr>
              <w:t xml:space="preserve">4.223.072,19 </w:t>
            </w:r>
          </w:p>
        </w:tc>
      </w:tr>
    </w:tbl>
    <w:p w:rsidR="00EE0979" w:rsidRDefault="00B022A0">
      <w:pPr>
        <w:spacing w:after="66" w:line="259" w:lineRule="auto"/>
        <w:ind w:left="722" w:firstLine="0"/>
        <w:jc w:val="left"/>
      </w:pPr>
      <w:r>
        <w:rPr>
          <w:sz w:val="24"/>
        </w:rPr>
        <w:t xml:space="preserve"> </w:t>
      </w:r>
    </w:p>
    <w:p w:rsidR="00EE0979" w:rsidRDefault="00B022A0">
      <w:pPr>
        <w:spacing w:after="61"/>
        <w:ind w:right="100"/>
      </w:pPr>
      <w: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Este Concejal Delegado de Hacienda, PROPONE al Pleno la adopción del siguiente ACUERDO: </w:t>
      </w:r>
    </w:p>
    <w:p w:rsidR="00EE0979" w:rsidRDefault="00B022A0">
      <w:pPr>
        <w:spacing w:after="0" w:line="259" w:lineRule="auto"/>
        <w:ind w:left="14" w:firstLine="0"/>
        <w:jc w:val="left"/>
      </w:pPr>
      <w:r>
        <w:rPr>
          <w:b/>
        </w:rPr>
        <w:t xml:space="preserve"> </w:t>
      </w:r>
    </w:p>
    <w:p w:rsidR="00EE0979" w:rsidRDefault="00B022A0">
      <w:pPr>
        <w:ind w:right="100"/>
      </w:pPr>
      <w:r>
        <w:rPr>
          <w:b/>
        </w:rPr>
        <w:t xml:space="preserve">PRIMERO. - </w:t>
      </w:r>
      <w:r>
        <w:t xml:space="preserve">Aprobar expediente de modificación presupuestaria </w:t>
      </w:r>
      <w:r>
        <w:rPr>
          <w:b/>
        </w:rPr>
        <w:t>nº 4029/2023</w:t>
      </w:r>
      <w:r>
        <w:t xml:space="preserve"> de modificación presupuestaria por </w:t>
      </w:r>
      <w:r>
        <w:rPr>
          <w:b/>
        </w:rPr>
        <w:t>Créditos extraordinarios</w:t>
      </w:r>
      <w:r>
        <w:t xml:space="preserve"> financiado con Remanente de Tesorería para gastos generales, por una cantidad total </w:t>
      </w:r>
      <w:r>
        <w:rPr>
          <w:b/>
        </w:rPr>
        <w:t>4.223.072,19 euros</w:t>
      </w:r>
      <w:r>
        <w:t>, de acuerdo al siguiente detalle: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35" w:line="259" w:lineRule="auto"/>
        <w:ind w:left="14" w:firstLine="0"/>
        <w:jc w:val="left"/>
      </w:pPr>
      <w:r>
        <w:rPr>
          <w:rFonts w:ascii="Times New Roman" w:eastAsia="Times New Roman" w:hAnsi="Times New Roman" w:cs="Times New Roman"/>
          <w:sz w:val="24"/>
        </w:rPr>
        <w:t xml:space="preserve"> </w:t>
      </w:r>
    </w:p>
    <w:p w:rsidR="00EE0979" w:rsidRDefault="00B022A0">
      <w:pPr>
        <w:tabs>
          <w:tab w:val="center" w:pos="4873"/>
          <w:tab w:val="center" w:pos="8925"/>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0"/>
        </w:rPr>
        <w:t xml:space="preserve">Estado de gastos </w:t>
      </w:r>
      <w:r>
        <w:rPr>
          <w:sz w:val="20"/>
        </w:rPr>
        <w:tab/>
        <w:t xml:space="preserve"> </w:t>
      </w:r>
    </w:p>
    <w:p w:rsidR="00EE0979" w:rsidRDefault="00B022A0">
      <w:pPr>
        <w:spacing w:after="0" w:line="259" w:lineRule="auto"/>
        <w:ind w:left="15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0"/>
        </w:rPr>
        <w:t xml:space="preserve"> </w:t>
      </w:r>
      <w:r>
        <w:rPr>
          <w:sz w:val="20"/>
        </w:rPr>
        <w:tab/>
        <w:t xml:space="preserve"> </w:t>
      </w:r>
    </w:p>
    <w:tbl>
      <w:tblPr>
        <w:tblStyle w:val="TableGrid"/>
        <w:tblW w:w="9493" w:type="dxa"/>
        <w:tblInd w:w="85" w:type="dxa"/>
        <w:tblCellMar>
          <w:top w:w="5" w:type="dxa"/>
          <w:left w:w="68" w:type="dxa"/>
          <w:bottom w:w="6" w:type="dxa"/>
          <w:right w:w="13" w:type="dxa"/>
        </w:tblCellMar>
        <w:tblLook w:val="04A0" w:firstRow="1" w:lastRow="0" w:firstColumn="1" w:lastColumn="0" w:noHBand="0" w:noVBand="1"/>
      </w:tblPr>
      <w:tblGrid>
        <w:gridCol w:w="1394"/>
        <w:gridCol w:w="6791"/>
        <w:gridCol w:w="1308"/>
      </w:tblGrid>
      <w:tr w:rsidR="00EE0979">
        <w:trPr>
          <w:trHeight w:val="305"/>
        </w:trPr>
        <w:tc>
          <w:tcPr>
            <w:tcW w:w="8185"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1247" w:firstLine="0"/>
              <w:jc w:val="center"/>
            </w:pPr>
            <w:r>
              <w:rPr>
                <w:b/>
                <w:sz w:val="20"/>
              </w:rPr>
              <w:t xml:space="preserve">Proyecto de gasto P 23.3.35 </w:t>
            </w:r>
          </w:p>
        </w:tc>
        <w:tc>
          <w:tcPr>
            <w:tcW w:w="130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5" w:firstLine="0"/>
            </w:pPr>
            <w:r>
              <w:rPr>
                <w:b/>
                <w:sz w:val="20"/>
              </w:rPr>
              <w:t xml:space="preserve">APLICACIÓN </w:t>
            </w:r>
          </w:p>
        </w:tc>
        <w:tc>
          <w:tcPr>
            <w:tcW w:w="6791"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right="59" w:firstLine="0"/>
              <w:jc w:val="center"/>
            </w:pPr>
            <w:r>
              <w:rPr>
                <w:b/>
                <w:sz w:val="20"/>
              </w:rPr>
              <w:t xml:space="preserve">DENOMINACIÓN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130" w:firstLine="0"/>
              <w:jc w:val="left"/>
            </w:pPr>
            <w:r>
              <w:rPr>
                <w:b/>
                <w:sz w:val="20"/>
              </w:rPr>
              <w:t xml:space="preserve">IMPORTE </w:t>
            </w:r>
          </w:p>
        </w:tc>
      </w:tr>
      <w:tr w:rsidR="00EE0979">
        <w:trPr>
          <w:trHeight w:val="270"/>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17100.62504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RENOVACION PARQUE INFANTIL PUNTA LARGA MULTIAVENTURA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120.395,75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15320,62300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PUNTO DE RECARGA VEHÍCULO ELECTRICO AVENIDA MARITIMA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4.577,99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41500.21001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MANTENIMINETO Y REPARACIÓN VALLADO Y SERVICIOS ASOCIADOS PUERTO PESQUERO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12.198,00 </w:t>
            </w:r>
          </w:p>
        </w:tc>
      </w:tr>
      <w:tr w:rsidR="00EE0979">
        <w:trPr>
          <w:trHeight w:val="471"/>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17000.62300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AUTOCONSUMO RENOVABLES SIN ALMACENAMIENTO (FOTOVOLTAICAS)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932.104,01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17000.22712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ASITENCIA TÉCNICA Y REDACCIÓN DE PROYECTOS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31.805,68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16000.60902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 DE SANEAMIENTO del sector sur del núcleo de La Viuda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634.555,24 </w:t>
            </w:r>
          </w:p>
        </w:tc>
      </w:tr>
      <w:tr w:rsidR="00EE0979">
        <w:trPr>
          <w:trHeight w:val="468"/>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15100.22716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DIRECCIÓN DE OBRA Y SEGURIDAD Y SALUD OBRA ASCNSOR Y CALLE AMANCE Y MANUEL SABINA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27.431,00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13500.22712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SERVICIOS COMPLEMENTARIOS SEGURIDAD Y EMERGENCIA EVENTOS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62.796,90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45900.61914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PROYECTOS PARA MEJORAS DE ELEMENTOS E INFRAESTRUCTURAS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142.565,85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23100.61900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REFORMA Y MEJORA INSTALACIONES DE ATENCIÓN AL PÚBLICO EDIFICIO SERVICIOS SOCIALES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6.159,36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43100.22713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FORMACIÓN, ASESORAMIENTO, REDACCIÓN PROYECTO... "COMERCIO CANDELARIA"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43.870,00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92000.62400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VEHÍCULOS MUNICIPALES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682.320,08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13500.61900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MEJORA PUERTA PROTECCIÓN CIVIL Y SALIDA EMERGENCIAS CINE VIEJO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9.837,83 </w:t>
            </w:r>
          </w:p>
        </w:tc>
      </w:tr>
      <w:tr w:rsidR="00EE0979">
        <w:trPr>
          <w:trHeight w:val="466"/>
        </w:trPr>
        <w:tc>
          <w:tcPr>
            <w:tcW w:w="1394" w:type="dxa"/>
            <w:tcBorders>
              <w:top w:val="nil"/>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15320.61902 </w:t>
            </w:r>
          </w:p>
        </w:tc>
        <w:tc>
          <w:tcPr>
            <w:tcW w:w="6791"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ASFALTADO DIVERSAS AREAS Y ZONAS MUNICIPIO (PLAN ASFALTADO 1) </w:t>
            </w:r>
          </w:p>
        </w:tc>
        <w:tc>
          <w:tcPr>
            <w:tcW w:w="1308" w:type="dxa"/>
            <w:tcBorders>
              <w:top w:val="nil"/>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773.640,00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49200.62601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ORDENADORES PARA SALA INFORMÁTICA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18.504,49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49200.22713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REDACCIÓN DE PROYECTO REFORMA INTERIOR OFICINAS SAC Y AEDL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12.781,15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49200.62302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EXTRACCIÓN AIRE DE TALLER IMPRESIÓN DIGITAL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2.384,47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34100.22613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EQUIPAMIENTO ESCUELAS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32.505,83 </w:t>
            </w:r>
          </w:p>
        </w:tc>
      </w:tr>
      <w:tr w:rsidR="00EE0979">
        <w:trPr>
          <w:trHeight w:val="471"/>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34100.62304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MAQUINARIA Y SUMINISTROS BIOSALUDABLES PARA GIMANSIOS URBANOS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30.001,01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34100.64100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SOFTWARE DE GESTIÓN MARCADORES DEPORTIVOS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4.900,00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34100.61912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OBRAS EN INSTALACIONES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311.151,00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33400,21301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INSTALACIONES ELECTRICAS TEMPORALES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16.050,00 </w:t>
            </w:r>
          </w:p>
        </w:tc>
      </w:tr>
      <w:tr w:rsidR="00EE0979">
        <w:trPr>
          <w:trHeight w:val="468"/>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33400.22712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REDACCIÓN DE ESTUDIOS Y DISEÑOS DE PROYECTOS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20.751,78 </w:t>
            </w:r>
          </w:p>
        </w:tc>
      </w:tr>
      <w:tr w:rsidR="00EE0979">
        <w:trPr>
          <w:trHeight w:val="271"/>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33400.62302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EQUIPOS DE AIRE ACONDICIONADO Y PANTALLAS INFORMATIVAS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39.031,03 </w:t>
            </w:r>
          </w:p>
        </w:tc>
      </w:tr>
      <w:tr w:rsidR="00EE0979">
        <w:trPr>
          <w:trHeight w:val="470"/>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33400.61903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OBRAS DE REFORMA Y REHABILITACION DE ESPACIOS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109.598,27 </w:t>
            </w:r>
          </w:p>
        </w:tc>
      </w:tr>
      <w:tr w:rsidR="00EE0979">
        <w:trPr>
          <w:trHeight w:val="468"/>
        </w:trPr>
        <w:tc>
          <w:tcPr>
            <w:tcW w:w="1394"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33400.62501 </w:t>
            </w:r>
          </w:p>
        </w:tc>
        <w:tc>
          <w:tcPr>
            <w:tcW w:w="67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MOBILIARIO ARCHIVOS HISTÓRICO Y ACTOS CULTURALES, ENSERES Y ESCULTURAS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141.155,47 </w:t>
            </w:r>
          </w:p>
        </w:tc>
      </w:tr>
      <w:tr w:rsidR="00EE0979">
        <w:trPr>
          <w:trHeight w:val="271"/>
        </w:trPr>
        <w:tc>
          <w:tcPr>
            <w:tcW w:w="8185" w:type="dxa"/>
            <w:gridSpan w:val="2"/>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9" w:firstLine="0"/>
              <w:jc w:val="right"/>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b/>
                <w:sz w:val="20"/>
              </w:rPr>
              <w:t xml:space="preserve">4.223.072,19 </w:t>
            </w:r>
          </w:p>
        </w:tc>
      </w:tr>
    </w:tbl>
    <w:p w:rsidR="00EE0979" w:rsidRDefault="00B022A0">
      <w:pPr>
        <w:spacing w:after="20" w:line="259" w:lineRule="auto"/>
        <w:ind w:left="1409" w:firstLine="0"/>
        <w:jc w:val="left"/>
      </w:pPr>
      <w:r>
        <w:rPr>
          <w:b/>
          <w:sz w:val="20"/>
        </w:rPr>
        <w:t xml:space="preserve"> </w:t>
      </w:r>
      <w:r>
        <w:rPr>
          <w:sz w:val="20"/>
        </w:rPr>
        <w:t xml:space="preserve"> </w:t>
      </w:r>
      <w:r>
        <w:rPr>
          <w:sz w:val="20"/>
        </w:rPr>
        <w:tab/>
        <w:t xml:space="preserve"> </w:t>
      </w:r>
    </w:p>
    <w:p w:rsidR="00EE0979" w:rsidRDefault="00B022A0">
      <w:pPr>
        <w:tabs>
          <w:tab w:val="center" w:pos="4875"/>
          <w:tab w:val="center" w:pos="8925"/>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9494" w:type="dxa"/>
        <w:tblInd w:w="85" w:type="dxa"/>
        <w:tblCellMar>
          <w:top w:w="35" w:type="dxa"/>
          <w:left w:w="0" w:type="dxa"/>
          <w:bottom w:w="0" w:type="dxa"/>
          <w:right w:w="13" w:type="dxa"/>
        </w:tblCellMar>
        <w:tblLook w:val="04A0" w:firstRow="1" w:lastRow="0" w:firstColumn="1" w:lastColumn="0" w:noHBand="0" w:noVBand="1"/>
      </w:tblPr>
      <w:tblGrid>
        <w:gridCol w:w="1394"/>
        <w:gridCol w:w="6075"/>
        <w:gridCol w:w="717"/>
        <w:gridCol w:w="1308"/>
      </w:tblGrid>
      <w:tr w:rsidR="00EE0979">
        <w:trPr>
          <w:trHeight w:val="266"/>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73" w:firstLine="0"/>
            </w:pPr>
            <w:r>
              <w:rPr>
                <w:b/>
                <w:sz w:val="20"/>
              </w:rPr>
              <w:t xml:space="preserve">APLICACIÓN </w:t>
            </w:r>
          </w:p>
        </w:tc>
        <w:tc>
          <w:tcPr>
            <w:tcW w:w="6074" w:type="dxa"/>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726" w:firstLine="0"/>
              <w:jc w:val="center"/>
            </w:pPr>
            <w:r>
              <w:rPr>
                <w:b/>
                <w:sz w:val="20"/>
              </w:rPr>
              <w:t xml:space="preserve">DENOMINACIÓN </w:t>
            </w:r>
          </w:p>
        </w:tc>
        <w:tc>
          <w:tcPr>
            <w:tcW w:w="717"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198" w:firstLine="0"/>
              <w:jc w:val="left"/>
            </w:pPr>
            <w:r>
              <w:rPr>
                <w:b/>
                <w:sz w:val="20"/>
              </w:rPr>
              <w:t xml:space="preserve">IMPORTE </w:t>
            </w:r>
          </w:p>
        </w:tc>
      </w:tr>
      <w:tr w:rsidR="00EE0979">
        <w:trPr>
          <w:trHeight w:val="272"/>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sz w:val="20"/>
              </w:rPr>
              <w:t xml:space="preserve">87000 </w:t>
            </w:r>
          </w:p>
        </w:tc>
        <w:tc>
          <w:tcPr>
            <w:tcW w:w="6074"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REMANENTE DE TESORERIA PARA GASTOS GENERALES  </w:t>
            </w:r>
          </w:p>
        </w:tc>
        <w:tc>
          <w:tcPr>
            <w:tcW w:w="717"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sz w:val="20"/>
              </w:rPr>
              <w:t xml:space="preserve">4.223.072,19 </w:t>
            </w:r>
          </w:p>
        </w:tc>
      </w:tr>
      <w:tr w:rsidR="00EE0979">
        <w:trPr>
          <w:trHeight w:val="269"/>
        </w:trPr>
        <w:tc>
          <w:tcPr>
            <w:tcW w:w="139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b/>
                <w:sz w:val="20"/>
              </w:rPr>
              <w:t xml:space="preserve">  </w:t>
            </w:r>
          </w:p>
        </w:tc>
        <w:tc>
          <w:tcPr>
            <w:tcW w:w="6074"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7"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b/>
                <w:sz w:val="20"/>
              </w:rPr>
              <w:t xml:space="preserve">4.223.072,19 </w:t>
            </w:r>
          </w:p>
        </w:tc>
      </w:tr>
    </w:tbl>
    <w:p w:rsidR="00EE0979" w:rsidRDefault="00B022A0">
      <w:pPr>
        <w:spacing w:after="43" w:line="259" w:lineRule="auto"/>
        <w:ind w:left="14" w:firstLine="0"/>
        <w:jc w:val="left"/>
      </w:pPr>
      <w:r>
        <w:rPr>
          <w:sz w:val="20"/>
        </w:rPr>
        <w:t xml:space="preserve"> </w:t>
      </w:r>
    </w:p>
    <w:p w:rsidR="00EE0979" w:rsidRDefault="00B022A0">
      <w:pPr>
        <w:spacing w:after="60" w:line="259" w:lineRule="auto"/>
        <w:ind w:left="14" w:firstLine="0"/>
        <w:jc w:val="left"/>
      </w:pPr>
      <w:r>
        <w:rPr>
          <w:sz w:val="20"/>
        </w:rPr>
        <w:t xml:space="preserve"> </w:t>
      </w:r>
    </w:p>
    <w:p w:rsidR="00EE0979" w:rsidRDefault="00B022A0">
      <w:pPr>
        <w:ind w:right="100"/>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r>
        <w:tab/>
        <w:t xml:space="preserve"> </w:t>
      </w:r>
    </w:p>
    <w:p w:rsidR="00EE0979" w:rsidRDefault="00B022A0">
      <w:pPr>
        <w:spacing w:after="4"/>
        <w:ind w:left="9" w:right="42" w:hanging="10"/>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w:t>
      </w:r>
      <w:r>
        <w:t>el boletín oficial de la provincia.”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DICTAMEN FAVORABLE DE LA COMISIÓN INFORMATIVA DE HACIENDA, RECURSOS HUMANOS Y SERVICIOS GENERALES DE 24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4. </w:t>
      </w:r>
    </w:p>
    <w:p w:rsidR="00EE0979" w:rsidRDefault="00B022A0">
      <w:pPr>
        <w:spacing w:after="0" w:line="259" w:lineRule="auto"/>
        <w:ind w:left="14" w:firstLine="0"/>
        <w:jc w:val="left"/>
      </w:pPr>
      <w:r>
        <w:t xml:space="preserve"> </w:t>
      </w:r>
    </w:p>
    <w:p w:rsidR="00EE0979" w:rsidRDefault="00B022A0">
      <w:pPr>
        <w:ind w:right="100"/>
      </w:pPr>
      <w:r>
        <w:t>Los 4 concejales del Grupo Socialista: Doña María Concepción Brito</w:t>
      </w:r>
      <w:r>
        <w:t xml:space="preserve"> Núñez, Don Jorge Baute Delgado, Doña Margarita Eva Tendero Barroso, y Don Olegario Francisco Alonso Bello.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t xml:space="preserve">Abstenciones: 3.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w:t>
      </w:r>
      <w:r>
        <w:t>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14. </w:t>
      </w:r>
    </w:p>
    <w:p w:rsidR="00EE0979" w:rsidRDefault="00B022A0">
      <w:pPr>
        <w:spacing w:after="0" w:line="259" w:lineRule="auto"/>
        <w:ind w:left="14" w:firstLine="0"/>
        <w:jc w:val="left"/>
      </w:pPr>
      <w:r>
        <w:t xml:space="preserve"> </w:t>
      </w:r>
    </w:p>
    <w:p w:rsidR="00EE0979" w:rsidRDefault="00B022A0">
      <w:pPr>
        <w:ind w:right="100"/>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2 concejales del Grupo Popular: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numPr>
          <w:ilvl w:val="0"/>
          <w:numId w:val="38"/>
        </w:numPr>
        <w:ind w:right="100" w:hanging="184"/>
      </w:pPr>
      <w:r>
        <w:t xml:space="preserve">de la concejal 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111"/>
        <w:ind w:right="100"/>
      </w:pPr>
      <w:r>
        <w:t xml:space="preserve">Votos en contra: 0. </w:t>
      </w:r>
    </w:p>
    <w:p w:rsidR="00EE0979" w:rsidRDefault="00B022A0">
      <w:pPr>
        <w:spacing w:after="98" w:line="259" w:lineRule="auto"/>
        <w:ind w:left="14" w:firstLine="0"/>
        <w:jc w:val="left"/>
      </w:pPr>
      <w:r>
        <w:t xml:space="preserve"> </w:t>
      </w:r>
    </w:p>
    <w:p w:rsidR="00EE0979" w:rsidRDefault="00B022A0">
      <w:pPr>
        <w:spacing w:after="109"/>
        <w:ind w:right="100"/>
      </w:pPr>
      <w:r>
        <w:t xml:space="preserve">Abstenciones: 3 </w:t>
      </w:r>
    </w:p>
    <w:p w:rsidR="00EE0979" w:rsidRDefault="00B022A0">
      <w:pPr>
        <w:numPr>
          <w:ilvl w:val="0"/>
          <w:numId w:val="38"/>
        </w:numPr>
        <w:spacing w:after="109"/>
        <w:ind w:right="100" w:hanging="184"/>
      </w:pPr>
      <w:r>
        <w:t xml:space="preserve">de los concejales del Grupo Mixto (CC-PNC): Doña Ángela Cruz Perera y Don Emilio Jesús Atiénzar Armas. </w:t>
      </w:r>
    </w:p>
    <w:p w:rsidR="00EE0979" w:rsidRDefault="00B022A0">
      <w:pPr>
        <w:spacing w:after="0" w:line="259" w:lineRule="auto"/>
        <w:ind w:left="14" w:firstLine="0"/>
        <w:jc w:val="left"/>
      </w:pPr>
      <w:r>
        <w:rPr>
          <w:b/>
        </w:rPr>
        <w:t xml:space="preserve"> </w:t>
      </w:r>
    </w:p>
    <w:p w:rsidR="00EE0979" w:rsidRDefault="00B022A0">
      <w:pPr>
        <w:ind w:right="100"/>
      </w:pPr>
      <w:r>
        <w:t>1 de 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left="1443" w:right="99" w:hanging="10"/>
      </w:pPr>
      <w:r>
        <w:rPr>
          <w:b/>
        </w:rPr>
        <w:t xml:space="preserve">            ACUERDO DEL PLENO DE 26 DE MAYO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PRIMERO. - Aprobar expediente de modificación presupuestaria nº</w:t>
      </w:r>
      <w:r>
        <w:rPr>
          <w:b/>
        </w:rPr>
        <w:t xml:space="preserve"> 4029/2023 de modificación presupuestaria por Créditos extraordinarios financiado con Remanente de Tesorería para gastos generales, por una cantidad total 4.223.072,19 euros, de acuerdo al siguiente detalle:</w:t>
      </w:r>
      <w:r>
        <w:rPr>
          <w:rFonts w:ascii="Times New Roman" w:eastAsia="Times New Roman" w:hAnsi="Times New Roman" w:cs="Times New Roman"/>
          <w:sz w:val="24"/>
        </w:rPr>
        <w:t xml:space="preserve"> </w:t>
      </w:r>
    </w:p>
    <w:p w:rsidR="00EE0979" w:rsidRDefault="00B022A0">
      <w:pPr>
        <w:spacing w:after="12" w:line="228" w:lineRule="auto"/>
        <w:ind w:left="14" w:right="9614" w:firstLine="0"/>
        <w:jc w:val="left"/>
      </w:pPr>
      <w:r>
        <w:t xml:space="preserve"> </w:t>
      </w:r>
      <w:r>
        <w:rPr>
          <w:rFonts w:ascii="Times New Roman" w:eastAsia="Times New Roman" w:hAnsi="Times New Roman" w:cs="Times New Roman"/>
          <w:sz w:val="24"/>
        </w:rPr>
        <w:t xml:space="preserve"> </w:t>
      </w:r>
    </w:p>
    <w:p w:rsidR="00EE0979" w:rsidRDefault="00B022A0">
      <w:pPr>
        <w:tabs>
          <w:tab w:val="center" w:pos="4794"/>
          <w:tab w:val="center" w:pos="8858"/>
        </w:tabs>
        <w:spacing w:after="0" w:line="259" w:lineRule="auto"/>
        <w:ind w:left="0" w:firstLine="0"/>
        <w:jc w:val="left"/>
      </w:pPr>
      <w:r>
        <w:rPr>
          <w:sz w:val="20"/>
        </w:rPr>
        <w:t xml:space="preserve"> </w:t>
      </w:r>
      <w:r>
        <w:rPr>
          <w:sz w:val="20"/>
        </w:rPr>
        <w:tab/>
        <w:t xml:space="preserve">Estado de gastos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9425" w:type="dxa"/>
        <w:tblInd w:w="85" w:type="dxa"/>
        <w:tblCellMar>
          <w:top w:w="7" w:type="dxa"/>
          <w:left w:w="68" w:type="dxa"/>
          <w:bottom w:w="6" w:type="dxa"/>
          <w:right w:w="12" w:type="dxa"/>
        </w:tblCellMar>
        <w:tblLook w:val="04A0" w:firstRow="1" w:lastRow="0" w:firstColumn="1" w:lastColumn="0" w:noHBand="0" w:noVBand="1"/>
      </w:tblPr>
      <w:tblGrid>
        <w:gridCol w:w="1325"/>
        <w:gridCol w:w="6792"/>
        <w:gridCol w:w="1308"/>
      </w:tblGrid>
      <w:tr w:rsidR="00EE0979">
        <w:trPr>
          <w:trHeight w:val="304"/>
        </w:trPr>
        <w:tc>
          <w:tcPr>
            <w:tcW w:w="8117"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1247" w:firstLine="0"/>
              <w:jc w:val="center"/>
            </w:pPr>
            <w:r>
              <w:rPr>
                <w:b/>
                <w:sz w:val="20"/>
              </w:rPr>
              <w:t xml:space="preserve">Proyecto de gasto P 23.3.35 </w:t>
            </w:r>
          </w:p>
        </w:tc>
        <w:tc>
          <w:tcPr>
            <w:tcW w:w="130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469"/>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81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1" w:firstLine="0"/>
              <w:jc w:val="center"/>
            </w:pPr>
            <w:r>
              <w:rPr>
                <w:b/>
                <w:sz w:val="20"/>
              </w:rPr>
              <w:t xml:space="preserve">DENOMINACIÓN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31" w:firstLine="0"/>
              <w:jc w:val="left"/>
            </w:pPr>
            <w:r>
              <w:rPr>
                <w:b/>
                <w:sz w:val="20"/>
              </w:rPr>
              <w:t xml:space="preserve">IMPORTE </w:t>
            </w:r>
          </w:p>
        </w:tc>
      </w:tr>
      <w:tr w:rsidR="00EE0979">
        <w:trPr>
          <w:trHeight w:val="272"/>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17100.62504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RENOVACION PARQUE INFANTIL PUNTA LARGA MULTIAVENTURA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120.395,75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15320,62300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PUNTO DE RECARGA VEHÍCULO ELECTRICO AVENIDA MARITIMA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4.577,99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41500.21001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MANTENIMINETO Y REPARACIÓN VALLADO Y SERVICIOS ASOCIADOS PUERTO PESQUERO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12.198,00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17000.62300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AUTOCONSUMO RENOVABLES SIN ALMACENAMIENTO (FOTOVOLTAICAS)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932.104,01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17000.22712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ASITENCIA TÉCNICA Y REDACCIÓN DE PROYECTOS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31.805,68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16000.60902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 DE SANEAMIENTO del sector sur del núcleo de La Viuda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634.555,24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15100.22716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DIRECCIÓN DE OBRA Y SEGURIDAD Y SALUD OBRA ASCNSOR Y CALLE AMANCE Y MANUEL SABINA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27.431,00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SERVICIOS COMPLEMENTARIOS SEGURIDAD Y EMERGENCIA EVENTOS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62.796,90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45900.61914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PROYECTOS PARA MEJORAS DE ELEMENTOS E INFRAESTRUCTURAS MUNICIPALES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142.565,85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23100.61900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REFORMA Y MEJORA INSTALACIONES DE ATENCIÓN AL PÚBLICO EDIFICIO SERVICIOS SOCIALES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6.159,36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43100.22713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FORMACIÓN, ASESORAMIENTO, REDACCIÓN PROYECTO... "COMERCIO CANDELARIA"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43.870,00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92000.62400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VEHÍCULOS MUNICIPALES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682.320,08 </w:t>
            </w:r>
          </w:p>
        </w:tc>
      </w:tr>
      <w:tr w:rsidR="00EE0979">
        <w:trPr>
          <w:trHeight w:val="471"/>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13500.61900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MEJORA PUERTA PROTECCIÓN CIVIL Y SALIDA EMERGENCIAS CINE VIEJO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7" w:firstLine="0"/>
              <w:jc w:val="right"/>
            </w:pPr>
            <w:r>
              <w:rPr>
                <w:sz w:val="20"/>
              </w:rPr>
              <w:t xml:space="preserve">9.837,83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15320.61902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ASFALTADO DIVERSAS AREAS Y ZONAS MUNICIPIO (PLAN ASFALTADO 1)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773.640,00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49200.62601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ORDENADORES PARA SALA INFORMÁTICA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18.504,49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49200.22713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rPr>
                <w:sz w:val="20"/>
              </w:rPr>
              <w:t xml:space="preserve">REDACCIÓN DE PROYECTO REFORMA INTERIOR OFICINAS SAC Y AEDL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12.781,15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49200.62302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EXTRACCIÓN AIRE DE TALLER IMPRESIÓN DIGITAL CTCAN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2.384,47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34100.22613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EQUIPAMIENTO ESCUELAS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32.505,83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34100.62304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MAQUINARIA Y SUMINISTROS BIOSALUDABLES PARA GIMANSIOS URBANOS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30.001,01 </w:t>
            </w:r>
          </w:p>
        </w:tc>
      </w:tr>
      <w:tr w:rsidR="00EE0979">
        <w:trPr>
          <w:trHeight w:val="271"/>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34100.64100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SOFTWARE DE GESTIÓN MARCADORES DEPORTIVOS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4.900,00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34100.61912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OBRAS EN INSTALACIONES MUNICIPALES DEPORTIVAS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right"/>
            </w:pPr>
            <w:r>
              <w:rPr>
                <w:sz w:val="20"/>
              </w:rPr>
              <w:t xml:space="preserve">311.151,00 </w:t>
            </w:r>
          </w:p>
        </w:tc>
      </w:tr>
      <w:tr w:rsidR="00EE0979">
        <w:trPr>
          <w:trHeight w:val="272"/>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33400,21301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INSTALACIONES ELECTRICAS TEMPORALES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16.050,00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33400.22712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 xml:space="preserve">REDACCIÓN DE ESTUDIOS Y DISEÑOS DE PROYECTOS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20.751,78 </w:t>
            </w:r>
          </w:p>
        </w:tc>
      </w:tr>
      <w:tr w:rsidR="00EE0979">
        <w:trPr>
          <w:trHeight w:val="266"/>
        </w:trPr>
        <w:tc>
          <w:tcPr>
            <w:tcW w:w="1306"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pPr>
            <w:r>
              <w:rPr>
                <w:sz w:val="20"/>
              </w:rPr>
              <w:t xml:space="preserve">33400.62302 </w:t>
            </w:r>
          </w:p>
        </w:tc>
        <w:tc>
          <w:tcPr>
            <w:tcW w:w="6811"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EQUIPOS DE AIRE ACONDICIONADO Y PANTALLAS INFORMATIVAS </w:t>
            </w:r>
          </w:p>
        </w:tc>
        <w:tc>
          <w:tcPr>
            <w:tcW w:w="1308" w:type="dxa"/>
            <w:tcBorders>
              <w:top w:val="nil"/>
              <w:left w:val="single" w:sz="4" w:space="0" w:color="000000"/>
              <w:bottom w:val="single" w:sz="4" w:space="0" w:color="000000"/>
              <w:right w:val="single" w:sz="4" w:space="0" w:color="000000"/>
            </w:tcBorders>
          </w:tcPr>
          <w:p w:rsidR="00EE0979" w:rsidRDefault="00B022A0">
            <w:pPr>
              <w:spacing w:after="0" w:line="259" w:lineRule="auto"/>
              <w:ind w:left="0" w:right="58" w:firstLine="0"/>
              <w:jc w:val="right"/>
            </w:pPr>
            <w:r>
              <w:rPr>
                <w:sz w:val="20"/>
              </w:rPr>
              <w:t xml:space="preserve">39.031,03 </w:t>
            </w:r>
          </w:p>
        </w:tc>
      </w:tr>
      <w:tr w:rsidR="00EE0979">
        <w:trPr>
          <w:trHeight w:val="468"/>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33400.61903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OBRAS DE REFORMA Y REHABILITACION DE ESPACIOS CULTURALES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109.598,27 </w:t>
            </w:r>
          </w:p>
        </w:tc>
      </w:tr>
      <w:tr w:rsidR="00EE0979">
        <w:trPr>
          <w:trHeight w:val="470"/>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pPr>
            <w:r>
              <w:rPr>
                <w:sz w:val="20"/>
              </w:rPr>
              <w:t xml:space="preserve">33400.62501 </w:t>
            </w:r>
          </w:p>
        </w:tc>
        <w:tc>
          <w:tcPr>
            <w:tcW w:w="681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sz w:val="20"/>
              </w:rPr>
              <w:t xml:space="preserve">MOBILIARIO ARCHIVOS HISTÓRICO Y ACTOS CULTURALES, ENSERES Y ESCULTURAS </w:t>
            </w:r>
          </w:p>
        </w:tc>
        <w:tc>
          <w:tcPr>
            <w:tcW w:w="130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58" w:firstLine="0"/>
              <w:jc w:val="right"/>
            </w:pPr>
            <w:r>
              <w:rPr>
                <w:sz w:val="20"/>
              </w:rPr>
              <w:t xml:space="preserve">141.155,47 </w:t>
            </w:r>
          </w:p>
        </w:tc>
      </w:tr>
      <w:tr w:rsidR="00EE0979">
        <w:trPr>
          <w:trHeight w:val="271"/>
        </w:trPr>
        <w:tc>
          <w:tcPr>
            <w:tcW w:w="8117" w:type="dxa"/>
            <w:gridSpan w:val="2"/>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2" w:firstLine="0"/>
              <w:jc w:val="right"/>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pPr>
            <w:r>
              <w:rPr>
                <w:b/>
                <w:sz w:val="20"/>
              </w:rPr>
              <w:t xml:space="preserve">4.223.072,19 </w:t>
            </w:r>
          </w:p>
        </w:tc>
      </w:tr>
    </w:tbl>
    <w:p w:rsidR="00EE0979" w:rsidRDefault="00B022A0">
      <w:pPr>
        <w:spacing w:after="22" w:line="259" w:lineRule="auto"/>
        <w:ind w:left="0" w:right="37" w:firstLine="0"/>
        <w:jc w:val="center"/>
      </w:pPr>
      <w:r>
        <w:rPr>
          <w:b/>
          <w:sz w:val="20"/>
        </w:rPr>
        <w:t xml:space="preserve"> </w:t>
      </w:r>
      <w:r>
        <w:rPr>
          <w:sz w:val="20"/>
        </w:rPr>
        <w:t xml:space="preserve"> </w:t>
      </w:r>
      <w:r>
        <w:rPr>
          <w:sz w:val="20"/>
        </w:rPr>
        <w:tab/>
        <w:t xml:space="preserve"> </w:t>
      </w:r>
    </w:p>
    <w:p w:rsidR="00EE0979" w:rsidRDefault="00B022A0">
      <w:pPr>
        <w:tabs>
          <w:tab w:val="center" w:pos="4796"/>
          <w:tab w:val="center" w:pos="8858"/>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9425" w:type="dxa"/>
        <w:tblInd w:w="85" w:type="dxa"/>
        <w:tblCellMar>
          <w:top w:w="7" w:type="dxa"/>
          <w:left w:w="0" w:type="dxa"/>
          <w:bottom w:w="9" w:type="dxa"/>
          <w:right w:w="12" w:type="dxa"/>
        </w:tblCellMar>
        <w:tblLook w:val="04A0" w:firstRow="1" w:lastRow="0" w:firstColumn="1" w:lastColumn="0" w:noHBand="0" w:noVBand="1"/>
      </w:tblPr>
      <w:tblGrid>
        <w:gridCol w:w="1306"/>
        <w:gridCol w:w="6093"/>
        <w:gridCol w:w="718"/>
        <w:gridCol w:w="1308"/>
      </w:tblGrid>
      <w:tr w:rsidR="00EE0979">
        <w:trPr>
          <w:trHeight w:val="467"/>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6093"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25" w:firstLine="0"/>
              <w:jc w:val="center"/>
            </w:pPr>
            <w:r>
              <w:rPr>
                <w:b/>
                <w:sz w:val="20"/>
              </w:rPr>
              <w:t xml:space="preserve">DENOMINACIÓN </w:t>
            </w:r>
          </w:p>
        </w:tc>
        <w:tc>
          <w:tcPr>
            <w:tcW w:w="71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99" w:firstLine="0"/>
              <w:jc w:val="left"/>
            </w:pPr>
            <w:r>
              <w:rPr>
                <w:b/>
                <w:sz w:val="20"/>
              </w:rPr>
              <w:t xml:space="preserve">IMPORTE </w:t>
            </w:r>
          </w:p>
        </w:tc>
      </w:tr>
      <w:tr w:rsidR="00EE0979">
        <w:trPr>
          <w:trHeight w:val="272"/>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sz w:val="20"/>
              </w:rPr>
              <w:t xml:space="preserve">87000 </w:t>
            </w:r>
          </w:p>
        </w:tc>
        <w:tc>
          <w:tcPr>
            <w:tcW w:w="6093"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REMANENTE DE TESORERIA PARA GASTOS GENERALES  </w:t>
            </w:r>
          </w:p>
        </w:tc>
        <w:tc>
          <w:tcPr>
            <w:tcW w:w="718"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sz w:val="20"/>
              </w:rPr>
              <w:t xml:space="preserve">4.223.072,19 </w:t>
            </w:r>
          </w:p>
        </w:tc>
      </w:tr>
      <w:tr w:rsidR="00EE0979">
        <w:trPr>
          <w:trHeight w:val="269"/>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b/>
                <w:sz w:val="20"/>
              </w:rPr>
              <w:t xml:space="preserve">  </w:t>
            </w:r>
          </w:p>
        </w:tc>
        <w:tc>
          <w:tcPr>
            <w:tcW w:w="6093"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8"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2" w:firstLine="0"/>
            </w:pPr>
            <w:r>
              <w:rPr>
                <w:b/>
                <w:sz w:val="20"/>
              </w:rPr>
              <w:t xml:space="preserve">4.223.072,19 </w:t>
            </w:r>
          </w:p>
        </w:tc>
      </w:tr>
    </w:tbl>
    <w:p w:rsidR="00EE0979" w:rsidRDefault="00B022A0">
      <w:pPr>
        <w:spacing w:after="74" w:line="259" w:lineRule="auto"/>
        <w:ind w:left="14" w:firstLine="0"/>
        <w:jc w:val="left"/>
      </w:pPr>
      <w:r>
        <w:rPr>
          <w:sz w:val="20"/>
        </w:rPr>
        <w:t xml:space="preserve"> </w:t>
      </w:r>
    </w:p>
    <w:p w:rsidR="00EE0979" w:rsidRDefault="00B022A0">
      <w:pPr>
        <w:spacing w:after="21" w:line="259" w:lineRule="auto"/>
        <w:ind w:left="14"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SEGUNDO. -</w:t>
      </w:r>
      <w:r>
        <w:t xml:space="preserve"> </w:t>
      </w:r>
      <w:r>
        <w:rPr>
          <w:b/>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r>
        <w:rPr>
          <w:b/>
        </w:rPr>
        <w:tab/>
        <w:t xml:space="preserve"> </w:t>
      </w:r>
    </w:p>
    <w:p w:rsidR="00EE0979" w:rsidRDefault="00B022A0">
      <w:pPr>
        <w:spacing w:after="159"/>
        <w:ind w:right="99" w:hanging="10"/>
      </w:pPr>
      <w:r>
        <w:rPr>
          <w:b/>
        </w:rPr>
        <w:t>TERCERO. - El expediente se considerará def</w:t>
      </w:r>
      <w:r>
        <w:rPr>
          <w:b/>
        </w:rPr>
        <w:t>initivamente aprobado si durante el citado plazo no se hubiesen presentado reclamaciones, en caso contrario el Pleno dispondrá de un mes para resolverlas. El expediente</w:t>
      </w:r>
      <w:r>
        <w:t xml:space="preserve"> </w:t>
      </w:r>
      <w:r>
        <w:rPr>
          <w:b/>
        </w:rPr>
        <w:t>definitivamente aprobado, será insertado en el boletín oficial de la provincia.</w:t>
      </w:r>
      <w:r>
        <w:t xml:space="preserve"> </w:t>
      </w:r>
    </w:p>
    <w:p w:rsidR="00EE0979" w:rsidRDefault="00B022A0">
      <w:pPr>
        <w:spacing w:after="0" w:line="426" w:lineRule="auto"/>
        <w:ind w:left="14" w:right="9614" w:firstLine="0"/>
        <w:jc w:val="left"/>
      </w:pPr>
      <w:r>
        <w:rPr>
          <w:i/>
          <w:color w:val="222222"/>
        </w:rPr>
        <w:t xml:space="preserve">    </w:t>
      </w:r>
    </w:p>
    <w:p w:rsidR="00EE0979" w:rsidRDefault="00B022A0">
      <w:pPr>
        <w:spacing w:after="178"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0" w:line="427" w:lineRule="auto"/>
        <w:ind w:left="14" w:right="9614" w:firstLine="0"/>
        <w:jc w:val="left"/>
      </w:pPr>
      <w:r>
        <w:rPr>
          <w:i/>
          <w:color w:val="222222"/>
        </w:rPr>
        <w:t xml:space="preserve">  </w:t>
      </w:r>
    </w:p>
    <w:p w:rsidR="00EE0979" w:rsidRDefault="00B022A0">
      <w:pPr>
        <w:spacing w:after="148" w:line="259" w:lineRule="auto"/>
        <w:ind w:left="14" w:firstLine="0"/>
        <w:jc w:val="left"/>
      </w:pPr>
      <w:r>
        <w:rPr>
          <w:i/>
          <w:color w:val="222222"/>
        </w:rPr>
        <w:t xml:space="preserve"> </w:t>
      </w:r>
    </w:p>
    <w:p w:rsidR="00EE0979" w:rsidRDefault="00B022A0">
      <w:pPr>
        <w:spacing w:after="91" w:line="250" w:lineRule="auto"/>
        <w:ind w:left="9" w:right="102" w:hanging="10"/>
      </w:pPr>
      <w:r>
        <w:rPr>
          <w:b/>
          <w:sz w:val="24"/>
        </w:rPr>
        <w:t xml:space="preserve">8.- Expediente 2118/2021. Propuesta de la Alcaldesa-Presidenta de 14 de abril de 2023 al Pleno de subsanación de la toma de conocimiento del documento ambiental del PAMU Tenerife Tour S.A. </w:t>
      </w:r>
    </w:p>
    <w:p w:rsidR="00EE0979" w:rsidRDefault="00B022A0">
      <w:pPr>
        <w:spacing w:after="79" w:line="259" w:lineRule="auto"/>
        <w:ind w:left="14" w:firstLine="0"/>
        <w:jc w:val="left"/>
      </w:pPr>
      <w:r>
        <w:rPr>
          <w:b/>
          <w:sz w:val="24"/>
        </w:rPr>
        <w:t xml:space="preserve"> </w:t>
      </w:r>
    </w:p>
    <w:p w:rsidR="00EE0979" w:rsidRDefault="00B022A0">
      <w:pPr>
        <w:spacing w:after="114"/>
        <w:ind w:right="99" w:hanging="10"/>
      </w:pPr>
      <w:r>
        <w:rPr>
          <w:b/>
        </w:rPr>
        <w:t>Consta en el expediente Informe Técnico emitido por Doña Nayra Guzmán Hernández, Arquitecta Municipal, de 13 de abril de 2023, del siguiente tenor literal:</w:t>
      </w:r>
      <w:r>
        <w:t xml:space="preserve"> </w:t>
      </w:r>
    </w:p>
    <w:p w:rsidR="00EE0979" w:rsidRDefault="00B022A0">
      <w:pPr>
        <w:spacing w:after="100" w:line="259" w:lineRule="auto"/>
        <w:ind w:left="14" w:firstLine="0"/>
        <w:jc w:val="left"/>
      </w:pPr>
      <w:r>
        <w:rPr>
          <w:b/>
          <w:color w:val="2F3E4D"/>
        </w:rPr>
        <w:t xml:space="preserve"> </w:t>
      </w:r>
    </w:p>
    <w:p w:rsidR="00EE0979" w:rsidRDefault="00B022A0">
      <w:pPr>
        <w:spacing w:after="114"/>
        <w:ind w:right="100"/>
      </w:pPr>
      <w:r>
        <w:t xml:space="preserve">“Visto el expediente antedicho, Nayra Guzmán Hernández, arquitecta municipal, emite el siguiente </w:t>
      </w:r>
      <w:r>
        <w:t xml:space="preserve">informe:  </w:t>
      </w:r>
    </w:p>
    <w:p w:rsidR="00EE0979" w:rsidRDefault="00B022A0">
      <w:pPr>
        <w:spacing w:after="95" w:line="259" w:lineRule="auto"/>
        <w:ind w:left="14" w:firstLine="0"/>
        <w:jc w:val="left"/>
      </w:pPr>
      <w:r>
        <w:t xml:space="preserve"> </w:t>
      </w:r>
    </w:p>
    <w:p w:rsidR="00EE0979" w:rsidRDefault="00B022A0">
      <w:pPr>
        <w:spacing w:after="130"/>
        <w:ind w:right="99" w:hanging="10"/>
      </w:pPr>
      <w:r>
        <w:rPr>
          <w:b/>
        </w:rPr>
        <w:t>ANTECEDENTES:</w:t>
      </w:r>
      <w: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numPr>
          <w:ilvl w:val="0"/>
          <w:numId w:val="39"/>
        </w:numPr>
        <w:spacing w:after="164"/>
        <w:ind w:right="100" w:hanging="360"/>
      </w:pPr>
      <w:r>
        <w:t>Con fecha 15 de enero de 2021 se remite oficio a la Consejería de Transición Ecológica, Lucha Contra el Cambio Climático y Planificación Territorial para el inicio del procedimiento de evaluación ambiental estratégica para el procedimiento de aprobación de</w:t>
      </w:r>
      <w:r>
        <w:t xml:space="preserve">l programa de actuación sobre el medio urbano de iniciativa privada, presentado por Tenerife Tour, S.A.”; y al que se adjunta un ejemplar en soporte digital del documento técnico, así como del documento ambiental estratégico. </w:t>
      </w:r>
    </w:p>
    <w:p w:rsidR="00EE0979" w:rsidRDefault="00B022A0">
      <w:pPr>
        <w:spacing w:after="0" w:line="259" w:lineRule="auto"/>
        <w:ind w:left="734" w:firstLine="0"/>
        <w:jc w:val="left"/>
      </w:pPr>
      <w:r>
        <w:t xml:space="preserve"> </w:t>
      </w:r>
    </w:p>
    <w:p w:rsidR="00EE0979" w:rsidRDefault="00B022A0">
      <w:pPr>
        <w:numPr>
          <w:ilvl w:val="0"/>
          <w:numId w:val="39"/>
        </w:numPr>
        <w:spacing w:after="165"/>
        <w:ind w:right="100" w:hanging="360"/>
      </w:pPr>
      <w:r>
        <w:t>Con fecha 27 de enero de 20</w:t>
      </w:r>
      <w:r>
        <w:t>21 y registro de entrada 2021-E-RC-866 se recibe Resolución del Viceconsejero de Planificación Territorial y Transición Ecológica relativa a Requerimiento de subsanación de la documentación en relación a la solicitud de inicio del Procedimiento de Evaluaci</w:t>
      </w:r>
      <w:r>
        <w:t xml:space="preserve">ón Ambiental Estratégica Simplificada de Programa de Actuación sobre el Medio Urbano en el Término Municipal de la Villa de Candelaria. </w:t>
      </w:r>
    </w:p>
    <w:p w:rsidR="00EE0979" w:rsidRDefault="00B022A0">
      <w:pPr>
        <w:spacing w:after="0" w:line="259" w:lineRule="auto"/>
        <w:ind w:left="14" w:firstLine="0"/>
        <w:jc w:val="left"/>
      </w:pPr>
      <w:r>
        <w:t xml:space="preserve"> </w:t>
      </w:r>
    </w:p>
    <w:p w:rsidR="00EE0979" w:rsidRDefault="00B022A0">
      <w:pPr>
        <w:numPr>
          <w:ilvl w:val="0"/>
          <w:numId w:val="39"/>
        </w:numPr>
        <w:spacing w:after="160"/>
        <w:ind w:right="100" w:hanging="360"/>
      </w:pPr>
      <w:r>
        <w:t>Con fecha 4 de marzo de 2021 y registro 2021-E-RC-2291 se presenta por Tenerife Tour S.A. documentación de subsanació</w:t>
      </w:r>
      <w:r>
        <w:t xml:space="preserve">n. </w:t>
      </w:r>
    </w:p>
    <w:p w:rsidR="00EE0979" w:rsidRDefault="00B022A0">
      <w:pPr>
        <w:spacing w:after="0" w:line="259" w:lineRule="auto"/>
        <w:ind w:left="14" w:firstLine="0"/>
        <w:jc w:val="left"/>
      </w:pPr>
      <w:r>
        <w:t xml:space="preserve"> </w:t>
      </w:r>
    </w:p>
    <w:p w:rsidR="00EE0979" w:rsidRDefault="00B022A0">
      <w:pPr>
        <w:numPr>
          <w:ilvl w:val="0"/>
          <w:numId w:val="39"/>
        </w:numPr>
        <w:spacing w:after="162"/>
        <w:ind w:right="100" w:hanging="360"/>
      </w:pPr>
      <w:r>
        <w:t>Con fecha 16 de abril de 2021 y registro 2021-E-RC-4037 se recibe Resolución del Viceconsejero de Planificación Territorial y Transición Ecológica relativa a la solicitud de inicio del Procedimiento de Evaluación Ambiental Estratégica Simplificada, e</w:t>
      </w:r>
      <w:r>
        <w:t xml:space="preserve">n el que se requiere la siguiente documentación: </w:t>
      </w:r>
    </w:p>
    <w:p w:rsidR="00EE0979" w:rsidRDefault="00B022A0">
      <w:pPr>
        <w:spacing w:after="114" w:line="259" w:lineRule="auto"/>
        <w:ind w:left="14" w:firstLine="0"/>
        <w:jc w:val="left"/>
      </w:pPr>
      <w:r>
        <w:rPr>
          <w:b/>
          <w:color w:val="2F3E4D"/>
        </w:rPr>
        <w:t xml:space="preserve"> </w:t>
      </w:r>
    </w:p>
    <w:p w:rsidR="00EE0979" w:rsidRDefault="00B022A0">
      <w:pPr>
        <w:ind w:left="9" w:right="98" w:hanging="10"/>
      </w:pPr>
      <w:r>
        <w:rPr>
          <w:b/>
          <w:i/>
        </w:rPr>
        <w:t>“…1. Respecto la diligencia de la documentación técnica:</w:t>
      </w:r>
      <w:r>
        <w:rPr>
          <w:i/>
        </w:rPr>
        <w:t xml:space="preserve"> En el soporte digital presentado en fecha 25 de marzo de 2021, cada uno de los archivos se encuentra firmado electrónicamente por la persona titula</w:t>
      </w:r>
      <w:r>
        <w:rPr>
          <w:i/>
        </w:rPr>
        <w:t>r de la Secretaría de la corporación local, si bien sin diligenciar, al no relacionarlo con el acuerdo municipal correspondiente o, en su caso, con el documento efectivamente presentado por la iniciativa privada en sede municipal.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40"/>
        </w:numPr>
        <w:spacing w:after="10" w:line="248" w:lineRule="auto"/>
        <w:ind w:right="95" w:hanging="247"/>
      </w:pPr>
      <w:r>
        <w:rPr>
          <w:b/>
          <w:i/>
        </w:rPr>
        <w:t xml:space="preserve">Respecto la firma de la documentación técnica: </w:t>
      </w:r>
    </w:p>
    <w:p w:rsidR="00EE0979" w:rsidRDefault="00B022A0">
      <w:pPr>
        <w:spacing w:after="0" w:line="259" w:lineRule="auto"/>
        <w:ind w:left="14" w:firstLine="0"/>
        <w:jc w:val="left"/>
      </w:pPr>
      <w:r>
        <w:rPr>
          <w:b/>
          <w:i/>
        </w:rPr>
        <w:t xml:space="preserve"> </w:t>
      </w:r>
    </w:p>
    <w:p w:rsidR="00EE0979" w:rsidRDefault="00B022A0">
      <w:pPr>
        <w:numPr>
          <w:ilvl w:val="1"/>
          <w:numId w:val="40"/>
        </w:numPr>
        <w:ind w:right="98" w:hanging="10"/>
      </w:pPr>
      <w:r>
        <w:rPr>
          <w:i/>
        </w:rPr>
        <w:t>En el archivo borrador presentado en fecha 25 de marzo de 2021 consta una firma manuscrita y posteriormente escaneada en la última página del documento (página 48). Sin embargo, la firma del autor también debe presentarse en formato electrónico, de conform</w:t>
      </w:r>
      <w:r>
        <w:rPr>
          <w:i/>
        </w:rPr>
        <w:t>idad con el artículo 14 de la Ley 39/2015, de 1 de octubre, del Procedimiento Administrativo Común de las Administraciones Públicas.</w:t>
      </w:r>
      <w:r>
        <w:rPr>
          <w:rFonts w:ascii="Times New Roman" w:eastAsia="Times New Roman" w:hAnsi="Times New Roman" w:cs="Times New Roman"/>
          <w:sz w:val="24"/>
        </w:rPr>
        <w:t xml:space="preserve"> </w:t>
      </w:r>
    </w:p>
    <w:p w:rsidR="00EE0979" w:rsidRDefault="00B022A0">
      <w:pPr>
        <w:ind w:left="9" w:right="98" w:hanging="10"/>
      </w:pPr>
      <w:r>
        <w:rPr>
          <w:i/>
        </w:rPr>
        <w:t>Además, en la documentación presentada en fecha 18 de enero de 2021, junto al archivo borrador y al documento ambiental es</w:t>
      </w:r>
      <w:r>
        <w:rPr>
          <w:i/>
        </w:rPr>
        <w:t xml:space="preserve">tratégico, constaba la presentación de dos archivos más: uno denominado “anteproyecto” y otro denominado “planimetría”; en éste último figuraba una autoría distinta de la que ahora suscribe de forma manuscrita el borrador. </w:t>
      </w:r>
    </w:p>
    <w:p w:rsidR="00EE0979" w:rsidRDefault="00B022A0">
      <w:pPr>
        <w:ind w:left="9" w:right="98" w:hanging="10"/>
      </w:pPr>
      <w:r>
        <w:rPr>
          <w:i/>
        </w:rPr>
        <w:t>Finalmente, en el archivo borrad</w:t>
      </w:r>
      <w:r>
        <w:rPr>
          <w:i/>
        </w:rPr>
        <w:t>or presentado en fecha 25 de marzo de 2021 no figuran los planos presentados en fecha 18 de enero de 2021 en el archivo denominado “planimetría”, ni tampoco el contenido del archivo denominado “anteproyecto”. Además, se detecta que en aquellos planos prese</w:t>
      </w:r>
      <w:r>
        <w:rPr>
          <w:i/>
        </w:rPr>
        <w:t xml:space="preserve">ntados en fecha 18 de enero de 2021 figuraban dos planos distintos relativos a la alternativa 2 (plano n.º 4 y plano n.º 5), mientras que el epígrafe 8.3 del borrador sólo se refiere a una sola alternativa 2. </w:t>
      </w:r>
    </w:p>
    <w:p w:rsidR="00EE0979" w:rsidRDefault="00B022A0">
      <w:pPr>
        <w:spacing w:after="0" w:line="259" w:lineRule="auto"/>
        <w:ind w:left="14" w:firstLine="0"/>
        <w:jc w:val="left"/>
      </w:pPr>
      <w:r>
        <w:rPr>
          <w:i/>
        </w:rPr>
        <w:t xml:space="preserve"> </w:t>
      </w:r>
    </w:p>
    <w:p w:rsidR="00EE0979" w:rsidRDefault="00B022A0">
      <w:pPr>
        <w:numPr>
          <w:ilvl w:val="1"/>
          <w:numId w:val="40"/>
        </w:numPr>
        <w:ind w:right="98" w:hanging="10"/>
      </w:pPr>
      <w:r>
        <w:rPr>
          <w:i/>
        </w:rPr>
        <w:t>Por otro lado, en el archivo del documento a</w:t>
      </w:r>
      <w:r>
        <w:rPr>
          <w:i/>
        </w:rPr>
        <w:t>mbiental estratégico no consta la firma electrónica del autor entre las propiedades del archivo, junto a la de la persona titular de la Secretaría de la corporación local, aún a pesar de figurar el aspecto correspondiente a un proceso de firma digital…”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2"/>
          <w:numId w:val="40"/>
        </w:numPr>
        <w:spacing w:after="163"/>
        <w:ind w:right="100" w:hanging="360"/>
      </w:pPr>
      <w:r>
        <w:t xml:space="preserve">Con fecha 5 de mayo de 2021 y registro de entrada 2021-E-RC-4659 se presenta por Tenerife Tour S.A documentación para dar cumplimiento al requerimiento anterior </w:t>
      </w:r>
    </w:p>
    <w:p w:rsidR="00EE0979" w:rsidRDefault="00B022A0">
      <w:pPr>
        <w:spacing w:after="0" w:line="259" w:lineRule="auto"/>
        <w:ind w:left="734" w:firstLine="0"/>
        <w:jc w:val="left"/>
      </w:pPr>
      <w:r>
        <w:t xml:space="preserve"> </w:t>
      </w:r>
    </w:p>
    <w:p w:rsidR="00EE0979" w:rsidRDefault="00B022A0">
      <w:pPr>
        <w:numPr>
          <w:ilvl w:val="2"/>
          <w:numId w:val="40"/>
        </w:numPr>
        <w:spacing w:after="163"/>
        <w:ind w:right="100" w:hanging="360"/>
      </w:pPr>
      <w:r>
        <w:t>Con fecha 10 de mayo de 2021 y registro de salida 2021-S-RE-1643 se emite requerimiento por</w:t>
      </w:r>
      <w:r>
        <w:t xml:space="preserve"> parte del Ayuntamiento a la documentación presentada por Tenerife Tour. </w:t>
      </w:r>
    </w:p>
    <w:p w:rsidR="00EE0979" w:rsidRDefault="00B022A0">
      <w:pPr>
        <w:spacing w:after="0" w:line="259" w:lineRule="auto"/>
        <w:ind w:left="734" w:firstLine="0"/>
        <w:jc w:val="left"/>
      </w:pPr>
      <w:r>
        <w:t xml:space="preserve"> </w:t>
      </w:r>
    </w:p>
    <w:p w:rsidR="00EE0979" w:rsidRDefault="00B022A0">
      <w:pPr>
        <w:numPr>
          <w:ilvl w:val="2"/>
          <w:numId w:val="40"/>
        </w:numPr>
        <w:spacing w:after="160"/>
        <w:ind w:right="100" w:hanging="360"/>
      </w:pPr>
      <w:r>
        <w:t xml:space="preserve">Con fecha 12 de enero de 2023 y registro de entrada 2023-E-RC 273 Tenerife Tour, presenta documentación en contestación al requerimiento realizado </w:t>
      </w:r>
    </w:p>
    <w:p w:rsidR="00EE0979" w:rsidRDefault="00B022A0">
      <w:pPr>
        <w:spacing w:after="0" w:line="259" w:lineRule="auto"/>
        <w:ind w:left="734" w:firstLine="0"/>
        <w:jc w:val="left"/>
      </w:pPr>
      <w:r>
        <w:t xml:space="preserve"> </w:t>
      </w:r>
    </w:p>
    <w:p w:rsidR="00EE0979" w:rsidRDefault="00B022A0">
      <w:pPr>
        <w:numPr>
          <w:ilvl w:val="2"/>
          <w:numId w:val="40"/>
        </w:numPr>
        <w:spacing w:after="163"/>
        <w:ind w:right="100" w:hanging="360"/>
      </w:pPr>
      <w:r>
        <w:t>Con fecha 23 de febrero el Ple</w:t>
      </w:r>
      <w:r>
        <w:t xml:space="preserve">no municipal toma conocimiento de la documentación requerida </w:t>
      </w:r>
    </w:p>
    <w:p w:rsidR="00EE0979" w:rsidRDefault="00B022A0">
      <w:pPr>
        <w:spacing w:after="0" w:line="259" w:lineRule="auto"/>
        <w:ind w:left="734" w:firstLine="0"/>
        <w:jc w:val="left"/>
      </w:pPr>
      <w:r>
        <w:t xml:space="preserve"> </w:t>
      </w:r>
    </w:p>
    <w:p w:rsidR="00EE0979" w:rsidRDefault="00B022A0">
      <w:pPr>
        <w:numPr>
          <w:ilvl w:val="2"/>
          <w:numId w:val="40"/>
        </w:numPr>
        <w:spacing w:after="164"/>
        <w:ind w:right="100" w:hanging="360"/>
      </w:pPr>
      <w:r>
        <w:t xml:space="preserve">Con fecha 27 de febrero de 2023 y registro de salida 2023-S-RC-747 se remite la documentación requerida a Dirección General de Planificación Territorial, Transición Ecológica y Aguas. </w:t>
      </w:r>
    </w:p>
    <w:p w:rsidR="00EE0979" w:rsidRDefault="00B022A0">
      <w:pPr>
        <w:spacing w:after="0" w:line="259" w:lineRule="auto"/>
        <w:ind w:left="734" w:firstLine="0"/>
        <w:jc w:val="left"/>
      </w:pPr>
      <w:r>
        <w:t xml:space="preserve"> </w:t>
      </w:r>
    </w:p>
    <w:p w:rsidR="00EE0979" w:rsidRDefault="00B022A0">
      <w:pPr>
        <w:numPr>
          <w:ilvl w:val="2"/>
          <w:numId w:val="40"/>
        </w:numPr>
        <w:spacing w:after="165"/>
        <w:ind w:right="100" w:hanging="360"/>
      </w:pPr>
      <w:r>
        <w:t xml:space="preserve">Con fecha 23 de marzo y registro de entrada 2023-E-RC-3512, se recibe Resolución 99/2023 de 22.03.2023 del V. Lucha C.C.C. y Transición. Ecológico requerimiento la Subsanación del documento. S/ E.A.E. Simplificada de P.A.M.U. Candelaria. (Tenerife Tour) </w:t>
      </w:r>
    </w:p>
    <w:p w:rsidR="00EE0979" w:rsidRDefault="00B022A0">
      <w:pPr>
        <w:numPr>
          <w:ilvl w:val="2"/>
          <w:numId w:val="40"/>
        </w:numPr>
        <w:ind w:right="100" w:hanging="360"/>
      </w:pPr>
      <w:r>
        <w:t>C</w:t>
      </w:r>
      <w:r>
        <w:t xml:space="preserve">on fecha 5 de abril de 2023 y registro de entrada 2023-E-RE-2898, MONTERO ARAMBURU SLP, presenta la documentación requerida.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INFORME </w:t>
      </w:r>
    </w:p>
    <w:p w:rsidR="00EE0979" w:rsidRDefault="00B022A0">
      <w:pPr>
        <w:spacing w:after="0" w:line="259" w:lineRule="auto"/>
        <w:ind w:left="14" w:firstLine="0"/>
        <w:jc w:val="left"/>
      </w:pPr>
      <w:r>
        <w:rPr>
          <w:b/>
        </w:rPr>
        <w:t xml:space="preserve"> </w:t>
      </w:r>
    </w:p>
    <w:p w:rsidR="00EE0979" w:rsidRDefault="00B022A0">
      <w:pPr>
        <w:ind w:right="100"/>
      </w:pPr>
      <w:r>
        <w:t>Se toma conocimiento de la documentación presentada con fecha 5 de abril de 2023 y registro de entrada 2023-E-RE-2898</w:t>
      </w:r>
      <w:r>
        <w:t xml:space="preserve">, aportada por Montero Aramburu SLP en representación de Tenerife Tour S.A, para continuar con el trámite de inicio del Procedimiento de Evaluación Ambiental Estratégica Simplificada y dar cumplimiento al requerimiento emitido por resolución 99/2023 de 22 </w:t>
      </w:r>
      <w:r>
        <w:t xml:space="preserve">de marzo de 2023 del Viceconsejero de Planificación Territorial y Transición Ecológica. </w:t>
      </w:r>
    </w:p>
    <w:p w:rsidR="00EE0979" w:rsidRDefault="00B022A0">
      <w:pPr>
        <w:spacing w:after="0" w:line="259" w:lineRule="auto"/>
        <w:ind w:left="14" w:firstLine="0"/>
        <w:jc w:val="left"/>
      </w:pPr>
      <w:r>
        <w:t xml:space="preserve"> </w:t>
      </w:r>
    </w:p>
    <w:p w:rsidR="00EE0979" w:rsidRDefault="00B022A0">
      <w:pPr>
        <w:ind w:right="100"/>
      </w:pPr>
      <w:r>
        <w:t xml:space="preserve">La documentación requerida relativa al Programa de Actuación sobre el Medio Urbano, consta del siguiente documento: </w:t>
      </w:r>
    </w:p>
    <w:p w:rsidR="00EE0979" w:rsidRDefault="00B022A0">
      <w:pPr>
        <w:spacing w:after="14" w:line="259" w:lineRule="auto"/>
        <w:ind w:left="14" w:firstLine="0"/>
        <w:jc w:val="left"/>
      </w:pPr>
      <w:r>
        <w:t xml:space="preserve"> </w:t>
      </w:r>
    </w:p>
    <w:p w:rsidR="00EE0979" w:rsidRDefault="00B022A0">
      <w:pPr>
        <w:numPr>
          <w:ilvl w:val="2"/>
          <w:numId w:val="40"/>
        </w:numPr>
        <w:spacing w:after="180"/>
        <w:ind w:right="100" w:hanging="360"/>
      </w:pPr>
      <w:r>
        <w:t xml:space="preserve">Documento ambiental estratégico” </w:t>
      </w:r>
    </w:p>
    <w:p w:rsidR="00EE0979" w:rsidRDefault="00B022A0">
      <w:pPr>
        <w:spacing w:after="98" w:line="259" w:lineRule="auto"/>
        <w:ind w:left="14" w:firstLine="0"/>
        <w:jc w:val="left"/>
      </w:pPr>
      <w:r>
        <w:rPr>
          <w:b/>
          <w:color w:val="2F3E4D"/>
        </w:rPr>
        <w:t xml:space="preserve"> </w:t>
      </w:r>
    </w:p>
    <w:p w:rsidR="00EE0979" w:rsidRDefault="00B022A0">
      <w:pPr>
        <w:spacing w:after="100" w:line="259" w:lineRule="auto"/>
        <w:ind w:left="14" w:firstLine="0"/>
        <w:jc w:val="left"/>
      </w:pPr>
      <w:r>
        <w:rPr>
          <w:b/>
        </w:rPr>
        <w:t xml:space="preserve"> </w:t>
      </w:r>
    </w:p>
    <w:p w:rsidR="00EE0979" w:rsidRDefault="00B022A0">
      <w:pPr>
        <w:spacing w:after="98" w:line="259" w:lineRule="auto"/>
        <w:ind w:left="14" w:firstLine="0"/>
        <w:jc w:val="left"/>
      </w:pPr>
      <w:r>
        <w:rPr>
          <w:b/>
        </w:rPr>
        <w:t xml:space="preserve"> </w:t>
      </w:r>
    </w:p>
    <w:p w:rsidR="00EE0979" w:rsidRDefault="00B022A0">
      <w:pPr>
        <w:spacing w:after="114"/>
        <w:ind w:right="99" w:hanging="10"/>
      </w:pPr>
      <w:r>
        <w:rPr>
          <w:b/>
        </w:rPr>
        <w:t>Consta en el expediente informe jurídico emitido por Doña Olga Fernández MéndezBencomo, que desempeña el puesto de trabajo de Técnica Jurista, de 13 de abril de 2023 debidamente conformado por D. Octavio Manuel Fernández Hernández, Secretario General, de f</w:t>
      </w:r>
      <w:r>
        <w:rPr>
          <w:b/>
        </w:rPr>
        <w:t>echa 13 de abril de 2023, del siguiente tenor literal:</w:t>
      </w:r>
      <w:r>
        <w:t xml:space="preserve"> </w:t>
      </w:r>
    </w:p>
    <w:p w:rsidR="00EE0979" w:rsidRDefault="00B022A0">
      <w:pPr>
        <w:spacing w:after="125" w:line="259" w:lineRule="auto"/>
        <w:ind w:left="14" w:firstLine="0"/>
        <w:jc w:val="left"/>
      </w:pPr>
      <w:r>
        <w:rPr>
          <w:b/>
        </w:rPr>
        <w:t xml:space="preserve"> </w:t>
      </w:r>
    </w:p>
    <w:p w:rsidR="00EE0979" w:rsidRDefault="00B022A0">
      <w:pPr>
        <w:spacing w:after="3" w:line="265" w:lineRule="auto"/>
        <w:ind w:left="624" w:right="713" w:hanging="10"/>
        <w:jc w:val="center"/>
      </w:pPr>
      <w:r>
        <w:rPr>
          <w:b/>
        </w:rPr>
        <w:t xml:space="preserve">“INFORME JURÍDICO DE SECRETARÍA GENERAL </w:t>
      </w:r>
    </w:p>
    <w:p w:rsidR="00EE0979" w:rsidRDefault="00B022A0">
      <w:pPr>
        <w:spacing w:after="0" w:line="259" w:lineRule="auto"/>
        <w:ind w:left="0" w:right="36" w:firstLine="0"/>
        <w:jc w:val="center"/>
      </w:pPr>
      <w:r>
        <w:rPr>
          <w:b/>
        </w:rPr>
        <w:t xml:space="preserve"> </w:t>
      </w:r>
    </w:p>
    <w:p w:rsidR="00EE0979" w:rsidRDefault="00B022A0">
      <w:pPr>
        <w:spacing w:after="3" w:line="265" w:lineRule="auto"/>
        <w:ind w:left="624" w:right="712" w:hanging="10"/>
        <w:jc w:val="center"/>
      </w:pPr>
      <w:r>
        <w:rPr>
          <w:b/>
        </w:rPr>
        <w:t xml:space="preserve">Visto el expediente antedicho, se emite el siguiente informe: </w:t>
      </w:r>
    </w:p>
    <w:p w:rsidR="00EE0979" w:rsidRDefault="00B022A0">
      <w:pPr>
        <w:spacing w:after="0" w:line="259" w:lineRule="auto"/>
        <w:ind w:left="0" w:right="36" w:firstLine="0"/>
        <w:jc w:val="center"/>
      </w:pPr>
      <w:r>
        <w:rPr>
          <w:b/>
        </w:rPr>
        <w:t xml:space="preserve"> </w:t>
      </w:r>
    </w:p>
    <w:p w:rsidR="00EE0979" w:rsidRDefault="00B022A0">
      <w:pPr>
        <w:pStyle w:val="Ttulo1"/>
        <w:numPr>
          <w:ilvl w:val="0"/>
          <w:numId w:val="0"/>
        </w:numPr>
        <w:ind w:left="624" w:right="710"/>
      </w:pPr>
      <w:r>
        <w:t xml:space="preserve">Antecedentes de hecho </w:t>
      </w:r>
    </w:p>
    <w:p w:rsidR="00EE0979" w:rsidRDefault="00B022A0">
      <w:pPr>
        <w:spacing w:after="0" w:line="259" w:lineRule="auto"/>
        <w:ind w:left="0" w:right="36" w:firstLine="0"/>
        <w:jc w:val="center"/>
      </w:pPr>
      <w:r>
        <w:rPr>
          <w:b/>
        </w:rPr>
        <w:t xml:space="preserve"> </w:t>
      </w:r>
    </w:p>
    <w:p w:rsidR="00EE0979" w:rsidRDefault="00B022A0">
      <w:pPr>
        <w:spacing w:after="6"/>
        <w:ind w:right="99" w:hanging="10"/>
      </w:pPr>
      <w:r>
        <w:rPr>
          <w:b/>
        </w:rPr>
        <w:t xml:space="preserve">Primero. - </w:t>
      </w:r>
      <w:r>
        <w:rPr>
          <w:b/>
        </w:rPr>
        <w:t xml:space="preserve">Consta en el expediente informe técnico emitido por la Arquitecta Municipal de fecha 13/04/2023 que transcrito literalmente dice: </w:t>
      </w:r>
    </w:p>
    <w:p w:rsidR="00EE0979" w:rsidRDefault="00B022A0">
      <w:pPr>
        <w:ind w:right="100"/>
      </w:pPr>
      <w:r>
        <w:t xml:space="preserve">“Visto el expediente antedicho, Nayra Guzmán Hernández, arquitecta municipal, emite el siguiente informe: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2"/>
      </w:pPr>
      <w:r>
        <w:t xml:space="preserve">ANTECEDENTES </w:t>
      </w:r>
    </w:p>
    <w:p w:rsidR="00EE0979" w:rsidRDefault="00B022A0">
      <w:pPr>
        <w:spacing w:after="0" w:line="259" w:lineRule="auto"/>
        <w:ind w:left="0" w:right="36" w:firstLine="0"/>
        <w:jc w:val="center"/>
      </w:pPr>
      <w:r>
        <w:rPr>
          <w:b/>
        </w:rPr>
        <w:t xml:space="preserve"> </w:t>
      </w:r>
    </w:p>
    <w:p w:rsidR="00EE0979" w:rsidRDefault="00B022A0">
      <w:pPr>
        <w:numPr>
          <w:ilvl w:val="0"/>
          <w:numId w:val="41"/>
        </w:numPr>
        <w:spacing w:after="165"/>
        <w:ind w:right="100" w:hanging="360"/>
      </w:pPr>
      <w:r>
        <w:t>Con fecha 15 de enero de 2021 se remite oficio a la Consejería de Transición Ecológica, Lucha Contra el Cambio Climático y Planificación Territorial para el inicio del procedimiento de evaluación ambiental estratégica para el procedimiento de aprobación de</w:t>
      </w:r>
      <w:r>
        <w:t xml:space="preserve">l programa de actuación sobre el medio urbano de iniciativa privada, presentado por Tenerife Tour, S.A.”; y al que se adjunta un ejemplar en soporte digital del documento técnico, así como del documento ambiental estratégico. </w:t>
      </w:r>
    </w:p>
    <w:p w:rsidR="00EE0979" w:rsidRDefault="00B022A0">
      <w:pPr>
        <w:spacing w:after="0" w:line="259" w:lineRule="auto"/>
        <w:ind w:left="734" w:firstLine="0"/>
        <w:jc w:val="left"/>
      </w:pPr>
      <w:r>
        <w:t xml:space="preserve"> </w:t>
      </w:r>
    </w:p>
    <w:p w:rsidR="00EE0979" w:rsidRDefault="00B022A0">
      <w:pPr>
        <w:numPr>
          <w:ilvl w:val="0"/>
          <w:numId w:val="41"/>
        </w:numPr>
        <w:spacing w:after="183"/>
        <w:ind w:right="100" w:hanging="360"/>
      </w:pPr>
      <w:r>
        <w:t>Con fecha 27 de enero de 20</w:t>
      </w:r>
      <w:r>
        <w:t>21 y registro de entrada 2021-E-RC-866 se recibe Resolución del Viceconsejero de Planificación Territorial y Transición Ecológica relativa a Requerimiento de subsanación de la documentación en relación a la solicitud de inicio del Procedimiento de Evaluaci</w:t>
      </w:r>
      <w:r>
        <w:t xml:space="preserve">ón Ambiental Estratégica Simplificada de Programa de Actuación sobre el Medio Urbano en el Término Municipal de la Villa de Candelaria. </w:t>
      </w:r>
    </w:p>
    <w:p w:rsidR="00EE0979" w:rsidRDefault="00B022A0">
      <w:pPr>
        <w:spacing w:after="0" w:line="259" w:lineRule="auto"/>
        <w:ind w:left="14" w:firstLine="0"/>
        <w:jc w:val="left"/>
      </w:pPr>
      <w:r>
        <w:t xml:space="preserve"> </w:t>
      </w:r>
    </w:p>
    <w:p w:rsidR="00EE0979" w:rsidRDefault="00B022A0">
      <w:pPr>
        <w:numPr>
          <w:ilvl w:val="0"/>
          <w:numId w:val="41"/>
        </w:numPr>
        <w:spacing w:after="164"/>
        <w:ind w:right="100" w:hanging="360"/>
      </w:pPr>
      <w:r>
        <w:t>Con fecha 4 de marzo de 2021 y registro 2021-E-RC-2291 se presenta por Tenerife Tour S.A. documentación de subsanació</w:t>
      </w:r>
      <w:r>
        <w:t xml:space="preserve">n. </w:t>
      </w:r>
    </w:p>
    <w:p w:rsidR="00EE0979" w:rsidRDefault="00B022A0">
      <w:pPr>
        <w:spacing w:after="0" w:line="259" w:lineRule="auto"/>
        <w:ind w:left="14" w:firstLine="0"/>
        <w:jc w:val="left"/>
      </w:pPr>
      <w:r>
        <w:t xml:space="preserve"> </w:t>
      </w:r>
    </w:p>
    <w:p w:rsidR="00EE0979" w:rsidRDefault="00B022A0">
      <w:pPr>
        <w:numPr>
          <w:ilvl w:val="0"/>
          <w:numId w:val="41"/>
        </w:numPr>
        <w:spacing w:after="164"/>
        <w:ind w:right="100" w:hanging="360"/>
      </w:pPr>
      <w:r>
        <w:t>Con fecha 16 de abril de 2021 y registro 2021-E-RC-4037 se recibe Resolución del Viceconsejero de Planificación Territorial y Transición Ecológica relativa a la solicitud de inicio del Procedimiento de Evaluación Ambiental Estratégica Simplificada, e</w:t>
      </w:r>
      <w:r>
        <w:t xml:space="preserve">n el que se requiere la siguiente documentación: </w:t>
      </w:r>
    </w:p>
    <w:p w:rsidR="00EE0979" w:rsidRDefault="00B022A0">
      <w:pPr>
        <w:spacing w:line="259" w:lineRule="auto"/>
        <w:ind w:left="14" w:firstLine="0"/>
        <w:jc w:val="left"/>
      </w:pPr>
      <w:r>
        <w:rPr>
          <w:b/>
          <w:i/>
        </w:rPr>
        <w:t xml:space="preserve"> </w:t>
      </w:r>
    </w:p>
    <w:p w:rsidR="00EE0979" w:rsidRDefault="00B022A0">
      <w:pPr>
        <w:ind w:left="9" w:right="98" w:hanging="10"/>
      </w:pPr>
      <w:r>
        <w:rPr>
          <w:b/>
          <w:i/>
        </w:rPr>
        <w:t>“…1. Respecto la diligencia de la documentación técnica:</w:t>
      </w:r>
      <w:r>
        <w:rPr>
          <w:i/>
        </w:rPr>
        <w:t xml:space="preserve"> En el soporte digital presentado en fecha 25 de marzo de 2021, cada uno de los archivos se encuentra firmado electrónicamente por la persona titula</w:t>
      </w:r>
      <w:r>
        <w:rPr>
          <w:i/>
        </w:rPr>
        <w:t>r de la Secretaría de la corporación local, si bien sin diligenciar, al no relacionarlo con el acuerdo municipal correspondiente o, en su caso, con el documento efectivamente presentado por la iniciativa privada en sede municipal.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42"/>
        </w:numPr>
        <w:spacing w:after="10" w:line="248" w:lineRule="auto"/>
        <w:ind w:right="95" w:hanging="247"/>
      </w:pPr>
      <w:r>
        <w:rPr>
          <w:b/>
          <w:i/>
        </w:rPr>
        <w:t xml:space="preserve">Respecto la firma de la documentación técnica: </w:t>
      </w:r>
    </w:p>
    <w:p w:rsidR="00EE0979" w:rsidRDefault="00B022A0">
      <w:pPr>
        <w:spacing w:after="0" w:line="259" w:lineRule="auto"/>
        <w:ind w:left="14" w:firstLine="0"/>
        <w:jc w:val="left"/>
      </w:pPr>
      <w:r>
        <w:rPr>
          <w:b/>
          <w:i/>
        </w:rPr>
        <w:t xml:space="preserve"> </w:t>
      </w:r>
    </w:p>
    <w:p w:rsidR="00EE0979" w:rsidRDefault="00B022A0">
      <w:pPr>
        <w:numPr>
          <w:ilvl w:val="1"/>
          <w:numId w:val="42"/>
        </w:numPr>
        <w:ind w:right="98" w:hanging="10"/>
      </w:pPr>
      <w:r>
        <w:rPr>
          <w:i/>
        </w:rPr>
        <w:t>En el archivo borrador presentado en fecha 25 de marzo de 2021 consta una firma manuscrita y posteriormente escaneada en la última página del documento (página 48). Sin embargo, la firma del autor también d</w:t>
      </w:r>
      <w:r>
        <w:rPr>
          <w:i/>
        </w:rPr>
        <w:t>ebe presentarse en formato electrónico, de conformidad con el artículo 14 de la Ley 39/2015, de 1 de octubre, del Procedimiento Administrativo Común de las Administraciones Públicas.</w:t>
      </w:r>
      <w:r>
        <w:rPr>
          <w:rFonts w:ascii="Times New Roman" w:eastAsia="Times New Roman" w:hAnsi="Times New Roman" w:cs="Times New Roman"/>
          <w:sz w:val="24"/>
        </w:rPr>
        <w:t xml:space="preserve"> </w:t>
      </w:r>
    </w:p>
    <w:p w:rsidR="00EE0979" w:rsidRDefault="00B022A0">
      <w:pPr>
        <w:ind w:left="9" w:right="98" w:hanging="10"/>
      </w:pPr>
      <w:r>
        <w:rPr>
          <w:i/>
        </w:rPr>
        <w:t>Además, en la documentación presentada en fecha 18 de enero de 2021, jun</w:t>
      </w:r>
      <w:r>
        <w:rPr>
          <w:i/>
        </w:rPr>
        <w:t>to al archivo borrador y al documento ambiental estratégico, constaba la presentación de dos archivos más: uno denominado “anteproyecto” y otro denominado “planimetría”; en éste último figuraba una autoría distinta de la que ahora suscribe de forma manuscr</w:t>
      </w:r>
      <w:r>
        <w:rPr>
          <w:i/>
        </w:rPr>
        <w:t xml:space="preserve">ita el borrador. </w:t>
      </w:r>
    </w:p>
    <w:p w:rsidR="00EE0979" w:rsidRDefault="00B022A0">
      <w:pPr>
        <w:ind w:left="9" w:right="98" w:hanging="10"/>
      </w:pPr>
      <w:r>
        <w:rPr>
          <w:i/>
        </w:rPr>
        <w:t>Finalmente, en el archivo borrador presentado en fecha 25 de marzo de 2021 no figuran los planos presentados en fecha 18 de enero de 2021 en el archivo denominado “planimetría”, ni tampoco el contenido del archivo denominado “anteproyecto</w:t>
      </w:r>
      <w:r>
        <w:rPr>
          <w:i/>
        </w:rPr>
        <w:t xml:space="preserve">”. Además, se detecta que en aquellos planos presentados en fecha 18 de enero de 2021 figuraban dos planos distintos relativos a la alternativa 2 (plano n.º 4 y plano n.º 5), mientras que el epígrafe 8.3 del borrador sólo se refiere a una sola alternativa </w:t>
      </w:r>
      <w:r>
        <w:rPr>
          <w:i/>
        </w:rPr>
        <w:t xml:space="preserve">2. </w:t>
      </w:r>
    </w:p>
    <w:p w:rsidR="00EE0979" w:rsidRDefault="00B022A0">
      <w:pPr>
        <w:spacing w:after="0" w:line="259" w:lineRule="auto"/>
        <w:ind w:left="14" w:firstLine="0"/>
        <w:jc w:val="left"/>
      </w:pPr>
      <w:r>
        <w:rPr>
          <w:i/>
        </w:rPr>
        <w:t xml:space="preserve"> </w:t>
      </w:r>
    </w:p>
    <w:p w:rsidR="00EE0979" w:rsidRDefault="00B022A0">
      <w:pPr>
        <w:numPr>
          <w:ilvl w:val="1"/>
          <w:numId w:val="42"/>
        </w:numPr>
        <w:ind w:right="98" w:hanging="10"/>
      </w:pPr>
      <w:r>
        <w:rPr>
          <w:i/>
        </w:rPr>
        <w:t xml:space="preserve">Por otro lado, en el archivo del documento ambiental estratégico no consta la firma electrónica del autor entre las propiedades del archivo, junto a la de la persona titular de la Secretaría de la corporación local, aún a pesar de figurar el aspecto </w:t>
      </w:r>
      <w:r>
        <w:rPr>
          <w:i/>
        </w:rPr>
        <w:t>correspondiente a un proceso de firma digital…”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2"/>
          <w:numId w:val="42"/>
        </w:numPr>
        <w:spacing w:after="163"/>
        <w:ind w:right="100" w:hanging="360"/>
      </w:pPr>
      <w:r>
        <w:t xml:space="preserve">Con fecha 5 de mayo de 2021 y registro de entrada 2021-E-RC-4659 se presenta por Tenerife Tour S.A documentación para dar cumplimiento al requerimiento anterior </w:t>
      </w:r>
    </w:p>
    <w:p w:rsidR="00EE0979" w:rsidRDefault="00B022A0">
      <w:pPr>
        <w:spacing w:after="0" w:line="259" w:lineRule="auto"/>
        <w:ind w:left="734" w:firstLine="0"/>
        <w:jc w:val="left"/>
      </w:pPr>
      <w:r>
        <w:t xml:space="preserve"> </w:t>
      </w:r>
    </w:p>
    <w:p w:rsidR="00EE0979" w:rsidRDefault="00B022A0">
      <w:pPr>
        <w:numPr>
          <w:ilvl w:val="2"/>
          <w:numId w:val="42"/>
        </w:numPr>
        <w:ind w:right="100" w:hanging="360"/>
      </w:pPr>
      <w:r>
        <w:t>Con fecha 10 de mayo de 2021 y registro d</w:t>
      </w:r>
      <w:r>
        <w:t xml:space="preserve">e salida 2021-S-RE-1643 se emite requerimiento por parte del Ayuntamiento a la documentación presentada por Tenerife Tour. </w:t>
      </w:r>
    </w:p>
    <w:p w:rsidR="00EE0979" w:rsidRDefault="00B022A0">
      <w:pPr>
        <w:spacing w:after="0" w:line="259" w:lineRule="auto"/>
        <w:ind w:left="734" w:firstLine="0"/>
        <w:jc w:val="left"/>
      </w:pPr>
      <w:r>
        <w:t xml:space="preserve"> </w:t>
      </w:r>
    </w:p>
    <w:p w:rsidR="00EE0979" w:rsidRDefault="00B022A0">
      <w:pPr>
        <w:numPr>
          <w:ilvl w:val="2"/>
          <w:numId w:val="42"/>
        </w:numPr>
        <w:spacing w:after="163"/>
        <w:ind w:right="100" w:hanging="360"/>
      </w:pPr>
      <w:r>
        <w:t>Con fecha 12 de enero de 2023 y registro de entrada 2023-E-RC 273 Tenerife Tour, presenta documentación en contestación al requeri</w:t>
      </w:r>
      <w:r>
        <w:t xml:space="preserve">miento realizado </w:t>
      </w:r>
    </w:p>
    <w:p w:rsidR="00EE0979" w:rsidRDefault="00B022A0">
      <w:pPr>
        <w:spacing w:after="0" w:line="259" w:lineRule="auto"/>
        <w:ind w:left="734" w:firstLine="0"/>
        <w:jc w:val="left"/>
      </w:pPr>
      <w:r>
        <w:t xml:space="preserve"> </w:t>
      </w:r>
    </w:p>
    <w:p w:rsidR="00EE0979" w:rsidRDefault="00B022A0">
      <w:pPr>
        <w:numPr>
          <w:ilvl w:val="2"/>
          <w:numId w:val="42"/>
        </w:numPr>
        <w:spacing w:after="164"/>
        <w:ind w:right="100" w:hanging="360"/>
      </w:pPr>
      <w:r>
        <w:t xml:space="preserve">Con fecha 23 de febrero el Pleno municipal toma conocimiento de la documentación requerida </w:t>
      </w:r>
    </w:p>
    <w:p w:rsidR="00EE0979" w:rsidRDefault="00B022A0">
      <w:pPr>
        <w:spacing w:after="0" w:line="259" w:lineRule="auto"/>
        <w:ind w:left="734" w:firstLine="0"/>
        <w:jc w:val="left"/>
      </w:pPr>
      <w:r>
        <w:t xml:space="preserve"> </w:t>
      </w:r>
    </w:p>
    <w:p w:rsidR="00EE0979" w:rsidRDefault="00B022A0">
      <w:pPr>
        <w:numPr>
          <w:ilvl w:val="2"/>
          <w:numId w:val="42"/>
        </w:numPr>
        <w:spacing w:after="164"/>
        <w:ind w:right="100" w:hanging="360"/>
      </w:pPr>
      <w:r>
        <w:t xml:space="preserve">Con fecha 27 de febrero de 2023 y registro de salida 2023-S-RC-747 </w:t>
      </w:r>
      <w:r>
        <w:t xml:space="preserve">se remite la documentación requerida a Dirección General de Planificación Territorial, Transición Ecológica y Aguas. </w:t>
      </w:r>
    </w:p>
    <w:p w:rsidR="00EE0979" w:rsidRDefault="00B022A0">
      <w:pPr>
        <w:spacing w:after="0" w:line="259" w:lineRule="auto"/>
        <w:ind w:left="734" w:firstLine="0"/>
        <w:jc w:val="left"/>
      </w:pPr>
      <w:r>
        <w:t xml:space="preserve"> </w:t>
      </w:r>
    </w:p>
    <w:p w:rsidR="00EE0979" w:rsidRDefault="00B022A0">
      <w:pPr>
        <w:numPr>
          <w:ilvl w:val="2"/>
          <w:numId w:val="42"/>
        </w:numPr>
        <w:spacing w:after="165"/>
        <w:ind w:right="100" w:hanging="360"/>
      </w:pPr>
      <w:r>
        <w:t>Con fecha 23 de marzo y registro de entrada 2023-E-RC-3512, se recibe Resolución 99/2023 de 22.03.2023 del V. Lucha C.C.C. y Transición.</w:t>
      </w:r>
      <w:r>
        <w:t xml:space="preserve"> Ecológico requerimiento la Subsanación del documento. S/ E.A.E. Simplificada de P.A.M.U. Candelaria. (Tenerife Tour) </w:t>
      </w:r>
    </w:p>
    <w:p w:rsidR="00EE0979" w:rsidRDefault="00B022A0">
      <w:pPr>
        <w:numPr>
          <w:ilvl w:val="2"/>
          <w:numId w:val="42"/>
        </w:numPr>
        <w:spacing w:after="163"/>
        <w:ind w:right="100" w:hanging="360"/>
      </w:pPr>
      <w:r>
        <w:t xml:space="preserve">Con fecha 5 de abril de 2023 y registro de entrada 2023-E-RE-2898, MONTERO ARAMBURU SLP , presenta la documentación requerida.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INFORME</w:t>
      </w:r>
      <w:r>
        <w:rPr>
          <w:b/>
        </w:rPr>
        <w:t xml:space="preserve"> </w:t>
      </w:r>
    </w:p>
    <w:p w:rsidR="00EE0979" w:rsidRDefault="00B022A0">
      <w:pPr>
        <w:spacing w:after="0" w:line="259" w:lineRule="auto"/>
        <w:ind w:left="14" w:firstLine="0"/>
        <w:jc w:val="left"/>
      </w:pPr>
      <w:r>
        <w:rPr>
          <w:b/>
        </w:rPr>
        <w:t xml:space="preserve"> </w:t>
      </w:r>
    </w:p>
    <w:p w:rsidR="00EE0979" w:rsidRDefault="00B022A0">
      <w:pPr>
        <w:ind w:right="100"/>
      </w:pPr>
      <w:r>
        <w:t>Se toma conocimiento de la documentación presentada con fecha 5 de abril de 2023 y registro de entrada 2023-E-RE-2898, aportada por Montero Aramburu SLP en representación de Tenerife Tour S.A, para continuar con el trámite de inicio del Procedimiento d</w:t>
      </w:r>
      <w:r>
        <w:t xml:space="preserve">e Evaluación Ambiental Estratégica Simplificada y dar cumplimiento al requerimiento emitido por resolución 99/2023 de 22 de marzo de 2023 del Viceconsejero de Planificación Territorial y Transición Ecológica. </w:t>
      </w:r>
    </w:p>
    <w:p w:rsidR="00EE0979" w:rsidRDefault="00B022A0">
      <w:pPr>
        <w:ind w:right="100"/>
      </w:pPr>
      <w:r>
        <w:t>La documentación requerida relativa al Program</w:t>
      </w:r>
      <w:r>
        <w:t xml:space="preserve">a de Actuación sobre el Medio Urbano, consta del siguiente documento: </w:t>
      </w:r>
    </w:p>
    <w:p w:rsidR="00EE0979" w:rsidRDefault="00B022A0">
      <w:pPr>
        <w:spacing w:after="0" w:line="259" w:lineRule="auto"/>
        <w:ind w:left="14" w:firstLine="0"/>
        <w:jc w:val="left"/>
      </w:pPr>
      <w:r>
        <w:t xml:space="preserve"> </w:t>
      </w:r>
    </w:p>
    <w:p w:rsidR="00EE0979" w:rsidRDefault="00B022A0">
      <w:pPr>
        <w:numPr>
          <w:ilvl w:val="2"/>
          <w:numId w:val="42"/>
        </w:numPr>
        <w:spacing w:after="178"/>
        <w:ind w:right="100" w:hanging="360"/>
      </w:pPr>
      <w:r>
        <w:t xml:space="preserve">Documento ambiental estratégico </w:t>
      </w:r>
    </w:p>
    <w:p w:rsidR="00EE0979" w:rsidRDefault="00B022A0">
      <w:pPr>
        <w:spacing w:after="151" w:line="259" w:lineRule="auto"/>
        <w:ind w:left="374" w:firstLine="0"/>
        <w:jc w:val="left"/>
      </w:pPr>
      <w:r>
        <w:t xml:space="preserve"> </w:t>
      </w:r>
    </w:p>
    <w:p w:rsidR="00EE0979" w:rsidRDefault="00B022A0">
      <w:pPr>
        <w:pStyle w:val="Ttulo1"/>
        <w:numPr>
          <w:ilvl w:val="0"/>
          <w:numId w:val="0"/>
        </w:numPr>
        <w:ind w:left="624" w:right="711"/>
      </w:pPr>
      <w:r>
        <w:t xml:space="preserve">Fundamentos de derecho </w:t>
      </w:r>
    </w:p>
    <w:p w:rsidR="00EE0979" w:rsidRDefault="00B022A0">
      <w:pPr>
        <w:spacing w:after="0" w:line="259" w:lineRule="auto"/>
        <w:ind w:left="14" w:firstLine="0"/>
        <w:jc w:val="left"/>
      </w:pPr>
      <w:r>
        <w:t xml:space="preserve"> </w:t>
      </w:r>
    </w:p>
    <w:p w:rsidR="00EE0979" w:rsidRDefault="00B022A0">
      <w:pPr>
        <w:ind w:right="100"/>
      </w:pPr>
      <w:r>
        <w:t xml:space="preserve">Primero. - </w:t>
      </w:r>
      <w:r>
        <w:t xml:space="preserve">El procedimiento de evaluación ambiental estratégica de las modificaciones del plan general se regula en el artículo 86 de la Ley del Suelo y de los Espacios Naturales Protegidos de Canarias (LSENPC): </w:t>
      </w:r>
    </w:p>
    <w:p w:rsidR="00EE0979" w:rsidRDefault="00B022A0">
      <w:pPr>
        <w:ind w:left="9" w:right="98" w:hanging="10"/>
      </w:pPr>
      <w:r>
        <w:rPr>
          <w:i/>
        </w:rPr>
        <w:t xml:space="preserve">Artículo 86. Evaluación ambiental estratégica </w:t>
      </w:r>
    </w:p>
    <w:p w:rsidR="00EE0979" w:rsidRDefault="00B022A0">
      <w:pPr>
        <w:numPr>
          <w:ilvl w:val="0"/>
          <w:numId w:val="43"/>
        </w:numPr>
        <w:ind w:right="98" w:hanging="10"/>
      </w:pPr>
      <w:r>
        <w:rPr>
          <w:i/>
        </w:rPr>
        <w:t>La apro</w:t>
      </w:r>
      <w:r>
        <w:rPr>
          <w:i/>
        </w:rPr>
        <w:t>bación, modificación sustancial y adaptación de los instrumentos de ordenación territorial, ambiental y urbanística se someterán al procedimiento de evaluación ambiental de planes y programas, en los términos contemplados en la legislación básica estatal y</w:t>
      </w:r>
      <w:r>
        <w:rPr>
          <w:i/>
        </w:rPr>
        <w:t xml:space="preserve"> en la presente ley. </w:t>
      </w:r>
    </w:p>
    <w:p w:rsidR="00EE0979" w:rsidRDefault="00B022A0">
      <w:pPr>
        <w:numPr>
          <w:ilvl w:val="0"/>
          <w:numId w:val="43"/>
        </w:numPr>
        <w:ind w:right="98" w:hanging="10"/>
      </w:pPr>
      <w:r>
        <w:rPr>
          <w:i/>
        </w:rPr>
        <w:t xml:space="preserve">En el marco de la legislación básica del Estado, serán objeto de evaluación ambiental estratégica simplificada: </w:t>
      </w:r>
    </w:p>
    <w:p w:rsidR="00EE0979" w:rsidRDefault="00B022A0">
      <w:pPr>
        <w:numPr>
          <w:ilvl w:val="0"/>
          <w:numId w:val="44"/>
        </w:numPr>
        <w:ind w:right="98" w:hanging="259"/>
      </w:pPr>
      <w:r>
        <w:rPr>
          <w:i/>
        </w:rPr>
        <w:t xml:space="preserve">Los instrumentos de ordenación que establezcan el uso, a nivel municipal, de zonas de reducida extensión. </w:t>
      </w:r>
    </w:p>
    <w:p w:rsidR="00EE0979" w:rsidRDefault="00B022A0">
      <w:pPr>
        <w:numPr>
          <w:ilvl w:val="0"/>
          <w:numId w:val="44"/>
        </w:numPr>
        <w:ind w:right="98" w:hanging="259"/>
      </w:pPr>
      <w:r>
        <w:rPr>
          <w:i/>
        </w:rPr>
        <w:t>Las modificaci</w:t>
      </w:r>
      <w:r>
        <w:rPr>
          <w:i/>
        </w:rPr>
        <w:t xml:space="preserve">ones menores de los instrumentos de ordenación. </w:t>
      </w:r>
    </w:p>
    <w:p w:rsidR="00EE0979" w:rsidRDefault="00B022A0">
      <w:pPr>
        <w:numPr>
          <w:ilvl w:val="0"/>
          <w:numId w:val="44"/>
        </w:numPr>
        <w:ind w:right="98" w:hanging="259"/>
      </w:pPr>
      <w:r>
        <w:rPr>
          <w:i/>
        </w:rPr>
        <w:t xml:space="preserve">Los proyectos de interés insular o autonómico que contengan ordenación. </w:t>
      </w:r>
    </w:p>
    <w:p w:rsidR="00EE0979" w:rsidRDefault="00B022A0">
      <w:pPr>
        <w:numPr>
          <w:ilvl w:val="0"/>
          <w:numId w:val="44"/>
        </w:numPr>
        <w:ind w:right="98" w:hanging="259"/>
      </w:pPr>
      <w:r>
        <w:rPr>
          <w:i/>
        </w:rPr>
        <w:t xml:space="preserve">La ordenación pormenorizada de un plan general. </w:t>
      </w:r>
    </w:p>
    <w:p w:rsidR="00EE0979" w:rsidRDefault="00B022A0">
      <w:pPr>
        <w:numPr>
          <w:ilvl w:val="0"/>
          <w:numId w:val="44"/>
        </w:numPr>
        <w:ind w:right="98" w:hanging="259"/>
      </w:pPr>
      <w:r>
        <w:rPr>
          <w:i/>
        </w:rPr>
        <w:t>Los planes parciales y especiales que desarrollen planes generales que hayan sido som</w:t>
      </w:r>
      <w:r>
        <w:rPr>
          <w:i/>
        </w:rPr>
        <w:t xml:space="preserve">etidos a evaluación ambiental estratégica. </w:t>
      </w:r>
    </w:p>
    <w:p w:rsidR="00EE0979" w:rsidRDefault="00B022A0">
      <w:pPr>
        <w:ind w:right="100"/>
      </w:pPr>
      <w:r>
        <w:t>No obstante, cuando el plan parcial o el plan especial no se ajusten, en todo o en parte, a las determinaciones ambientales del plan general deberán someterse a evaluación ambiental estratégica ordinaria en la pa</w:t>
      </w:r>
      <w:r>
        <w:t xml:space="preserve">rte que no cumplan con las mismas. </w:t>
      </w:r>
    </w:p>
    <w:p w:rsidR="00EE0979" w:rsidRDefault="00B022A0">
      <w:pPr>
        <w:numPr>
          <w:ilvl w:val="1"/>
          <w:numId w:val="44"/>
        </w:numPr>
        <w:ind w:right="98" w:firstLine="708"/>
      </w:pPr>
      <w:r>
        <w:rPr>
          <w:i/>
        </w:rPr>
        <w:t>En los casos en que los planes se estructurasen en distintos ámbitos jerárquicos de decisión de una misma administración pública canaria, cuando sea preciso llevar a cabo la evaluación ambiental de cada uno de ellos, est</w:t>
      </w:r>
      <w:r>
        <w:rPr>
          <w:i/>
        </w:rPr>
        <w:t>a deberá realizarse teniendo en cuenta el contenido y el grado de especificación del plan, la fase del proceso de decisión en que se encuentre y la medida en que la evaluación de determinados aspectos pueda ser más adecuada en fases distintas de dicho proc</w:t>
      </w:r>
      <w:r>
        <w:rPr>
          <w:i/>
        </w:rPr>
        <w:t>eso, con objeto de evitar la duplicidad de evaluaciones. A estos efectos, el correspondiente estudio ambiental estratégico del plan deberá elaborarse a partir de la evaluación ya realizada y de las decisiones tomadas en la evaluación del instrumento superi</w:t>
      </w:r>
      <w:r>
        <w:rPr>
          <w:i/>
        </w:rPr>
        <w:t>or, sin perjuicio además de la utilización de la información pertinente disponible, que, estando actualizada y siendo completa en lo relativo a los efectos medioambientales del nuevo plan o programa, se hubiera aprobado en otras fases del proceso de decisi</w:t>
      </w:r>
      <w:r>
        <w:rPr>
          <w:i/>
        </w:rPr>
        <w:t xml:space="preserve">ón. </w:t>
      </w:r>
    </w:p>
    <w:p w:rsidR="00EE0979" w:rsidRDefault="00B022A0">
      <w:pPr>
        <w:numPr>
          <w:ilvl w:val="1"/>
          <w:numId w:val="44"/>
        </w:numPr>
        <w:ind w:right="98" w:firstLine="708"/>
      </w:pPr>
      <w:r>
        <w:rPr>
          <w:i/>
        </w:rPr>
        <w:t>Cuando exista una concurrencia de planes o programas promovidos por diferentes administraciones públicas canarias, estas deberán adoptar las medidas necesarias para evitar que se produzca una duplicidad de evaluaciones. A estos efectos, no deberán som</w:t>
      </w:r>
      <w:r>
        <w:rPr>
          <w:i/>
        </w:rPr>
        <w:t>eterse a un nuevo proceso de evaluación, como consecuencia de la elaboración y aprobación de un plan de ordenación urbanística o territorial, los aspectos relativos a infraestructuras de titularidad autonómica cuya planificación sectorial haya sido sometid</w:t>
      </w:r>
      <w:r>
        <w:rPr>
          <w:i/>
        </w:rPr>
        <w:t>a previamente a la correspondiente evaluación ambiental conforme a lo dispuesto en esta ley. En tales casos, la administración pública competente para la aprobación del plan de ordenación urbanística o territorial podrá exigir que se tengan en cuenta los a</w:t>
      </w:r>
      <w:r>
        <w:rPr>
          <w:i/>
        </w:rPr>
        <w:t xml:space="preserve">spectos no específicamente considerados en la primera evaluación ambiental. </w:t>
      </w:r>
    </w:p>
    <w:p w:rsidR="00EE0979" w:rsidRDefault="00B022A0">
      <w:pPr>
        <w:numPr>
          <w:ilvl w:val="1"/>
          <w:numId w:val="44"/>
        </w:numPr>
        <w:ind w:right="98" w:firstLine="708"/>
      </w:pPr>
      <w:r>
        <w:rPr>
          <w:i/>
        </w:rPr>
        <w:t>La evaluación ambiental estratégica posterior de cualquier plan o programa, aunque sea de rango superior, deberá acomodarse a la declaración ambiental estratégica o, en su caso, a</w:t>
      </w:r>
      <w:r>
        <w:rPr>
          <w:i/>
        </w:rPr>
        <w:t xml:space="preserve">l informe ambiental estratégico recaído con anterioridad. En el supuesto de que el resultado de las evaluaciones fuera contradictorio, deberán justificarse las razones y motivaciones de la nueva evaluación así como la corrección de la anterior. </w:t>
      </w:r>
    </w:p>
    <w:p w:rsidR="00EE0979" w:rsidRDefault="00B022A0">
      <w:pPr>
        <w:numPr>
          <w:ilvl w:val="1"/>
          <w:numId w:val="44"/>
        </w:numPr>
        <w:ind w:right="98" w:firstLine="708"/>
      </w:pPr>
      <w:r>
        <w:rPr>
          <w:i/>
        </w:rPr>
        <w:t>A los efec</w:t>
      </w:r>
      <w:r>
        <w:rPr>
          <w:i/>
        </w:rPr>
        <w:t xml:space="preserve">tos previstos en el presente artículo, tendrá la consideración de: </w:t>
      </w:r>
    </w:p>
    <w:p w:rsidR="00EE0979" w:rsidRDefault="00B022A0">
      <w:pPr>
        <w:numPr>
          <w:ilvl w:val="0"/>
          <w:numId w:val="45"/>
        </w:numPr>
        <w:ind w:right="98" w:hanging="10"/>
      </w:pPr>
      <w:r>
        <w:rPr>
          <w:i/>
        </w:rPr>
        <w:t xml:space="preserve">Promotor: La persona física o jurídica, pública o privada, que tenga atribuida la iniciativa para la elaboración del correspondiente instrumento de ordenación. </w:t>
      </w:r>
    </w:p>
    <w:p w:rsidR="00EE0979" w:rsidRDefault="00B022A0">
      <w:pPr>
        <w:numPr>
          <w:ilvl w:val="0"/>
          <w:numId w:val="45"/>
        </w:numPr>
        <w:ind w:right="98" w:hanging="10"/>
      </w:pPr>
      <w:r>
        <w:rPr>
          <w:i/>
        </w:rPr>
        <w:t xml:space="preserve">Órgano sustantivo: El órgano competente para su aprobación. Cuando el órgano sustantivo promueva el instrumento de ordenación, realizará las actuaciones atribuidas al promotor. </w:t>
      </w:r>
    </w:p>
    <w:p w:rsidR="00EE0979" w:rsidRDefault="00B022A0">
      <w:pPr>
        <w:numPr>
          <w:ilvl w:val="0"/>
          <w:numId w:val="45"/>
        </w:numPr>
        <w:ind w:right="98" w:hanging="10"/>
      </w:pPr>
      <w:r>
        <w:rPr>
          <w:i/>
        </w:rPr>
        <w:t>Órgano ambiental: en el caso de los instrumentos autonómicos, lo será el órgan</w:t>
      </w:r>
      <w:r>
        <w:rPr>
          <w:i/>
        </w:rPr>
        <w:t>o que designe el Gobierno de Canarias; en cuanto a los instrumentos insulares, lo será el órgano que designe el cabildo o, previa delegación, el órgano ambiental autonómico; y en el caso de los instrumentos municipales, lo será el que pueda designar el ayu</w:t>
      </w:r>
      <w:r>
        <w:rPr>
          <w:i/>
        </w:rPr>
        <w:t>ntamiento, si cuenta con los recursos suficientes, pudiendo delegar esta competencia en el órgano ambiental autonómico o el órgano ambiental insular de la isla a la que pertenezca, o bien constituir un órgano ambiental en mancomunidad con otros municipios.</w:t>
      </w:r>
      <w:r>
        <w:rPr>
          <w:i/>
        </w:rPr>
        <w:t xml:space="preserve"> </w:t>
      </w:r>
    </w:p>
    <w:p w:rsidR="00EE0979" w:rsidRDefault="00B022A0">
      <w:pPr>
        <w:ind w:left="9" w:right="98" w:hanging="10"/>
      </w:pPr>
      <w:r>
        <w:rPr>
          <w:i/>
        </w:rPr>
        <w:t>Asimismo, podrá encomendarse el ejercicio de los aspectos materiales o técnicos de la competencia de los órganos ambientales, en caso de estar constituidos, mediante convenio de encomienda de gestión en los términos de la legislación básica sobre régimen</w:t>
      </w:r>
      <w:r>
        <w:rPr>
          <w:i/>
        </w:rPr>
        <w:t xml:space="preserve"> jurídico del sector público. </w:t>
      </w:r>
    </w:p>
    <w:p w:rsidR="00EE0979" w:rsidRDefault="00B022A0">
      <w:pPr>
        <w:ind w:left="9" w:right="98" w:hanging="10"/>
      </w:pPr>
      <w:r>
        <w:rPr>
          <w:i/>
        </w:rPr>
        <w:t xml:space="preserve">El acuerdo de delegación o encomienda o de aceptación de las mismas o de aprobación del convenio de encomienda deberá adoptarse por el pleno de la entidad o por el Gobierno de Canarias, según proceda. </w:t>
      </w:r>
    </w:p>
    <w:p w:rsidR="00EE0979" w:rsidRDefault="00B022A0">
      <w:pPr>
        <w:ind w:left="9" w:right="98" w:hanging="10"/>
      </w:pPr>
      <w:r>
        <w:rPr>
          <w:i/>
        </w:rPr>
        <w:t>No obstante, en los mun</w:t>
      </w:r>
      <w:r>
        <w:rPr>
          <w:i/>
        </w:rPr>
        <w:t>icipios de menos de 100.000 habitantes de derecho, la evaluación ambiental de la ordenación urbanística estructural de los planes generales de ordenación, así como en los casos de modificación sustancial de los mismos, corresponderá al órgano ambiental aut</w:t>
      </w:r>
      <w:r>
        <w:rPr>
          <w:i/>
        </w:rPr>
        <w:t xml:space="preserve">onómico. </w:t>
      </w:r>
    </w:p>
    <w:p w:rsidR="00EE0979" w:rsidRDefault="00B022A0">
      <w:pPr>
        <w:ind w:left="9" w:right="98" w:hanging="10"/>
      </w:pPr>
      <w:r>
        <w:rPr>
          <w:i/>
        </w:rPr>
        <w:t xml:space="preserve">A estos efectos, se entiende por ordenación urbanística estructural la delimitada por el artículo 136 de esta ley, y por modificación sustancial los supuestos previstos en el artículo 163 de esta ley. Asimismo, podrá encomendarse el ejercicio de </w:t>
      </w:r>
      <w:r>
        <w:rPr>
          <w:i/>
        </w:rPr>
        <w:t xml:space="preserve">los aspectos materiales o técnicos de la competencia de los órganos ambientales, en caso de estar constituidos, mediante convenio. </w:t>
      </w:r>
    </w:p>
    <w:p w:rsidR="00EE0979" w:rsidRDefault="00B022A0">
      <w:pPr>
        <w:ind w:left="9" w:right="98" w:hanging="10"/>
      </w:pPr>
      <w:r>
        <w:rPr>
          <w:i/>
        </w:rPr>
        <w:t>El acuerdo de delegación deberá adoptarse por el Pleno de la entidad local, y el acuerdo de aceptación de la delegación o de</w:t>
      </w:r>
      <w:r>
        <w:rPr>
          <w:i/>
        </w:rPr>
        <w:t xml:space="preserve"> aprobación del convenio de encomienda, por el Pleno del respectivo cabildo insular o por el Gobierno de Canarias, según proceda. No obstante, en los municipios de menos de 100.000 habitantes de derecho, la evaluación ambiental de la ordenación urbanística</w:t>
      </w:r>
      <w:r>
        <w:rPr>
          <w:i/>
        </w:rPr>
        <w:t xml:space="preserve"> estructural de los planes generales de ordenación, así como en los casos de modificación sustancial de los mismos, corresponderá al órgano ambiental autonómico. </w:t>
      </w:r>
    </w:p>
    <w:p w:rsidR="00EE0979" w:rsidRDefault="00B022A0">
      <w:pPr>
        <w:ind w:left="9" w:right="98" w:hanging="10"/>
      </w:pPr>
      <w:r>
        <w:rPr>
          <w:i/>
        </w:rPr>
        <w:t>A estos efectos, se entiende por ordenación urbanística estructural la delimitada por el artí</w:t>
      </w:r>
      <w:r>
        <w:rPr>
          <w:i/>
        </w:rPr>
        <w:t xml:space="preserve">culo 136 de esta ley, y por modificación sustancial los supuestos previstos en el artículo 163 de esta ley </w:t>
      </w:r>
    </w:p>
    <w:p w:rsidR="00EE0979" w:rsidRDefault="00B022A0">
      <w:pPr>
        <w:numPr>
          <w:ilvl w:val="0"/>
          <w:numId w:val="46"/>
        </w:numPr>
        <w:ind w:right="98" w:firstLine="708"/>
      </w:pPr>
      <w:r>
        <w:rPr>
          <w:i/>
        </w:rPr>
        <w:t xml:space="preserve">De acuerdo con la normativa europea y estatal, el órgano ambiental debe contar con separación funcional y orgánica respecto del órgano sustantivo </w:t>
      </w:r>
    </w:p>
    <w:p w:rsidR="00EE0979" w:rsidRDefault="00B022A0">
      <w:pPr>
        <w:numPr>
          <w:ilvl w:val="0"/>
          <w:numId w:val="46"/>
        </w:numPr>
        <w:ind w:right="98" w:firstLine="708"/>
      </w:pPr>
      <w:r>
        <w:rPr>
          <w:i/>
        </w:rPr>
        <w:t>L</w:t>
      </w:r>
      <w:r>
        <w:rPr>
          <w:i/>
        </w:rPr>
        <w:t>a declaración ambiental estratégica tiene carácter de informe preceptivo y determinante, por lo que su no emisión en plazo podrá interrumpir el plazo de los trámites sucesivos, de conformidad con lo previsto en la legislación de procedimiento administrativ</w:t>
      </w:r>
      <w:r>
        <w:rPr>
          <w:i/>
        </w:rPr>
        <w:t xml:space="preserve">o común. La falta de emisión de la declaración ambiental estratégica en ningún caso podrá entenderse que equivale a una evaluación ambiental favorable. </w:t>
      </w:r>
    </w:p>
    <w:p w:rsidR="00EE0979" w:rsidRDefault="00B022A0">
      <w:pPr>
        <w:numPr>
          <w:ilvl w:val="0"/>
          <w:numId w:val="46"/>
        </w:numPr>
        <w:ind w:right="98" w:firstLine="708"/>
      </w:pPr>
      <w:r>
        <w:rPr>
          <w:i/>
        </w:rPr>
        <w:t>El Gobierno establecerá reglamentariamente las normas, los criterios y la metodología a utilizar por el</w:t>
      </w:r>
      <w:r>
        <w:rPr>
          <w:i/>
        </w:rPr>
        <w:t xml:space="preserve"> órgano ambiental en el ejercicio de su función, asegurando la unidad y coherencia de la evaluación ambiental, de acuerdo con criterios públicos y conocidos de antemano, lo más objetivos y reglados que permita el estado del conocimiento científico y técnic</w:t>
      </w:r>
      <w:r>
        <w:rPr>
          <w:i/>
        </w:rPr>
        <w:t xml:space="preserve">o y de los métodos de evaluación existentes. 10. En lo no previsto en la presente ley se estará a lo dispuesto en la legislación estatal básica en materia de evaluación ambiental. </w:t>
      </w:r>
    </w:p>
    <w:p w:rsidR="00EE0979" w:rsidRDefault="00B022A0">
      <w:pPr>
        <w:spacing w:after="3" w:line="259" w:lineRule="auto"/>
        <w:ind w:left="10" w:right="111" w:hanging="10"/>
        <w:jc w:val="right"/>
      </w:pPr>
      <w:r>
        <w:t>Artículo 307. Delimitación y ordenación por programas de actuación sobre el</w:t>
      </w:r>
      <w:r>
        <w:t xml:space="preserve"> medio urbano. </w:t>
      </w:r>
    </w:p>
    <w:p w:rsidR="00EE0979" w:rsidRDefault="00B022A0">
      <w:pPr>
        <w:numPr>
          <w:ilvl w:val="0"/>
          <w:numId w:val="47"/>
        </w:numPr>
        <w:ind w:right="100" w:firstLine="708"/>
      </w:pPr>
      <w:r>
        <w:t xml:space="preserve">Los programas de actuación sobre el medio urbano (PAMU) podrán delimitar y ordenar las actuaciones sobre el medio urbano, así como modificar las previstas en otros instrumentos de planeamiento urbanístico. </w:t>
      </w:r>
    </w:p>
    <w:p w:rsidR="00EE0979" w:rsidRDefault="00B022A0">
      <w:pPr>
        <w:numPr>
          <w:ilvl w:val="0"/>
          <w:numId w:val="47"/>
        </w:numPr>
        <w:ind w:right="100" w:firstLine="708"/>
      </w:pPr>
      <w:r>
        <w:t xml:space="preserve">Los programas de actuación sobre </w:t>
      </w:r>
      <w:r>
        <w:t xml:space="preserve">el medio urbano se tramitarán y aprobarán por el procedimiento previsto para las ordenanzas municipales. </w:t>
      </w:r>
    </w:p>
    <w:p w:rsidR="00EE0979" w:rsidRDefault="00B022A0">
      <w:pPr>
        <w:numPr>
          <w:ilvl w:val="0"/>
          <w:numId w:val="47"/>
        </w:numPr>
        <w:ind w:right="100" w:firstLine="708"/>
      </w:pPr>
      <w:r>
        <w:t xml:space="preserve">Los programas vendrán acompañados de la memoria de viabilidad económica y la delimitación gráfica del ámbito de actuación. </w:t>
      </w:r>
    </w:p>
    <w:p w:rsidR="00EE0979" w:rsidRDefault="00B022A0">
      <w:pPr>
        <w:ind w:left="14" w:right="100" w:firstLine="708"/>
      </w:pPr>
      <w:r>
        <w:t>Es de aplicación el artícu</w:t>
      </w:r>
      <w:r>
        <w:t xml:space="preserve">lo Artículo 114 del DECRETO 181/2018, de 26 de diciembre, por el que se aprueba el Reglamento de Planeamiento de Canarias en cuanto a l Solicitud de inicio: </w:t>
      </w:r>
    </w:p>
    <w:p w:rsidR="00EE0979" w:rsidRDefault="00B022A0">
      <w:pPr>
        <w:ind w:left="14" w:right="100" w:firstLine="708"/>
      </w:pPr>
      <w:r>
        <w:t>1. El procedimiento de evaluación ambiental simplificada comienza con la solicitud de inicio de la</w:t>
      </w:r>
      <w:r>
        <w:t xml:space="preserve"> evaluación. El promotor presentará ante el órgano sustantivo, junto a la documentación exigida por la normativa sectorial, una solicitud de inicio de la Evaluación Ambiental Simplificada, el Documento Ambiental Estratégico, con el contenido exigido por la</w:t>
      </w:r>
      <w:r>
        <w:t xml:space="preserve"> legislación básica, y el Borrador del Plan. </w:t>
      </w:r>
    </w:p>
    <w:p w:rsidR="00EE0979" w:rsidRDefault="00B022A0">
      <w:pPr>
        <w:ind w:left="727" w:right="100"/>
      </w:pPr>
      <w:r>
        <w:t xml:space="preserve">Ley 21/2013, de 9 de diciembre, de evaluación ambiental. </w:t>
      </w:r>
    </w:p>
    <w:p w:rsidR="00EE0979" w:rsidRDefault="00B022A0">
      <w:pPr>
        <w:spacing w:after="0" w:line="259" w:lineRule="auto"/>
        <w:ind w:left="722" w:firstLine="0"/>
        <w:jc w:val="left"/>
      </w:pPr>
      <w:r>
        <w:t xml:space="preserve"> </w:t>
      </w:r>
    </w:p>
    <w:p w:rsidR="00EE0979" w:rsidRDefault="00B022A0">
      <w:pPr>
        <w:spacing w:after="6"/>
        <w:ind w:left="9" w:right="99" w:firstLine="708"/>
      </w:pPr>
      <w:r>
        <w:rPr>
          <w:b/>
        </w:rPr>
        <w:t xml:space="preserve">Segundo.- </w:t>
      </w:r>
      <w:r>
        <w:rPr>
          <w:b/>
        </w:rPr>
        <w:t xml:space="preserve">Es de aplicación el acuerdo del Pleno de 24 de febrero de 2022 debidamente notificado a la Consejería de Transición Ecológica del Gobierno de Canarias en el que expresamente se dispuso: </w:t>
      </w:r>
    </w:p>
    <w:p w:rsidR="00EE0979" w:rsidRDefault="00B022A0">
      <w:pPr>
        <w:spacing w:after="0" w:line="259" w:lineRule="auto"/>
        <w:ind w:left="722" w:firstLine="0"/>
        <w:jc w:val="left"/>
      </w:pPr>
      <w:r>
        <w:rPr>
          <w:b/>
        </w:rPr>
        <w:t xml:space="preserve"> </w:t>
      </w:r>
    </w:p>
    <w:p w:rsidR="00EE0979" w:rsidRDefault="00B022A0">
      <w:pPr>
        <w:ind w:left="-1" w:right="98" w:firstLine="708"/>
      </w:pPr>
      <w:r>
        <w:rPr>
          <w:i/>
        </w:rPr>
        <w:t>Primero.- Delegar en el órgano ambiental de la Comunidad Autónoma l</w:t>
      </w:r>
      <w:r>
        <w:rPr>
          <w:i/>
        </w:rPr>
        <w:t xml:space="preserve">a evaluación ambiental estratégica, ordinaria o simplificada, de los instrumentos de ordenación urbanística de competencia municipal así como sus modificaciones </w:t>
      </w:r>
    </w:p>
    <w:p w:rsidR="00EE0979" w:rsidRDefault="00B022A0">
      <w:pPr>
        <w:ind w:left="-1" w:right="98" w:firstLine="708"/>
      </w:pPr>
      <w:r>
        <w:rPr>
          <w:i/>
        </w:rPr>
        <w:t xml:space="preserve">Segundo.- </w:t>
      </w:r>
      <w:r>
        <w:rPr>
          <w:i/>
        </w:rPr>
        <w:t xml:space="preserve">Delegar en el órgano ambiental de la Comunidad Autónoma la evaluación y declaración de impacto ambiental de proyectos que deba tramitar y autorizar el Ayuntamiento </w:t>
      </w:r>
    </w:p>
    <w:p w:rsidR="00EE0979" w:rsidRDefault="00B022A0">
      <w:pPr>
        <w:spacing w:after="0" w:line="259" w:lineRule="auto"/>
        <w:ind w:left="722" w:firstLine="0"/>
        <w:jc w:val="left"/>
      </w:pPr>
      <w:r>
        <w:rPr>
          <w:i/>
        </w:rPr>
        <w:t xml:space="preserve"> </w:t>
      </w:r>
    </w:p>
    <w:p w:rsidR="00EE0979" w:rsidRDefault="00B022A0">
      <w:pPr>
        <w:spacing w:after="3" w:line="265" w:lineRule="auto"/>
        <w:ind w:left="624" w:right="5" w:hanging="10"/>
        <w:jc w:val="center"/>
      </w:pPr>
      <w:r>
        <w:rPr>
          <w:b/>
        </w:rPr>
        <w:t xml:space="preserve">Propuesta de Acuerdo: </w:t>
      </w:r>
    </w:p>
    <w:p w:rsidR="00EE0979" w:rsidRDefault="00B022A0">
      <w:pPr>
        <w:spacing w:after="12" w:line="259" w:lineRule="auto"/>
        <w:ind w:left="674" w:firstLine="0"/>
        <w:jc w:val="center"/>
      </w:pPr>
      <w:r>
        <w:rPr>
          <w:b/>
        </w:rPr>
        <w:t xml:space="preserve"> </w:t>
      </w:r>
    </w:p>
    <w:p w:rsidR="00EE0979" w:rsidRDefault="00B022A0">
      <w:pPr>
        <w:ind w:left="14" w:right="100" w:firstLine="708"/>
      </w:pPr>
      <w:r>
        <w:rPr>
          <w:b/>
        </w:rPr>
        <w:t xml:space="preserve">Primero.- </w:t>
      </w:r>
      <w:r>
        <w:t>Tomar conocimiento del “Documento ambiental estratégic</w:t>
      </w:r>
      <w:r>
        <w:t>o”, presentado con fecha 5 de abril de 2023, por Montero Aramburu SLP en representación de Tenerife Tour S.A, para dar cumplimiento al requerimiento emitido por resolución 99/2023 de 22 de marzo de 2023 del Viceconsejero de Planificación Territorial y Tran</w:t>
      </w:r>
      <w:r>
        <w:t>sición Ecológica y enviar la documentación técnica al órgano ambiental para continuar con el trámite del Procedimiento de Evaluación Ambiental Estratégica Simplificada.</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rPr>
          <w:b/>
        </w:rPr>
        <w:t>Segundo.-</w:t>
      </w:r>
      <w:r>
        <w:t xml:space="preserve"> Someter al procedimiento simplificado de evaluación ambiental estratégica,</w:t>
      </w:r>
      <w:r>
        <w:t xml:space="preserve"> a efectos de que, según lo dispuesto en el artículo 86.2.a) de la Ley 4/2017, de 13 de julio, del Suelo y de los Espacios Naturales Protegidos de Canarias (LSENPC), y de la Ley 21/2013, 165.3 de la LSENPC y 106.3 del RPC, el órgano ambiental resuelva medi</w:t>
      </w:r>
      <w:r>
        <w:t>ante la emisión del informe ambiental estratégico que la modificación no tiene efectos significativos sobre el medio ambiente, o, en su caso, que procede someter la modificación menor a una evaluación ambiental estratégica ordinaria porque pueda tener efec</w:t>
      </w:r>
      <w:r>
        <w:t>tos significativos sobre el medio ambiente.</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spacing w:after="6"/>
        <w:ind w:left="9" w:right="99" w:firstLine="708"/>
      </w:pPr>
      <w:r>
        <w:rPr>
          <w:b/>
        </w:rPr>
        <w:t>Tercero.- Remitir la documentación técnica debidamente autenticada electrónicamente y el certificado del acuerdo adoptado a la Consejería de Transición Ecológica, Lucha contra el Cambio Climático y Planificaci</w:t>
      </w:r>
      <w:r>
        <w:rPr>
          <w:b/>
        </w:rPr>
        <w:t xml:space="preserve">ón Territorial del Gobierno de Canarias.” </w:t>
      </w:r>
    </w:p>
    <w:p w:rsidR="00EE0979" w:rsidRDefault="00B022A0">
      <w:pPr>
        <w:spacing w:after="100" w:line="259" w:lineRule="auto"/>
        <w:ind w:left="14" w:firstLine="0"/>
        <w:jc w:val="left"/>
      </w:pPr>
      <w:r>
        <w:rPr>
          <w:b/>
        </w:rPr>
        <w:t xml:space="preserve"> </w:t>
      </w:r>
    </w:p>
    <w:p w:rsidR="00EE0979" w:rsidRDefault="00B022A0">
      <w:pPr>
        <w:spacing w:after="208" w:line="259" w:lineRule="auto"/>
        <w:ind w:left="14" w:firstLine="0"/>
        <w:jc w:val="left"/>
      </w:pPr>
      <w:r>
        <w:t xml:space="preserve"> </w:t>
      </w:r>
    </w:p>
    <w:p w:rsidR="00EE0979" w:rsidRDefault="00B022A0">
      <w:pPr>
        <w:spacing w:after="6"/>
        <w:ind w:right="99" w:hanging="10"/>
      </w:pPr>
      <w:r>
        <w:rPr>
          <w:b/>
        </w:rPr>
        <w:t xml:space="preserve">   Consta en el expediente propuesta de la Alcaldesa-Presidenta, de fecha 14 de abril de 2023, cuyo tenor literal es el siguiente: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pStyle w:val="Ttulo1"/>
        <w:numPr>
          <w:ilvl w:val="0"/>
          <w:numId w:val="0"/>
        </w:numPr>
        <w:ind w:left="624" w:right="711"/>
      </w:pPr>
      <w:r>
        <w:t xml:space="preserve">“PROPUESTA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Visto expediente nº 2118/2021, que se tramita en esta Corporación, en relación con el PAMU Tenerife Tour S.A. a iniciativa formulada por Tenerife Tour, S.A y vistos informes técnico y jurídico de fecha 13 de abril 2023, se eleva la siguiente propuesta al P</w:t>
      </w:r>
      <w:r>
        <w:rPr>
          <w:b/>
        </w:rPr>
        <w:t xml:space="preserve">leno: </w:t>
      </w:r>
    </w:p>
    <w:p w:rsidR="00EE0979" w:rsidRDefault="00B022A0">
      <w:pPr>
        <w:spacing w:after="19" w:line="259" w:lineRule="auto"/>
        <w:ind w:left="14" w:firstLine="0"/>
        <w:jc w:val="left"/>
      </w:pPr>
      <w:r>
        <w:rPr>
          <w:b/>
        </w:rPr>
        <w:t xml:space="preserve"> </w:t>
      </w:r>
    </w:p>
    <w:p w:rsidR="00EE0979" w:rsidRDefault="00B022A0">
      <w:pPr>
        <w:spacing w:after="3" w:line="265" w:lineRule="auto"/>
        <w:ind w:left="624" w:right="715" w:hanging="10"/>
        <w:jc w:val="center"/>
      </w:pPr>
      <w:r>
        <w:rPr>
          <w:b/>
        </w:rPr>
        <w:t xml:space="preserve">“…INFORME JURÍDICO DE SECRETARÍA GENERAL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Visto el expediente antedicho, se emite el siguiente informe: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pStyle w:val="Ttulo1"/>
        <w:numPr>
          <w:ilvl w:val="0"/>
          <w:numId w:val="0"/>
        </w:numPr>
        <w:ind w:left="624" w:right="710"/>
      </w:pPr>
      <w:r>
        <w:t>Antecedentes de hecho</w:t>
      </w:r>
      <w:r>
        <w:rPr>
          <w:rFonts w:ascii="Times New Roman" w:eastAsia="Times New Roman" w:hAnsi="Times New Roman" w:cs="Times New Roman"/>
          <w:b w:val="0"/>
          <w:sz w:val="24"/>
        </w:rPr>
        <w:t xml:space="preserve"> </w:t>
      </w:r>
    </w:p>
    <w:p w:rsidR="00EE0979" w:rsidRDefault="00B022A0">
      <w:pPr>
        <w:spacing w:after="0" w:line="259" w:lineRule="auto"/>
        <w:ind w:left="10" w:firstLine="0"/>
        <w:jc w:val="left"/>
      </w:pPr>
      <w:r>
        <w:t xml:space="preserve"> </w:t>
      </w:r>
    </w:p>
    <w:p w:rsidR="00EE0979" w:rsidRDefault="00B022A0">
      <w:pPr>
        <w:spacing w:after="6"/>
        <w:ind w:right="99" w:hanging="10"/>
      </w:pPr>
      <w:r>
        <w:rPr>
          <w:b/>
        </w:rPr>
        <w:t xml:space="preserve">Primero. - </w:t>
      </w:r>
      <w:r>
        <w:rPr>
          <w:b/>
        </w:rPr>
        <w:t xml:space="preserve">Consta en el expediente informe técnico emitido por la Arquitecta Municipal de fecha 13/04/2023 que transcrito literalmente dice:  </w:t>
      </w:r>
    </w:p>
    <w:p w:rsidR="00EE0979" w:rsidRDefault="00B022A0">
      <w:pPr>
        <w:spacing w:after="0" w:line="259" w:lineRule="auto"/>
        <w:ind w:left="14" w:firstLine="0"/>
        <w:jc w:val="left"/>
      </w:pPr>
      <w:r>
        <w:t xml:space="preserve"> </w:t>
      </w:r>
    </w:p>
    <w:p w:rsidR="00EE0979" w:rsidRDefault="00B022A0">
      <w:pPr>
        <w:ind w:right="100"/>
      </w:pPr>
      <w:r>
        <w:t xml:space="preserve">“Visto el expediente antedicho, Nayra Guzmán Hernández, arquitecta municipal, emite el siguiente informe: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ANTECEDENTES</w:t>
      </w:r>
      <w:r>
        <w:rPr>
          <w:b/>
        </w:rPr>
        <w:t xml:space="preserve"> </w:t>
      </w:r>
    </w:p>
    <w:p w:rsidR="00EE0979" w:rsidRDefault="00B022A0">
      <w:pPr>
        <w:spacing w:after="0" w:line="259" w:lineRule="auto"/>
        <w:ind w:left="14" w:firstLine="0"/>
        <w:jc w:val="left"/>
      </w:pPr>
      <w:r>
        <w:rPr>
          <w:b/>
        </w:rPr>
        <w:t xml:space="preserve"> </w:t>
      </w:r>
    </w:p>
    <w:p w:rsidR="00EE0979" w:rsidRDefault="00B022A0">
      <w:pPr>
        <w:numPr>
          <w:ilvl w:val="0"/>
          <w:numId w:val="48"/>
        </w:numPr>
        <w:spacing w:after="164"/>
        <w:ind w:right="100" w:hanging="360"/>
      </w:pPr>
      <w:r>
        <w:t>Con fecha 15 de enero de 2021 se remite oficio a la Consejería de Transición Ecológica, Lucha Contra el Cambio Climático y Planificación Territorial para el inicio del procedimiento de evaluación ambiental estratégica para el procedimiento de aprobació</w:t>
      </w:r>
      <w:r>
        <w:t xml:space="preserve">n del programa de actuación sobre el medio urbano de iniciativa privada, presentado por Tenerife Tour, S.A.”; y al que se adjunta un ejemplar en soporte digital del documento técnico, así como del documento ambiental estratégico. </w:t>
      </w:r>
    </w:p>
    <w:p w:rsidR="00EE0979" w:rsidRDefault="00B022A0">
      <w:pPr>
        <w:spacing w:after="0" w:line="259" w:lineRule="auto"/>
        <w:ind w:left="734" w:firstLine="0"/>
        <w:jc w:val="left"/>
      </w:pPr>
      <w:r>
        <w:t xml:space="preserve"> </w:t>
      </w:r>
    </w:p>
    <w:p w:rsidR="00EE0979" w:rsidRDefault="00B022A0">
      <w:pPr>
        <w:numPr>
          <w:ilvl w:val="0"/>
          <w:numId w:val="48"/>
        </w:numPr>
        <w:spacing w:after="165"/>
        <w:ind w:right="100" w:hanging="360"/>
      </w:pPr>
      <w:r>
        <w:t>Con fecha 27 de enero d</w:t>
      </w:r>
      <w:r>
        <w:t>e 2021 y registro de entrada 2021-E-RC-866 se recibe Resolución del Viceconsejero de Planificación Territorial y Transición Ecológica relativa a Requerimiento de subsanación de la documentación en relación a la solicitud de inicio del Procedimiento de Eval</w:t>
      </w:r>
      <w:r>
        <w:t xml:space="preserve">uación Ambiental Estratégica Simplificada de Programa de Actuación sobre el Medio Urbano en el Término Municipal de la Villa de Candelaria. </w:t>
      </w:r>
    </w:p>
    <w:p w:rsidR="00EE0979" w:rsidRDefault="00B022A0">
      <w:pPr>
        <w:spacing w:after="0" w:line="259" w:lineRule="auto"/>
        <w:ind w:left="14" w:firstLine="0"/>
        <w:jc w:val="left"/>
      </w:pPr>
      <w:r>
        <w:t xml:space="preserve"> </w:t>
      </w:r>
    </w:p>
    <w:p w:rsidR="00EE0979" w:rsidRDefault="00B022A0">
      <w:pPr>
        <w:numPr>
          <w:ilvl w:val="0"/>
          <w:numId w:val="48"/>
        </w:numPr>
        <w:spacing w:after="160"/>
        <w:ind w:right="100" w:hanging="360"/>
      </w:pPr>
      <w:r>
        <w:t>Con fecha 4 de marzo de 2021 y registro 2021-E-RC-2291 se presenta por Tenerife Tour S.A. documentación de subsan</w:t>
      </w:r>
      <w:r>
        <w:t xml:space="preserve">ación. </w:t>
      </w:r>
    </w:p>
    <w:p w:rsidR="00EE0979" w:rsidRDefault="00B022A0">
      <w:pPr>
        <w:spacing w:after="0" w:line="259" w:lineRule="auto"/>
        <w:ind w:left="14" w:firstLine="0"/>
        <w:jc w:val="left"/>
      </w:pPr>
      <w:r>
        <w:t xml:space="preserve"> </w:t>
      </w:r>
    </w:p>
    <w:p w:rsidR="00EE0979" w:rsidRDefault="00B022A0">
      <w:pPr>
        <w:numPr>
          <w:ilvl w:val="0"/>
          <w:numId w:val="48"/>
        </w:numPr>
        <w:spacing w:after="164"/>
        <w:ind w:right="100" w:hanging="360"/>
      </w:pPr>
      <w:r>
        <w:t>Con fecha 16 de abril de 2021 y registro 2021-E-RC-</w:t>
      </w:r>
      <w:r>
        <w:t xml:space="preserve">4037 se recibe Resolución del Viceconsejero de Planificación Territorial y Transición Ecológica relativa a la solicitud de inicio del Procedimiento de Evaluación Ambiental Estratégica Simplificada, en el que se requiere la siguiente documentación: </w:t>
      </w:r>
    </w:p>
    <w:p w:rsidR="00EE0979" w:rsidRDefault="00B022A0">
      <w:pPr>
        <w:spacing w:after="2" w:line="259" w:lineRule="auto"/>
        <w:ind w:left="14" w:firstLine="0"/>
        <w:jc w:val="left"/>
      </w:pPr>
      <w:r>
        <w:rPr>
          <w:b/>
          <w:i/>
        </w:rPr>
        <w:t xml:space="preserve"> </w:t>
      </w:r>
    </w:p>
    <w:p w:rsidR="00EE0979" w:rsidRDefault="00B022A0">
      <w:pPr>
        <w:ind w:left="9" w:right="98" w:hanging="10"/>
      </w:pPr>
      <w:r>
        <w:rPr>
          <w:b/>
          <w:i/>
        </w:rPr>
        <w:t>“…1. Respecto la diligencia de la documentación técnica:</w:t>
      </w:r>
      <w:r>
        <w:rPr>
          <w:i/>
        </w:rPr>
        <w:t xml:space="preserve"> En el soporte digital presentado en fecha 25 de marzo de 2021, cada uno de los archivos se encuentra firmado electrónicamente por la persona titular de la Secretaría de la corporación local, si bien </w:t>
      </w:r>
      <w:r>
        <w:rPr>
          <w:i/>
        </w:rPr>
        <w:t>sin diligenciar, al no relacionarlo con el acuerdo municipal correspondiente o, en su caso, con el documento efectivamente presentado por la iniciativa privada en sede municipal.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49"/>
        </w:numPr>
        <w:spacing w:after="10" w:line="248" w:lineRule="auto"/>
        <w:ind w:right="95" w:hanging="247"/>
      </w:pPr>
      <w:r>
        <w:rPr>
          <w:b/>
          <w:i/>
        </w:rPr>
        <w:t xml:space="preserve">Respecto la firma de la documentación técnica: </w:t>
      </w:r>
    </w:p>
    <w:p w:rsidR="00EE0979" w:rsidRDefault="00B022A0">
      <w:pPr>
        <w:spacing w:after="0" w:line="259" w:lineRule="auto"/>
        <w:ind w:left="14" w:firstLine="0"/>
        <w:jc w:val="left"/>
      </w:pPr>
      <w:r>
        <w:rPr>
          <w:b/>
          <w:i/>
        </w:rPr>
        <w:t xml:space="preserve"> </w:t>
      </w:r>
    </w:p>
    <w:p w:rsidR="00EE0979" w:rsidRDefault="00B022A0">
      <w:pPr>
        <w:numPr>
          <w:ilvl w:val="1"/>
          <w:numId w:val="49"/>
        </w:numPr>
        <w:ind w:right="98" w:hanging="10"/>
      </w:pPr>
      <w:r>
        <w:rPr>
          <w:i/>
        </w:rPr>
        <w:t>En el archivo borrador p</w:t>
      </w:r>
      <w:r>
        <w:rPr>
          <w:i/>
        </w:rPr>
        <w:t xml:space="preserve">resentado en fecha 25 de marzo de 2021 consta una firma manuscrita y posteriormente escaneada en la última página del documento (página 48). Sin embargo, la firma del autor también debe presentarse en formato electrónico, de conformidad con el artículo 14 </w:t>
      </w:r>
      <w:r>
        <w:rPr>
          <w:i/>
        </w:rPr>
        <w:t>de la Ley 39/2015, de 1 de octubre, del Procedimiento Administrativo Común de las Administraciones Públicas.</w:t>
      </w:r>
      <w:r>
        <w:rPr>
          <w:rFonts w:ascii="Times New Roman" w:eastAsia="Times New Roman" w:hAnsi="Times New Roman" w:cs="Times New Roman"/>
          <w:sz w:val="24"/>
        </w:rPr>
        <w:t xml:space="preserve"> </w:t>
      </w:r>
    </w:p>
    <w:p w:rsidR="00EE0979" w:rsidRDefault="00B022A0">
      <w:pPr>
        <w:ind w:left="9" w:right="98" w:hanging="10"/>
      </w:pPr>
      <w:r>
        <w:rPr>
          <w:i/>
        </w:rPr>
        <w:t>Además, en la documentación presentada en fecha 18 de enero de 2021, junto al archivo borrador y al documento ambiental estratégico, constaba la p</w:t>
      </w:r>
      <w:r>
        <w:rPr>
          <w:i/>
        </w:rPr>
        <w:t xml:space="preserve">resentación de dos archivos más: uno denominado “anteproyecto” y otro denominado “planimetría”; en éste último figuraba una autoría distinta de la que ahora suscribe de forma manuscrita el borrador. </w:t>
      </w:r>
    </w:p>
    <w:p w:rsidR="00EE0979" w:rsidRDefault="00B022A0">
      <w:pPr>
        <w:ind w:left="9" w:right="98" w:hanging="10"/>
      </w:pPr>
      <w:r>
        <w:rPr>
          <w:i/>
        </w:rPr>
        <w:t>Finalmente, en el archivo borrador presentado en fecha 2</w:t>
      </w:r>
      <w:r>
        <w:rPr>
          <w:i/>
        </w:rPr>
        <w:t>5 de marzo de 2021 no figuran los planos presentados en fecha 18 de enero de 2021 en el archivo denominado “planimetría”, ni tampoco el contenido del archivo denominado “anteproyecto”. Además, se detecta que en aquellos planos presentados en fecha 18 de en</w:t>
      </w:r>
      <w:r>
        <w:rPr>
          <w:i/>
        </w:rPr>
        <w:t xml:space="preserve">ero de 2021 figuraban dos planos distintos relativos a la alternativa 2 (plano n.º 4 y plano n.º 5), mientras que el epígrafe 8.3 del borrador sólo se refiere a una sola alternativa 2. </w:t>
      </w:r>
    </w:p>
    <w:p w:rsidR="00EE0979" w:rsidRDefault="00B022A0">
      <w:pPr>
        <w:spacing w:after="0" w:line="259" w:lineRule="auto"/>
        <w:ind w:left="14" w:firstLine="0"/>
        <w:jc w:val="left"/>
      </w:pPr>
      <w:r>
        <w:rPr>
          <w:i/>
        </w:rPr>
        <w:t xml:space="preserve"> </w:t>
      </w:r>
    </w:p>
    <w:p w:rsidR="00EE0979" w:rsidRDefault="00B022A0">
      <w:pPr>
        <w:numPr>
          <w:ilvl w:val="1"/>
          <w:numId w:val="49"/>
        </w:numPr>
        <w:ind w:right="98" w:hanging="10"/>
      </w:pPr>
      <w:r>
        <w:rPr>
          <w:i/>
        </w:rPr>
        <w:t xml:space="preserve">Por otro lado, en el archivo del documento ambiental estratégico no </w:t>
      </w:r>
      <w:r>
        <w:rPr>
          <w:i/>
        </w:rPr>
        <w:t>consta la firma electrónica del autor entre las propiedades del archivo, junto a la de la persona titular de la Secretaría de la corporación local, aún a pesar de figurar el aspecto correspondiente a un proceso de firma digital…”</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2"/>
          <w:numId w:val="49"/>
        </w:numPr>
        <w:spacing w:after="163"/>
        <w:ind w:right="100" w:hanging="360"/>
      </w:pPr>
      <w:r>
        <w:t xml:space="preserve">Con fecha 5 de mayo de </w:t>
      </w:r>
      <w:r>
        <w:t xml:space="preserve">2021 y registro de entrada 2021-E-RC-4659 se presenta por Tenerife Tour S.A documentación para dar cumplimiento al requerimiento anterior </w:t>
      </w:r>
    </w:p>
    <w:p w:rsidR="00EE0979" w:rsidRDefault="00B022A0">
      <w:pPr>
        <w:spacing w:after="0" w:line="259" w:lineRule="auto"/>
        <w:ind w:left="734" w:firstLine="0"/>
        <w:jc w:val="left"/>
      </w:pPr>
      <w:r>
        <w:t xml:space="preserve"> </w:t>
      </w:r>
    </w:p>
    <w:p w:rsidR="00EE0979" w:rsidRDefault="00B022A0">
      <w:pPr>
        <w:numPr>
          <w:ilvl w:val="2"/>
          <w:numId w:val="49"/>
        </w:numPr>
        <w:spacing w:after="163"/>
        <w:ind w:right="100" w:hanging="360"/>
      </w:pPr>
      <w:r>
        <w:t xml:space="preserve">Con fecha 10 de mayo de 2021 y registro de salida 2021-S-RE-1643 se emite requerimiento por parte del Ayuntamiento </w:t>
      </w:r>
      <w:r>
        <w:t xml:space="preserve">a la documentación presentada por Tenerife Tour. </w:t>
      </w:r>
    </w:p>
    <w:p w:rsidR="00EE0979" w:rsidRDefault="00B022A0">
      <w:pPr>
        <w:spacing w:after="0" w:line="259" w:lineRule="auto"/>
        <w:ind w:left="734" w:firstLine="0"/>
        <w:jc w:val="left"/>
      </w:pPr>
      <w:r>
        <w:t xml:space="preserve"> </w:t>
      </w:r>
    </w:p>
    <w:p w:rsidR="00EE0979" w:rsidRDefault="00B022A0">
      <w:pPr>
        <w:numPr>
          <w:ilvl w:val="2"/>
          <w:numId w:val="49"/>
        </w:numPr>
        <w:spacing w:after="160"/>
        <w:ind w:right="100" w:hanging="360"/>
      </w:pPr>
      <w:r>
        <w:t xml:space="preserve">Con fecha 12 de enero de 2023 y registro de entrada 2023-E-RC 273 Tenerife Tour, presenta documentación en contestación al requerimiento realizado </w:t>
      </w:r>
    </w:p>
    <w:p w:rsidR="00EE0979" w:rsidRDefault="00B022A0">
      <w:pPr>
        <w:spacing w:after="0" w:line="259" w:lineRule="auto"/>
        <w:ind w:left="734" w:firstLine="0"/>
        <w:jc w:val="left"/>
      </w:pPr>
      <w:r>
        <w:t xml:space="preserve"> </w:t>
      </w:r>
    </w:p>
    <w:p w:rsidR="00EE0979" w:rsidRDefault="00B022A0">
      <w:pPr>
        <w:numPr>
          <w:ilvl w:val="2"/>
          <w:numId w:val="49"/>
        </w:numPr>
        <w:spacing w:after="163"/>
        <w:ind w:right="100" w:hanging="360"/>
      </w:pPr>
      <w:r>
        <w:t xml:space="preserve">Con fecha 23 de febrero el Pleno municipal toma conocimiento de la documentación requerida </w:t>
      </w:r>
    </w:p>
    <w:p w:rsidR="00EE0979" w:rsidRDefault="00B022A0">
      <w:pPr>
        <w:spacing w:after="0" w:line="259" w:lineRule="auto"/>
        <w:ind w:left="734" w:firstLine="0"/>
        <w:jc w:val="left"/>
      </w:pPr>
      <w:r>
        <w:t xml:space="preserve"> </w:t>
      </w:r>
    </w:p>
    <w:p w:rsidR="00EE0979" w:rsidRDefault="00B022A0">
      <w:pPr>
        <w:numPr>
          <w:ilvl w:val="2"/>
          <w:numId w:val="49"/>
        </w:numPr>
        <w:spacing w:after="164"/>
        <w:ind w:right="100" w:hanging="360"/>
      </w:pPr>
      <w:r>
        <w:t>Con fecha 27 de febrero de 2023 y registro de salida 2023-S-RC-747 se remite la documentación requerida a Dirección General de Planificación Territorial, Transici</w:t>
      </w:r>
      <w:r>
        <w:t xml:space="preserve">ón Ecológica y Aguas. </w:t>
      </w:r>
    </w:p>
    <w:p w:rsidR="00EE0979" w:rsidRDefault="00B022A0">
      <w:pPr>
        <w:spacing w:after="0" w:line="259" w:lineRule="auto"/>
        <w:ind w:left="734" w:firstLine="0"/>
        <w:jc w:val="left"/>
      </w:pPr>
      <w:r>
        <w:t xml:space="preserve"> </w:t>
      </w:r>
    </w:p>
    <w:p w:rsidR="00EE0979" w:rsidRDefault="00B022A0">
      <w:pPr>
        <w:numPr>
          <w:ilvl w:val="2"/>
          <w:numId w:val="49"/>
        </w:numPr>
        <w:spacing w:after="165"/>
        <w:ind w:right="100" w:hanging="360"/>
      </w:pPr>
      <w:r>
        <w:t>Con fecha 23 de marzo y registro de entrada 2023-E-RC-3512, se recibe Resolución 99/2023 de 22.03.2023 del V. Lucha C.C.C. y Transición. Ecológico requerimiento la Subsanación del documento. S/ E.A.E. Simplificada de P.A.M.U. Cande</w:t>
      </w:r>
      <w:r>
        <w:t xml:space="preserve">laria. (Tenerife Tour) </w:t>
      </w:r>
    </w:p>
    <w:p w:rsidR="00EE0979" w:rsidRDefault="00B022A0">
      <w:pPr>
        <w:numPr>
          <w:ilvl w:val="2"/>
          <w:numId w:val="49"/>
        </w:numPr>
        <w:spacing w:after="163"/>
        <w:ind w:right="100" w:hanging="360"/>
      </w:pPr>
      <w:r>
        <w:t xml:space="preserve">Con fecha 5 de abril de 2023 y registro de entrada 2023-E-RE-2898, MONTERO ARAMBURU SLP , presenta la documentación requerida.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INFORME </w:t>
      </w:r>
    </w:p>
    <w:p w:rsidR="00EE0979" w:rsidRDefault="00B022A0">
      <w:pPr>
        <w:spacing w:after="0" w:line="259" w:lineRule="auto"/>
        <w:ind w:left="14" w:firstLine="0"/>
        <w:jc w:val="left"/>
      </w:pPr>
      <w:r>
        <w:rPr>
          <w:b/>
        </w:rPr>
        <w:t xml:space="preserve"> </w:t>
      </w:r>
    </w:p>
    <w:p w:rsidR="00EE0979" w:rsidRDefault="00B022A0">
      <w:pPr>
        <w:ind w:right="100"/>
      </w:pPr>
      <w:r>
        <w:t>Se toma conocimiento de la documentación presentada con fecha 5 de abril de 2023 y registro</w:t>
      </w:r>
      <w:r>
        <w:t xml:space="preserve"> de entrada 2023-E-RE-2898, aportada por Montero Aramburu SLP en representación de Tenerife Tour </w:t>
      </w:r>
    </w:p>
    <w:p w:rsidR="00EE0979" w:rsidRDefault="00B022A0">
      <w:pPr>
        <w:ind w:right="100"/>
      </w:pPr>
      <w:r>
        <w:t>S.A, para continuar con el trámite de inicio del Procedimiento de Evaluación Ambiental Estratégica Simplificada y dar cumplimiento al requerimiento emitido po</w:t>
      </w:r>
      <w:r>
        <w:t xml:space="preserve">r resolución 99/2023 de 22 de marzo de 2023 del Viceconsejero de Planificación Territorial y Transición Ecológica. </w:t>
      </w:r>
    </w:p>
    <w:p w:rsidR="00EE0979" w:rsidRDefault="00B022A0">
      <w:pPr>
        <w:ind w:right="100"/>
      </w:pPr>
      <w:r>
        <w:t xml:space="preserve">La documentación requerida relativa al Programa de Actuación sobre el Medio Urbano, consta del siguiente documento: </w:t>
      </w:r>
    </w:p>
    <w:p w:rsidR="00EE0979" w:rsidRDefault="00B022A0">
      <w:pPr>
        <w:spacing w:after="0" w:line="259" w:lineRule="auto"/>
        <w:ind w:left="14" w:firstLine="0"/>
        <w:jc w:val="left"/>
      </w:pPr>
      <w:r>
        <w:t xml:space="preserve"> </w:t>
      </w:r>
    </w:p>
    <w:p w:rsidR="00EE0979" w:rsidRDefault="00B022A0">
      <w:pPr>
        <w:numPr>
          <w:ilvl w:val="2"/>
          <w:numId w:val="49"/>
        </w:numPr>
        <w:spacing w:after="181"/>
        <w:ind w:right="100" w:hanging="360"/>
      </w:pPr>
      <w:r>
        <w:t xml:space="preserve">Documento ambiental estratégico </w:t>
      </w:r>
    </w:p>
    <w:p w:rsidR="00EE0979" w:rsidRDefault="00B022A0">
      <w:pPr>
        <w:pStyle w:val="Ttulo1"/>
        <w:numPr>
          <w:ilvl w:val="0"/>
          <w:numId w:val="0"/>
        </w:numPr>
        <w:ind w:left="624" w:right="711"/>
      </w:pPr>
      <w:r>
        <w:t xml:space="preserve">Fundamentos de derecho </w:t>
      </w:r>
    </w:p>
    <w:p w:rsidR="00EE0979" w:rsidRDefault="00B022A0">
      <w:pPr>
        <w:spacing w:after="0" w:line="259" w:lineRule="auto"/>
        <w:ind w:left="14" w:firstLine="0"/>
        <w:jc w:val="left"/>
      </w:pPr>
      <w:r>
        <w:t xml:space="preserve"> </w:t>
      </w:r>
    </w:p>
    <w:p w:rsidR="00EE0979" w:rsidRDefault="00B022A0">
      <w:pPr>
        <w:ind w:right="100"/>
      </w:pPr>
      <w:r>
        <w:t>Primero. - El procedimiento de evaluación ambiental estratégica de las modificaciones del plan general se regula en el artículo 86 de la Ley del Suelo y de los Espacios Naturales Protegidos de Cana</w:t>
      </w:r>
      <w:r>
        <w:t xml:space="preserve">rias (LSENPC): </w:t>
      </w:r>
    </w:p>
    <w:p w:rsidR="00EE0979" w:rsidRDefault="00B022A0">
      <w:pPr>
        <w:ind w:left="9" w:right="98" w:hanging="10"/>
      </w:pPr>
      <w:r>
        <w:rPr>
          <w:i/>
        </w:rPr>
        <w:t xml:space="preserve">Artículo 86. Evaluación ambiental estratégica </w:t>
      </w:r>
    </w:p>
    <w:p w:rsidR="00EE0979" w:rsidRDefault="00B022A0">
      <w:pPr>
        <w:numPr>
          <w:ilvl w:val="0"/>
          <w:numId w:val="50"/>
        </w:numPr>
        <w:ind w:right="98" w:hanging="10"/>
      </w:pPr>
      <w:r>
        <w:rPr>
          <w:i/>
        </w:rPr>
        <w:t>La aprobación, modificación sustancial y adaptación de los instrumentos de ordenación territorial, ambiental y urbanística se someterán al procedimiento de evaluación ambiental de planes y prog</w:t>
      </w:r>
      <w:r>
        <w:rPr>
          <w:i/>
        </w:rPr>
        <w:t xml:space="preserve">ramas, en los términos contemplados en la legislación básica estatal y en la presente ley. </w:t>
      </w:r>
    </w:p>
    <w:p w:rsidR="00EE0979" w:rsidRDefault="00B022A0">
      <w:pPr>
        <w:numPr>
          <w:ilvl w:val="0"/>
          <w:numId w:val="50"/>
        </w:numPr>
        <w:ind w:right="98" w:hanging="10"/>
      </w:pPr>
      <w:r>
        <w:rPr>
          <w:i/>
        </w:rPr>
        <w:t xml:space="preserve">En el marco de la legislación básica del Estado, serán objeto de evaluación ambiental estratégica simplificada: </w:t>
      </w:r>
    </w:p>
    <w:p w:rsidR="00EE0979" w:rsidRDefault="00B022A0">
      <w:pPr>
        <w:numPr>
          <w:ilvl w:val="0"/>
          <w:numId w:val="51"/>
        </w:numPr>
        <w:ind w:right="98" w:hanging="259"/>
      </w:pPr>
      <w:r>
        <w:rPr>
          <w:i/>
        </w:rPr>
        <w:t xml:space="preserve">Los instrumentos de ordenación que establezcan el uso, a nivel municipal, de zonas de reducida extensión. </w:t>
      </w:r>
    </w:p>
    <w:p w:rsidR="00EE0979" w:rsidRDefault="00B022A0">
      <w:pPr>
        <w:numPr>
          <w:ilvl w:val="0"/>
          <w:numId w:val="51"/>
        </w:numPr>
        <w:ind w:right="98" w:hanging="259"/>
      </w:pPr>
      <w:r>
        <w:rPr>
          <w:i/>
        </w:rPr>
        <w:t xml:space="preserve">Las modificaciones menores de los instrumentos de ordenación. </w:t>
      </w:r>
    </w:p>
    <w:p w:rsidR="00EE0979" w:rsidRDefault="00B022A0">
      <w:pPr>
        <w:numPr>
          <w:ilvl w:val="0"/>
          <w:numId w:val="51"/>
        </w:numPr>
        <w:ind w:right="98" w:hanging="259"/>
      </w:pPr>
      <w:r>
        <w:rPr>
          <w:i/>
        </w:rPr>
        <w:t xml:space="preserve">Los proyectos de interés insular o autonómico que contengan ordenación. </w:t>
      </w:r>
    </w:p>
    <w:p w:rsidR="00EE0979" w:rsidRDefault="00B022A0">
      <w:pPr>
        <w:numPr>
          <w:ilvl w:val="0"/>
          <w:numId w:val="51"/>
        </w:numPr>
        <w:ind w:right="98" w:hanging="259"/>
      </w:pPr>
      <w:r>
        <w:rPr>
          <w:i/>
        </w:rPr>
        <w:t>La ordenación</w:t>
      </w:r>
      <w:r>
        <w:rPr>
          <w:i/>
        </w:rPr>
        <w:t xml:space="preserve"> pormenorizada de un plan general. </w:t>
      </w:r>
    </w:p>
    <w:p w:rsidR="00EE0979" w:rsidRDefault="00B022A0">
      <w:pPr>
        <w:numPr>
          <w:ilvl w:val="0"/>
          <w:numId w:val="51"/>
        </w:numPr>
        <w:ind w:right="98" w:hanging="259"/>
      </w:pPr>
      <w:r>
        <w:rPr>
          <w:i/>
        </w:rPr>
        <w:t xml:space="preserve">Los planes parciales y especiales que desarrollen planes generales que hayan sido sometidos a evaluación ambiental estratégica. </w:t>
      </w:r>
    </w:p>
    <w:p w:rsidR="00EE0979" w:rsidRDefault="00B022A0">
      <w:pPr>
        <w:ind w:right="100"/>
      </w:pPr>
      <w:r>
        <w:t>No obstante, cuando el plan parcial o el plan especial no se ajusten, en todo o en parte, a</w:t>
      </w:r>
      <w:r>
        <w:t xml:space="preserve"> las determinaciones ambientales del plan general deberán someterse a evaluación ambiental estratégica ordinaria en la parte que no cumplan con las mismas. </w:t>
      </w:r>
    </w:p>
    <w:p w:rsidR="00EE0979" w:rsidRDefault="00B022A0">
      <w:pPr>
        <w:numPr>
          <w:ilvl w:val="1"/>
          <w:numId w:val="51"/>
        </w:numPr>
        <w:ind w:right="98" w:firstLine="708"/>
      </w:pPr>
      <w:r>
        <w:rPr>
          <w:i/>
        </w:rPr>
        <w:t>En los casos en que los planes se estructurasen en distintos ámbitos jerárquicos de decisión de una</w:t>
      </w:r>
      <w:r>
        <w:rPr>
          <w:i/>
        </w:rPr>
        <w:t xml:space="preserve"> misma administración pública canaria, cuando sea preciso llevar a cabo la evaluación ambiental de cada uno de ellos, esta deberá realizarse teniendo en cuenta el contenido y el grado de especificación del plan, la fase del proceso de decisión en que se en</w:t>
      </w:r>
      <w:r>
        <w:rPr>
          <w:i/>
        </w:rPr>
        <w:t>cuentre y la medida en que la evaluación de determinados aspectos pueda ser más adecuada en fases distintas de dicho proceso, con objeto de evitar la duplicidad de evaluaciones. A estos efectos, el correspondiente estudio ambiental estratégico del plan deb</w:t>
      </w:r>
      <w:r>
        <w:rPr>
          <w:i/>
        </w:rPr>
        <w:t>erá elaborarse a partir de la evaluación ya realizada y de las decisiones tomadas en la evaluación del instrumento superior, sin perjuicio además de la utilización de la información pertinente disponible, que, estando actualizada y siendo completa en lo re</w:t>
      </w:r>
      <w:r>
        <w:rPr>
          <w:i/>
        </w:rPr>
        <w:t xml:space="preserve">lativo a los efectos medioambientales del nuevo plan o programa, se hubiera aprobado en otras fases del proceso de decisión. </w:t>
      </w:r>
    </w:p>
    <w:p w:rsidR="00EE0979" w:rsidRDefault="00B022A0">
      <w:pPr>
        <w:numPr>
          <w:ilvl w:val="1"/>
          <w:numId w:val="51"/>
        </w:numPr>
        <w:ind w:right="98" w:firstLine="708"/>
      </w:pPr>
      <w:r>
        <w:rPr>
          <w:i/>
        </w:rPr>
        <w:t>Cuando exista una concurrencia de planes o programas promovidos por diferentes administraciones públicas canarias, estas deberán a</w:t>
      </w:r>
      <w:r>
        <w:rPr>
          <w:i/>
        </w:rPr>
        <w:t>doptar las medidas necesarias para evitar que se produzca una duplicidad de evaluaciones. A estos efectos, no deberán someterse a un nuevo proceso de evaluación, como consecuencia de la elaboración y aprobación de un plan de ordenación urbanística o territ</w:t>
      </w:r>
      <w:r>
        <w:rPr>
          <w:i/>
        </w:rPr>
        <w:t xml:space="preserve">orial, los aspectos relativos a infraestructuras de titularidad autonómica cuya planificación sectorial haya sido sometida previamente a la correspondiente evaluación ambiental conforme a lo dispuesto en esta ley. En tales casos, la administración pública </w:t>
      </w:r>
      <w:r>
        <w:rPr>
          <w:i/>
        </w:rPr>
        <w:t xml:space="preserve">competente para la aprobación del plan de ordenación urbanística o territorial podrá exigir que se tengan en cuenta los aspectos no específicamente considerados en la primera evaluación ambiental. </w:t>
      </w:r>
    </w:p>
    <w:p w:rsidR="00EE0979" w:rsidRDefault="00B022A0">
      <w:pPr>
        <w:numPr>
          <w:ilvl w:val="1"/>
          <w:numId w:val="51"/>
        </w:numPr>
        <w:ind w:right="98" w:firstLine="708"/>
      </w:pPr>
      <w:r>
        <w:rPr>
          <w:i/>
        </w:rPr>
        <w:t>La evaluación ambiental estratégica posterior de cualquier</w:t>
      </w:r>
      <w:r>
        <w:rPr>
          <w:i/>
        </w:rPr>
        <w:t xml:space="preserve"> plan o programa, aunque sea de rango superior, deberá acomodarse a la declaración ambiental estratégica o, en su caso, al informe ambiental estratégico recaído con anterioridad. En el supuesto de que el resultado de las evaluaciones fuera contradictorio, </w:t>
      </w:r>
      <w:r>
        <w:rPr>
          <w:i/>
        </w:rPr>
        <w:t xml:space="preserve">deberán justificarse las razones y motivaciones de la nueva evaluación así como la corrección de la anterior. </w:t>
      </w:r>
    </w:p>
    <w:p w:rsidR="00EE0979" w:rsidRDefault="00B022A0">
      <w:pPr>
        <w:numPr>
          <w:ilvl w:val="1"/>
          <w:numId w:val="51"/>
        </w:numPr>
        <w:ind w:right="98" w:firstLine="708"/>
      </w:pPr>
      <w:r>
        <w:rPr>
          <w:i/>
        </w:rPr>
        <w:t xml:space="preserve">A los efectos previstos en el presente artículo, tendrá la consideración de: </w:t>
      </w:r>
    </w:p>
    <w:p w:rsidR="00EE0979" w:rsidRDefault="00B022A0">
      <w:pPr>
        <w:numPr>
          <w:ilvl w:val="0"/>
          <w:numId w:val="52"/>
        </w:numPr>
        <w:ind w:right="98" w:hanging="10"/>
      </w:pPr>
      <w:r>
        <w:rPr>
          <w:i/>
        </w:rPr>
        <w:t xml:space="preserve">Promotor: La persona física o jurídica, pública o privada, que tenga atribuida la iniciativa para la elaboración del correspondiente instrumento de ordenación. </w:t>
      </w:r>
    </w:p>
    <w:p w:rsidR="00EE0979" w:rsidRDefault="00B022A0">
      <w:pPr>
        <w:numPr>
          <w:ilvl w:val="0"/>
          <w:numId w:val="52"/>
        </w:numPr>
        <w:ind w:right="98" w:hanging="10"/>
      </w:pPr>
      <w:r>
        <w:rPr>
          <w:i/>
        </w:rPr>
        <w:t>Órgano sustantivo: El órgano competente para su aprobación. Cuando el órgano sustantivo promuev</w:t>
      </w:r>
      <w:r>
        <w:rPr>
          <w:i/>
        </w:rPr>
        <w:t xml:space="preserve">a el instrumento de ordenación, realizará las actuaciones atribuidas al promotor. </w:t>
      </w:r>
    </w:p>
    <w:p w:rsidR="00EE0979" w:rsidRDefault="00B022A0">
      <w:pPr>
        <w:numPr>
          <w:ilvl w:val="0"/>
          <w:numId w:val="52"/>
        </w:numPr>
        <w:ind w:right="98" w:hanging="10"/>
      </w:pPr>
      <w:r>
        <w:rPr>
          <w:i/>
        </w:rPr>
        <w:t>Órgano ambiental: en el caso de los instrumentos autonómicos, lo será el órgano que designe el Gobierno de Canarias; en cuanto a los instrumentos insulares, lo será el órgan</w:t>
      </w:r>
      <w:r>
        <w:rPr>
          <w:i/>
        </w:rPr>
        <w:t>o que designe el cabildo o, previa delegación, el órgano ambiental autonómico; y en el caso de los instrumentos municipales, lo será el que pueda designar el ayuntamiento, si cuenta con los recursos suficientes, pudiendo delegar esta competencia en el órga</w:t>
      </w:r>
      <w:r>
        <w:rPr>
          <w:i/>
        </w:rPr>
        <w:t xml:space="preserve">no ambiental autonómico o el órgano ambiental insular de la isla a la que pertenezca, o bien constituir un órgano ambiental en mancomunidad con otros municipios. </w:t>
      </w:r>
    </w:p>
    <w:p w:rsidR="00EE0979" w:rsidRDefault="00B022A0">
      <w:pPr>
        <w:ind w:left="9" w:right="98" w:hanging="10"/>
      </w:pPr>
      <w:r>
        <w:rPr>
          <w:i/>
        </w:rPr>
        <w:t>Asimismo, podrá encomendarse el ejercicio de los aspectos materiales o técnicos de la compete</w:t>
      </w:r>
      <w:r>
        <w:rPr>
          <w:i/>
        </w:rPr>
        <w:t xml:space="preserve">ncia de los órganos ambientales, en caso de estar constituidos, mediante convenio de encomienda de gestión en los términos de la legislación básica sobre régimen jurídico del sector público. </w:t>
      </w:r>
    </w:p>
    <w:p w:rsidR="00EE0979" w:rsidRDefault="00B022A0">
      <w:pPr>
        <w:ind w:left="9" w:right="98" w:hanging="10"/>
      </w:pPr>
      <w:r>
        <w:rPr>
          <w:i/>
        </w:rPr>
        <w:t>El acuerdo de delegación o encomienda o de aceptación de las mis</w:t>
      </w:r>
      <w:r>
        <w:rPr>
          <w:i/>
        </w:rPr>
        <w:t xml:space="preserve">mas o de aprobación del convenio de encomienda deberá adoptarse por el pleno de la entidad o por el Gobierno de Canarias, según proceda. </w:t>
      </w:r>
    </w:p>
    <w:p w:rsidR="00EE0979" w:rsidRDefault="00B022A0">
      <w:pPr>
        <w:ind w:left="9" w:right="98" w:hanging="10"/>
      </w:pPr>
      <w:r>
        <w:rPr>
          <w:i/>
        </w:rPr>
        <w:t>No obstante, en los municipios de menos de 100.000 habitantes de derecho, la evaluación ambiental de la ordenación urb</w:t>
      </w:r>
      <w:r>
        <w:rPr>
          <w:i/>
        </w:rPr>
        <w:t xml:space="preserve">anística estructural de los planes generales de ordenación, así como en los casos de modificación sustancial de los mismos, corresponderá al órgano ambiental autonómico. </w:t>
      </w:r>
    </w:p>
    <w:p w:rsidR="00EE0979" w:rsidRDefault="00B022A0">
      <w:pPr>
        <w:ind w:left="9" w:right="98" w:hanging="10"/>
      </w:pPr>
      <w:r>
        <w:rPr>
          <w:i/>
        </w:rPr>
        <w:t>A estos efectos, se entiende por ordenación urbanística estructural la delimitada por</w:t>
      </w:r>
      <w:r>
        <w:rPr>
          <w:i/>
        </w:rPr>
        <w:t xml:space="preserve"> el artículo 136 de esta ley, y por modificación sustancial los supuestos previstos en el artículo 163 de esta ley. Asimismo, podrá encomendarse el ejercicio de los aspectos materiales o técnicos de la competencia de los órganos ambientales, en caso de est</w:t>
      </w:r>
      <w:r>
        <w:rPr>
          <w:i/>
        </w:rPr>
        <w:t xml:space="preserve">ar constituidos, mediante convenio. </w:t>
      </w:r>
    </w:p>
    <w:p w:rsidR="00EE0979" w:rsidRDefault="00B022A0">
      <w:pPr>
        <w:ind w:left="9" w:right="98" w:hanging="10"/>
      </w:pPr>
      <w:r>
        <w:rPr>
          <w:i/>
        </w:rPr>
        <w:t>El acuerdo de delegación deberá adoptarse por el Pleno de la entidad local, y el acuerdo de aceptación de la delegación o de aprobación del convenio de encomienda, por el Pleno del respectivo cabildo insular o por el Go</w:t>
      </w:r>
      <w:r>
        <w:rPr>
          <w:i/>
        </w:rPr>
        <w:t>bierno de Canarias, según proceda. No obstante, en los municipios de menos de 100.000 habitantes de derecho, la evaluación ambiental de la ordenación urbanística estructural de los planes generales de ordenación, así como en los casos de modificación susta</w:t>
      </w:r>
      <w:r>
        <w:rPr>
          <w:i/>
        </w:rPr>
        <w:t xml:space="preserve">ncial de los mismos, corresponderá al órgano ambiental autonómico. </w:t>
      </w:r>
    </w:p>
    <w:p w:rsidR="00EE0979" w:rsidRDefault="00B022A0">
      <w:pPr>
        <w:ind w:left="9" w:right="98" w:hanging="10"/>
      </w:pPr>
      <w:r>
        <w:rPr>
          <w:i/>
        </w:rPr>
        <w:t xml:space="preserve">A estos efectos, se entiende por ordenación urbanística estructural la delimitada por el artículo 136 de esta ley, y por modificación sustancial los supuestos previstos en el artículo 163 </w:t>
      </w:r>
      <w:r>
        <w:rPr>
          <w:i/>
        </w:rPr>
        <w:t xml:space="preserve">de esta ley </w:t>
      </w:r>
    </w:p>
    <w:p w:rsidR="00EE0979" w:rsidRDefault="00B022A0">
      <w:pPr>
        <w:numPr>
          <w:ilvl w:val="0"/>
          <w:numId w:val="53"/>
        </w:numPr>
        <w:ind w:right="98" w:firstLine="708"/>
      </w:pPr>
      <w:r>
        <w:rPr>
          <w:i/>
        </w:rPr>
        <w:t xml:space="preserve">De acuerdo con la normativa europea y estatal, el órgano ambiental debe contar con separación funcional y orgánica respecto del órgano sustantivo </w:t>
      </w:r>
    </w:p>
    <w:p w:rsidR="00EE0979" w:rsidRDefault="00B022A0">
      <w:pPr>
        <w:numPr>
          <w:ilvl w:val="0"/>
          <w:numId w:val="53"/>
        </w:numPr>
        <w:ind w:right="98" w:firstLine="708"/>
      </w:pPr>
      <w:r>
        <w:rPr>
          <w:i/>
        </w:rPr>
        <w:t>La declaración ambiental estratégica tiene carácter de informe preceptivo y determinante, por lo</w:t>
      </w:r>
      <w:r>
        <w:rPr>
          <w:i/>
        </w:rPr>
        <w:t xml:space="preserve"> que su no emisión en plazo podrá interrumpir el plazo de los trámites sucesivos, de conformidad con lo previsto en la legislación de procedimiento administrativo común. La falta de emisión de la declaración ambiental estratégica en ningún caso podrá enten</w:t>
      </w:r>
      <w:r>
        <w:rPr>
          <w:i/>
        </w:rPr>
        <w:t xml:space="preserve">derse que equivale a una evaluación ambiental favorable. </w:t>
      </w:r>
    </w:p>
    <w:p w:rsidR="00EE0979" w:rsidRDefault="00B022A0">
      <w:pPr>
        <w:numPr>
          <w:ilvl w:val="0"/>
          <w:numId w:val="53"/>
        </w:numPr>
        <w:ind w:right="98" w:firstLine="708"/>
      </w:pPr>
      <w:r>
        <w:rPr>
          <w:i/>
        </w:rPr>
        <w:t>El Gobierno establecerá reglamentariamente las normas, los criterios y la metodología a utilizar por el órgano ambiental en el ejercicio de su función, asegurando la unidad y coherencia de la evalua</w:t>
      </w:r>
      <w:r>
        <w:rPr>
          <w:i/>
        </w:rPr>
        <w:t>ción ambiental, de acuerdo con criterios públicos y conocidos de antemano, lo más objetivos y reglados que permita el estado del conocimiento científico y técnico y de los métodos de evaluación existentes. 10. En lo no previsto en la presente ley se estará</w:t>
      </w:r>
      <w:r>
        <w:rPr>
          <w:i/>
        </w:rPr>
        <w:t xml:space="preserve"> a lo dispuesto en la legislación estatal básica en materia de evaluación ambiental. </w:t>
      </w:r>
    </w:p>
    <w:p w:rsidR="00EE0979" w:rsidRDefault="00B022A0">
      <w:pPr>
        <w:ind w:left="727" w:right="100"/>
      </w:pPr>
      <w:r>
        <w:t xml:space="preserve">Artículo 307. Delimitación y ordenación por programas de actuación sobre el medio urbano. </w:t>
      </w:r>
    </w:p>
    <w:p w:rsidR="00EE0979" w:rsidRDefault="00B022A0">
      <w:pPr>
        <w:numPr>
          <w:ilvl w:val="0"/>
          <w:numId w:val="54"/>
        </w:numPr>
        <w:ind w:right="100" w:firstLine="708"/>
      </w:pPr>
      <w:r>
        <w:t>Los programas de actuación sobre el medio urbano (PAMU) podrán delimitar y orde</w:t>
      </w:r>
      <w:r>
        <w:t xml:space="preserve">nar las actuaciones sobre el medio urbano, así como modificar las previstas en otros instrumentos de planeamiento urbanístico. </w:t>
      </w:r>
    </w:p>
    <w:p w:rsidR="00EE0979" w:rsidRDefault="00B022A0">
      <w:pPr>
        <w:numPr>
          <w:ilvl w:val="0"/>
          <w:numId w:val="54"/>
        </w:numPr>
        <w:ind w:right="100" w:firstLine="708"/>
      </w:pPr>
      <w:r>
        <w:t>Los programas de actuación sobre el medio urbano se tramitarán y aprobarán por el procedimiento previsto para las ordenanzas mun</w:t>
      </w:r>
      <w:r>
        <w:t xml:space="preserve">icipales. </w:t>
      </w:r>
    </w:p>
    <w:p w:rsidR="00EE0979" w:rsidRDefault="00B022A0">
      <w:pPr>
        <w:numPr>
          <w:ilvl w:val="0"/>
          <w:numId w:val="54"/>
        </w:numPr>
        <w:ind w:right="100" w:firstLine="708"/>
      </w:pPr>
      <w:r>
        <w:t xml:space="preserve">Los programas vendrán acompañados de la memoria de viabilidad económica y la delimitación gráfica del ámbito de actuación. </w:t>
      </w:r>
    </w:p>
    <w:p w:rsidR="00EE0979" w:rsidRDefault="00B022A0">
      <w:pPr>
        <w:ind w:left="14" w:right="100" w:firstLine="708"/>
      </w:pPr>
      <w:r>
        <w:t>Es de aplicación el artículo Artículo 114 del DECRETO 181/2018, de 26 de diciembre, por el que se aprueba el Reglamento d</w:t>
      </w:r>
      <w:r>
        <w:t xml:space="preserve">e Planeamiento de Canarias en cuanto a l Solicitud de inicio: </w:t>
      </w:r>
    </w:p>
    <w:p w:rsidR="00EE0979" w:rsidRDefault="00B022A0">
      <w:pPr>
        <w:ind w:left="14" w:right="100" w:firstLine="708"/>
      </w:pPr>
      <w:r>
        <w:t>1. El procedimiento de evaluación ambiental simplificada comienza con la solicitud de inicio de la evaluación. El promotor presentará ante el órgano sustantivo, junto a la documentación exigida</w:t>
      </w:r>
      <w:r>
        <w:t xml:space="preserve"> por la normativa sectorial, una solicitud de inicio de la Evaluación Ambiental Simplificada, el Documento Ambiental Estratégico, con el contenido exigido por la legislación básica, y el Borrador del Plan. </w:t>
      </w:r>
    </w:p>
    <w:p w:rsidR="00EE0979" w:rsidRDefault="00B022A0">
      <w:pPr>
        <w:ind w:left="727" w:right="100"/>
      </w:pPr>
      <w:r>
        <w:t>Ley 21/2013, de 9 de diciembre, de evaluación amb</w:t>
      </w:r>
      <w:r>
        <w:t xml:space="preserve">iental. </w:t>
      </w:r>
    </w:p>
    <w:p w:rsidR="00EE0979" w:rsidRDefault="00B022A0">
      <w:pPr>
        <w:spacing w:after="0" w:line="259" w:lineRule="auto"/>
        <w:ind w:left="722" w:firstLine="0"/>
        <w:jc w:val="left"/>
      </w:pPr>
      <w:r>
        <w:t xml:space="preserve"> </w:t>
      </w:r>
    </w:p>
    <w:p w:rsidR="00EE0979" w:rsidRDefault="00B022A0">
      <w:pPr>
        <w:spacing w:after="6"/>
        <w:ind w:left="9" w:right="99" w:firstLine="708"/>
      </w:pPr>
      <w:r>
        <w:rPr>
          <w:b/>
        </w:rPr>
        <w:t xml:space="preserve">Segundo.- Es de aplicación el acuerdo del Pleno de 24 de febrero de 2022 debidamente notificado a la Consejería de Transición Ecológica del Gobierno de Canarias en el que expresamente se dispuso: </w:t>
      </w:r>
    </w:p>
    <w:p w:rsidR="00EE0979" w:rsidRDefault="00B022A0">
      <w:pPr>
        <w:spacing w:after="0" w:line="259" w:lineRule="auto"/>
        <w:ind w:left="722" w:firstLine="0"/>
        <w:jc w:val="left"/>
      </w:pPr>
      <w:r>
        <w:rPr>
          <w:b/>
        </w:rPr>
        <w:t xml:space="preserve"> </w:t>
      </w:r>
    </w:p>
    <w:p w:rsidR="00EE0979" w:rsidRDefault="00B022A0">
      <w:pPr>
        <w:ind w:left="-1" w:right="98" w:firstLine="708"/>
      </w:pPr>
      <w:r>
        <w:rPr>
          <w:i/>
        </w:rPr>
        <w:t xml:space="preserve">Primero.- </w:t>
      </w:r>
      <w:r>
        <w:rPr>
          <w:i/>
        </w:rPr>
        <w:t xml:space="preserve">Delegar en el órgano ambiental de la Comunidad Autónoma la evaluación ambiental estratégica, ordinaria o simplificada, de los instrumentos de ordenación urbanística de competencia municipal así como sus modificaciones </w:t>
      </w:r>
    </w:p>
    <w:p w:rsidR="00EE0979" w:rsidRDefault="00B022A0">
      <w:pPr>
        <w:ind w:left="-1" w:right="98" w:firstLine="708"/>
      </w:pPr>
      <w:r>
        <w:rPr>
          <w:i/>
        </w:rPr>
        <w:t>Segundo.- Delegar en el órgano ambien</w:t>
      </w:r>
      <w:r>
        <w:rPr>
          <w:i/>
        </w:rPr>
        <w:t xml:space="preserve">tal de la Comunidad Autónoma la evaluación y declaración de impacto ambiental de proyectos que deba tramitar y autorizar el Ayuntamiento </w:t>
      </w:r>
    </w:p>
    <w:p w:rsidR="00EE0979" w:rsidRDefault="00B022A0">
      <w:pPr>
        <w:spacing w:after="0" w:line="259" w:lineRule="auto"/>
        <w:ind w:left="722" w:firstLine="0"/>
        <w:jc w:val="left"/>
      </w:pPr>
      <w:r>
        <w:rPr>
          <w:i/>
        </w:rPr>
        <w:t xml:space="preserve"> </w:t>
      </w:r>
    </w:p>
    <w:p w:rsidR="00EE0979" w:rsidRDefault="00B022A0">
      <w:pPr>
        <w:spacing w:after="3" w:line="265" w:lineRule="auto"/>
        <w:ind w:left="624" w:right="5" w:hanging="10"/>
        <w:jc w:val="center"/>
      </w:pPr>
      <w:r>
        <w:rPr>
          <w:b/>
        </w:rPr>
        <w:t xml:space="preserve">Propuesta de Acuerdo: </w:t>
      </w:r>
    </w:p>
    <w:p w:rsidR="00EE0979" w:rsidRDefault="00B022A0">
      <w:pPr>
        <w:spacing w:after="11" w:line="259" w:lineRule="auto"/>
        <w:ind w:left="674" w:firstLine="0"/>
        <w:jc w:val="center"/>
      </w:pPr>
      <w:r>
        <w:rPr>
          <w:b/>
        </w:rPr>
        <w:t xml:space="preserve"> </w:t>
      </w:r>
    </w:p>
    <w:p w:rsidR="00EE0979" w:rsidRDefault="00B022A0">
      <w:pPr>
        <w:ind w:left="14" w:right="100" w:firstLine="708"/>
      </w:pPr>
      <w:r>
        <w:rPr>
          <w:b/>
        </w:rPr>
        <w:t xml:space="preserve">Primero. - </w:t>
      </w:r>
      <w:r>
        <w:t>Tomar conocimiento del “Documento ambiental estratégico”, presentado con fecha 5</w:t>
      </w:r>
      <w:r>
        <w:t xml:space="preserve"> de abril de 2023, por Montero Aramburu SLP en representación de Tenerife Tour S.A, para dar cumplimiento al requerimiento emitido por resolución 99/2023 de 22 de marzo de 2023 del Viceconsejero de Planificación Territorial y Transición Ecológica y enviar </w:t>
      </w:r>
      <w:r>
        <w:t>la documentación técnica al órgano ambiental para continuar con el trámite del Procedimiento de Evaluación Ambiental Estratégica Simplificada.</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rPr>
          <w:b/>
        </w:rPr>
        <w:t>Segundo.-</w:t>
      </w:r>
      <w:r>
        <w:t xml:space="preserve"> Someter al procedimiento simplificado de evaluación ambiental estratégica, a efectos de que, según l</w:t>
      </w:r>
      <w:r>
        <w:t>o dispuesto en el artículo 86.2.a) de la Ley 4/2017, de 13 de julio, del Suelo y de los Espacios Naturales Protegidos de Canarias (LSENPC), y de la Ley 21/2013, 165.3 de la LSENPC y 106.3 del RPC, el órgano ambiental resuelva mediante la emisión del inform</w:t>
      </w:r>
      <w:r>
        <w:t>e ambiental estratégico que la modificación no tiene efectos significativos sobre el medio ambiente, o, en su caso, que procede someter la modificación menor a una evaluación ambiental estratégica ordinaria porque pueda tener efectos significativos sobre e</w:t>
      </w:r>
      <w:r>
        <w:t>l medio ambiente.</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ind w:left="14" w:right="100" w:firstLine="708"/>
      </w:pPr>
      <w:r>
        <w:rPr>
          <w:b/>
        </w:rPr>
        <w:t>Tercero.-</w:t>
      </w:r>
      <w:r>
        <w:t xml:space="preserve"> Remitir la documentación técnica debidamente autenticada electrónicamente y el certificado del acuerdo adoptado a la Consejería de Transición Ecológica, </w:t>
      </w:r>
      <w:r>
        <w:t>Lucha contra el Cambio Climático y Planificación Territorial del Gobierno de Canarias…”</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rPr>
          <w:b/>
        </w:rPr>
        <w:t xml:space="preserve"> </w:t>
      </w:r>
    </w:p>
    <w:p w:rsidR="00EE0979" w:rsidRDefault="00B022A0">
      <w:pPr>
        <w:ind w:left="14" w:right="100" w:firstLine="708"/>
      </w:pPr>
      <w:r>
        <w:t xml:space="preserve">Por lo que se eleva a esta propuesta al Pleno del Ayuntamiento, que resolverá como mejor proceda. </w:t>
      </w:r>
    </w:p>
    <w:p w:rsidR="00EE0979" w:rsidRDefault="00B022A0">
      <w:pPr>
        <w:spacing w:after="0" w:line="259" w:lineRule="auto"/>
        <w:ind w:left="722" w:firstLine="0"/>
        <w:jc w:val="left"/>
      </w:pPr>
      <w:r>
        <w:rPr>
          <w:b/>
        </w:rPr>
        <w:t xml:space="preserve"> </w:t>
      </w:r>
    </w:p>
    <w:p w:rsidR="00EE0979" w:rsidRDefault="00B022A0">
      <w:pPr>
        <w:spacing w:after="0" w:line="259" w:lineRule="auto"/>
        <w:ind w:left="722" w:firstLine="0"/>
        <w:jc w:val="left"/>
      </w:pPr>
      <w:r>
        <w:rPr>
          <w:b/>
        </w:rPr>
        <w:t xml:space="preserve"> </w:t>
      </w:r>
    </w:p>
    <w:p w:rsidR="00EE0979" w:rsidRDefault="00B022A0">
      <w:pPr>
        <w:spacing w:after="6"/>
        <w:ind w:right="99" w:hanging="10"/>
      </w:pPr>
      <w:r>
        <w:rPr>
          <w:b/>
        </w:rPr>
        <w:t xml:space="preserve">DICTAMEN FAVORABLE DE LA COMISIÓN INFORMATIVA DE P.G. URBANÍSTICA Y AMBIENTAL, OBRAS y SERVICIOS PÚBLICOS DE 24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Los 7 concejales presentes tomaron conocimiento: </w:t>
      </w:r>
    </w:p>
    <w:p w:rsidR="00EE0979" w:rsidRDefault="00B022A0">
      <w:pPr>
        <w:spacing w:after="0" w:line="259" w:lineRule="auto"/>
        <w:ind w:left="14" w:firstLine="0"/>
        <w:jc w:val="left"/>
      </w:pPr>
      <w:r>
        <w:t xml:space="preserve"> </w:t>
      </w:r>
    </w:p>
    <w:p w:rsidR="00EE0979" w:rsidRDefault="00B022A0">
      <w:pPr>
        <w:ind w:right="100"/>
      </w:pPr>
      <w:r>
        <w:t>Los 4 concejales del Grupo Socialista:  Don Reinaldo José Triviño Blan</w:t>
      </w:r>
      <w:r>
        <w:t xml:space="preserve">co, Doña Margarita Eva </w:t>
      </w:r>
    </w:p>
    <w:p w:rsidR="00EE0979" w:rsidRDefault="00B022A0">
      <w:pPr>
        <w:tabs>
          <w:tab w:val="center" w:pos="1866"/>
          <w:tab w:val="center" w:pos="3122"/>
          <w:tab w:val="center" w:pos="4377"/>
          <w:tab w:val="center" w:pos="5915"/>
          <w:tab w:val="center" w:pos="7364"/>
          <w:tab w:val="center" w:pos="8585"/>
          <w:tab w:val="right" w:pos="9689"/>
        </w:tabs>
        <w:ind w:left="0" w:firstLine="0"/>
        <w:jc w:val="left"/>
      </w:pPr>
      <w:r>
        <w:t xml:space="preserve">Tendero </w:t>
      </w:r>
      <w:r>
        <w:tab/>
        <w:t xml:space="preserve">Barroso, </w:t>
      </w:r>
      <w:r>
        <w:tab/>
        <w:t xml:space="preserve">Don </w:t>
      </w:r>
      <w:r>
        <w:tab/>
        <w:t xml:space="preserve">Olegario </w:t>
      </w:r>
      <w:r>
        <w:tab/>
        <w:t xml:space="preserve">Francisco </w:t>
      </w:r>
      <w:r>
        <w:tab/>
        <w:t xml:space="preserve">Alonso </w:t>
      </w:r>
      <w:r>
        <w:tab/>
        <w:t xml:space="preserve">Bello </w:t>
      </w:r>
      <w:r>
        <w:tab/>
        <w:t xml:space="preserve">y  </w:t>
      </w:r>
    </w:p>
    <w:p w:rsidR="00EE0979" w:rsidRDefault="00B022A0">
      <w:pPr>
        <w:ind w:right="100"/>
      </w:pPr>
      <w:r>
        <w:t>Don Jorge Baute Delgado.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La</w:t>
      </w:r>
      <w:r>
        <w:t xml:space="preserve"> concejal del Grupo Mixto (VxC): Doña Alicia Mercedes Marrero Meneses.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La unanimidad de los 18 concejales presentes tomaron conocimiento.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Hilaria Cecilia Otazo González, Don Airam Pérez Chinea, Doña Margarita Eva Tender</w:t>
      </w:r>
      <w:r>
        <w:t xml:space="preserve">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Popular: Don Andrés Rodríguez Delgado, Don Jacobo López Fariña y Don Dav</w:t>
      </w:r>
      <w:r>
        <w:t xml:space="preserve">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1 de la concejal del Grupo Mixto (VxC): Do</w:t>
      </w:r>
      <w:r>
        <w:t xml:space="preserve">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              ACUERDO DEL PLENO DE 27 DE ABRIL DE 2023. </w:t>
      </w:r>
    </w:p>
    <w:p w:rsidR="00EE0979" w:rsidRDefault="00B022A0">
      <w:pPr>
        <w:spacing w:after="15" w:line="259" w:lineRule="auto"/>
        <w:ind w:left="14" w:firstLine="0"/>
        <w:jc w:val="left"/>
      </w:pPr>
      <w:r>
        <w:rPr>
          <w:b/>
        </w:rPr>
        <w:t xml:space="preserve"> </w:t>
      </w:r>
    </w:p>
    <w:p w:rsidR="00EE0979" w:rsidRDefault="00B022A0">
      <w:pPr>
        <w:spacing w:after="6"/>
        <w:ind w:left="9" w:right="99" w:firstLine="708"/>
      </w:pPr>
      <w:r>
        <w:rPr>
          <w:b/>
        </w:rPr>
        <w:t xml:space="preserve">Primero. - </w:t>
      </w:r>
      <w:r>
        <w:rPr>
          <w:b/>
        </w:rPr>
        <w:t>Tomar conocimiento del “Documento ambiental estratégico”, presentado con fecha 5 de abril de 2023, por Montero Aramburu SLP en representación de Tenerife Tour S.A, para dar cumplimiento al requerimiento emitido por resolución 99/2023 de 22 de marzo de 2023</w:t>
      </w:r>
      <w:r>
        <w:rPr>
          <w:b/>
        </w:rPr>
        <w:t xml:space="preserve"> del Viceconsejero de Planificación Territorial y Transición Ecológica y enviar la documentación técnica al órgano ambiental para continuar con el trámite del Procedimiento de Evaluación Ambiental Estratégica Simplificada. </w:t>
      </w:r>
    </w:p>
    <w:p w:rsidR="00EE0979" w:rsidRDefault="00B022A0">
      <w:pPr>
        <w:spacing w:after="0" w:line="259" w:lineRule="auto"/>
        <w:ind w:left="722" w:firstLine="0"/>
        <w:jc w:val="left"/>
      </w:pPr>
      <w:r>
        <w:rPr>
          <w:b/>
        </w:rPr>
        <w:t xml:space="preserve"> </w:t>
      </w:r>
    </w:p>
    <w:p w:rsidR="00EE0979" w:rsidRDefault="00B022A0">
      <w:pPr>
        <w:spacing w:after="6"/>
        <w:ind w:left="9" w:right="99" w:firstLine="708"/>
      </w:pPr>
      <w:r>
        <w:rPr>
          <w:b/>
        </w:rPr>
        <w:t xml:space="preserve">Segundo.- </w:t>
      </w:r>
      <w:r>
        <w:rPr>
          <w:b/>
        </w:rPr>
        <w:t>Someter al procedimiento simplificado de evaluación ambiental estratégica, a efectos de que, según lo dispuesto en el artículo 86.2.a) de la Ley 4/2017, de 13 de julio, del Suelo y de los Espacios Naturales Protegidos de Canarias (LSENPC), y de la Ley 21/2</w:t>
      </w:r>
      <w:r>
        <w:rPr>
          <w:b/>
        </w:rPr>
        <w:t>013, 165.3 de la LSENPC y 106.3 del RPC, el órgano ambiental resuelva mediante la emisión del informe ambiental estratégico que la modificación no tiene efectos significativos sobre el medio ambiente, o, en su caso, que procede someter la modificación meno</w:t>
      </w:r>
      <w:r>
        <w:rPr>
          <w:b/>
        </w:rPr>
        <w:t xml:space="preserve">r a una evaluación ambiental estratégica ordinaria porque pueda tener efectos significativos sobre el medio ambiente. </w:t>
      </w:r>
    </w:p>
    <w:p w:rsidR="00EE0979" w:rsidRDefault="00B022A0">
      <w:pPr>
        <w:spacing w:after="0" w:line="259" w:lineRule="auto"/>
        <w:ind w:left="722" w:firstLine="0"/>
        <w:jc w:val="left"/>
      </w:pPr>
      <w:r>
        <w:rPr>
          <w:b/>
        </w:rPr>
        <w:t xml:space="preserve"> </w:t>
      </w:r>
    </w:p>
    <w:p w:rsidR="00EE0979" w:rsidRDefault="00B022A0">
      <w:pPr>
        <w:spacing w:after="6"/>
        <w:ind w:left="9" w:right="99" w:firstLine="708"/>
      </w:pPr>
      <w:r>
        <w:rPr>
          <w:b/>
        </w:rPr>
        <w:t>Tercero. - Remitir la documentación técnica debidamente autenticada electrónicamente y el certificado del acuerdo adoptado a la Conseje</w:t>
      </w:r>
      <w:r>
        <w:rPr>
          <w:b/>
        </w:rPr>
        <w:t>ría de Transición Ecológica, Lucha contra el Cambio Climático y Planificación Territorial del Gobierno de Canaria.</w:t>
      </w:r>
      <w:r>
        <w:rPr>
          <w:rFonts w:ascii="Times New Roman" w:eastAsia="Times New Roman" w:hAnsi="Times New Roman" w:cs="Times New Roman"/>
          <w:sz w:val="24"/>
        </w:rPr>
        <w:t xml:space="preserve"> </w:t>
      </w:r>
    </w:p>
    <w:p w:rsidR="00EE0979" w:rsidRDefault="00B022A0">
      <w:pPr>
        <w:spacing w:after="175" w:line="259" w:lineRule="auto"/>
        <w:ind w:left="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0" w:line="425" w:lineRule="auto"/>
        <w:ind w:left="14" w:right="96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146" w:line="259" w:lineRule="auto"/>
        <w:ind w:left="14" w:firstLine="0"/>
        <w:jc w:val="left"/>
      </w:pPr>
      <w:r>
        <w:rPr>
          <w:i/>
          <w:color w:val="222222"/>
        </w:rPr>
        <w:t xml:space="preserve"> </w:t>
      </w:r>
    </w:p>
    <w:p w:rsidR="00EE0979" w:rsidRDefault="00B022A0">
      <w:pPr>
        <w:spacing w:after="91" w:line="250" w:lineRule="auto"/>
        <w:ind w:left="9" w:right="102" w:hanging="10"/>
      </w:pPr>
      <w:r>
        <w:rPr>
          <w:b/>
          <w:sz w:val="24"/>
        </w:rPr>
        <w:t>9- Expediente 7020/2021. Propuesta de la Alcaldesa-Presidenta de fecha 19 de abril de 2023 sobre la cesión temporal al Ca</w:t>
      </w:r>
      <w:r>
        <w:rPr>
          <w:b/>
          <w:sz w:val="24"/>
        </w:rPr>
        <w:t>bildo Insular de Tenerife de los bienes descritos en el informe técnico emitido por la Arquitecta municipal con fecha 13 de abril de 2023, con el objeto de destinarlos a la ejecución del proyecto “Proyecto de remodelación de la Plaza de la Patrona de Canar</w:t>
      </w:r>
      <w:r>
        <w:rPr>
          <w:b/>
          <w:sz w:val="24"/>
        </w:rPr>
        <w:t>ias y su entorno, canalización de cauce e implantación de obras hidráulicas.”</w:t>
      </w:r>
      <w:r>
        <w:t xml:space="preserve"> </w:t>
      </w:r>
    </w:p>
    <w:p w:rsidR="00EE0979" w:rsidRDefault="00B022A0">
      <w:pPr>
        <w:spacing w:after="100" w:line="259" w:lineRule="auto"/>
        <w:ind w:left="14" w:firstLine="0"/>
        <w:jc w:val="left"/>
      </w:pPr>
      <w:r>
        <w:rPr>
          <w:b/>
        </w:rPr>
        <w:t xml:space="preserve"> </w:t>
      </w:r>
    </w:p>
    <w:p w:rsidR="00EE0979" w:rsidRDefault="00B022A0">
      <w:pPr>
        <w:spacing w:after="112"/>
        <w:ind w:right="99" w:hanging="10"/>
      </w:pPr>
      <w:r>
        <w:rPr>
          <w:b/>
        </w:rPr>
        <w:t>Consta en el expediente Informe Técnico emitido por Doña Nayra Guzmán Hernández, Arquitecta Municipal, de 13 de abril de 2023, del siguiente tenor literal:</w:t>
      </w:r>
      <w:r>
        <w:t xml:space="preserve"> </w:t>
      </w:r>
    </w:p>
    <w:p w:rsidR="00EE0979" w:rsidRDefault="00B022A0">
      <w:pPr>
        <w:spacing w:after="137" w:line="259" w:lineRule="auto"/>
        <w:ind w:left="14" w:firstLine="0"/>
        <w:jc w:val="left"/>
      </w:pPr>
      <w:r>
        <w:rPr>
          <w:b/>
        </w:rPr>
        <w:t xml:space="preserve"> </w:t>
      </w:r>
    </w:p>
    <w:p w:rsidR="00EE0979" w:rsidRDefault="00B022A0">
      <w:pPr>
        <w:pStyle w:val="Ttulo1"/>
        <w:numPr>
          <w:ilvl w:val="0"/>
          <w:numId w:val="0"/>
        </w:numPr>
        <w:spacing w:after="95"/>
        <w:ind w:left="624" w:right="709"/>
      </w:pPr>
      <w:r>
        <w:t>“INFORME</w:t>
      </w:r>
      <w:r>
        <w:rPr>
          <w:b w:val="0"/>
        </w:rPr>
        <w:t xml:space="preserve"> </w:t>
      </w:r>
    </w:p>
    <w:p w:rsidR="00EE0979" w:rsidRDefault="00B022A0">
      <w:pPr>
        <w:spacing w:after="147"/>
        <w:ind w:right="100"/>
      </w:pPr>
      <w:r>
        <w:t>A la vista del Oficio presentado por el Cabildo Insular de Tenerife, con fecha 3 de abril de 2023, con número de registro de entrada</w:t>
      </w:r>
      <w:r>
        <w:rPr>
          <w:b/>
        </w:rPr>
        <w:t xml:space="preserve"> </w:t>
      </w:r>
      <w:r>
        <w:t>2023-E-RC-4045</w:t>
      </w:r>
      <w:r>
        <w:rPr>
          <w:b/>
        </w:rPr>
        <w:t xml:space="preserve">, </w:t>
      </w:r>
      <w:r>
        <w:t>en relación con la puesta a disposición de los terrenos necesarios para la ejecución del “Proyecto de remod</w:t>
      </w:r>
      <w:r>
        <w:t xml:space="preserve">elación de la Plaza de la Patrona de Canarias y su entorno, canalización de cauce e implantación de obras hidráulicas” así como aclaración del alcance de la Concesión del Paseo de San Blas, Nayra Guzmán Hernández, arquitecta, emite el presente informe:  </w:t>
      </w:r>
    </w:p>
    <w:p w:rsidR="00EE0979" w:rsidRDefault="00B022A0">
      <w:pPr>
        <w:spacing w:after="134" w:line="259" w:lineRule="auto"/>
        <w:ind w:left="14" w:firstLine="0"/>
        <w:jc w:val="left"/>
      </w:pPr>
      <w:r>
        <w:t xml:space="preserve"> </w:t>
      </w:r>
    </w:p>
    <w:p w:rsidR="00EE0979" w:rsidRDefault="00B022A0">
      <w:pPr>
        <w:spacing w:after="6"/>
        <w:ind w:right="99" w:hanging="10"/>
      </w:pPr>
      <w:r>
        <w:rPr>
          <w:b/>
        </w:rPr>
        <w:t xml:space="preserve">ANTECEDENTES </w:t>
      </w:r>
    </w:p>
    <w:p w:rsidR="00EE0979" w:rsidRDefault="00B022A0">
      <w:pPr>
        <w:spacing w:after="1" w:line="259" w:lineRule="auto"/>
        <w:ind w:left="14" w:firstLine="0"/>
        <w:jc w:val="left"/>
      </w:pPr>
      <w:r>
        <w:rPr>
          <w:b/>
        </w:rPr>
        <w:t xml:space="preserve"> </w:t>
      </w:r>
    </w:p>
    <w:p w:rsidR="00EE0979" w:rsidRDefault="00B022A0">
      <w:pPr>
        <w:numPr>
          <w:ilvl w:val="0"/>
          <w:numId w:val="55"/>
        </w:numPr>
        <w:spacing w:after="70"/>
        <w:ind w:right="100" w:hanging="283"/>
      </w:pPr>
      <w:r>
        <w:t xml:space="preserve">Con fecha 14 de mayo del 2009, se resuelve adjudicar, como resultado del Concurso de Ideas, la Remodelación de la Plaza de la Patrona y su Entorno, Término Municipal de Candelaria al Equipo Redactor </w:t>
      </w:r>
      <w:r>
        <w:rPr>
          <w:b/>
        </w:rPr>
        <w:t>RUIZ-LARREA &amp; ASOCIADOS S.L Y ESTUDIO AR</w:t>
      </w:r>
      <w:r>
        <w:rPr>
          <w:b/>
        </w:rPr>
        <w:t>QUITECTURA EUSTA-</w:t>
      </w:r>
    </w:p>
    <w:p w:rsidR="00EE0979" w:rsidRDefault="00B022A0">
      <w:pPr>
        <w:spacing w:after="6"/>
        <w:ind w:left="308" w:right="99" w:hanging="10"/>
      </w:pPr>
      <w:r>
        <w:rPr>
          <w:b/>
        </w:rPr>
        <w:t>QUIO MARTÍNEZ SLPU “RLA &amp; EM UTE”</w:t>
      </w:r>
      <w:r>
        <w:rPr>
          <w:rFonts w:ascii="Times New Roman" w:eastAsia="Times New Roman" w:hAnsi="Times New Roman" w:cs="Times New Roman"/>
          <w:sz w:val="24"/>
        </w:rPr>
        <w:t xml:space="preserve"> </w:t>
      </w:r>
    </w:p>
    <w:p w:rsidR="00EE0979" w:rsidRDefault="00B022A0">
      <w:pPr>
        <w:numPr>
          <w:ilvl w:val="0"/>
          <w:numId w:val="55"/>
        </w:numPr>
        <w:spacing w:after="35"/>
        <w:ind w:right="100" w:hanging="283"/>
      </w:pPr>
      <w:r>
        <w:t>Con fecha 9 de noviembre de 2010, se aprueba por el Excmo. Cabildo Insular de Tenerife (Área de Turismo y Planificación), el Plan Director para la redacción del proyecto de la Remodelación de la Plaza de</w:t>
      </w:r>
      <w:r>
        <w:t xml:space="preserve"> la Patrona y su Entorno, Término Municipal de Candelaria </w:t>
      </w:r>
    </w:p>
    <w:p w:rsidR="00EE0979" w:rsidRDefault="00B022A0">
      <w:pPr>
        <w:numPr>
          <w:ilvl w:val="0"/>
          <w:numId w:val="55"/>
        </w:numPr>
        <w:spacing w:after="42"/>
        <w:ind w:right="100" w:hanging="283"/>
      </w:pPr>
      <w:r>
        <w:t xml:space="preserve">Con fecha 11 de febrero de 2011, se presentan por parte del Ayuntamiento de Candelaria, sugerencias al Documento del Plan Director  </w:t>
      </w:r>
    </w:p>
    <w:p w:rsidR="00EE0979" w:rsidRDefault="00B022A0">
      <w:pPr>
        <w:numPr>
          <w:ilvl w:val="0"/>
          <w:numId w:val="55"/>
        </w:numPr>
        <w:spacing w:after="42"/>
        <w:ind w:right="100" w:hanging="283"/>
      </w:pPr>
      <w:r>
        <w:t xml:space="preserve">Con fecha 26 de enero de 2016 se presenta informe por parte de la Comisión Insular de Patrimonio Histórico del Excmo. Cabildo Insular de Tenerife </w:t>
      </w:r>
    </w:p>
    <w:p w:rsidR="00EE0979" w:rsidRDefault="00B022A0">
      <w:pPr>
        <w:numPr>
          <w:ilvl w:val="0"/>
          <w:numId w:val="55"/>
        </w:numPr>
        <w:spacing w:after="42"/>
        <w:ind w:right="100" w:hanging="283"/>
      </w:pPr>
      <w:r>
        <w:t xml:space="preserve">Con fecha 14 de febrero de 2019, se presenta Proyecto de Remodelación de la Plaza de la Basílica. </w:t>
      </w:r>
    </w:p>
    <w:p w:rsidR="00EE0979" w:rsidRDefault="00B022A0">
      <w:pPr>
        <w:numPr>
          <w:ilvl w:val="0"/>
          <w:numId w:val="55"/>
        </w:numPr>
        <w:spacing w:after="44"/>
        <w:ind w:right="100" w:hanging="283"/>
      </w:pPr>
      <w:r>
        <w:t xml:space="preserve">Con fecha </w:t>
      </w:r>
      <w:r>
        <w:t xml:space="preserve">14 de marzo de 2019 y nº de registro de salida se remite al Cabildo, informe sobre la compatibilidad urbanística del Proyecto, con las siguientes conclusiones: </w:t>
      </w:r>
    </w:p>
    <w:p w:rsidR="00EE0979" w:rsidRDefault="00B022A0">
      <w:pPr>
        <w:spacing w:after="0" w:line="259" w:lineRule="auto"/>
        <w:ind w:left="14" w:firstLine="0"/>
        <w:jc w:val="left"/>
      </w:pPr>
      <w:r>
        <w:rPr>
          <w:b/>
        </w:rPr>
        <w:t xml:space="preserve"> </w:t>
      </w:r>
    </w:p>
    <w:p w:rsidR="00EE0979" w:rsidRDefault="00B022A0">
      <w:pPr>
        <w:spacing w:after="26"/>
        <w:ind w:left="591" w:right="98" w:hanging="10"/>
      </w:pPr>
      <w:r>
        <w:rPr>
          <w:i/>
        </w:rPr>
        <w:t>“…Los tres sectores, se encuentran dentro del Suelo Urbano Consolidado de Interés Cultural, e</w:t>
      </w:r>
      <w:r>
        <w:rPr>
          <w:i/>
        </w:rPr>
        <w:t>n el Casco de Candelaria, incluido en el Bien de Interés Cultural, en la categoría de Monumento, del Santuario de la Virgen de Candelaria y del Convento. El entorno abarca el antiguo Ayuntamiento, La Plaza, y los Riscos de la Basílica hasta la Cueva de San</w:t>
      </w:r>
      <w:r>
        <w:rPr>
          <w:i/>
        </w:rPr>
        <w:t xml:space="preserve"> Blas. </w:t>
      </w:r>
    </w:p>
    <w:p w:rsidR="00EE0979" w:rsidRDefault="00B022A0">
      <w:pPr>
        <w:spacing w:after="16" w:line="259" w:lineRule="auto"/>
        <w:ind w:left="581" w:firstLine="0"/>
        <w:jc w:val="left"/>
      </w:pPr>
      <w:r>
        <w:rPr>
          <w:i/>
        </w:rPr>
        <w:t xml:space="preserve"> </w:t>
      </w:r>
    </w:p>
    <w:p w:rsidR="00EE0979" w:rsidRDefault="00B022A0">
      <w:pPr>
        <w:spacing w:after="26"/>
        <w:ind w:left="591" w:right="98" w:hanging="10"/>
      </w:pPr>
      <w:r>
        <w:rPr>
          <w:i/>
        </w:rPr>
        <w:t>Las obras permitidas en líneas generales son las de son de conservación, restauración y consolidación y por tanto las obras descritas dentro del Proyecto de Remodelación de la Plaza de la Basílica, incluidas dentro de los tres primeros sectores s</w:t>
      </w:r>
      <w:r>
        <w:rPr>
          <w:i/>
        </w:rPr>
        <w:t xml:space="preserve">e consideran COMPATIBLES con el Plan General de Ordenación.  </w:t>
      </w:r>
    </w:p>
    <w:p w:rsidR="00EE0979" w:rsidRDefault="00B022A0">
      <w:pPr>
        <w:spacing w:after="16" w:line="259" w:lineRule="auto"/>
        <w:ind w:left="581" w:firstLine="0"/>
        <w:jc w:val="left"/>
      </w:pPr>
      <w:r>
        <w:rPr>
          <w:i/>
        </w:rPr>
        <w:t xml:space="preserve"> </w:t>
      </w:r>
    </w:p>
    <w:p w:rsidR="00EE0979" w:rsidRDefault="00B022A0">
      <w:pPr>
        <w:spacing w:after="34"/>
        <w:ind w:left="591" w:right="98" w:hanging="10"/>
      </w:pPr>
      <w:r>
        <w:rPr>
          <w:i/>
        </w:rPr>
        <w:t>En el presente informe se comprueba la compatibilidad urbanística del proyecto presentado con el Plan General de Ordenación y por tanto quedará condicionado a cuantos informes sectoriales le sea de aplicación, en especial a los emitidos por la Comisión Ins</w:t>
      </w:r>
      <w:r>
        <w:rPr>
          <w:i/>
        </w:rPr>
        <w:t xml:space="preserve">ular de Patrimonio Histórico del Excmo. Cabildo Insular de Tenerife, Consejo Insular de aguas y Demarcación de Costas ,..” </w:t>
      </w:r>
    </w:p>
    <w:p w:rsidR="00EE0979" w:rsidRDefault="00B022A0">
      <w:pPr>
        <w:ind w:left="14" w:right="100" w:firstLine="852"/>
      </w:pPr>
      <w:r>
        <w:rPr>
          <w:i/>
        </w:rPr>
        <w:t xml:space="preserve"> </w:t>
      </w:r>
      <w:r>
        <w:rPr>
          <w:rFonts w:ascii="Courier New" w:eastAsia="Courier New" w:hAnsi="Courier New" w:cs="Courier New"/>
          <w:sz w:val="37"/>
          <w:vertAlign w:val="subscript"/>
        </w:rPr>
        <w:t>o</w:t>
      </w:r>
      <w:r>
        <w:rPr>
          <w:sz w:val="24"/>
        </w:rPr>
        <w:t xml:space="preserve"> </w:t>
      </w:r>
      <w:r>
        <w:t xml:space="preserve">  Con fecha 28 de septiembre de 2020 y nº de registro de entrada 2020-E-RC-10531 se presenta por parte del Cabildo el Proyecto ac</w:t>
      </w:r>
      <w:r>
        <w:t>tualizado recogiendo las consideraciones realizadas por los diferentes organismos y entidades públicas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441" w:right="100" w:hanging="427"/>
      </w:pPr>
      <w:r>
        <w:rPr>
          <w:rFonts w:ascii="Courier New" w:eastAsia="Courier New" w:hAnsi="Courier New" w:cs="Courier New"/>
        </w:rPr>
        <w:t>o</w:t>
      </w:r>
      <w:r>
        <w:t xml:space="preserve">   Con fecha 25 de febrero de 2021 se solicita por parte del Ayuntamiento autorización de del Servicio Provincial de Costas de las Obras contenidas e</w:t>
      </w:r>
      <w:r>
        <w:t xml:space="preserve">n el Proyecto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ÁMBITO DE EJECUCION DEL PROYECTO  </w:t>
      </w:r>
    </w:p>
    <w:p w:rsidR="00EE0979" w:rsidRDefault="00B022A0">
      <w:pPr>
        <w:spacing w:after="0" w:line="259" w:lineRule="auto"/>
        <w:ind w:left="14" w:firstLine="0"/>
        <w:jc w:val="left"/>
      </w:pPr>
      <w:r>
        <w:rPr>
          <w:b/>
        </w:rPr>
        <w:t xml:space="preserve"> </w:t>
      </w:r>
    </w:p>
    <w:p w:rsidR="00EE0979" w:rsidRDefault="00B022A0">
      <w:pPr>
        <w:ind w:right="100"/>
      </w:pPr>
      <w:r>
        <w:t>En el proyecto presentado, se distinguen tres ámbitos diferenciados, que se dividen en sectores comprendidos entre el Paseo de San Blas y el final de la calle Antón Guanche: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SECTOR 1 Paseo Marítimo </w:t>
      </w:r>
    </w:p>
    <w:p w:rsidR="00EE0979" w:rsidRDefault="00B022A0">
      <w:pPr>
        <w:ind w:right="100"/>
      </w:pPr>
      <w:r>
        <w:t xml:space="preserve">SECTOR 2 Plaza de la Patrona </w:t>
      </w:r>
    </w:p>
    <w:p w:rsidR="00EE0979" w:rsidRDefault="00B022A0">
      <w:pPr>
        <w:ind w:right="100"/>
      </w:pPr>
      <w:r>
        <w:t xml:space="preserve">SECTOR 3 Plaza de los Artesanos </w:t>
      </w:r>
    </w:p>
    <w:p w:rsidR="00EE0979" w:rsidRDefault="00B022A0">
      <w:pPr>
        <w:spacing w:after="0" w:line="259" w:lineRule="auto"/>
        <w:ind w:left="14" w:firstLine="0"/>
        <w:jc w:val="left"/>
      </w:pPr>
      <w:r>
        <w:t xml:space="preserve"> </w:t>
      </w:r>
    </w:p>
    <w:p w:rsidR="00EE0979" w:rsidRDefault="00B022A0">
      <w:pPr>
        <w:spacing w:after="50" w:line="259" w:lineRule="auto"/>
        <w:ind w:left="0" w:right="1075" w:firstLine="0"/>
        <w:jc w:val="right"/>
      </w:pPr>
      <w:r>
        <w:rPr>
          <w:noProof/>
        </w:rPr>
        <w:drawing>
          <wp:inline distT="0" distB="0" distL="0" distR="0">
            <wp:extent cx="4770163" cy="4556766"/>
            <wp:effectExtent l="0" t="0" r="0" b="0"/>
            <wp:docPr id="18767" name="Picture 18767"/>
            <wp:cNvGraphicFramePr/>
            <a:graphic xmlns:a="http://schemas.openxmlformats.org/drawingml/2006/main">
              <a:graphicData uri="http://schemas.openxmlformats.org/drawingml/2006/picture">
                <pic:pic xmlns:pic="http://schemas.openxmlformats.org/drawingml/2006/picture">
                  <pic:nvPicPr>
                    <pic:cNvPr id="18767" name="Picture 18767"/>
                    <pic:cNvPicPr/>
                  </pic:nvPicPr>
                  <pic:blipFill>
                    <a:blip r:embed="rId24"/>
                    <a:stretch>
                      <a:fillRect/>
                    </a:stretch>
                  </pic:blipFill>
                  <pic:spPr>
                    <a:xfrm>
                      <a:off x="0" y="0"/>
                      <a:ext cx="4770163" cy="4556766"/>
                    </a:xfrm>
                    <a:prstGeom prst="rect">
                      <a:avLst/>
                    </a:prstGeom>
                  </pic:spPr>
                </pic:pic>
              </a:graphicData>
            </a:graphic>
          </wp:inline>
        </w:drawing>
      </w:r>
      <w:r>
        <w:t xml:space="preserve"> </w:t>
      </w:r>
    </w:p>
    <w:p w:rsidR="00EE0979" w:rsidRDefault="00B022A0">
      <w:pPr>
        <w:spacing w:after="0" w:line="259" w:lineRule="auto"/>
        <w:ind w:left="14" w:firstLine="0"/>
        <w:jc w:val="left"/>
      </w:pPr>
      <w:r>
        <w:rPr>
          <w:b/>
        </w:rPr>
        <w:t xml:space="preserve"> </w:t>
      </w:r>
    </w:p>
    <w:p w:rsidR="00EE0979" w:rsidRDefault="00B022A0">
      <w:pPr>
        <w:spacing w:after="6"/>
        <w:ind w:left="384" w:right="99" w:hanging="10"/>
      </w:pPr>
      <w:r>
        <w:rPr>
          <w:b/>
        </w:rPr>
        <w:t xml:space="preserve">1. INVENTARIO MUNICIPAL DE BIENES </w:t>
      </w:r>
    </w:p>
    <w:p w:rsidR="00EE0979" w:rsidRDefault="00B022A0">
      <w:pPr>
        <w:spacing w:after="0" w:line="259" w:lineRule="auto"/>
        <w:ind w:left="14" w:firstLine="0"/>
        <w:jc w:val="left"/>
      </w:pPr>
      <w:r>
        <w:rPr>
          <w:b/>
        </w:rPr>
        <w:t xml:space="preserve"> </w:t>
      </w:r>
    </w:p>
    <w:p w:rsidR="00EE0979" w:rsidRDefault="00B022A0">
      <w:pPr>
        <w:ind w:right="100"/>
      </w:pPr>
      <w:r>
        <w:t>A la vista de los Acuerdos de la Junta de Gobierno Local para la actualización del Inventario de bienes del Ayuntamiento de Candelaria y la aprobació</w:t>
      </w:r>
      <w:r>
        <w:t xml:space="preserve">n de las siguientes fichas: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Plaza del Ayuntamiento Viejo de Candelaria: Acuerdo de la Junta de Gobierno Local de fecha 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1/138 </w:t>
      </w:r>
    </w:p>
    <w:p w:rsidR="00EE0979" w:rsidRDefault="00B022A0">
      <w:pPr>
        <w:spacing w:after="52" w:line="259" w:lineRule="auto"/>
        <w:ind w:left="1706" w:firstLine="0"/>
        <w:jc w:val="left"/>
      </w:pPr>
      <w:r>
        <w:t xml:space="preserve">   </w:t>
      </w:r>
      <w:r>
        <w:rPr>
          <w:rFonts w:ascii="Calibri" w:eastAsia="Calibri" w:hAnsi="Calibri" w:cs="Calibri"/>
          <w:noProof/>
        </w:rPr>
        <mc:AlternateContent>
          <mc:Choice Requires="wpg">
            <w:drawing>
              <wp:inline distT="0" distB="0" distL="0" distR="0">
                <wp:extent cx="3812860" cy="6695167"/>
                <wp:effectExtent l="0" t="0" r="0" b="0"/>
                <wp:docPr id="259811" name="Group 259811"/>
                <wp:cNvGraphicFramePr/>
                <a:graphic xmlns:a="http://schemas.openxmlformats.org/drawingml/2006/main">
                  <a:graphicData uri="http://schemas.microsoft.com/office/word/2010/wordprocessingGroup">
                    <wpg:wgp>
                      <wpg:cNvGrpSpPr/>
                      <wpg:grpSpPr>
                        <a:xfrm>
                          <a:off x="0" y="0"/>
                          <a:ext cx="3812860" cy="6695167"/>
                          <a:chOff x="0" y="0"/>
                          <a:chExt cx="3812860" cy="6695167"/>
                        </a:xfrm>
                      </wpg:grpSpPr>
                      <wps:wsp>
                        <wps:cNvPr id="18789" name="Rectangle 18789"/>
                        <wps:cNvSpPr/>
                        <wps:spPr>
                          <a:xfrm>
                            <a:off x="3719449" y="346479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93" name="Rectangle 18793"/>
                        <wps:cNvSpPr/>
                        <wps:spPr>
                          <a:xfrm>
                            <a:off x="3594481" y="6538835"/>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4865" name="Picture 284865"/>
                          <pic:cNvPicPr/>
                        </pic:nvPicPr>
                        <pic:blipFill>
                          <a:blip r:embed="rId25"/>
                          <a:stretch>
                            <a:fillRect/>
                          </a:stretch>
                        </pic:blipFill>
                        <pic:spPr>
                          <a:xfrm>
                            <a:off x="-4571" y="-3553"/>
                            <a:ext cx="3712464" cy="3599688"/>
                          </a:xfrm>
                          <a:prstGeom prst="rect">
                            <a:avLst/>
                          </a:prstGeom>
                        </pic:spPr>
                      </pic:pic>
                      <pic:pic xmlns:pic="http://schemas.openxmlformats.org/drawingml/2006/picture">
                        <pic:nvPicPr>
                          <pic:cNvPr id="284866" name="Picture 284866"/>
                          <pic:cNvPicPr/>
                        </pic:nvPicPr>
                        <pic:blipFill>
                          <a:blip r:embed="rId26"/>
                          <a:stretch>
                            <a:fillRect/>
                          </a:stretch>
                        </pic:blipFill>
                        <pic:spPr>
                          <a:xfrm>
                            <a:off x="10668" y="3597150"/>
                            <a:ext cx="3800856" cy="1085088"/>
                          </a:xfrm>
                          <a:prstGeom prst="rect">
                            <a:avLst/>
                          </a:prstGeom>
                        </pic:spPr>
                      </pic:pic>
                      <pic:pic xmlns:pic="http://schemas.openxmlformats.org/drawingml/2006/picture">
                        <pic:nvPicPr>
                          <pic:cNvPr id="18808" name="Picture 18808"/>
                          <pic:cNvPicPr/>
                        </pic:nvPicPr>
                        <pic:blipFill>
                          <a:blip r:embed="rId27"/>
                          <a:stretch>
                            <a:fillRect/>
                          </a:stretch>
                        </pic:blipFill>
                        <pic:spPr>
                          <a:xfrm>
                            <a:off x="126492" y="4760991"/>
                            <a:ext cx="3452022" cy="1904905"/>
                          </a:xfrm>
                          <a:prstGeom prst="rect">
                            <a:avLst/>
                          </a:prstGeom>
                        </pic:spPr>
                      </pic:pic>
                    </wpg:wgp>
                  </a:graphicData>
                </a:graphic>
              </wp:inline>
            </w:drawing>
          </mc:Choice>
          <mc:Fallback xmlns:a="http://schemas.openxmlformats.org/drawingml/2006/main">
            <w:pict>
              <v:group id="Group 259811" style="width:300.225pt;height:527.178pt;mso-position-horizontal-relative:char;mso-position-vertical-relative:line" coordsize="38128,66951">
                <v:rect id="Rectangle 18789" style="position:absolute;width:506;height:2243;left:37194;top:3464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793" style="position:absolute;width:518;height:2079;left:35944;top:65388;" filled="f" stroked="f">
                  <v:textbox inset="0,0,0,0">
                    <w:txbxContent>
                      <w:p>
                        <w:pPr>
                          <w:spacing w:before="0" w:after="160" w:line="259" w:lineRule="auto"/>
                          <w:ind w:left="0" w:firstLine="0"/>
                          <w:jc w:val="left"/>
                        </w:pPr>
                        <w:r>
                          <w:rPr/>
                          <w:t xml:space="preserve"> </w:t>
                        </w:r>
                      </w:p>
                    </w:txbxContent>
                  </v:textbox>
                </v:rect>
                <v:shape id="Picture 284865" style="position:absolute;width:37124;height:35996;left:-45;top:-35;" filled="f">
                  <v:imagedata r:id="rId28"/>
                </v:shape>
                <v:shape id="Picture 284866" style="position:absolute;width:38008;height:10850;left:106;top:35971;" filled="f">
                  <v:imagedata r:id="rId29"/>
                </v:shape>
                <v:shape id="Picture 18808" style="position:absolute;width:34520;height:19049;left:1264;top:47609;" filled="f">
                  <v:imagedata r:id="rId30"/>
                </v:shape>
              </v:group>
            </w:pict>
          </mc:Fallback>
        </mc:AlternateContent>
      </w:r>
      <w:r>
        <w:t xml:space="preserve">           </w:t>
      </w:r>
    </w:p>
    <w:p w:rsidR="00EE0979" w:rsidRDefault="00B022A0">
      <w:pPr>
        <w:spacing w:after="95" w:line="259" w:lineRule="auto"/>
        <w:ind w:left="0" w:right="36" w:firstLine="0"/>
        <w:jc w:val="center"/>
      </w:pPr>
      <w:r>
        <w:t xml:space="preserve"> </w:t>
      </w:r>
    </w:p>
    <w:p w:rsidR="00EE0979" w:rsidRDefault="00B022A0">
      <w:pPr>
        <w:spacing w:after="6"/>
        <w:ind w:right="99" w:hanging="10"/>
      </w:pPr>
      <w:r>
        <w:rPr>
          <w:b/>
        </w:rPr>
        <w:t xml:space="preserve">Terrenos y bienes naturales de la Plaza del Ayuntamiento viejo de Candelaria: Acuerdo de la Junta de Gobierno Local de fecha 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11/134 </w:t>
      </w:r>
    </w:p>
    <w:p w:rsidR="00EE0979" w:rsidRDefault="00B022A0">
      <w:pPr>
        <w:spacing w:after="0" w:line="259" w:lineRule="auto"/>
        <w:ind w:left="734" w:firstLine="0"/>
        <w:jc w:val="left"/>
      </w:pPr>
      <w:r>
        <w:rPr>
          <w:rFonts w:ascii="Times New Roman" w:eastAsia="Times New Roman" w:hAnsi="Times New Roman" w:cs="Times New Roman"/>
          <w:b/>
          <w:sz w:val="24"/>
        </w:rPr>
        <w:t xml:space="preserve"> </w:t>
      </w:r>
    </w:p>
    <w:p w:rsidR="00EE0979" w:rsidRDefault="00B022A0">
      <w:pPr>
        <w:spacing w:after="0" w:line="259" w:lineRule="auto"/>
        <w:ind w:left="4796"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950671</wp:posOffset>
                </wp:positionH>
                <wp:positionV relativeFrom="paragraph">
                  <wp:posOffset>-7024961</wp:posOffset>
                </wp:positionV>
                <wp:extent cx="4170511" cy="7147427"/>
                <wp:effectExtent l="0" t="0" r="0" b="0"/>
                <wp:wrapSquare wrapText="bothSides"/>
                <wp:docPr id="259701" name="Group 259701"/>
                <wp:cNvGraphicFramePr/>
                <a:graphic xmlns:a="http://schemas.openxmlformats.org/drawingml/2006/main">
                  <a:graphicData uri="http://schemas.microsoft.com/office/word/2010/wordprocessingGroup">
                    <wpg:wgp>
                      <wpg:cNvGrpSpPr/>
                      <wpg:grpSpPr>
                        <a:xfrm>
                          <a:off x="0" y="0"/>
                          <a:ext cx="4170511" cy="7147427"/>
                          <a:chOff x="0" y="0"/>
                          <a:chExt cx="4170511" cy="7147427"/>
                        </a:xfrm>
                      </wpg:grpSpPr>
                      <pic:pic xmlns:pic="http://schemas.openxmlformats.org/drawingml/2006/picture">
                        <pic:nvPicPr>
                          <pic:cNvPr id="18831" name="Picture 18831"/>
                          <pic:cNvPicPr/>
                        </pic:nvPicPr>
                        <pic:blipFill>
                          <a:blip r:embed="rId31"/>
                          <a:stretch>
                            <a:fillRect/>
                          </a:stretch>
                        </pic:blipFill>
                        <pic:spPr>
                          <a:xfrm>
                            <a:off x="0" y="0"/>
                            <a:ext cx="4170511" cy="3055480"/>
                          </a:xfrm>
                          <a:prstGeom prst="rect">
                            <a:avLst/>
                          </a:prstGeom>
                        </pic:spPr>
                      </pic:pic>
                      <pic:pic xmlns:pic="http://schemas.openxmlformats.org/drawingml/2006/picture">
                        <pic:nvPicPr>
                          <pic:cNvPr id="18833" name="Picture 18833"/>
                          <pic:cNvPicPr/>
                        </pic:nvPicPr>
                        <pic:blipFill>
                          <a:blip r:embed="rId32"/>
                          <a:stretch>
                            <a:fillRect/>
                          </a:stretch>
                        </pic:blipFill>
                        <pic:spPr>
                          <a:xfrm>
                            <a:off x="27432" y="3055553"/>
                            <a:ext cx="4110564" cy="4091874"/>
                          </a:xfrm>
                          <a:prstGeom prst="rect">
                            <a:avLst/>
                          </a:prstGeom>
                        </pic:spPr>
                      </pic:pic>
                    </wpg:wgp>
                  </a:graphicData>
                </a:graphic>
              </wp:anchor>
            </w:drawing>
          </mc:Choice>
          <mc:Fallback xmlns:a="http://schemas.openxmlformats.org/drawingml/2006/main">
            <w:pict>
              <v:group id="Group 259701" style="width:328.387pt;height:562.789pt;position:absolute;mso-position-horizontal-relative:text;mso-position-horizontal:absolute;margin-left:74.856pt;mso-position-vertical-relative:text;margin-top:-553.147pt;" coordsize="41705,71474">
                <v:shape id="Picture 18831" style="position:absolute;width:41705;height:30554;left:0;top:0;" filled="f">
                  <v:imagedata r:id="rId33"/>
                </v:shape>
                <v:shape id="Picture 18833" style="position:absolute;width:41105;height:40918;left:274;top:30555;" filled="f">
                  <v:imagedata r:id="rId34"/>
                </v:shape>
                <w10:wrap type="square"/>
              </v:group>
            </w:pict>
          </mc:Fallback>
        </mc:AlternateContent>
      </w:r>
      <w:r>
        <w:t xml:space="preserve"> </w:t>
      </w:r>
    </w:p>
    <w:p w:rsidR="00EE0979" w:rsidRDefault="00B022A0">
      <w:pPr>
        <w:spacing w:after="50" w:line="259" w:lineRule="auto"/>
        <w:ind w:left="0" w:right="1154" w:firstLine="0"/>
        <w:jc w:val="right"/>
      </w:pPr>
      <w:r>
        <w:rPr>
          <w:noProof/>
        </w:rPr>
        <w:drawing>
          <wp:inline distT="0" distB="0" distL="0" distR="0">
            <wp:extent cx="4662139" cy="6553595"/>
            <wp:effectExtent l="0" t="0" r="0" b="0"/>
            <wp:docPr id="18860" name="Picture 18860"/>
            <wp:cNvGraphicFramePr/>
            <a:graphic xmlns:a="http://schemas.openxmlformats.org/drawingml/2006/main">
              <a:graphicData uri="http://schemas.openxmlformats.org/drawingml/2006/picture">
                <pic:pic xmlns:pic="http://schemas.openxmlformats.org/drawingml/2006/picture">
                  <pic:nvPicPr>
                    <pic:cNvPr id="18860" name="Picture 18860"/>
                    <pic:cNvPicPr/>
                  </pic:nvPicPr>
                  <pic:blipFill>
                    <a:blip r:embed="rId35"/>
                    <a:stretch>
                      <a:fillRect/>
                    </a:stretch>
                  </pic:blipFill>
                  <pic:spPr>
                    <a:xfrm>
                      <a:off x="0" y="0"/>
                      <a:ext cx="4662139" cy="6553595"/>
                    </a:xfrm>
                    <a:prstGeom prst="rect">
                      <a:avLst/>
                    </a:prstGeom>
                  </pic:spPr>
                </pic:pic>
              </a:graphicData>
            </a:graphic>
          </wp:inline>
        </w:drawing>
      </w:r>
      <w:r>
        <w:t xml:space="preserve"> </w:t>
      </w:r>
    </w:p>
    <w:p w:rsidR="00EE0979" w:rsidRDefault="00B022A0">
      <w:pPr>
        <w:spacing w:after="100" w:line="259" w:lineRule="auto"/>
        <w:ind w:left="0" w:right="36" w:firstLine="0"/>
        <w:jc w:val="center"/>
      </w:pPr>
      <w:r>
        <w:t xml:space="preserve"> </w:t>
      </w:r>
    </w:p>
    <w:p w:rsidR="00EE0979" w:rsidRDefault="00B022A0">
      <w:pPr>
        <w:spacing w:after="98" w:line="259" w:lineRule="auto"/>
        <w:ind w:left="0" w:right="36" w:firstLine="0"/>
        <w:jc w:val="center"/>
      </w:pPr>
      <w:r>
        <w:t xml:space="preserve"> </w:t>
      </w:r>
    </w:p>
    <w:p w:rsidR="00EE0979" w:rsidRDefault="00B022A0">
      <w:pPr>
        <w:spacing w:after="115"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3" w:line="265" w:lineRule="auto"/>
        <w:ind w:left="121" w:hanging="10"/>
        <w:jc w:val="center"/>
      </w:pPr>
      <w:r>
        <w:rPr>
          <w:rFonts w:ascii="Times New Roman" w:eastAsia="Times New Roman" w:hAnsi="Times New Roman" w:cs="Times New Roman"/>
          <w:b/>
          <w:sz w:val="24"/>
        </w:rPr>
        <w:t>2.</w:t>
      </w:r>
      <w:r>
        <w:rPr>
          <w:b/>
          <w:sz w:val="24"/>
        </w:rPr>
        <w:t xml:space="preserve"> </w:t>
      </w:r>
      <w:r>
        <w:rPr>
          <w:b/>
        </w:rPr>
        <w:t xml:space="preserve">CONCESION PARA LA LEGALIZACION DE LAS OBRAS DEL PASEO DE SAN BLAS. </w:t>
      </w:r>
    </w:p>
    <w:p w:rsidR="00EE0979" w:rsidRDefault="00B022A0">
      <w:pPr>
        <w:spacing w:after="6"/>
        <w:ind w:left="744" w:right="99" w:hanging="10"/>
      </w:pPr>
      <w:r>
        <w:rPr>
          <w:b/>
        </w:rPr>
        <w:t>EXPEDIENTE 5113/2020</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color w:val="2F3E4D"/>
        </w:rPr>
        <w:t xml:space="preserve"> </w:t>
      </w:r>
    </w:p>
    <w:tbl>
      <w:tblPr>
        <w:tblStyle w:val="TableGrid"/>
        <w:tblW w:w="9565" w:type="dxa"/>
        <w:tblInd w:w="14" w:type="dxa"/>
        <w:tblCellMar>
          <w:top w:w="2" w:type="dxa"/>
          <w:left w:w="0" w:type="dxa"/>
          <w:bottom w:w="0" w:type="dxa"/>
          <w:right w:w="0" w:type="dxa"/>
        </w:tblCellMar>
        <w:tblLook w:val="04A0" w:firstRow="1" w:lastRow="0" w:firstColumn="1" w:lastColumn="0" w:noHBand="0" w:noVBand="1"/>
      </w:tblPr>
      <w:tblGrid>
        <w:gridCol w:w="6130"/>
        <w:gridCol w:w="3435"/>
      </w:tblGrid>
      <w:tr w:rsidR="00EE0979">
        <w:trPr>
          <w:trHeight w:val="258"/>
        </w:trPr>
        <w:tc>
          <w:tcPr>
            <w:tcW w:w="9565" w:type="dxa"/>
            <w:gridSpan w:val="2"/>
            <w:tcBorders>
              <w:top w:val="nil"/>
              <w:left w:val="nil"/>
              <w:bottom w:val="nil"/>
              <w:right w:val="nil"/>
            </w:tcBorders>
            <w:shd w:val="clear" w:color="auto" w:fill="F5F7F9"/>
          </w:tcPr>
          <w:p w:rsidR="00EE0979" w:rsidRDefault="00B022A0">
            <w:pPr>
              <w:spacing w:after="0" w:line="259" w:lineRule="auto"/>
              <w:ind w:left="0" w:right="-3" w:firstLine="0"/>
            </w:pPr>
            <w:r>
              <w:rPr>
                <w:color w:val="2F3E4D"/>
              </w:rPr>
              <w:t xml:space="preserve">La concesión para legalización de obras de protección marina del Paseo de San Blas, </w:t>
            </w:r>
            <w:r>
              <w:rPr>
                <w:b/>
                <w:color w:val="2F3E4D"/>
              </w:rPr>
              <w:t xml:space="preserve">se solicita </w:t>
            </w:r>
          </w:p>
        </w:tc>
      </w:tr>
      <w:tr w:rsidR="00EE0979">
        <w:trPr>
          <w:trHeight w:val="253"/>
        </w:trPr>
        <w:tc>
          <w:tcPr>
            <w:tcW w:w="9565" w:type="dxa"/>
            <w:gridSpan w:val="2"/>
            <w:tcBorders>
              <w:top w:val="nil"/>
              <w:left w:val="nil"/>
              <w:bottom w:val="nil"/>
              <w:right w:val="nil"/>
            </w:tcBorders>
            <w:shd w:val="clear" w:color="auto" w:fill="F5F7F9"/>
          </w:tcPr>
          <w:p w:rsidR="00EE0979" w:rsidRDefault="00B022A0">
            <w:pPr>
              <w:spacing w:after="0" w:line="259" w:lineRule="auto"/>
              <w:ind w:left="0" w:firstLine="0"/>
            </w:pPr>
            <w:r>
              <w:rPr>
                <w:b/>
                <w:color w:val="2F3E4D"/>
              </w:rPr>
              <w:t>con motivo de la legalización de las obras de emergencia autorizadas por el Servicio Pro-</w:t>
            </w:r>
          </w:p>
        </w:tc>
      </w:tr>
      <w:tr w:rsidR="00EE0979">
        <w:trPr>
          <w:trHeight w:val="259"/>
        </w:trPr>
        <w:tc>
          <w:tcPr>
            <w:tcW w:w="6131" w:type="dxa"/>
            <w:tcBorders>
              <w:top w:val="nil"/>
              <w:left w:val="nil"/>
              <w:bottom w:val="nil"/>
              <w:right w:val="nil"/>
            </w:tcBorders>
            <w:shd w:val="clear" w:color="auto" w:fill="F5F7F9"/>
          </w:tcPr>
          <w:p w:rsidR="00EE0979" w:rsidRDefault="00B022A0">
            <w:pPr>
              <w:spacing w:after="0" w:line="259" w:lineRule="auto"/>
              <w:ind w:left="0" w:firstLine="0"/>
            </w:pPr>
            <w:r>
              <w:rPr>
                <w:b/>
                <w:color w:val="2F3E4D"/>
              </w:rPr>
              <w:t xml:space="preserve">vincial de Costas </w:t>
            </w:r>
            <w:r>
              <w:rPr>
                <w:color w:val="2F3E4D"/>
              </w:rPr>
              <w:t>y</w:t>
            </w:r>
            <w:r>
              <w:rPr>
                <w:b/>
                <w:color w:val="2F3E4D"/>
              </w:rPr>
              <w:t xml:space="preserve"> </w:t>
            </w:r>
            <w:r>
              <w:rPr>
                <w:color w:val="2F3E4D"/>
              </w:rPr>
              <w:t>que se ejecutaron</w:t>
            </w:r>
            <w:r>
              <w:rPr>
                <w:b/>
                <w:color w:val="2F3E4D"/>
              </w:rPr>
              <w:t xml:space="preserve"> </w:t>
            </w:r>
            <w:r>
              <w:rPr>
                <w:color w:val="2F3E4D"/>
              </w:rPr>
              <w:t>en los años 2014/2015.</w:t>
            </w:r>
          </w:p>
        </w:tc>
        <w:tc>
          <w:tcPr>
            <w:tcW w:w="3435" w:type="dxa"/>
            <w:tcBorders>
              <w:top w:val="nil"/>
              <w:left w:val="nil"/>
              <w:bottom w:val="nil"/>
              <w:right w:val="nil"/>
            </w:tcBorders>
          </w:tcPr>
          <w:p w:rsidR="00EE0979" w:rsidRDefault="00B022A0">
            <w:pPr>
              <w:spacing w:after="0" w:line="259" w:lineRule="auto"/>
              <w:ind w:left="-1" w:firstLine="0"/>
              <w:jc w:val="left"/>
            </w:pPr>
            <w:r>
              <w:rPr>
                <w:color w:val="2F3E4D"/>
              </w:rPr>
              <w:t xml:space="preserve"> </w:t>
            </w:r>
            <w:r>
              <w:rPr>
                <w:rFonts w:ascii="Times New Roman" w:eastAsia="Times New Roman" w:hAnsi="Times New Roman" w:cs="Times New Roman"/>
                <w:sz w:val="24"/>
              </w:rPr>
              <w:t xml:space="preserve"> </w:t>
            </w:r>
          </w:p>
        </w:tc>
      </w:tr>
    </w:tbl>
    <w:p w:rsidR="00EE0979" w:rsidRDefault="00B022A0">
      <w:pPr>
        <w:spacing w:after="0" w:line="259" w:lineRule="auto"/>
        <w:ind w:left="14" w:firstLine="0"/>
        <w:jc w:val="left"/>
      </w:pPr>
      <w:r>
        <w:t xml:space="preserve"> </w:t>
      </w:r>
    </w:p>
    <w:p w:rsidR="00EE0979" w:rsidRDefault="00B022A0">
      <w:pPr>
        <w:ind w:right="100"/>
      </w:pPr>
      <w:r>
        <w:t>El procedimiento de declaración de emergencia, así como las correspondientes autorizaciones de costas se localizan en el Expediente 2012/2842 que se denomina, “Obras de Emergencia de las actuaciones necesarias para la Protección Marítima del B.I.C. del San</w:t>
      </w:r>
      <w:r>
        <w:t xml:space="preserve">tuario y Convento de la Candelaria.”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br w:type="page"/>
      </w:r>
    </w:p>
    <w:p w:rsidR="00EE0979" w:rsidRDefault="00B022A0">
      <w:pPr>
        <w:spacing w:after="0" w:line="259" w:lineRule="auto"/>
        <w:ind w:left="0" w:right="1021" w:firstLine="0"/>
        <w:jc w:val="right"/>
      </w:pPr>
      <w:r>
        <w:rPr>
          <w:noProof/>
        </w:rPr>
        <w:drawing>
          <wp:inline distT="0" distB="0" distL="0" distR="0">
            <wp:extent cx="4838730" cy="602741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36"/>
                    <a:stretch>
                      <a:fillRect/>
                    </a:stretch>
                  </pic:blipFill>
                  <pic:spPr>
                    <a:xfrm>
                      <a:off x="0" y="0"/>
                      <a:ext cx="4838730" cy="602741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Cronología Expediente 5113/2020 de solicitud de concesión del Paseo de San Blas:</w:t>
      </w:r>
      <w:r>
        <w:rPr>
          <w:rFonts w:ascii="Times New Roman" w:eastAsia="Times New Roman" w:hAnsi="Times New Roman" w:cs="Times New Roman"/>
          <w:sz w:val="24"/>
        </w:rPr>
        <w:t xml:space="preserve"> </w:t>
      </w:r>
    </w:p>
    <w:p w:rsidR="00EE0979" w:rsidRDefault="00B022A0">
      <w:pPr>
        <w:spacing w:after="0" w:line="259" w:lineRule="auto"/>
        <w:ind w:left="0" w:right="36" w:firstLine="0"/>
        <w:jc w:val="center"/>
      </w:pPr>
      <w:r>
        <w:t xml:space="preserve"> </w:t>
      </w:r>
    </w:p>
    <w:p w:rsidR="00EE0979" w:rsidRDefault="00B022A0">
      <w:pPr>
        <w:numPr>
          <w:ilvl w:val="0"/>
          <w:numId w:val="56"/>
        </w:numPr>
        <w:spacing w:after="27"/>
        <w:ind w:right="100" w:hanging="283"/>
      </w:pPr>
      <w:r>
        <w:t>Con fecha 19 de diciembre de 2019 y registro de salida 2019-S-RC-</w:t>
      </w:r>
      <w:r>
        <w:t xml:space="preserve">6604, se solicita Concesión de Ocupación del DPMT Paseo San Blas para llevar a cabo la Protección Marítima del B.I.C. del Santuario y Convento de la Candelaria. </w:t>
      </w:r>
    </w:p>
    <w:p w:rsidR="00EE0979" w:rsidRDefault="00B022A0">
      <w:pPr>
        <w:spacing w:after="17" w:line="259" w:lineRule="auto"/>
        <w:ind w:left="14" w:firstLine="0"/>
        <w:jc w:val="left"/>
      </w:pPr>
      <w:r>
        <w:t xml:space="preserve"> </w:t>
      </w:r>
    </w:p>
    <w:p w:rsidR="00EE0979" w:rsidRDefault="00B022A0">
      <w:pPr>
        <w:numPr>
          <w:ilvl w:val="0"/>
          <w:numId w:val="56"/>
        </w:numPr>
        <w:ind w:right="100" w:hanging="283"/>
      </w:pPr>
      <w:r>
        <w:t xml:space="preserve">El Servicio Provincial de Costas Tenerife requiere documentación el 7 de julio de 2020 y registro de entrada 2020-E-RC-6793 </w:t>
      </w:r>
    </w:p>
    <w:p w:rsidR="00EE0979" w:rsidRDefault="00B022A0">
      <w:pPr>
        <w:spacing w:after="14" w:line="259" w:lineRule="auto"/>
        <w:ind w:left="14" w:firstLine="0"/>
        <w:jc w:val="left"/>
      </w:pPr>
      <w:r>
        <w:t xml:space="preserve"> </w:t>
      </w:r>
    </w:p>
    <w:p w:rsidR="00EE0979" w:rsidRDefault="00B022A0">
      <w:pPr>
        <w:numPr>
          <w:ilvl w:val="0"/>
          <w:numId w:val="56"/>
        </w:numPr>
        <w:ind w:right="100" w:hanging="283"/>
      </w:pPr>
      <w:r>
        <w:t xml:space="preserve">Con fecha 6 de agosto de 2020 y registro de salida 2020-S-RC-2360, se remite documentación al Servicio Provincial de Costas para </w:t>
      </w:r>
      <w:r>
        <w:t xml:space="preserve">subsanar la documentación requerida. </w:t>
      </w:r>
      <w:r>
        <w:rPr>
          <w:rFonts w:ascii="Times New Roman" w:eastAsia="Times New Roman" w:hAnsi="Times New Roman" w:cs="Times New Roman"/>
          <w:sz w:val="24"/>
        </w:rPr>
        <w:t xml:space="preserve"> </w:t>
      </w:r>
    </w:p>
    <w:p w:rsidR="00EE0979" w:rsidRDefault="00B022A0">
      <w:pPr>
        <w:spacing w:after="14" w:line="259" w:lineRule="auto"/>
        <w:ind w:left="734" w:firstLine="0"/>
        <w:jc w:val="left"/>
      </w:pPr>
      <w:r>
        <w:t xml:space="preserve"> </w:t>
      </w:r>
    </w:p>
    <w:p w:rsidR="00EE0979" w:rsidRDefault="00B022A0">
      <w:pPr>
        <w:numPr>
          <w:ilvl w:val="0"/>
          <w:numId w:val="56"/>
        </w:numPr>
        <w:ind w:right="100" w:hanging="283"/>
      </w:pPr>
      <w:r>
        <w:t xml:space="preserve">El 16 de octubre de 2020, se realiza el Acta de Confrontación de los suelos objeto de concesión por parte del Servicio Provincial de Costas y se pone de manifiesto que se debe incluir </w:t>
      </w:r>
      <w:r>
        <w:rPr>
          <w:b/>
        </w:rPr>
        <w:t>el tramo final del paseo y la p</w:t>
      </w:r>
      <w:r>
        <w:rPr>
          <w:b/>
        </w:rPr>
        <w:t>arte correspondiente de la escollera, que se encuentran ocupando Dominio Público Marítimo Terrestre. (se incorpora extracto del acta al presente informe)</w:t>
      </w:r>
      <w:r>
        <w:rPr>
          <w:rFonts w:ascii="Times New Roman" w:eastAsia="Times New Roman" w:hAnsi="Times New Roman" w:cs="Times New Roman"/>
          <w:sz w:val="24"/>
        </w:rPr>
        <w:t xml:space="preserve"> </w:t>
      </w:r>
    </w:p>
    <w:p w:rsidR="00EE0979" w:rsidRDefault="00B022A0">
      <w:pPr>
        <w:spacing w:after="14" w:line="259" w:lineRule="auto"/>
        <w:ind w:left="14" w:firstLine="0"/>
        <w:jc w:val="left"/>
      </w:pPr>
      <w:r>
        <w:t xml:space="preserve"> </w:t>
      </w:r>
    </w:p>
    <w:p w:rsidR="00EE0979" w:rsidRDefault="00B022A0">
      <w:pPr>
        <w:numPr>
          <w:ilvl w:val="0"/>
          <w:numId w:val="56"/>
        </w:numPr>
        <w:ind w:right="100" w:hanging="283"/>
      </w:pPr>
      <w:r>
        <w:t>Con fecha 18 de diciembre de 2020 y registro de salida 2020-S-RC-4105. Se aporta plano con la super</w:t>
      </w:r>
      <w:r>
        <w:t xml:space="preserve">ficie que no se había incluido en el proyecto inicialmente, perteneciente al tramo final del paseo y la escollera, resultando la superficie total ocupada en dominio público marítimo terrestre y </w:t>
      </w:r>
      <w:r>
        <w:rPr>
          <w:b/>
        </w:rPr>
        <w:t>sometida a concesión de 2.554,86 m2</w:t>
      </w:r>
      <w:r>
        <w:t>, de acuerdo a lo requerido</w:t>
      </w:r>
      <w:r>
        <w:t xml:space="preserve"> en el Acta de Confrontación firmada de fecha 16 de octubre de 2020. </w:t>
      </w:r>
      <w:r>
        <w:rPr>
          <w:rFonts w:ascii="Times New Roman" w:eastAsia="Times New Roman" w:hAnsi="Times New Roman" w:cs="Times New Roman"/>
          <w:sz w:val="24"/>
        </w:rPr>
        <w:t xml:space="preserve"> </w:t>
      </w:r>
    </w:p>
    <w:p w:rsidR="00EE0979" w:rsidRDefault="00B022A0">
      <w:pPr>
        <w:spacing w:after="16" w:line="259" w:lineRule="auto"/>
        <w:ind w:left="298" w:firstLine="0"/>
        <w:jc w:val="left"/>
      </w:pPr>
      <w:r>
        <w:t xml:space="preserve"> </w:t>
      </w:r>
    </w:p>
    <w:p w:rsidR="00EE0979" w:rsidRDefault="00B022A0">
      <w:pPr>
        <w:numPr>
          <w:ilvl w:val="0"/>
          <w:numId w:val="56"/>
        </w:numPr>
        <w:spacing w:after="27"/>
        <w:ind w:right="100" w:hanging="283"/>
      </w:pPr>
      <w:r>
        <w:t xml:space="preserve">El Servicio Provincial de Costas Tenerife requiere documentación el 7 de enero de 2021 y registro de entrada 2021-E-RC-75 </w:t>
      </w:r>
    </w:p>
    <w:p w:rsidR="00EE0979" w:rsidRDefault="00B022A0">
      <w:pPr>
        <w:spacing w:after="12" w:line="259" w:lineRule="auto"/>
        <w:ind w:left="734" w:firstLine="0"/>
        <w:jc w:val="left"/>
      </w:pPr>
      <w:r>
        <w:t xml:space="preserve"> </w:t>
      </w:r>
    </w:p>
    <w:p w:rsidR="00EE0979" w:rsidRDefault="00B022A0">
      <w:pPr>
        <w:numPr>
          <w:ilvl w:val="0"/>
          <w:numId w:val="56"/>
        </w:numPr>
        <w:ind w:right="100" w:hanging="283"/>
      </w:pPr>
      <w:r>
        <w:t>Con fecha 21 de enero de 2021 y registro de salida 2021-S-</w:t>
      </w:r>
      <w:r>
        <w:t xml:space="preserve">RC-150 se remite al Servicio Provincial de Costas la documentación requerida. </w:t>
      </w:r>
      <w:r>
        <w:rPr>
          <w:rFonts w:ascii="Times New Roman" w:eastAsia="Times New Roman" w:hAnsi="Times New Roman" w:cs="Times New Roman"/>
          <w:sz w:val="24"/>
        </w:rPr>
        <w:t xml:space="preserve"> </w:t>
      </w:r>
    </w:p>
    <w:p w:rsidR="00EE0979" w:rsidRDefault="00B022A0">
      <w:pPr>
        <w:spacing w:after="12" w:line="259" w:lineRule="auto"/>
        <w:ind w:left="734" w:firstLine="0"/>
        <w:jc w:val="left"/>
      </w:pPr>
      <w:r>
        <w:t xml:space="preserve"> </w:t>
      </w:r>
    </w:p>
    <w:p w:rsidR="00EE0979" w:rsidRDefault="00B022A0">
      <w:pPr>
        <w:numPr>
          <w:ilvl w:val="0"/>
          <w:numId w:val="56"/>
        </w:numPr>
        <w:ind w:right="100" w:hanging="283"/>
      </w:pPr>
      <w:r>
        <w:t>Con fecha 10 de febrero de 2021 y registro de entrada 2021-E-RC-1389 Se recibe del Servicio Provincial de Costas, anuncio de información Pública relativa a la solicitud de Co</w:t>
      </w:r>
      <w:r>
        <w:t>ncesión para la Legalización de las Obras de Protección Marítima del Paseo de San Blas, T.M. De Candelaria.</w:t>
      </w:r>
      <w:r>
        <w:rPr>
          <w:rFonts w:ascii="Times New Roman" w:eastAsia="Times New Roman" w:hAnsi="Times New Roman" w:cs="Times New Roman"/>
          <w:sz w:val="24"/>
        </w:rPr>
        <w:t xml:space="preserve"> </w:t>
      </w:r>
    </w:p>
    <w:p w:rsidR="00EE0979" w:rsidRDefault="00B022A0">
      <w:pPr>
        <w:spacing w:after="0" w:line="259" w:lineRule="auto"/>
        <w:ind w:left="0" w:right="376" w:firstLine="0"/>
        <w:jc w:val="right"/>
      </w:pPr>
      <w:r>
        <w:rPr>
          <w:noProof/>
        </w:rPr>
        <w:drawing>
          <wp:inline distT="0" distB="0" distL="0" distR="0">
            <wp:extent cx="5861304" cy="7196328"/>
            <wp:effectExtent l="0" t="0" r="0" b="0"/>
            <wp:docPr id="284867" name="Picture 284867"/>
            <wp:cNvGraphicFramePr/>
            <a:graphic xmlns:a="http://schemas.openxmlformats.org/drawingml/2006/main">
              <a:graphicData uri="http://schemas.openxmlformats.org/drawingml/2006/picture">
                <pic:pic xmlns:pic="http://schemas.openxmlformats.org/drawingml/2006/picture">
                  <pic:nvPicPr>
                    <pic:cNvPr id="284867" name="Picture 284867"/>
                    <pic:cNvPicPr/>
                  </pic:nvPicPr>
                  <pic:blipFill>
                    <a:blip r:embed="rId37"/>
                    <a:stretch>
                      <a:fillRect/>
                    </a:stretch>
                  </pic:blipFill>
                  <pic:spPr>
                    <a:xfrm>
                      <a:off x="0" y="0"/>
                      <a:ext cx="5861304" cy="719632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0" w:right="673" w:firstLine="0"/>
        <w:jc w:val="right"/>
      </w:pPr>
      <w:r>
        <w:rPr>
          <w:noProof/>
        </w:rPr>
        <w:drawing>
          <wp:inline distT="0" distB="0" distL="0" distR="0">
            <wp:extent cx="5279136" cy="3422904"/>
            <wp:effectExtent l="0" t="0" r="0" b="0"/>
            <wp:docPr id="284868" name="Picture 284868"/>
            <wp:cNvGraphicFramePr/>
            <a:graphic xmlns:a="http://schemas.openxmlformats.org/drawingml/2006/main">
              <a:graphicData uri="http://schemas.openxmlformats.org/drawingml/2006/picture">
                <pic:pic xmlns:pic="http://schemas.openxmlformats.org/drawingml/2006/picture">
                  <pic:nvPicPr>
                    <pic:cNvPr id="284868" name="Picture 284868"/>
                    <pic:cNvPicPr/>
                  </pic:nvPicPr>
                  <pic:blipFill>
                    <a:blip r:embed="rId38"/>
                    <a:stretch>
                      <a:fillRect/>
                    </a:stretch>
                  </pic:blipFill>
                  <pic:spPr>
                    <a:xfrm>
                      <a:off x="0" y="0"/>
                      <a:ext cx="5279136" cy="3422904"/>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97" w:firstLine="0"/>
        <w:jc w:val="right"/>
      </w:pPr>
      <w:r>
        <w:rPr>
          <w:noProof/>
        </w:rPr>
        <w:drawing>
          <wp:inline distT="0" distB="0" distL="0" distR="0">
            <wp:extent cx="5852144" cy="2903287"/>
            <wp:effectExtent l="0" t="0" r="0" b="0"/>
            <wp:docPr id="19255" name="Picture 19255"/>
            <wp:cNvGraphicFramePr/>
            <a:graphic xmlns:a="http://schemas.openxmlformats.org/drawingml/2006/main">
              <a:graphicData uri="http://schemas.openxmlformats.org/drawingml/2006/picture">
                <pic:pic xmlns:pic="http://schemas.openxmlformats.org/drawingml/2006/picture">
                  <pic:nvPicPr>
                    <pic:cNvPr id="19255" name="Picture 19255"/>
                    <pic:cNvPicPr/>
                  </pic:nvPicPr>
                  <pic:blipFill>
                    <a:blip r:embed="rId39"/>
                    <a:stretch>
                      <a:fillRect/>
                    </a:stretch>
                  </pic:blipFill>
                  <pic:spPr>
                    <a:xfrm>
                      <a:off x="0" y="0"/>
                      <a:ext cx="5852144" cy="2903287"/>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CONCLUSIONES: </w:t>
      </w:r>
    </w:p>
    <w:p w:rsidR="00EE0979" w:rsidRDefault="00B022A0">
      <w:pPr>
        <w:spacing w:after="0" w:line="259" w:lineRule="auto"/>
        <w:ind w:left="14" w:firstLine="0"/>
        <w:jc w:val="left"/>
      </w:pPr>
      <w:r>
        <w:rPr>
          <w:b/>
        </w:rPr>
        <w:t xml:space="preserve"> </w:t>
      </w:r>
    </w:p>
    <w:p w:rsidR="00EE0979" w:rsidRDefault="00B022A0">
      <w:pPr>
        <w:ind w:right="100"/>
      </w:pPr>
      <w:r>
        <w:t>En relación a la solicitud de aclaración del alcance de la Concesión de Ocupación del DPMT del Paseo San Blas, se indica, que la misma se está tramitando como consecuencia de las obras de emergencia ejecutadas y autorizadas por el Servicio Provincial de Co</w:t>
      </w:r>
      <w:r>
        <w:t>stas en el año 2014 en el Paseo de San Blas. Por otra parte, en relación al ámbito territorial de la concesión, este es coincidente con el “Proyecto de remodelación de la Plaza de la Patrona de Canarias y su entorno, canalización de cauce e implantación de</w:t>
      </w:r>
      <w:r>
        <w:t xml:space="preserve"> obras hidráulicas” en las actuaciones a ejecutar en la Cueva del Camello, que fueron autorizadas por el Servicio Provincial de Costas, según resolución de fecha 12 de agosto 2021 y de las cuales se ha solicitado prórroga con fecha 22 de marzo de 2022 y re</w:t>
      </w:r>
      <w:r>
        <w:t>gistro de salida 2022-S-RC-1049.</w:t>
      </w:r>
      <w:r>
        <w:rPr>
          <w:sz w:val="24"/>
        </w:rPr>
        <w:t xml:space="preserve"> </w:t>
      </w:r>
    </w:p>
    <w:p w:rsidR="00EE0979" w:rsidRDefault="00B022A0">
      <w:pPr>
        <w:spacing w:after="55" w:line="259" w:lineRule="auto"/>
        <w:ind w:left="125" w:firstLine="0"/>
        <w:jc w:val="left"/>
      </w:pPr>
      <w:r>
        <w:t xml:space="preserve"> </w:t>
      </w:r>
    </w:p>
    <w:p w:rsidR="00EE0979" w:rsidRDefault="00B022A0">
      <w:pPr>
        <w:ind w:right="100"/>
      </w:pPr>
      <w:r>
        <w:t>Por otra parte, a la vista de los Acuerdos de la Junta de Gobierno Local de fecha 1 de febrero de 2023 para la actualización del Inventario de bienes del Ayuntamiento de Candelaria y la aprobación de las siguientes ficha</w:t>
      </w:r>
      <w:r>
        <w:t>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2"/>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8"/>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98" w:line="259" w:lineRule="auto"/>
        <w:ind w:left="14" w:firstLine="0"/>
        <w:jc w:val="left"/>
      </w:pPr>
      <w:r>
        <w:rPr>
          <w:b/>
        </w:rPr>
        <w:t xml:space="preserve"> </w:t>
      </w:r>
    </w:p>
    <w:p w:rsidR="00EE0979" w:rsidRDefault="00B022A0">
      <w:pPr>
        <w:ind w:right="100"/>
      </w:pPr>
      <w:r>
        <w:t xml:space="preserve">Se informa </w:t>
      </w:r>
      <w:r>
        <w:rPr>
          <w:b/>
        </w:rPr>
        <w:t>FAVORABLEMENTE,</w:t>
      </w:r>
      <w:r>
        <w:t xml:space="preserve"> </w:t>
      </w:r>
      <w:r>
        <w:t xml:space="preserve">la puesta a disposición de los suelos con número de inventario 1/138 Y 11/134, para la ejecución del “Proyecto de remodelación de la Plaza de la Patrona de </w:t>
      </w:r>
    </w:p>
    <w:p w:rsidR="00EE0979" w:rsidRDefault="00B022A0">
      <w:pPr>
        <w:spacing w:after="107"/>
        <w:ind w:right="100"/>
      </w:pPr>
      <w:r>
        <w:t xml:space="preserve">Canarias y su entorno, canalización de cauce e implantación de obras hidráulicas.” </w:t>
      </w:r>
    </w:p>
    <w:p w:rsidR="00EE0979" w:rsidRDefault="00B022A0">
      <w:pPr>
        <w:spacing w:after="98" w:line="259" w:lineRule="auto"/>
        <w:ind w:left="14" w:firstLine="0"/>
        <w:jc w:val="left"/>
      </w:pPr>
      <w:r>
        <w:rPr>
          <w:b/>
        </w:rPr>
        <w:t xml:space="preserve"> </w:t>
      </w:r>
    </w:p>
    <w:p w:rsidR="00EE0979" w:rsidRDefault="00B022A0">
      <w:pPr>
        <w:spacing w:after="114"/>
        <w:ind w:right="99" w:hanging="10"/>
      </w:pPr>
      <w:r>
        <w:rPr>
          <w:b/>
        </w:rPr>
        <w:t xml:space="preserve">     </w:t>
      </w:r>
      <w:r>
        <w:rPr>
          <w:b/>
        </w:rPr>
        <w:t>Consta en el expediente Informe Jurídico emitido por Doña Mª del Pilar Chico Delgado, que desempeña el puesto de Técnico de Administración General, conformado por D. Octavio Manuel Fernández Hernández, Secretario General, y debidamente fiscalizado por D. N</w:t>
      </w:r>
      <w:r>
        <w:rPr>
          <w:b/>
        </w:rPr>
        <w:t>icolás Rojo Garnica, Interventor Municipal, de 18 de abril de 2023, del siguiente tenor literal:</w:t>
      </w:r>
      <w:r>
        <w:t xml:space="preserve"> </w:t>
      </w:r>
    </w:p>
    <w:p w:rsidR="00EE0979" w:rsidRDefault="00B022A0">
      <w:pPr>
        <w:spacing w:after="218" w:line="259" w:lineRule="auto"/>
        <w:ind w:left="14" w:firstLine="0"/>
        <w:jc w:val="left"/>
      </w:pPr>
      <w:r>
        <w:t xml:space="preserve"> </w:t>
      </w:r>
    </w:p>
    <w:p w:rsidR="00EE0979" w:rsidRDefault="00B022A0">
      <w:pPr>
        <w:pStyle w:val="Ttulo1"/>
        <w:numPr>
          <w:ilvl w:val="0"/>
          <w:numId w:val="0"/>
        </w:numPr>
        <w:spacing w:after="95"/>
        <w:ind w:left="624" w:right="2421"/>
      </w:pPr>
      <w:r>
        <w:t xml:space="preserve">                            “INFORME                             </w:t>
      </w:r>
      <w:r>
        <w:rPr>
          <w:b w:val="0"/>
        </w:rPr>
        <w:t xml:space="preserve"> </w:t>
      </w:r>
    </w:p>
    <w:p w:rsidR="00EE0979" w:rsidRDefault="00B022A0">
      <w:pPr>
        <w:spacing w:after="114"/>
        <w:ind w:right="99" w:hanging="10"/>
      </w:pPr>
      <w:r>
        <w:rPr>
          <w:b/>
        </w:rPr>
        <w:t>Visto el expediente antedicho, la funcionaria Mª del Pilar Chico Delgado, que desempeña e</w:t>
      </w:r>
      <w:r>
        <w:rPr>
          <w:b/>
        </w:rPr>
        <w:t>l puesto de trabajo de técnico de adm.gral. conformado por el Secretario General, debidamente fiscalizado favorablemente por el Interventor Municipal, emite el siguiente informe:</w:t>
      </w:r>
      <w:r>
        <w:t xml:space="preserve"> </w:t>
      </w:r>
    </w:p>
    <w:p w:rsidR="00EE0979" w:rsidRDefault="00B022A0">
      <w:pPr>
        <w:spacing w:after="98" w:line="259" w:lineRule="auto"/>
        <w:ind w:left="14" w:firstLine="0"/>
        <w:jc w:val="left"/>
      </w:pPr>
      <w:r>
        <w:t xml:space="preserve">  </w:t>
      </w:r>
    </w:p>
    <w:p w:rsidR="00EE0979" w:rsidRDefault="00B022A0">
      <w:pPr>
        <w:pStyle w:val="Ttulo1"/>
        <w:numPr>
          <w:ilvl w:val="0"/>
          <w:numId w:val="0"/>
        </w:numPr>
        <w:spacing w:after="92"/>
        <w:ind w:left="624" w:right="710"/>
      </w:pPr>
      <w:r>
        <w:t xml:space="preserve">Antecedentes de hecho  </w:t>
      </w:r>
    </w:p>
    <w:p w:rsidR="00EE0979" w:rsidRDefault="00B022A0">
      <w:pPr>
        <w:spacing w:after="101" w:line="259" w:lineRule="auto"/>
        <w:ind w:left="0" w:right="36" w:firstLine="0"/>
        <w:jc w:val="center"/>
      </w:pPr>
      <w:r>
        <w:rPr>
          <w:b/>
        </w:rPr>
        <w:t xml:space="preserve"> </w:t>
      </w:r>
    </w:p>
    <w:p w:rsidR="00EE0979" w:rsidRDefault="00B022A0">
      <w:pPr>
        <w:spacing w:after="113"/>
        <w:ind w:right="100"/>
      </w:pPr>
      <w:r>
        <w:rPr>
          <w:b/>
        </w:rPr>
        <w:t xml:space="preserve"> </w:t>
      </w:r>
      <w:r>
        <w:rPr>
          <w:b/>
        </w:rPr>
        <w:tab/>
        <w:t>Visto</w:t>
      </w:r>
      <w:r>
        <w:t xml:space="preserve"> informe técnico de fecha 13 de abril de</w:t>
      </w:r>
      <w:r>
        <w:t xml:space="preserve"> 2023, emitido por la Arquitecta municipal que dice: </w:t>
      </w:r>
    </w:p>
    <w:p w:rsidR="00EE0979" w:rsidRDefault="00B022A0">
      <w:pPr>
        <w:spacing w:after="98" w:line="259" w:lineRule="auto"/>
        <w:ind w:left="14" w:firstLine="0"/>
        <w:jc w:val="left"/>
      </w:pPr>
      <w:r>
        <w:t xml:space="preserve"> </w:t>
      </w:r>
    </w:p>
    <w:p w:rsidR="00EE0979" w:rsidRDefault="00B022A0">
      <w:pPr>
        <w:spacing w:after="132" w:line="259" w:lineRule="auto"/>
        <w:ind w:left="14" w:firstLine="0"/>
        <w:jc w:val="left"/>
      </w:pPr>
      <w:r>
        <w:t xml:space="preserve"> </w:t>
      </w:r>
    </w:p>
    <w:p w:rsidR="00EE0979" w:rsidRDefault="00B022A0">
      <w:pPr>
        <w:pStyle w:val="Ttulo1"/>
        <w:numPr>
          <w:ilvl w:val="0"/>
          <w:numId w:val="0"/>
        </w:numPr>
        <w:spacing w:after="97"/>
        <w:ind w:left="624" w:right="709"/>
      </w:pPr>
      <w:r>
        <w:t>“INFORME</w:t>
      </w:r>
      <w:r>
        <w:rPr>
          <w:b w:val="0"/>
        </w:rPr>
        <w:t xml:space="preserve"> </w:t>
      </w:r>
    </w:p>
    <w:p w:rsidR="00EE0979" w:rsidRDefault="00B022A0">
      <w:pPr>
        <w:spacing w:after="142"/>
        <w:ind w:right="100"/>
      </w:pPr>
      <w:r>
        <w:t>A la vista del Oficio presentado por el Cabildo Insular de Tenerife, con fecha 3 de abril de 2023, con número de registro de entrada</w:t>
      </w:r>
      <w:r>
        <w:rPr>
          <w:b/>
        </w:rPr>
        <w:t xml:space="preserve"> </w:t>
      </w:r>
      <w:r>
        <w:t>2023-E-RC-4045</w:t>
      </w:r>
      <w:r>
        <w:rPr>
          <w:b/>
        </w:rPr>
        <w:t xml:space="preserve">, </w:t>
      </w:r>
      <w:r>
        <w:t>en relación con la puesta a disposición de los terrenos necesarios para la ejecución del “Proyecto de remodelación de la Plaza de la Patrona de Canarias y su entorno, canalización de cauce e implantación de obras hidráulicas” así como aclaración del alcanc</w:t>
      </w:r>
      <w:r>
        <w:t xml:space="preserve">e de la Concesión del Paseo de San Blas, Nayra Guzmán Hernández, arquitecta, emite el presente informe: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ANTECEDENTES </w:t>
      </w:r>
    </w:p>
    <w:p w:rsidR="00EE0979" w:rsidRDefault="00B022A0">
      <w:pPr>
        <w:spacing w:after="0" w:line="259" w:lineRule="auto"/>
        <w:ind w:left="14" w:firstLine="0"/>
        <w:jc w:val="left"/>
      </w:pPr>
      <w:r>
        <w:rPr>
          <w:b/>
        </w:rPr>
        <w:t xml:space="preserve"> </w:t>
      </w:r>
    </w:p>
    <w:p w:rsidR="00EE0979" w:rsidRDefault="00B022A0">
      <w:pPr>
        <w:numPr>
          <w:ilvl w:val="0"/>
          <w:numId w:val="57"/>
        </w:numPr>
        <w:spacing w:after="39"/>
        <w:ind w:right="100" w:hanging="283"/>
      </w:pPr>
      <w:r>
        <w:t>Con fecha 14 de mayo del 2009, se resuelve adjudicar, como resultado del Concurso de Ideas, la Remodelación de la Plaza de la Patron</w:t>
      </w:r>
      <w:r>
        <w:t xml:space="preserve">a y su Entorno, Término Municipal de Candelaria al Equipo Redactor </w:t>
      </w:r>
      <w:r>
        <w:rPr>
          <w:b/>
        </w:rPr>
        <w:t>RUIZ-LARREA &amp; ASOCIADOS S.L Y ESTUDIO ARQUITECTURA EUSTAQUIO MARTÍNEZ SLPU “RLA &amp; EM UTE”</w:t>
      </w:r>
      <w:r>
        <w:rPr>
          <w:rFonts w:ascii="Times New Roman" w:eastAsia="Times New Roman" w:hAnsi="Times New Roman" w:cs="Times New Roman"/>
          <w:sz w:val="24"/>
        </w:rPr>
        <w:t xml:space="preserve"> </w:t>
      </w:r>
    </w:p>
    <w:p w:rsidR="00EE0979" w:rsidRDefault="00B022A0">
      <w:pPr>
        <w:numPr>
          <w:ilvl w:val="0"/>
          <w:numId w:val="57"/>
        </w:numPr>
        <w:spacing w:after="35"/>
        <w:ind w:right="100" w:hanging="283"/>
      </w:pPr>
      <w:r>
        <w:t>Con fecha 9 de noviembre de 2010, se aprueba por el Excmo. Cabildo Insular de Tenerife (Área de Tu</w:t>
      </w:r>
      <w:r>
        <w:t xml:space="preserve">rismo y Planificación), el Plan Director para la redacción del proyecto de la Remodelación de la Plaza de la Patrona y su Entorno, Término Municipal de Candelaria </w:t>
      </w:r>
    </w:p>
    <w:p w:rsidR="00EE0979" w:rsidRDefault="00B022A0">
      <w:pPr>
        <w:numPr>
          <w:ilvl w:val="0"/>
          <w:numId w:val="57"/>
        </w:numPr>
        <w:spacing w:after="42"/>
        <w:ind w:right="100" w:hanging="283"/>
      </w:pPr>
      <w:r>
        <w:t>Con fecha 11 de febrero de 2011, se presentan por parte del Ayuntamiento de Candelaria, suge</w:t>
      </w:r>
      <w:r>
        <w:t xml:space="preserve">rencias al Documento del Plan Director  </w:t>
      </w:r>
    </w:p>
    <w:p w:rsidR="00EE0979" w:rsidRDefault="00B022A0">
      <w:pPr>
        <w:numPr>
          <w:ilvl w:val="0"/>
          <w:numId w:val="57"/>
        </w:numPr>
        <w:spacing w:after="42"/>
        <w:ind w:right="100" w:hanging="283"/>
      </w:pPr>
      <w:r>
        <w:t xml:space="preserve">Con fecha 26 de enero de 2016 se presenta informe por parte de la Comisión Insular de Patrimonio Histórico del Excmo. Cabildo Insular de Tenerife </w:t>
      </w:r>
    </w:p>
    <w:p w:rsidR="00EE0979" w:rsidRDefault="00B022A0">
      <w:pPr>
        <w:numPr>
          <w:ilvl w:val="0"/>
          <w:numId w:val="57"/>
        </w:numPr>
        <w:spacing w:after="42"/>
        <w:ind w:right="100" w:hanging="283"/>
      </w:pPr>
      <w:r>
        <w:t>Con fecha 14 de febrero de 2019, se presenta Proyecto de Remodelació</w:t>
      </w:r>
      <w:r>
        <w:t xml:space="preserve">n de la Plaza de la Basílica. </w:t>
      </w:r>
    </w:p>
    <w:p w:rsidR="00EE0979" w:rsidRDefault="00B022A0">
      <w:pPr>
        <w:numPr>
          <w:ilvl w:val="0"/>
          <w:numId w:val="57"/>
        </w:numPr>
        <w:spacing w:after="42"/>
        <w:ind w:right="100" w:hanging="283"/>
      </w:pPr>
      <w:r>
        <w:t xml:space="preserve">Con fecha 14 de marzo de 2019 y nº de registro de salida se remite al Cabildo, informe sobre la compatibilidad urbanística del Proyecto, con las siguientes conclusiones: </w:t>
      </w:r>
    </w:p>
    <w:p w:rsidR="00EE0979" w:rsidRDefault="00B022A0">
      <w:pPr>
        <w:spacing w:after="31" w:line="259" w:lineRule="auto"/>
        <w:ind w:left="14" w:firstLine="0"/>
        <w:jc w:val="left"/>
      </w:pPr>
      <w:r>
        <w:rPr>
          <w:b/>
        </w:rPr>
        <w:t xml:space="preserve"> </w:t>
      </w:r>
    </w:p>
    <w:p w:rsidR="00EE0979" w:rsidRDefault="00B022A0">
      <w:pPr>
        <w:spacing w:after="27"/>
        <w:ind w:left="591" w:right="98" w:hanging="10"/>
      </w:pPr>
      <w:r>
        <w:rPr>
          <w:i/>
        </w:rPr>
        <w:t xml:space="preserve">“…Los tres sectores, se encuentran dentro del Suelo </w:t>
      </w:r>
      <w:r>
        <w:rPr>
          <w:i/>
        </w:rPr>
        <w:t>Urbano Consolidado de Interés Cultural, en el Casco de Candelaria, incluido en el Bien de Interés Cultural, en la categoría de Monumento, del Santuario de la Virgen de Candelaria y del Convento. El entorno abarca el antiguo Ayuntamiento, La Plaza, y los Ri</w:t>
      </w:r>
      <w:r>
        <w:rPr>
          <w:i/>
        </w:rPr>
        <w:t xml:space="preserve">scos de la Basílica hasta la Cueva de San Blas. </w:t>
      </w:r>
    </w:p>
    <w:p w:rsidR="00EE0979" w:rsidRDefault="00B022A0">
      <w:pPr>
        <w:spacing w:after="16" w:line="259" w:lineRule="auto"/>
        <w:ind w:left="581" w:firstLine="0"/>
        <w:jc w:val="left"/>
      </w:pPr>
      <w:r>
        <w:rPr>
          <w:i/>
        </w:rPr>
        <w:t xml:space="preserve"> </w:t>
      </w:r>
    </w:p>
    <w:p w:rsidR="00EE0979" w:rsidRDefault="00B022A0">
      <w:pPr>
        <w:spacing w:after="26"/>
        <w:ind w:left="591" w:right="98" w:hanging="10"/>
      </w:pPr>
      <w:r>
        <w:rPr>
          <w:i/>
        </w:rPr>
        <w:t>Las obras permitidas en líneas generales son las de son de conservación, restauración y consolidación y por tanto las obras descritas dentro del Proyecto de Remodelación de la Plaza de la Basílica, incluidas dentro de los tres primeros sectores se consider</w:t>
      </w:r>
      <w:r>
        <w:rPr>
          <w:i/>
        </w:rPr>
        <w:t xml:space="preserve">an COMPATIBLES con el Plan General de Ordenación.  </w:t>
      </w:r>
    </w:p>
    <w:p w:rsidR="00EE0979" w:rsidRDefault="00B022A0">
      <w:pPr>
        <w:spacing w:after="16" w:line="259" w:lineRule="auto"/>
        <w:ind w:left="581" w:firstLine="0"/>
        <w:jc w:val="left"/>
      </w:pPr>
      <w:r>
        <w:rPr>
          <w:i/>
        </w:rPr>
        <w:t xml:space="preserve"> </w:t>
      </w:r>
    </w:p>
    <w:p w:rsidR="00EE0979" w:rsidRDefault="00B022A0">
      <w:pPr>
        <w:spacing w:after="34"/>
        <w:ind w:left="591" w:right="98" w:hanging="10"/>
      </w:pPr>
      <w:r>
        <w:rPr>
          <w:i/>
        </w:rPr>
        <w:t>En el presente informe se comprueba la compatibilidad urbanística del proyecto presentado con el Plan General de Ordenación y por tanto quedará condicionado a cuantos informes sectoriales le sea de apli</w:t>
      </w:r>
      <w:r>
        <w:rPr>
          <w:i/>
        </w:rPr>
        <w:t xml:space="preserve">cación, en especial a los emitidos por la Comisión Insular de Patrimonio Histórico del Excmo. Cabildo Insular de Tenerife, Consejo Insular de aguas y Demarcación de Costas ,..” </w:t>
      </w:r>
    </w:p>
    <w:p w:rsidR="00EE0979" w:rsidRDefault="00B022A0">
      <w:pPr>
        <w:ind w:left="14" w:right="100" w:firstLine="852"/>
      </w:pPr>
      <w:r>
        <w:rPr>
          <w:i/>
        </w:rPr>
        <w:t xml:space="preserve"> </w:t>
      </w:r>
      <w:r>
        <w:rPr>
          <w:rFonts w:ascii="Courier New" w:eastAsia="Courier New" w:hAnsi="Courier New" w:cs="Courier New"/>
          <w:sz w:val="37"/>
          <w:vertAlign w:val="subscript"/>
        </w:rPr>
        <w:t>o</w:t>
      </w:r>
      <w:r>
        <w:rPr>
          <w:sz w:val="24"/>
        </w:rPr>
        <w:t xml:space="preserve"> </w:t>
      </w:r>
      <w:r>
        <w:t xml:space="preserve">  Con fecha 28 de septiembre de 2020 y nº de registro de entrada 2020-E-RC-</w:t>
      </w:r>
      <w:r>
        <w:t>10531 se presenta por parte del Cabildo el Proyecto actualizado recogiendo las consideraciones realizadas por los diferentes organismos y entidades públicas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441" w:right="100" w:hanging="427"/>
      </w:pPr>
      <w:r>
        <w:rPr>
          <w:rFonts w:ascii="Courier New" w:eastAsia="Courier New" w:hAnsi="Courier New" w:cs="Courier New"/>
        </w:rPr>
        <w:t>o</w:t>
      </w:r>
      <w:r>
        <w:t xml:space="preserve">   Con fecha 25 de febrero de 2021 se solicita por parte del Ayuntamiento autorización de del S</w:t>
      </w:r>
      <w:r>
        <w:t xml:space="preserve">ervicio Provincial de Costas de las Obras contenidas en el Proyecto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ÁMBITO DE EJECUCION DEL PROYECTO  </w:t>
      </w:r>
    </w:p>
    <w:p w:rsidR="00EE0979" w:rsidRDefault="00B022A0">
      <w:pPr>
        <w:spacing w:after="0" w:line="259" w:lineRule="auto"/>
        <w:ind w:left="14" w:firstLine="0"/>
        <w:jc w:val="left"/>
      </w:pPr>
      <w:r>
        <w:rPr>
          <w:b/>
        </w:rPr>
        <w:t xml:space="preserve"> </w:t>
      </w:r>
    </w:p>
    <w:p w:rsidR="00EE0979" w:rsidRDefault="00B022A0">
      <w:pPr>
        <w:ind w:right="100"/>
      </w:pPr>
      <w:r>
        <w:t>En el proyecto presentado, se distinguen tres ámbitos diferenciados, que se dividen en sectores comprendidos entre el Paseo de San Blas y el final d</w:t>
      </w:r>
      <w:r>
        <w:t>e la calle Antón Guanche: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SECTOR 1 Paseo Marítimo </w:t>
      </w:r>
    </w:p>
    <w:p w:rsidR="00EE0979" w:rsidRDefault="00B022A0">
      <w:pPr>
        <w:ind w:right="100"/>
      </w:pPr>
      <w:r>
        <w:t xml:space="preserve">SECTOR 2 Plaza de la Patrona </w:t>
      </w:r>
    </w:p>
    <w:p w:rsidR="00EE0979" w:rsidRDefault="00B022A0">
      <w:pPr>
        <w:ind w:right="100"/>
      </w:pPr>
      <w:r>
        <w:t xml:space="preserve">SECTOR 3 Plaza de los Artesanos </w:t>
      </w:r>
    </w:p>
    <w:p w:rsidR="00EE0979" w:rsidRDefault="00B022A0">
      <w:pPr>
        <w:spacing w:after="0" w:line="259" w:lineRule="auto"/>
        <w:ind w:left="14" w:firstLine="0"/>
        <w:jc w:val="left"/>
      </w:pPr>
      <w:r>
        <w:t xml:space="preserve"> </w:t>
      </w:r>
    </w:p>
    <w:p w:rsidR="00EE0979" w:rsidRDefault="00B022A0">
      <w:pPr>
        <w:spacing w:after="69" w:line="259" w:lineRule="auto"/>
        <w:ind w:left="0" w:right="1075" w:firstLine="0"/>
        <w:jc w:val="right"/>
      </w:pPr>
      <w:r>
        <w:rPr>
          <w:noProof/>
        </w:rPr>
        <w:drawing>
          <wp:inline distT="0" distB="0" distL="0" distR="0">
            <wp:extent cx="4770163" cy="4556766"/>
            <wp:effectExtent l="0" t="0" r="0" b="0"/>
            <wp:docPr id="19540" name="Picture 19540"/>
            <wp:cNvGraphicFramePr/>
            <a:graphic xmlns:a="http://schemas.openxmlformats.org/drawingml/2006/main">
              <a:graphicData uri="http://schemas.openxmlformats.org/drawingml/2006/picture">
                <pic:pic xmlns:pic="http://schemas.openxmlformats.org/drawingml/2006/picture">
                  <pic:nvPicPr>
                    <pic:cNvPr id="19540" name="Picture 19540"/>
                    <pic:cNvPicPr/>
                  </pic:nvPicPr>
                  <pic:blipFill>
                    <a:blip r:embed="rId24"/>
                    <a:stretch>
                      <a:fillRect/>
                    </a:stretch>
                  </pic:blipFill>
                  <pic:spPr>
                    <a:xfrm>
                      <a:off x="0" y="0"/>
                      <a:ext cx="4770163" cy="4556766"/>
                    </a:xfrm>
                    <a:prstGeom prst="rect">
                      <a:avLst/>
                    </a:prstGeom>
                  </pic:spPr>
                </pic:pic>
              </a:graphicData>
            </a:graphic>
          </wp:inline>
        </w:drawing>
      </w: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left="384" w:right="99" w:hanging="10"/>
      </w:pPr>
      <w:r>
        <w:rPr>
          <w:b/>
        </w:rPr>
        <w:t xml:space="preserve">3. INVENTARIO MUNICIPAL DE BIENES </w:t>
      </w:r>
    </w:p>
    <w:p w:rsidR="00EE0979" w:rsidRDefault="00B022A0">
      <w:pPr>
        <w:spacing w:after="0" w:line="259" w:lineRule="auto"/>
        <w:ind w:left="14" w:firstLine="0"/>
        <w:jc w:val="left"/>
      </w:pPr>
      <w:r>
        <w:rPr>
          <w:b/>
        </w:rPr>
        <w:t xml:space="preserve"> </w:t>
      </w:r>
    </w:p>
    <w:p w:rsidR="00EE0979" w:rsidRDefault="00B022A0">
      <w:pPr>
        <w:ind w:right="100"/>
      </w:pPr>
      <w:r>
        <w:t xml:space="preserve">A la vista de los Acuerdos de la Junta de Gobierno Local para la actualización del Inventario de bienes del Ayuntamiento de Candelaria y la aprobación de las siguientes fichas: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Plaza del Ayuntamiento Viejo de Candelaria: Acuerdo de la Junta de Gobierno </w:t>
      </w:r>
      <w:r>
        <w:rPr>
          <w:b/>
        </w:rPr>
        <w:t xml:space="preserve">Local de fecha 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1/138 </w:t>
      </w:r>
    </w:p>
    <w:p w:rsidR="00EE0979" w:rsidRDefault="00B022A0">
      <w:pPr>
        <w:spacing w:after="52" w:line="259" w:lineRule="auto"/>
        <w:ind w:left="1706" w:firstLine="0"/>
        <w:jc w:val="left"/>
      </w:pPr>
      <w:r>
        <w:t xml:space="preserve">   </w:t>
      </w:r>
      <w:r>
        <w:rPr>
          <w:rFonts w:ascii="Calibri" w:eastAsia="Calibri" w:hAnsi="Calibri" w:cs="Calibri"/>
          <w:noProof/>
        </w:rPr>
        <mc:AlternateContent>
          <mc:Choice Requires="wpg">
            <w:drawing>
              <wp:inline distT="0" distB="0" distL="0" distR="0">
                <wp:extent cx="3812860" cy="6695167"/>
                <wp:effectExtent l="0" t="0" r="0" b="0"/>
                <wp:docPr id="259952" name="Group 259952"/>
                <wp:cNvGraphicFramePr/>
                <a:graphic xmlns:a="http://schemas.openxmlformats.org/drawingml/2006/main">
                  <a:graphicData uri="http://schemas.microsoft.com/office/word/2010/wordprocessingGroup">
                    <wpg:wgp>
                      <wpg:cNvGrpSpPr/>
                      <wpg:grpSpPr>
                        <a:xfrm>
                          <a:off x="0" y="0"/>
                          <a:ext cx="3812860" cy="6695167"/>
                          <a:chOff x="0" y="0"/>
                          <a:chExt cx="3812860" cy="6695167"/>
                        </a:xfrm>
                      </wpg:grpSpPr>
                      <wps:wsp>
                        <wps:cNvPr id="19562" name="Rectangle 19562"/>
                        <wps:cNvSpPr/>
                        <wps:spPr>
                          <a:xfrm>
                            <a:off x="3719449" y="346479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66" name="Rectangle 19566"/>
                        <wps:cNvSpPr/>
                        <wps:spPr>
                          <a:xfrm>
                            <a:off x="3594481" y="6538835"/>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4869" name="Picture 284869"/>
                          <pic:cNvPicPr/>
                        </pic:nvPicPr>
                        <pic:blipFill>
                          <a:blip r:embed="rId25"/>
                          <a:stretch>
                            <a:fillRect/>
                          </a:stretch>
                        </pic:blipFill>
                        <pic:spPr>
                          <a:xfrm>
                            <a:off x="-4571" y="-3553"/>
                            <a:ext cx="3712464" cy="3599688"/>
                          </a:xfrm>
                          <a:prstGeom prst="rect">
                            <a:avLst/>
                          </a:prstGeom>
                        </pic:spPr>
                      </pic:pic>
                      <pic:pic xmlns:pic="http://schemas.openxmlformats.org/drawingml/2006/picture">
                        <pic:nvPicPr>
                          <pic:cNvPr id="284870" name="Picture 284870"/>
                          <pic:cNvPicPr/>
                        </pic:nvPicPr>
                        <pic:blipFill>
                          <a:blip r:embed="rId26"/>
                          <a:stretch>
                            <a:fillRect/>
                          </a:stretch>
                        </pic:blipFill>
                        <pic:spPr>
                          <a:xfrm>
                            <a:off x="10668" y="3597150"/>
                            <a:ext cx="3800856" cy="1085088"/>
                          </a:xfrm>
                          <a:prstGeom prst="rect">
                            <a:avLst/>
                          </a:prstGeom>
                        </pic:spPr>
                      </pic:pic>
                      <pic:pic xmlns:pic="http://schemas.openxmlformats.org/drawingml/2006/picture">
                        <pic:nvPicPr>
                          <pic:cNvPr id="19580" name="Picture 19580"/>
                          <pic:cNvPicPr/>
                        </pic:nvPicPr>
                        <pic:blipFill>
                          <a:blip r:embed="rId27"/>
                          <a:stretch>
                            <a:fillRect/>
                          </a:stretch>
                        </pic:blipFill>
                        <pic:spPr>
                          <a:xfrm>
                            <a:off x="126492" y="4760991"/>
                            <a:ext cx="3452022" cy="1904905"/>
                          </a:xfrm>
                          <a:prstGeom prst="rect">
                            <a:avLst/>
                          </a:prstGeom>
                        </pic:spPr>
                      </pic:pic>
                    </wpg:wgp>
                  </a:graphicData>
                </a:graphic>
              </wp:inline>
            </w:drawing>
          </mc:Choice>
          <mc:Fallback xmlns:a="http://schemas.openxmlformats.org/drawingml/2006/main">
            <w:pict>
              <v:group id="Group 259952" style="width:300.225pt;height:527.178pt;mso-position-horizontal-relative:char;mso-position-vertical-relative:line" coordsize="38128,66951">
                <v:rect id="Rectangle 19562" style="position:absolute;width:506;height:2243;left:37194;top:3464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66" style="position:absolute;width:518;height:2079;left:35944;top:65388;" filled="f" stroked="f">
                  <v:textbox inset="0,0,0,0">
                    <w:txbxContent>
                      <w:p>
                        <w:pPr>
                          <w:spacing w:before="0" w:after="160" w:line="259" w:lineRule="auto"/>
                          <w:ind w:left="0" w:firstLine="0"/>
                          <w:jc w:val="left"/>
                        </w:pPr>
                        <w:r>
                          <w:rPr/>
                          <w:t xml:space="preserve"> </w:t>
                        </w:r>
                      </w:p>
                    </w:txbxContent>
                  </v:textbox>
                </v:rect>
                <v:shape id="Picture 284869" style="position:absolute;width:37124;height:35996;left:-45;top:-35;" filled="f">
                  <v:imagedata r:id="rId28"/>
                </v:shape>
                <v:shape id="Picture 284870" style="position:absolute;width:38008;height:10850;left:106;top:35971;" filled="f">
                  <v:imagedata r:id="rId29"/>
                </v:shape>
                <v:shape id="Picture 19580" style="position:absolute;width:34520;height:19049;left:1264;top:47609;" filled="f">
                  <v:imagedata r:id="rId30"/>
                </v:shape>
              </v:group>
            </w:pict>
          </mc:Fallback>
        </mc:AlternateContent>
      </w:r>
      <w:r>
        <w:t xml:space="preserve">           </w:t>
      </w:r>
    </w:p>
    <w:p w:rsidR="00EE0979" w:rsidRDefault="00B022A0">
      <w:pPr>
        <w:spacing w:after="95" w:line="259" w:lineRule="auto"/>
        <w:ind w:left="0" w:right="36" w:firstLine="0"/>
        <w:jc w:val="center"/>
      </w:pPr>
      <w:r>
        <w:t xml:space="preserve"> </w:t>
      </w:r>
    </w:p>
    <w:p w:rsidR="00EE0979" w:rsidRDefault="00B022A0">
      <w:pPr>
        <w:spacing w:after="6"/>
        <w:ind w:right="99" w:hanging="10"/>
      </w:pPr>
      <w:r>
        <w:rPr>
          <w:b/>
        </w:rPr>
        <w:t xml:space="preserve">Terrenos y bienes naturales de la Plaza del Ayuntamiento viejo de Candelaria: Acuerdo de la Junta de Gobierno Local de fecha 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11/134 </w:t>
      </w:r>
    </w:p>
    <w:p w:rsidR="00EE0979" w:rsidRDefault="00B022A0">
      <w:pPr>
        <w:spacing w:after="0" w:line="259" w:lineRule="auto"/>
        <w:ind w:left="734" w:firstLine="0"/>
        <w:jc w:val="left"/>
      </w:pPr>
      <w:r>
        <w:rPr>
          <w:rFonts w:ascii="Times New Roman" w:eastAsia="Times New Roman" w:hAnsi="Times New Roman" w:cs="Times New Roman"/>
          <w:b/>
          <w:sz w:val="24"/>
        </w:rPr>
        <w:t xml:space="preserve"> </w:t>
      </w:r>
    </w:p>
    <w:p w:rsidR="00EE0979" w:rsidRDefault="00B022A0">
      <w:pPr>
        <w:spacing w:after="0" w:line="259" w:lineRule="auto"/>
        <w:ind w:left="4796"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950671</wp:posOffset>
                </wp:positionH>
                <wp:positionV relativeFrom="paragraph">
                  <wp:posOffset>-7024961</wp:posOffset>
                </wp:positionV>
                <wp:extent cx="4170511" cy="7147427"/>
                <wp:effectExtent l="0" t="0" r="0" b="0"/>
                <wp:wrapSquare wrapText="bothSides"/>
                <wp:docPr id="259354" name="Group 259354"/>
                <wp:cNvGraphicFramePr/>
                <a:graphic xmlns:a="http://schemas.openxmlformats.org/drawingml/2006/main">
                  <a:graphicData uri="http://schemas.microsoft.com/office/word/2010/wordprocessingGroup">
                    <wpg:wgp>
                      <wpg:cNvGrpSpPr/>
                      <wpg:grpSpPr>
                        <a:xfrm>
                          <a:off x="0" y="0"/>
                          <a:ext cx="4170511" cy="7147427"/>
                          <a:chOff x="0" y="0"/>
                          <a:chExt cx="4170511" cy="7147427"/>
                        </a:xfrm>
                      </wpg:grpSpPr>
                      <pic:pic xmlns:pic="http://schemas.openxmlformats.org/drawingml/2006/picture">
                        <pic:nvPicPr>
                          <pic:cNvPr id="19603" name="Picture 19603"/>
                          <pic:cNvPicPr/>
                        </pic:nvPicPr>
                        <pic:blipFill>
                          <a:blip r:embed="rId33"/>
                          <a:stretch>
                            <a:fillRect/>
                          </a:stretch>
                        </pic:blipFill>
                        <pic:spPr>
                          <a:xfrm>
                            <a:off x="0" y="0"/>
                            <a:ext cx="4170511" cy="3055480"/>
                          </a:xfrm>
                          <a:prstGeom prst="rect">
                            <a:avLst/>
                          </a:prstGeom>
                        </pic:spPr>
                      </pic:pic>
                      <pic:pic xmlns:pic="http://schemas.openxmlformats.org/drawingml/2006/picture">
                        <pic:nvPicPr>
                          <pic:cNvPr id="19605" name="Picture 19605"/>
                          <pic:cNvPicPr/>
                        </pic:nvPicPr>
                        <pic:blipFill>
                          <a:blip r:embed="rId32"/>
                          <a:stretch>
                            <a:fillRect/>
                          </a:stretch>
                        </pic:blipFill>
                        <pic:spPr>
                          <a:xfrm>
                            <a:off x="27432" y="3055553"/>
                            <a:ext cx="4110564" cy="4091874"/>
                          </a:xfrm>
                          <a:prstGeom prst="rect">
                            <a:avLst/>
                          </a:prstGeom>
                        </pic:spPr>
                      </pic:pic>
                    </wpg:wgp>
                  </a:graphicData>
                </a:graphic>
              </wp:anchor>
            </w:drawing>
          </mc:Choice>
          <mc:Fallback xmlns:a="http://schemas.openxmlformats.org/drawingml/2006/main">
            <w:pict>
              <v:group id="Group 259354" style="width:328.387pt;height:562.789pt;position:absolute;mso-position-horizontal-relative:text;mso-position-horizontal:absolute;margin-left:74.856pt;mso-position-vertical-relative:text;margin-top:-553.147pt;" coordsize="41705,71474">
                <v:shape id="Picture 19603" style="position:absolute;width:41705;height:30554;left:0;top:0;" filled="f">
                  <v:imagedata r:id="rId33"/>
                </v:shape>
                <v:shape id="Picture 19605" style="position:absolute;width:41105;height:40918;left:274;top:30555;" filled="f">
                  <v:imagedata r:id="rId34"/>
                </v:shape>
                <w10:wrap type="square"/>
              </v:group>
            </w:pict>
          </mc:Fallback>
        </mc:AlternateContent>
      </w:r>
      <w:r>
        <w:t xml:space="preserve"> </w:t>
      </w:r>
    </w:p>
    <w:p w:rsidR="00EE0979" w:rsidRDefault="00B022A0">
      <w:pPr>
        <w:spacing w:after="50" w:line="259" w:lineRule="auto"/>
        <w:ind w:left="0" w:right="1154" w:firstLine="0"/>
        <w:jc w:val="right"/>
      </w:pPr>
      <w:r>
        <w:rPr>
          <w:noProof/>
        </w:rPr>
        <w:drawing>
          <wp:inline distT="0" distB="0" distL="0" distR="0">
            <wp:extent cx="4662139" cy="6553595"/>
            <wp:effectExtent l="0" t="0" r="0" b="0"/>
            <wp:docPr id="19632" name="Picture 19632"/>
            <wp:cNvGraphicFramePr/>
            <a:graphic xmlns:a="http://schemas.openxmlformats.org/drawingml/2006/main">
              <a:graphicData uri="http://schemas.openxmlformats.org/drawingml/2006/picture">
                <pic:pic xmlns:pic="http://schemas.openxmlformats.org/drawingml/2006/picture">
                  <pic:nvPicPr>
                    <pic:cNvPr id="19632" name="Picture 19632"/>
                    <pic:cNvPicPr/>
                  </pic:nvPicPr>
                  <pic:blipFill>
                    <a:blip r:embed="rId35"/>
                    <a:stretch>
                      <a:fillRect/>
                    </a:stretch>
                  </pic:blipFill>
                  <pic:spPr>
                    <a:xfrm>
                      <a:off x="0" y="0"/>
                      <a:ext cx="4662139" cy="6553595"/>
                    </a:xfrm>
                    <a:prstGeom prst="rect">
                      <a:avLst/>
                    </a:prstGeom>
                  </pic:spPr>
                </pic:pic>
              </a:graphicData>
            </a:graphic>
          </wp:inline>
        </w:drawing>
      </w:r>
      <w:r>
        <w:t xml:space="preserve"> </w:t>
      </w:r>
    </w:p>
    <w:p w:rsidR="00EE0979" w:rsidRDefault="00B022A0">
      <w:pPr>
        <w:spacing w:after="100" w:line="259" w:lineRule="auto"/>
        <w:ind w:left="0" w:right="36" w:firstLine="0"/>
        <w:jc w:val="center"/>
      </w:pPr>
      <w:r>
        <w:t xml:space="preserve"> </w:t>
      </w:r>
    </w:p>
    <w:p w:rsidR="00EE0979" w:rsidRDefault="00B022A0">
      <w:pPr>
        <w:spacing w:after="98" w:line="259" w:lineRule="auto"/>
        <w:ind w:left="0" w:right="36" w:firstLine="0"/>
        <w:jc w:val="center"/>
      </w:pPr>
      <w:r>
        <w:t xml:space="preserve"> </w:t>
      </w:r>
    </w:p>
    <w:p w:rsidR="00EE0979" w:rsidRDefault="00B022A0">
      <w:pPr>
        <w:spacing w:after="115"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3" w:line="265" w:lineRule="auto"/>
        <w:ind w:left="123" w:hanging="10"/>
        <w:jc w:val="center"/>
      </w:pPr>
      <w:r>
        <w:rPr>
          <w:rFonts w:ascii="Times New Roman" w:eastAsia="Times New Roman" w:hAnsi="Times New Roman" w:cs="Times New Roman"/>
          <w:b/>
          <w:sz w:val="24"/>
        </w:rPr>
        <w:t>4.</w:t>
      </w:r>
      <w:r>
        <w:rPr>
          <w:b/>
          <w:sz w:val="24"/>
        </w:rPr>
        <w:t xml:space="preserve"> </w:t>
      </w:r>
      <w:r>
        <w:rPr>
          <w:b/>
        </w:rPr>
        <w:t xml:space="preserve">CONCESION PARA LA LEGALIZACION DE LAS OBRAS DEL PASEO DE SAN BLAS. </w:t>
      </w:r>
    </w:p>
    <w:p w:rsidR="00EE0979" w:rsidRDefault="00B022A0">
      <w:pPr>
        <w:spacing w:after="6"/>
        <w:ind w:left="744" w:right="99" w:hanging="10"/>
      </w:pPr>
      <w:r>
        <w:rPr>
          <w:b/>
        </w:rPr>
        <w:t>EXPEDIENTE 5113/2020</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color w:val="2F3E4D"/>
        </w:rPr>
        <w:t xml:space="preserve"> </w:t>
      </w:r>
    </w:p>
    <w:tbl>
      <w:tblPr>
        <w:tblStyle w:val="TableGrid"/>
        <w:tblW w:w="9565" w:type="dxa"/>
        <w:tblInd w:w="14" w:type="dxa"/>
        <w:tblCellMar>
          <w:top w:w="2" w:type="dxa"/>
          <w:left w:w="0" w:type="dxa"/>
          <w:bottom w:w="0" w:type="dxa"/>
          <w:right w:w="0" w:type="dxa"/>
        </w:tblCellMar>
        <w:tblLook w:val="04A0" w:firstRow="1" w:lastRow="0" w:firstColumn="1" w:lastColumn="0" w:noHBand="0" w:noVBand="1"/>
      </w:tblPr>
      <w:tblGrid>
        <w:gridCol w:w="6130"/>
        <w:gridCol w:w="3435"/>
      </w:tblGrid>
      <w:tr w:rsidR="00EE0979">
        <w:trPr>
          <w:trHeight w:val="258"/>
        </w:trPr>
        <w:tc>
          <w:tcPr>
            <w:tcW w:w="9565" w:type="dxa"/>
            <w:gridSpan w:val="2"/>
            <w:tcBorders>
              <w:top w:val="nil"/>
              <w:left w:val="nil"/>
              <w:bottom w:val="nil"/>
              <w:right w:val="nil"/>
            </w:tcBorders>
            <w:shd w:val="clear" w:color="auto" w:fill="F5F7F9"/>
          </w:tcPr>
          <w:p w:rsidR="00EE0979" w:rsidRDefault="00B022A0">
            <w:pPr>
              <w:spacing w:after="0" w:line="259" w:lineRule="auto"/>
              <w:ind w:left="0" w:right="-3" w:firstLine="0"/>
            </w:pPr>
            <w:r>
              <w:rPr>
                <w:color w:val="2F3E4D"/>
              </w:rPr>
              <w:t xml:space="preserve">La concesión para legalización de obras de protección marina del Paseo de San Blas, </w:t>
            </w:r>
            <w:r>
              <w:rPr>
                <w:b/>
                <w:color w:val="2F3E4D"/>
              </w:rPr>
              <w:t xml:space="preserve">se solicita </w:t>
            </w:r>
          </w:p>
        </w:tc>
      </w:tr>
      <w:tr w:rsidR="00EE0979">
        <w:trPr>
          <w:trHeight w:val="253"/>
        </w:trPr>
        <w:tc>
          <w:tcPr>
            <w:tcW w:w="9565" w:type="dxa"/>
            <w:gridSpan w:val="2"/>
            <w:tcBorders>
              <w:top w:val="nil"/>
              <w:left w:val="nil"/>
              <w:bottom w:val="nil"/>
              <w:right w:val="nil"/>
            </w:tcBorders>
            <w:shd w:val="clear" w:color="auto" w:fill="F5F7F9"/>
          </w:tcPr>
          <w:p w:rsidR="00EE0979" w:rsidRDefault="00B022A0">
            <w:pPr>
              <w:spacing w:after="0" w:line="259" w:lineRule="auto"/>
              <w:ind w:left="0" w:firstLine="0"/>
            </w:pPr>
            <w:r>
              <w:rPr>
                <w:b/>
                <w:color w:val="2F3E4D"/>
              </w:rPr>
              <w:t>con motivo de la legalización de las obras de emergencia autorizadas por el Servicio Pro-</w:t>
            </w:r>
          </w:p>
        </w:tc>
      </w:tr>
      <w:tr w:rsidR="00EE0979">
        <w:trPr>
          <w:trHeight w:val="259"/>
        </w:trPr>
        <w:tc>
          <w:tcPr>
            <w:tcW w:w="6131" w:type="dxa"/>
            <w:tcBorders>
              <w:top w:val="nil"/>
              <w:left w:val="nil"/>
              <w:bottom w:val="nil"/>
              <w:right w:val="nil"/>
            </w:tcBorders>
            <w:shd w:val="clear" w:color="auto" w:fill="F5F7F9"/>
          </w:tcPr>
          <w:p w:rsidR="00EE0979" w:rsidRDefault="00B022A0">
            <w:pPr>
              <w:spacing w:after="0" w:line="259" w:lineRule="auto"/>
              <w:ind w:left="0" w:firstLine="0"/>
            </w:pPr>
            <w:r>
              <w:rPr>
                <w:b/>
                <w:color w:val="2F3E4D"/>
              </w:rPr>
              <w:t xml:space="preserve">vincial de Costas </w:t>
            </w:r>
            <w:r>
              <w:rPr>
                <w:color w:val="2F3E4D"/>
              </w:rPr>
              <w:t>y</w:t>
            </w:r>
            <w:r>
              <w:rPr>
                <w:b/>
                <w:color w:val="2F3E4D"/>
              </w:rPr>
              <w:t xml:space="preserve"> </w:t>
            </w:r>
            <w:r>
              <w:rPr>
                <w:color w:val="2F3E4D"/>
              </w:rPr>
              <w:t>que se ejecutaron</w:t>
            </w:r>
            <w:r>
              <w:rPr>
                <w:b/>
                <w:color w:val="2F3E4D"/>
              </w:rPr>
              <w:t xml:space="preserve"> </w:t>
            </w:r>
            <w:r>
              <w:rPr>
                <w:color w:val="2F3E4D"/>
              </w:rPr>
              <w:t>en los años 2014/2015.</w:t>
            </w:r>
          </w:p>
        </w:tc>
        <w:tc>
          <w:tcPr>
            <w:tcW w:w="3435" w:type="dxa"/>
            <w:tcBorders>
              <w:top w:val="nil"/>
              <w:left w:val="nil"/>
              <w:bottom w:val="nil"/>
              <w:right w:val="nil"/>
            </w:tcBorders>
          </w:tcPr>
          <w:p w:rsidR="00EE0979" w:rsidRDefault="00B022A0">
            <w:pPr>
              <w:spacing w:after="0" w:line="259" w:lineRule="auto"/>
              <w:ind w:left="-1" w:firstLine="0"/>
              <w:jc w:val="left"/>
            </w:pPr>
            <w:r>
              <w:rPr>
                <w:color w:val="2F3E4D"/>
              </w:rPr>
              <w:t xml:space="preserve"> </w:t>
            </w:r>
            <w:r>
              <w:rPr>
                <w:rFonts w:ascii="Times New Roman" w:eastAsia="Times New Roman" w:hAnsi="Times New Roman" w:cs="Times New Roman"/>
                <w:sz w:val="24"/>
              </w:rPr>
              <w:t xml:space="preserve"> </w:t>
            </w:r>
          </w:p>
        </w:tc>
      </w:tr>
    </w:tbl>
    <w:p w:rsidR="00EE0979" w:rsidRDefault="00B022A0">
      <w:pPr>
        <w:spacing w:after="0" w:line="259" w:lineRule="auto"/>
        <w:ind w:left="14" w:firstLine="0"/>
        <w:jc w:val="left"/>
      </w:pPr>
      <w:r>
        <w:t xml:space="preserve"> </w:t>
      </w:r>
    </w:p>
    <w:p w:rsidR="00EE0979" w:rsidRDefault="00B022A0">
      <w:pPr>
        <w:ind w:right="100"/>
      </w:pPr>
      <w:r>
        <w:t>El procedimiento de declaración de emergencia, así como las correspondientes autorizaciones de costas se localizan en el Expediente 2012/2842 que se denomina, “Obras de Emergencia de las actuaciones necesarias para la Protección Marítima del B.I.C. del San</w:t>
      </w:r>
      <w:r>
        <w:t xml:space="preserve">tuario y Convento de la Candelaria.”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r>
        <w:br w:type="page"/>
      </w:r>
    </w:p>
    <w:p w:rsidR="00EE0979" w:rsidRDefault="00B022A0">
      <w:pPr>
        <w:spacing w:after="0" w:line="259" w:lineRule="auto"/>
        <w:ind w:left="0" w:right="1021" w:firstLine="0"/>
        <w:jc w:val="right"/>
      </w:pPr>
      <w:r>
        <w:rPr>
          <w:noProof/>
        </w:rPr>
        <w:drawing>
          <wp:inline distT="0" distB="0" distL="0" distR="0">
            <wp:extent cx="4838730" cy="6027418"/>
            <wp:effectExtent l="0" t="0" r="0" b="0"/>
            <wp:docPr id="19734" name="Picture 19734"/>
            <wp:cNvGraphicFramePr/>
            <a:graphic xmlns:a="http://schemas.openxmlformats.org/drawingml/2006/main">
              <a:graphicData uri="http://schemas.openxmlformats.org/drawingml/2006/picture">
                <pic:pic xmlns:pic="http://schemas.openxmlformats.org/drawingml/2006/picture">
                  <pic:nvPicPr>
                    <pic:cNvPr id="19734" name="Picture 19734"/>
                    <pic:cNvPicPr/>
                  </pic:nvPicPr>
                  <pic:blipFill>
                    <a:blip r:embed="rId36"/>
                    <a:stretch>
                      <a:fillRect/>
                    </a:stretch>
                  </pic:blipFill>
                  <pic:spPr>
                    <a:xfrm>
                      <a:off x="0" y="0"/>
                      <a:ext cx="4838730" cy="602741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Cronología Expediente 5113/2020 de solicitud de concesión del Paseo de San Blas:</w:t>
      </w:r>
      <w:r>
        <w:rPr>
          <w:rFonts w:ascii="Times New Roman" w:eastAsia="Times New Roman" w:hAnsi="Times New Roman" w:cs="Times New Roman"/>
          <w:sz w:val="24"/>
        </w:rPr>
        <w:t xml:space="preserve"> </w:t>
      </w:r>
    </w:p>
    <w:p w:rsidR="00EE0979" w:rsidRDefault="00B022A0">
      <w:pPr>
        <w:spacing w:after="0" w:line="259" w:lineRule="auto"/>
        <w:ind w:left="0" w:right="36" w:firstLine="0"/>
        <w:jc w:val="center"/>
      </w:pPr>
      <w:r>
        <w:t xml:space="preserve"> </w:t>
      </w:r>
    </w:p>
    <w:p w:rsidR="00EE0979" w:rsidRDefault="00B022A0">
      <w:pPr>
        <w:numPr>
          <w:ilvl w:val="0"/>
          <w:numId w:val="58"/>
        </w:numPr>
        <w:spacing w:after="27"/>
        <w:ind w:right="100" w:hanging="283"/>
      </w:pPr>
      <w:r>
        <w:t>Con fecha 19 de diciembre de 2019 y registro de salida 2019-S-RC-6604, se solicita Concesión de Ocupación del DPMT Paseo S</w:t>
      </w:r>
      <w:r>
        <w:t xml:space="preserve">an Blas para llevar a cabo la Protección Marítima del B.I.C. del Santuario y Convento de la Candelaria. </w:t>
      </w:r>
    </w:p>
    <w:p w:rsidR="00EE0979" w:rsidRDefault="00B022A0">
      <w:pPr>
        <w:spacing w:after="17" w:line="259" w:lineRule="auto"/>
        <w:ind w:left="14" w:firstLine="0"/>
        <w:jc w:val="left"/>
      </w:pPr>
      <w:r>
        <w:t xml:space="preserve"> </w:t>
      </w:r>
    </w:p>
    <w:p w:rsidR="00EE0979" w:rsidRDefault="00B022A0">
      <w:pPr>
        <w:numPr>
          <w:ilvl w:val="0"/>
          <w:numId w:val="58"/>
        </w:numPr>
        <w:ind w:right="100" w:hanging="283"/>
      </w:pPr>
      <w:r>
        <w:t xml:space="preserve">El Servicio Provincial de Costas Tenerife requiere documentación el 7 de julio de 2020 y registro de entrada 2020-E-RC-6793 </w:t>
      </w:r>
    </w:p>
    <w:p w:rsidR="00EE0979" w:rsidRDefault="00B022A0">
      <w:pPr>
        <w:spacing w:after="14" w:line="259" w:lineRule="auto"/>
        <w:ind w:left="14" w:firstLine="0"/>
        <w:jc w:val="left"/>
      </w:pPr>
      <w:r>
        <w:t xml:space="preserve"> </w:t>
      </w:r>
    </w:p>
    <w:p w:rsidR="00EE0979" w:rsidRDefault="00B022A0">
      <w:pPr>
        <w:numPr>
          <w:ilvl w:val="0"/>
          <w:numId w:val="58"/>
        </w:numPr>
        <w:ind w:right="100" w:hanging="283"/>
      </w:pPr>
      <w:r>
        <w:t xml:space="preserve">Con fecha 6 de agosto de 2020 y registro de salida 2020-S-RC-2360, se remite documentación al Servicio Provincial de Costas para subsanar la documentación requerida. </w:t>
      </w:r>
      <w:r>
        <w:rPr>
          <w:rFonts w:ascii="Times New Roman" w:eastAsia="Times New Roman" w:hAnsi="Times New Roman" w:cs="Times New Roman"/>
          <w:sz w:val="24"/>
        </w:rPr>
        <w:t xml:space="preserve"> </w:t>
      </w:r>
    </w:p>
    <w:p w:rsidR="00EE0979" w:rsidRDefault="00B022A0">
      <w:pPr>
        <w:spacing w:after="14" w:line="259" w:lineRule="auto"/>
        <w:ind w:left="734" w:firstLine="0"/>
        <w:jc w:val="left"/>
      </w:pPr>
      <w:r>
        <w:t xml:space="preserve"> </w:t>
      </w:r>
    </w:p>
    <w:p w:rsidR="00EE0979" w:rsidRDefault="00B022A0">
      <w:pPr>
        <w:numPr>
          <w:ilvl w:val="0"/>
          <w:numId w:val="58"/>
        </w:numPr>
        <w:ind w:right="100" w:hanging="283"/>
      </w:pPr>
      <w:r>
        <w:t xml:space="preserve">El 16 de octubre de 2020, se realiza el Acta de Confrontación de los suelos objeto de </w:t>
      </w:r>
      <w:r>
        <w:t xml:space="preserve">concesión por parte del Servicio Provincial de Costas y se pone de manifiesto que se debe incluir </w:t>
      </w:r>
      <w:r>
        <w:rPr>
          <w:b/>
        </w:rPr>
        <w:t>el tramo final del paseo y la parte correspondiente de la escollera, que se encuentran ocupando Dominio Público Marítimo Terrestre. (se incorpora extracto del</w:t>
      </w:r>
      <w:r>
        <w:rPr>
          <w:b/>
        </w:rPr>
        <w:t xml:space="preserve"> acta al presente informe)</w:t>
      </w:r>
      <w:r>
        <w:rPr>
          <w:rFonts w:ascii="Times New Roman" w:eastAsia="Times New Roman" w:hAnsi="Times New Roman" w:cs="Times New Roman"/>
          <w:sz w:val="24"/>
        </w:rPr>
        <w:t xml:space="preserve"> </w:t>
      </w:r>
    </w:p>
    <w:p w:rsidR="00EE0979" w:rsidRDefault="00B022A0">
      <w:pPr>
        <w:spacing w:after="14" w:line="259" w:lineRule="auto"/>
        <w:ind w:left="14" w:firstLine="0"/>
        <w:jc w:val="left"/>
      </w:pPr>
      <w:r>
        <w:t xml:space="preserve"> </w:t>
      </w:r>
    </w:p>
    <w:p w:rsidR="00EE0979" w:rsidRDefault="00B022A0">
      <w:pPr>
        <w:numPr>
          <w:ilvl w:val="0"/>
          <w:numId w:val="58"/>
        </w:numPr>
        <w:ind w:right="100" w:hanging="283"/>
      </w:pPr>
      <w:r>
        <w:t>Con fecha 18 de diciembre de 2020 y registro de salida 2020-S-RC-4105. Se aporta plano con la superficie que no se había incluido en el proyecto inicialmente, perteneciente al tramo final del paseo y la escollera, resultando l</w:t>
      </w:r>
      <w:r>
        <w:t xml:space="preserve">a superficie total ocupada en dominio público marítimo terrestre y </w:t>
      </w:r>
      <w:r>
        <w:rPr>
          <w:b/>
        </w:rPr>
        <w:t>sometida a concesión de 2.554,86 m2</w:t>
      </w:r>
      <w:r>
        <w:t xml:space="preserve">, de acuerdo a lo requerido en el Acta de Confrontación firmada de fecha 16 de octubre de 2020. </w:t>
      </w:r>
      <w:r>
        <w:rPr>
          <w:rFonts w:ascii="Times New Roman" w:eastAsia="Times New Roman" w:hAnsi="Times New Roman" w:cs="Times New Roman"/>
          <w:sz w:val="24"/>
        </w:rPr>
        <w:t xml:space="preserve"> </w:t>
      </w:r>
    </w:p>
    <w:p w:rsidR="00EE0979" w:rsidRDefault="00B022A0">
      <w:pPr>
        <w:spacing w:after="16" w:line="259" w:lineRule="auto"/>
        <w:ind w:left="298" w:firstLine="0"/>
        <w:jc w:val="left"/>
      </w:pPr>
      <w:r>
        <w:t xml:space="preserve"> </w:t>
      </w:r>
    </w:p>
    <w:p w:rsidR="00EE0979" w:rsidRDefault="00B022A0">
      <w:pPr>
        <w:numPr>
          <w:ilvl w:val="0"/>
          <w:numId w:val="58"/>
        </w:numPr>
        <w:spacing w:after="27"/>
        <w:ind w:right="100" w:hanging="283"/>
      </w:pPr>
      <w:r>
        <w:t>El Servicio Provincial de Costas Tenerife requiere doc</w:t>
      </w:r>
      <w:r>
        <w:t xml:space="preserve">umentación el 7 de enero de 2021 y registro de entrada 2021-E-RC-75 </w:t>
      </w:r>
    </w:p>
    <w:p w:rsidR="00EE0979" w:rsidRDefault="00B022A0">
      <w:pPr>
        <w:spacing w:after="11" w:line="259" w:lineRule="auto"/>
        <w:ind w:left="734" w:firstLine="0"/>
        <w:jc w:val="left"/>
      </w:pPr>
      <w:r>
        <w:t xml:space="preserve"> </w:t>
      </w:r>
    </w:p>
    <w:p w:rsidR="00EE0979" w:rsidRDefault="00B022A0">
      <w:pPr>
        <w:numPr>
          <w:ilvl w:val="0"/>
          <w:numId w:val="58"/>
        </w:numPr>
        <w:ind w:right="100" w:hanging="283"/>
      </w:pPr>
      <w:r>
        <w:t xml:space="preserve">Con fecha 21 de enero de 2021 y registro de salida 2021-S-RC-150 se remite al Servicio Provincial de Costas la documentación requerida. </w:t>
      </w:r>
      <w:r>
        <w:rPr>
          <w:rFonts w:ascii="Times New Roman" w:eastAsia="Times New Roman" w:hAnsi="Times New Roman" w:cs="Times New Roman"/>
          <w:sz w:val="24"/>
        </w:rPr>
        <w:t xml:space="preserve"> </w:t>
      </w:r>
    </w:p>
    <w:p w:rsidR="00EE0979" w:rsidRDefault="00B022A0">
      <w:pPr>
        <w:spacing w:after="14" w:line="259" w:lineRule="auto"/>
        <w:ind w:left="734" w:firstLine="0"/>
        <w:jc w:val="left"/>
      </w:pPr>
      <w:r>
        <w:t xml:space="preserve"> </w:t>
      </w:r>
    </w:p>
    <w:p w:rsidR="00EE0979" w:rsidRDefault="00B022A0">
      <w:pPr>
        <w:numPr>
          <w:ilvl w:val="0"/>
          <w:numId w:val="58"/>
        </w:numPr>
        <w:ind w:right="100" w:hanging="283"/>
      </w:pPr>
      <w:r>
        <w:t>Con fecha 10 de febrero de 2021 y registro de</w:t>
      </w:r>
      <w:r>
        <w:t xml:space="preserve"> entrada 2021-E-RC-1389 Se recibe del Servicio Provincial de Costas, anuncio de información Pública relativa a la solicitud de Concesión para la Legalización de las Obras de Protección Marítima del Paseo de San Blas, T.M. De Candelaria.</w:t>
      </w:r>
      <w:r>
        <w:rPr>
          <w:rFonts w:ascii="Times New Roman" w:eastAsia="Times New Roman" w:hAnsi="Times New Roman" w:cs="Times New Roman"/>
          <w:sz w:val="24"/>
        </w:rPr>
        <w:t xml:space="preserve"> </w:t>
      </w:r>
    </w:p>
    <w:p w:rsidR="00EE0979" w:rsidRDefault="00B022A0">
      <w:pPr>
        <w:spacing w:after="0" w:line="259" w:lineRule="auto"/>
        <w:ind w:left="0" w:right="376" w:firstLine="0"/>
        <w:jc w:val="right"/>
      </w:pPr>
      <w:r>
        <w:rPr>
          <w:noProof/>
        </w:rPr>
        <w:drawing>
          <wp:inline distT="0" distB="0" distL="0" distR="0">
            <wp:extent cx="5861304" cy="7196328"/>
            <wp:effectExtent l="0" t="0" r="0" b="0"/>
            <wp:docPr id="284871" name="Picture 284871"/>
            <wp:cNvGraphicFramePr/>
            <a:graphic xmlns:a="http://schemas.openxmlformats.org/drawingml/2006/main">
              <a:graphicData uri="http://schemas.openxmlformats.org/drawingml/2006/picture">
                <pic:pic xmlns:pic="http://schemas.openxmlformats.org/drawingml/2006/picture">
                  <pic:nvPicPr>
                    <pic:cNvPr id="284871" name="Picture 284871"/>
                    <pic:cNvPicPr/>
                  </pic:nvPicPr>
                  <pic:blipFill>
                    <a:blip r:embed="rId37"/>
                    <a:stretch>
                      <a:fillRect/>
                    </a:stretch>
                  </pic:blipFill>
                  <pic:spPr>
                    <a:xfrm>
                      <a:off x="0" y="0"/>
                      <a:ext cx="5861304" cy="719632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0" w:right="393" w:firstLine="0"/>
        <w:jc w:val="right"/>
      </w:pPr>
      <w:r>
        <w:rPr>
          <w:noProof/>
        </w:rPr>
        <w:drawing>
          <wp:inline distT="0" distB="0" distL="0" distR="0">
            <wp:extent cx="5638801" cy="3660648"/>
            <wp:effectExtent l="0" t="0" r="0" b="0"/>
            <wp:docPr id="284872" name="Picture 284872"/>
            <wp:cNvGraphicFramePr/>
            <a:graphic xmlns:a="http://schemas.openxmlformats.org/drawingml/2006/main">
              <a:graphicData uri="http://schemas.openxmlformats.org/drawingml/2006/picture">
                <pic:pic xmlns:pic="http://schemas.openxmlformats.org/drawingml/2006/picture">
                  <pic:nvPicPr>
                    <pic:cNvPr id="284872" name="Picture 284872"/>
                    <pic:cNvPicPr/>
                  </pic:nvPicPr>
                  <pic:blipFill>
                    <a:blip r:embed="rId40"/>
                    <a:stretch>
                      <a:fillRect/>
                    </a:stretch>
                  </pic:blipFill>
                  <pic:spPr>
                    <a:xfrm>
                      <a:off x="0" y="0"/>
                      <a:ext cx="5638801" cy="366064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97" w:firstLine="0"/>
        <w:jc w:val="right"/>
      </w:pPr>
      <w:r>
        <w:rPr>
          <w:noProof/>
        </w:rPr>
        <w:drawing>
          <wp:inline distT="0" distB="0" distL="0" distR="0">
            <wp:extent cx="5852144" cy="2903286"/>
            <wp:effectExtent l="0" t="0" r="0" b="0"/>
            <wp:docPr id="19907" name="Picture 19907"/>
            <wp:cNvGraphicFramePr/>
            <a:graphic xmlns:a="http://schemas.openxmlformats.org/drawingml/2006/main">
              <a:graphicData uri="http://schemas.openxmlformats.org/drawingml/2006/picture">
                <pic:pic xmlns:pic="http://schemas.openxmlformats.org/drawingml/2006/picture">
                  <pic:nvPicPr>
                    <pic:cNvPr id="19907" name="Picture 19907"/>
                    <pic:cNvPicPr/>
                  </pic:nvPicPr>
                  <pic:blipFill>
                    <a:blip r:embed="rId39"/>
                    <a:stretch>
                      <a:fillRect/>
                    </a:stretch>
                  </pic:blipFill>
                  <pic:spPr>
                    <a:xfrm>
                      <a:off x="0" y="0"/>
                      <a:ext cx="5852144" cy="2903286"/>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 xml:space="preserve">CONCLUSIONES: </w:t>
      </w:r>
    </w:p>
    <w:p w:rsidR="00EE0979" w:rsidRDefault="00B022A0">
      <w:pPr>
        <w:spacing w:after="0" w:line="259" w:lineRule="auto"/>
        <w:ind w:left="14" w:firstLine="0"/>
        <w:jc w:val="left"/>
      </w:pPr>
      <w:r>
        <w:rPr>
          <w:b/>
        </w:rPr>
        <w:t xml:space="preserve"> </w:t>
      </w:r>
    </w:p>
    <w:p w:rsidR="00EE0979" w:rsidRDefault="00B022A0">
      <w:pPr>
        <w:ind w:right="100"/>
      </w:pPr>
      <w:r>
        <w:t xml:space="preserve">En relación a la solicitud de aclaración del alcance de la Concesión de Ocupación del DPMT del Paseo San Blas, se indica, que la misma se está tramitando como consecuencia de las obras de emergencia ejecutadas y autorizadas por </w:t>
      </w:r>
      <w:r>
        <w:t>el Servicio Provincial de Costas en el año 2014 en el Paseo de San Blas. Por otra parte, en relación al ámbito territorial de la concesión, este es coincidente con el “Proyecto de remodelación de la Plaza de la Patrona de Canarias y su entorno, canalizació</w:t>
      </w:r>
      <w:r>
        <w:t>n de cauce e implantación de obras hidráulicas” en las actuaciones a ejecutar en la Cueva del Camello, que fueron autorizadas por el Servicio Provincial de Costas, según resolución de fecha 12 de agosto 2021 y de las cuales se ha solicitado prórroga con fe</w:t>
      </w:r>
      <w:r>
        <w:t>cha 22 de marzo de 2022 y registro de salida 2022-S-RC-1049.</w:t>
      </w:r>
      <w:r>
        <w:rPr>
          <w:sz w:val="24"/>
        </w:rPr>
        <w:t xml:space="preserve"> </w:t>
      </w:r>
    </w:p>
    <w:p w:rsidR="00EE0979" w:rsidRDefault="00B022A0">
      <w:pPr>
        <w:spacing w:after="55" w:line="259" w:lineRule="auto"/>
        <w:ind w:left="125" w:firstLine="0"/>
        <w:jc w:val="left"/>
      </w:pPr>
      <w:r>
        <w:t xml:space="preserve"> </w:t>
      </w:r>
    </w:p>
    <w:p w:rsidR="00EE0979" w:rsidRDefault="00B022A0">
      <w:pPr>
        <w:ind w:right="100"/>
      </w:pPr>
      <w:r>
        <w:t>Por otra parte, a la vista de los Acuerdos de la Junta de Gobierno Local de fecha 1 de febrero de 2023 para la actualización del Inventario de bienes del Ayuntamiento de Candelaria y la aprobación de las siguientes fichas: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2"/>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DENOM</w:t>
            </w:r>
            <w:r>
              <w:rPr>
                <w:b/>
              </w:rPr>
              <w:t xml:space="preserve">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100" w:line="259" w:lineRule="auto"/>
        <w:ind w:left="14" w:firstLine="0"/>
        <w:jc w:val="left"/>
      </w:pPr>
      <w:r>
        <w:rPr>
          <w:b/>
        </w:rPr>
        <w:t xml:space="preserve"> </w:t>
      </w:r>
    </w:p>
    <w:p w:rsidR="00EE0979" w:rsidRDefault="00B022A0">
      <w:pPr>
        <w:ind w:right="100"/>
      </w:pPr>
      <w:r>
        <w:t xml:space="preserve">Se informa </w:t>
      </w:r>
      <w:r>
        <w:rPr>
          <w:b/>
        </w:rPr>
        <w:t>FAVORABLEMENTE,</w:t>
      </w:r>
      <w:r>
        <w:t xml:space="preserve"> la puesta a disposición de los suelos con número de inventario </w:t>
      </w:r>
    </w:p>
    <w:p w:rsidR="00EE0979" w:rsidRDefault="00B022A0">
      <w:pPr>
        <w:ind w:right="100"/>
      </w:pPr>
      <w:r>
        <w:t xml:space="preserve">1/138 Y 11/134, para la ejecución del “Proyecto de remodelación de la Plaza de la Patrona de </w:t>
      </w:r>
    </w:p>
    <w:p w:rsidR="00EE0979" w:rsidRDefault="00B022A0">
      <w:pPr>
        <w:spacing w:after="111"/>
        <w:ind w:right="100"/>
      </w:pPr>
      <w:r>
        <w:t xml:space="preserve">Canarias y su entorno, canalización de cauce e implantación de obras hidráulicas.” </w:t>
      </w:r>
    </w:p>
    <w:p w:rsidR="00EE0979" w:rsidRDefault="00B022A0">
      <w:pPr>
        <w:spacing w:after="259" w:line="259" w:lineRule="auto"/>
        <w:ind w:left="722" w:firstLine="0"/>
        <w:jc w:val="left"/>
      </w:pPr>
      <w:r>
        <w:t xml:space="preserve"> </w:t>
      </w:r>
    </w:p>
    <w:p w:rsidR="00EE0979" w:rsidRDefault="00B022A0">
      <w:pPr>
        <w:pStyle w:val="Ttulo1"/>
        <w:numPr>
          <w:ilvl w:val="0"/>
          <w:numId w:val="0"/>
        </w:numPr>
        <w:spacing w:after="258"/>
        <w:ind w:left="624" w:right="0"/>
      </w:pPr>
      <w:r>
        <w:t xml:space="preserve">FUNDAMENTOS JURÍDICOS </w:t>
      </w:r>
    </w:p>
    <w:p w:rsidR="00EE0979" w:rsidRDefault="00B022A0">
      <w:pPr>
        <w:spacing w:after="263" w:line="259" w:lineRule="auto"/>
        <w:ind w:left="674" w:firstLine="0"/>
        <w:jc w:val="center"/>
      </w:pPr>
      <w:r>
        <w:rPr>
          <w:b/>
        </w:rPr>
        <w:t xml:space="preserve"> </w:t>
      </w:r>
    </w:p>
    <w:p w:rsidR="00EE0979" w:rsidRDefault="00B022A0">
      <w:pPr>
        <w:pBdr>
          <w:bottom w:val="single" w:sz="6" w:space="0" w:color="CCCCCC"/>
        </w:pBdr>
        <w:shd w:val="clear" w:color="auto" w:fill="F9F9F9"/>
        <w:spacing w:after="261" w:line="216" w:lineRule="auto"/>
        <w:ind w:left="9" w:hanging="10"/>
        <w:jc w:val="left"/>
      </w:pPr>
      <w:r>
        <w:rPr>
          <w:color w:val="1F4D78"/>
        </w:rPr>
        <w:t xml:space="preserve">Artículos del </w:t>
      </w:r>
      <w:r>
        <w:t>Real Decreto 1372/1986, de 13 de junio, por el que se aprueba el Reglamento de Bienes de las Entidades Locales:</w:t>
      </w:r>
      <w:r>
        <w:rPr>
          <w:rFonts w:ascii="Calibri" w:eastAsia="Calibri" w:hAnsi="Calibri" w:cs="Calibri"/>
          <w:color w:val="1F4D78"/>
          <w:sz w:val="24"/>
        </w:rPr>
        <w:t xml:space="preserve"> </w:t>
      </w:r>
    </w:p>
    <w:p w:rsidR="00EE0979" w:rsidRDefault="00B022A0">
      <w:pPr>
        <w:spacing w:after="341" w:line="259" w:lineRule="auto"/>
        <w:ind w:left="722" w:firstLine="0"/>
        <w:jc w:val="left"/>
      </w:pPr>
      <w:r>
        <w:rPr>
          <w:b/>
        </w:rPr>
        <w:t xml:space="preserve">  </w:t>
      </w:r>
    </w:p>
    <w:p w:rsidR="00EE0979" w:rsidRDefault="00B022A0">
      <w:pPr>
        <w:spacing w:after="146"/>
        <w:ind w:right="100"/>
      </w:pPr>
      <w:r>
        <w:t>Art. 109.</w:t>
      </w:r>
      <w:r>
        <w:rPr>
          <w:rFonts w:ascii="Calibri" w:eastAsia="Calibri" w:hAnsi="Calibri" w:cs="Calibri"/>
          <w:color w:val="2E74B5"/>
          <w:sz w:val="24"/>
        </w:rPr>
        <w:t xml:space="preserve"> </w:t>
      </w:r>
    </w:p>
    <w:p w:rsidR="00EE0979" w:rsidRDefault="00B022A0">
      <w:pPr>
        <w:numPr>
          <w:ilvl w:val="0"/>
          <w:numId w:val="59"/>
        </w:numPr>
        <w:ind w:right="100" w:firstLine="360"/>
      </w:pPr>
      <w:r>
        <w:t>Los bienes inmuebles patrimoniales no podrán enajenarse, gravarse ni permutarse sin autorización del órgano competente de la Comu</w:t>
      </w:r>
      <w:r>
        <w:t xml:space="preserve">nidad Autónoma, cuando su valor exceda del 25 por 100 de los recursos ordinarios del presupuesto anual de la Corporación. No obstante, se dará cuenta al órgano competente de la Comunidad Autónoma de toda enajenación de bienes inmuebles que se produzca. </w:t>
      </w:r>
    </w:p>
    <w:p w:rsidR="00EE0979" w:rsidRDefault="00B022A0">
      <w:pPr>
        <w:numPr>
          <w:ilvl w:val="0"/>
          <w:numId w:val="59"/>
        </w:numPr>
        <w:spacing w:after="500"/>
        <w:ind w:right="100" w:firstLine="360"/>
      </w:pPr>
      <w:r>
        <w:t>Los bienes inmuebles patrimoniales no podrán cederse gratuitamente sino a Entidades o Instituciones publicas para fines que redunden en beneficio de los habitantes del término municipal, así como a las Instituciones privadas de interés público sin animo de</w:t>
      </w:r>
      <w:r>
        <w:t xml:space="preserve"> lucro. De estas cesiones también se dará cuenta a la autoridad competente de la Comunidad Autónoma. </w:t>
      </w:r>
    </w:p>
    <w:p w:rsidR="00EE0979" w:rsidRDefault="00B022A0">
      <w:pPr>
        <w:spacing w:before="365" w:after="169"/>
        <w:ind w:right="100"/>
      </w:pPr>
      <w:r>
        <w:t xml:space="preserve">Art. 110. </w:t>
      </w:r>
    </w:p>
    <w:p w:rsidR="00EE0979" w:rsidRDefault="00B022A0">
      <w:pPr>
        <w:spacing w:after="354"/>
        <w:ind w:left="14" w:right="100" w:firstLine="360"/>
      </w:pPr>
      <w:r>
        <w:t>1. En todo caso, la cesión gratuita de los bienes requerirá acuerdo adoptado con el voto favorable de la mayoría absoluta del número legal de m</w:t>
      </w:r>
      <w:r>
        <w:t xml:space="preserve">iembros de la Corporación, previa instrucción del expediente con arreglo a estos requisitos: </w:t>
      </w:r>
    </w:p>
    <w:p w:rsidR="00EE0979" w:rsidRDefault="00B022A0">
      <w:pPr>
        <w:numPr>
          <w:ilvl w:val="0"/>
          <w:numId w:val="60"/>
        </w:numPr>
        <w:spacing w:after="174"/>
        <w:ind w:right="106" w:firstLine="360"/>
      </w:pPr>
      <w:r>
        <w:t>Justificación documental por la propia Entidad o Institución solicitante de su carácter público y Memoria demostrativa de que los fines que persigue han de redund</w:t>
      </w:r>
      <w:r>
        <w:t xml:space="preserve">ar de manera evidente y positiva en beneficio de los habitantes del término municipal. </w:t>
      </w:r>
    </w:p>
    <w:p w:rsidR="00EE0979" w:rsidRDefault="00B022A0">
      <w:pPr>
        <w:numPr>
          <w:ilvl w:val="0"/>
          <w:numId w:val="60"/>
        </w:numPr>
        <w:spacing w:after="3" w:line="259" w:lineRule="auto"/>
        <w:ind w:right="106" w:firstLine="360"/>
      </w:pPr>
      <w:r>
        <w:t>Certificación del Registro de la Propiedad acreditativa de que los bienes se hallan debida-</w:t>
      </w:r>
    </w:p>
    <w:p w:rsidR="00EE0979" w:rsidRDefault="00B022A0">
      <w:pPr>
        <w:spacing w:after="171"/>
        <w:ind w:right="100"/>
      </w:pPr>
      <w:r>
        <w:t xml:space="preserve">mente inscritos en concepto de patrimoniales de la Entidad local. </w:t>
      </w:r>
    </w:p>
    <w:p w:rsidR="00EE0979" w:rsidRDefault="00B022A0">
      <w:pPr>
        <w:numPr>
          <w:ilvl w:val="0"/>
          <w:numId w:val="60"/>
        </w:numPr>
        <w:spacing w:after="3" w:line="259" w:lineRule="auto"/>
        <w:ind w:right="106" w:firstLine="360"/>
      </w:pPr>
      <w:r>
        <w:t>Certifica</w:t>
      </w:r>
      <w:r>
        <w:t xml:space="preserve">ción del Secretario de la Corporación en la que conste que los bienes figuran en el </w:t>
      </w:r>
    </w:p>
    <w:p w:rsidR="00EE0979" w:rsidRDefault="00B022A0">
      <w:pPr>
        <w:spacing w:after="169"/>
        <w:ind w:right="100"/>
      </w:pPr>
      <w:r>
        <w:t xml:space="preserve">inventario aprobado por la Corporación con la antedicha calificación jurídica. </w:t>
      </w:r>
    </w:p>
    <w:p w:rsidR="00EE0979" w:rsidRDefault="00B022A0">
      <w:pPr>
        <w:numPr>
          <w:ilvl w:val="0"/>
          <w:numId w:val="60"/>
        </w:numPr>
        <w:spacing w:after="3" w:line="259" w:lineRule="auto"/>
        <w:ind w:right="106" w:firstLine="36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900684</wp:posOffset>
                </wp:positionH>
                <wp:positionV relativeFrom="page">
                  <wp:posOffset>2763011</wp:posOffset>
                </wp:positionV>
                <wp:extent cx="6659881" cy="7620"/>
                <wp:effectExtent l="0" t="0" r="0" b="0"/>
                <wp:wrapTopAndBottom/>
                <wp:docPr id="261641" name="Group 261641"/>
                <wp:cNvGraphicFramePr/>
                <a:graphic xmlns:a="http://schemas.openxmlformats.org/drawingml/2006/main">
                  <a:graphicData uri="http://schemas.microsoft.com/office/word/2010/wordprocessingGroup">
                    <wpg:wgp>
                      <wpg:cNvGrpSpPr/>
                      <wpg:grpSpPr>
                        <a:xfrm>
                          <a:off x="0" y="0"/>
                          <a:ext cx="6659881" cy="7620"/>
                          <a:chOff x="0" y="0"/>
                          <a:chExt cx="6659881" cy="7620"/>
                        </a:xfrm>
                      </wpg:grpSpPr>
                      <wps:wsp>
                        <wps:cNvPr id="293795" name="Shape 293795"/>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641" style="width:524.4pt;height:0.600037pt;position:absolute;mso-position-horizontal-relative:page;mso-position-horizontal:absolute;margin-left:70.92pt;mso-position-vertical-relative:page;margin-top:217.56pt;" coordsize="66598,76">
                <v:shape id="Shape 293796"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900684</wp:posOffset>
                </wp:positionH>
                <wp:positionV relativeFrom="page">
                  <wp:posOffset>8110728</wp:posOffset>
                </wp:positionV>
                <wp:extent cx="6659881" cy="7620"/>
                <wp:effectExtent l="0" t="0" r="0" b="0"/>
                <wp:wrapTopAndBottom/>
                <wp:docPr id="261642" name="Group 261642"/>
                <wp:cNvGraphicFramePr/>
                <a:graphic xmlns:a="http://schemas.openxmlformats.org/drawingml/2006/main">
                  <a:graphicData uri="http://schemas.microsoft.com/office/word/2010/wordprocessingGroup">
                    <wpg:wgp>
                      <wpg:cNvGrpSpPr/>
                      <wpg:grpSpPr>
                        <a:xfrm>
                          <a:off x="0" y="0"/>
                          <a:ext cx="6659881" cy="7620"/>
                          <a:chOff x="0" y="0"/>
                          <a:chExt cx="6659881" cy="7620"/>
                        </a:xfrm>
                      </wpg:grpSpPr>
                      <wps:wsp>
                        <wps:cNvPr id="293797" name="Shape 293797"/>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642" style="width:524.4pt;height:0.599976pt;position:absolute;mso-position-horizontal-relative:page;mso-position-horizontal:absolute;margin-left:70.92pt;mso-position-vertical-relative:page;margin-top:638.64pt;" coordsize="66598,76">
                <v:shape id="Shape 293798"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t>Informe del Interventor de fondos en el que pruebe no haber deuda pendiente de liquidació</w:t>
      </w:r>
      <w:r>
        <w:t xml:space="preserve">n </w:t>
      </w:r>
    </w:p>
    <w:p w:rsidR="00EE0979" w:rsidRDefault="00B022A0">
      <w:pPr>
        <w:spacing w:after="169"/>
        <w:ind w:right="100"/>
      </w:pPr>
      <w:r>
        <w:t xml:space="preserve">con cargo al presupuesto municipal. </w:t>
      </w:r>
    </w:p>
    <w:p w:rsidR="00EE0979" w:rsidRDefault="00B022A0">
      <w:pPr>
        <w:numPr>
          <w:ilvl w:val="0"/>
          <w:numId w:val="60"/>
        </w:numPr>
        <w:spacing w:after="171"/>
        <w:ind w:right="106" w:firstLine="360"/>
      </w:pPr>
      <w:r>
        <w:t xml:space="preserve">Dictamen suscrito por técnico que asevere que los bienes no se hallan comprendidos en ningún plan de ordenación, reforma o adaptación, no son necesarios para la Entidad local ni es previsible que lo sean en los diez </w:t>
      </w:r>
      <w:r>
        <w:t xml:space="preserve">años inmediatos. </w:t>
      </w:r>
    </w:p>
    <w:p w:rsidR="00EE0979" w:rsidRDefault="00B022A0">
      <w:pPr>
        <w:numPr>
          <w:ilvl w:val="0"/>
          <w:numId w:val="60"/>
        </w:numPr>
        <w:spacing w:after="351"/>
        <w:ind w:right="106" w:firstLine="360"/>
      </w:pPr>
      <w:r>
        <w:t xml:space="preserve">Información pública por plazo no inferior a quince días. </w:t>
      </w:r>
    </w:p>
    <w:p w:rsidR="00EE0979" w:rsidRDefault="00B022A0">
      <w:pPr>
        <w:spacing w:after="171"/>
        <w:ind w:left="14" w:right="100" w:firstLine="360"/>
      </w:pPr>
      <w:r>
        <w:t>2. La cesión de solares al Organismo competente de promoción de la vivienda para construir viviendas de protección oficial revestirá, normalmente, la forma de permuta de los terren</w:t>
      </w:r>
      <w:r>
        <w:t xml:space="preserve">os por número equivalente de aquellos que hubieren de edificarse y, cuando esto no fuere posible, la cesión gratuita no precisará el cumplimiento del requisito d) del párrafo precedente. </w:t>
      </w:r>
    </w:p>
    <w:p w:rsidR="00EE0979" w:rsidRDefault="00B022A0">
      <w:pPr>
        <w:spacing w:after="506" w:line="259" w:lineRule="auto"/>
        <w:ind w:left="0" w:right="48" w:firstLine="0"/>
        <w:jc w:val="right"/>
      </w:pPr>
      <w:r>
        <w:t xml:space="preserve"> </w:t>
      </w:r>
    </w:p>
    <w:p w:rsidR="00EE0979" w:rsidRDefault="00B022A0">
      <w:pPr>
        <w:spacing w:before="366" w:after="169"/>
        <w:ind w:right="100"/>
      </w:pPr>
      <w:r>
        <w:t xml:space="preserve">Art. 111. </w:t>
      </w:r>
    </w:p>
    <w:p w:rsidR="00EE0979" w:rsidRDefault="00B022A0">
      <w:pPr>
        <w:numPr>
          <w:ilvl w:val="0"/>
          <w:numId w:val="61"/>
        </w:numPr>
        <w:ind w:right="100" w:firstLine="360"/>
      </w:pPr>
      <w:r>
        <w:t>Si los bienes cedidos no fuesen destinados al uso dentro del plazo señalado en el acuerdo de cesión o dejasen de serlo posteriormente se considerará resuelta la cesión y revertirán aquéllos a la Corporación local, la cual tendrá derecho a percibir de la En</w:t>
      </w:r>
      <w:r>
        <w:t xml:space="preserve">tidad beneficiaria, previa tasación pericial, el valor de los detrimentos experimentados por los bienes cedidos. </w:t>
      </w:r>
    </w:p>
    <w:p w:rsidR="00EE0979" w:rsidRDefault="00B022A0">
      <w:pPr>
        <w:numPr>
          <w:ilvl w:val="0"/>
          <w:numId w:val="61"/>
        </w:numPr>
        <w:spacing w:after="171"/>
        <w:ind w:right="100" w:firstLine="360"/>
      </w:pPr>
      <w:r>
        <w:t>Si en el acuerdo de cesión no se estipula otra cosa, se entenderá que los fines para los cuales se hubieran otorgado deberán cumplirse en el p</w:t>
      </w:r>
      <w:r>
        <w:t xml:space="preserve">lazo máximo de cinco años, debiendo mantenerse su destino durante los treinta años siguientes. </w:t>
      </w:r>
    </w:p>
    <w:p w:rsidR="00EE0979" w:rsidRDefault="00B022A0">
      <w:pPr>
        <w:numPr>
          <w:ilvl w:val="0"/>
          <w:numId w:val="61"/>
        </w:numPr>
        <w:spacing w:after="501"/>
        <w:ind w:right="100" w:firstLine="360"/>
      </w:pPr>
      <w:r>
        <w:t xml:space="preserve">Los bienes cedidos revertirán, en su caso, al Patrimonio de la Entidad cedente con todas sus pertenencias y accesiones. </w:t>
      </w:r>
    </w:p>
    <w:p w:rsidR="00EE0979" w:rsidRDefault="00B022A0">
      <w:pPr>
        <w:spacing w:before="5" w:after="263" w:line="259" w:lineRule="auto"/>
        <w:ind w:left="722" w:firstLine="0"/>
        <w:jc w:val="left"/>
      </w:pPr>
      <w:r>
        <w:t xml:space="preserve"> </w:t>
      </w:r>
    </w:p>
    <w:p w:rsidR="00EE0979" w:rsidRDefault="00B022A0">
      <w:pPr>
        <w:spacing w:after="275"/>
        <w:ind w:left="14" w:right="100" w:firstLine="708"/>
      </w:pPr>
      <w:r>
        <w:t>En el presente expediente, los trámit</w:t>
      </w:r>
      <w:r>
        <w:t>es de la cesión gratuita sólo serían precisos aplicar cuando hubiera que traspasar  la titularidad de los bienes municipales a favor del Cabildo Insular de Tenerife, por el contrario en el presente caso la propiedad de los bienes revierten al Ayuntamiento,</w:t>
      </w:r>
      <w:r>
        <w:t xml:space="preserve"> una vez ejecutado el proyecto de obra, por lo que  sólo se pone a disposición del Cabildo Insular de Tenerife varias parcelas municipales con el objeto de ejecutar por parte de ese Organismo el proyecto denominado “Proyecto de remodelación de la Plaza de </w:t>
      </w:r>
      <w:r>
        <w:t xml:space="preserve">la Patrona de Canarias y su entorno, canalización de cauce e implantación de obras hidráulicas”. </w:t>
      </w:r>
    </w:p>
    <w:p w:rsidR="00EE0979" w:rsidRDefault="00B022A0">
      <w:pPr>
        <w:spacing w:after="296" w:line="259" w:lineRule="auto"/>
        <w:ind w:left="722" w:firstLine="0"/>
        <w:jc w:val="left"/>
      </w:pPr>
      <w:r>
        <w:t xml:space="preserve"> </w:t>
      </w:r>
    </w:p>
    <w:p w:rsidR="00EE0979" w:rsidRDefault="00B022A0">
      <w:pPr>
        <w:spacing w:after="276"/>
        <w:ind w:left="727" w:right="100"/>
      </w:pPr>
      <w:r>
        <w:rPr>
          <w:b/>
        </w:rPr>
        <w:t>Vista</w:t>
      </w:r>
      <w:r>
        <w:t xml:space="preserve"> la consulta emitida por la entidad “ESPUBLICO”, que dice: </w:t>
      </w:r>
    </w:p>
    <w:p w:rsidR="00EE0979" w:rsidRDefault="00B022A0">
      <w:pPr>
        <w:spacing w:after="273"/>
        <w:ind w:left="732" w:right="98" w:hanging="10"/>
      </w:pPr>
      <w:r>
        <w:rPr>
          <w:noProof/>
        </w:rPr>
        <w:drawing>
          <wp:anchor distT="0" distB="0" distL="114300" distR="114300" simplePos="0" relativeHeight="251669504" behindDoc="1" locked="0" layoutInCell="1" allowOverlap="0">
            <wp:simplePos x="0" y="0"/>
            <wp:positionH relativeFrom="column">
              <wp:posOffset>505917</wp:posOffset>
            </wp:positionH>
            <wp:positionV relativeFrom="paragraph">
              <wp:posOffset>-945</wp:posOffset>
            </wp:positionV>
            <wp:extent cx="210312" cy="156972"/>
            <wp:effectExtent l="0" t="0" r="0" b="0"/>
            <wp:wrapNone/>
            <wp:docPr id="20240" name="Picture 20240"/>
            <wp:cNvGraphicFramePr/>
            <a:graphic xmlns:a="http://schemas.openxmlformats.org/drawingml/2006/main">
              <a:graphicData uri="http://schemas.openxmlformats.org/drawingml/2006/picture">
                <pic:pic xmlns:pic="http://schemas.openxmlformats.org/drawingml/2006/picture">
                  <pic:nvPicPr>
                    <pic:cNvPr id="20240" name="Picture 20240"/>
                    <pic:cNvPicPr/>
                  </pic:nvPicPr>
                  <pic:blipFill>
                    <a:blip r:embed="rId19"/>
                    <a:stretch>
                      <a:fillRect/>
                    </a:stretch>
                  </pic:blipFill>
                  <pic:spPr>
                    <a:xfrm>
                      <a:off x="0" y="0"/>
                      <a:ext cx="210312" cy="15697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900684</wp:posOffset>
                </wp:positionH>
                <wp:positionV relativeFrom="page">
                  <wp:posOffset>3038856</wp:posOffset>
                </wp:positionV>
                <wp:extent cx="6659881" cy="6096"/>
                <wp:effectExtent l="0" t="0" r="0" b="0"/>
                <wp:wrapTopAndBottom/>
                <wp:docPr id="261986" name="Group 261986"/>
                <wp:cNvGraphicFramePr/>
                <a:graphic xmlns:a="http://schemas.openxmlformats.org/drawingml/2006/main">
                  <a:graphicData uri="http://schemas.microsoft.com/office/word/2010/wordprocessingGroup">
                    <wpg:wgp>
                      <wpg:cNvGrpSpPr/>
                      <wpg:grpSpPr>
                        <a:xfrm>
                          <a:off x="0" y="0"/>
                          <a:ext cx="6659881" cy="6096"/>
                          <a:chOff x="0" y="0"/>
                          <a:chExt cx="6659881" cy="6096"/>
                        </a:xfrm>
                      </wpg:grpSpPr>
                      <wps:wsp>
                        <wps:cNvPr id="293809" name="Shape 293809"/>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986" style="width:524.4pt;height:0.47998pt;position:absolute;mso-position-horizontal-relative:page;mso-position-horizontal:absolute;margin-left:70.92pt;mso-position-vertical-relative:page;margin-top:239.28pt;" coordsize="66598,60">
                <v:shape id="Shape 293810"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t xml:space="preserve">“ </w:t>
      </w:r>
      <w:r>
        <w:rPr>
          <w:i/>
        </w:rPr>
        <w:t>CONSULTA</w:t>
      </w:r>
      <w:r>
        <w:t xml:space="preserve"> </w:t>
      </w:r>
    </w:p>
    <w:p w:rsidR="00EE0979" w:rsidRDefault="00B022A0">
      <w:pPr>
        <w:spacing w:after="274"/>
        <w:ind w:left="732" w:right="98" w:hanging="10"/>
      </w:pPr>
      <w:r>
        <w:rPr>
          <w:i/>
        </w:rPr>
        <w:t xml:space="preserve"> Cesión del Ayuntamiento en expediente expropiatorio </w:t>
      </w:r>
    </w:p>
    <w:p w:rsidR="00EE0979" w:rsidRDefault="00B022A0">
      <w:pPr>
        <w:spacing w:after="272"/>
        <w:ind w:left="732" w:right="98" w:hanging="10"/>
      </w:pPr>
      <w:r>
        <w:rPr>
          <w:noProof/>
        </w:rPr>
        <w:drawing>
          <wp:anchor distT="0" distB="0" distL="114300" distR="114300" simplePos="0" relativeHeight="251671552" behindDoc="1" locked="0" layoutInCell="1" allowOverlap="0">
            <wp:simplePos x="0" y="0"/>
            <wp:positionH relativeFrom="column">
              <wp:posOffset>498297</wp:posOffset>
            </wp:positionH>
            <wp:positionV relativeFrom="paragraph">
              <wp:posOffset>396</wp:posOffset>
            </wp:positionV>
            <wp:extent cx="210312" cy="156972"/>
            <wp:effectExtent l="0" t="0" r="0" b="0"/>
            <wp:wrapNone/>
            <wp:docPr id="20249" name="Picture 20249"/>
            <wp:cNvGraphicFramePr/>
            <a:graphic xmlns:a="http://schemas.openxmlformats.org/drawingml/2006/main">
              <a:graphicData uri="http://schemas.openxmlformats.org/drawingml/2006/picture">
                <pic:pic xmlns:pic="http://schemas.openxmlformats.org/drawingml/2006/picture">
                  <pic:nvPicPr>
                    <pic:cNvPr id="20249" name="Picture 20249"/>
                    <pic:cNvPicPr/>
                  </pic:nvPicPr>
                  <pic:blipFill>
                    <a:blip r:embed="rId41"/>
                    <a:stretch>
                      <a:fillRect/>
                    </a:stretch>
                  </pic:blipFill>
                  <pic:spPr>
                    <a:xfrm>
                      <a:off x="0" y="0"/>
                      <a:ext cx="210312" cy="156972"/>
                    </a:xfrm>
                    <a:prstGeom prst="rect">
                      <a:avLst/>
                    </a:prstGeom>
                  </pic:spPr>
                </pic:pic>
              </a:graphicData>
            </a:graphic>
          </wp:anchor>
        </w:drawing>
      </w:r>
      <w:r>
        <w:rPr>
          <w:i/>
        </w:rPr>
        <w:t xml:space="preserve">  </w:t>
      </w:r>
      <w:r>
        <w:rPr>
          <w:i/>
        </w:rPr>
        <w:t xml:space="preserve">PATRIMONIO 26/12/2018  </w:t>
      </w:r>
    </w:p>
    <w:p w:rsidR="00EE0979" w:rsidRDefault="00B022A0">
      <w:pPr>
        <w:spacing w:after="275"/>
        <w:ind w:left="-1" w:right="98" w:firstLine="708"/>
      </w:pPr>
      <w:r>
        <w:rPr>
          <w:i/>
        </w:rPr>
        <w:t>En este Municipio la Comunidad Autónoma va a construir una depuradora. Ahora se nos pide que el Ayuntamiento emita certificación sobre la cesión de uso, ocupación definitiva y/o servidumbre de paso de las parcelas de titularidad mun</w:t>
      </w:r>
      <w:r>
        <w:rPr>
          <w:i/>
        </w:rPr>
        <w:t xml:space="preserve">icipal afectadas por el proyecto expropiatorio que posibilite la ejecución de la depuradora, adjuntando una relación de las parcelas afectadas sobre las que se solicita la cesión.  </w:t>
      </w:r>
    </w:p>
    <w:p w:rsidR="00EE0979" w:rsidRDefault="00B022A0">
      <w:pPr>
        <w:spacing w:after="275"/>
        <w:ind w:left="-1" w:right="98" w:firstLine="708"/>
      </w:pPr>
      <w:r>
        <w:rPr>
          <w:i/>
        </w:rPr>
        <w:t>Se nos plantea, para dar cumplimiento a lo solicitado, si basta con un acu</w:t>
      </w:r>
      <w:r>
        <w:rPr>
          <w:i/>
        </w:rPr>
        <w:t xml:space="preserve">erdo del pleno de cesión de uso como ocupación definitiva o servidumbre de paso, según los casos, a favor de la Comunidad autónoma o es necesario algún trámite más. </w:t>
      </w:r>
    </w:p>
    <w:p w:rsidR="00EE0979" w:rsidRDefault="00B022A0">
      <w:pPr>
        <w:spacing w:after="271" w:line="248" w:lineRule="auto"/>
        <w:ind w:left="732" w:right="95" w:hanging="10"/>
      </w:pPr>
      <w:r>
        <w:rPr>
          <w:i/>
        </w:rPr>
        <w:t xml:space="preserve"> </w:t>
      </w:r>
      <w:r>
        <w:rPr>
          <w:b/>
          <w:i/>
        </w:rPr>
        <w:t xml:space="preserve">RESOLUCIÓN </w:t>
      </w:r>
      <w:r>
        <w:t xml:space="preserve"> </w:t>
      </w:r>
    </w:p>
    <w:p w:rsidR="00EE0979" w:rsidRDefault="00B022A0">
      <w:pPr>
        <w:spacing w:after="274" w:line="248" w:lineRule="auto"/>
        <w:ind w:left="732" w:right="95" w:hanging="10"/>
      </w:pPr>
      <w:r>
        <w:rPr>
          <w:b/>
          <w:i/>
        </w:rPr>
        <w:t xml:space="preserve">CONSIDERACIONES JURÍDICAS  </w:t>
      </w:r>
    </w:p>
    <w:p w:rsidR="00EE0979" w:rsidRDefault="00B022A0">
      <w:pPr>
        <w:spacing w:after="276"/>
        <w:ind w:left="-1" w:right="98" w:firstLine="708"/>
      </w:pPr>
      <w:r>
        <w:rPr>
          <w:b/>
          <w:i/>
        </w:rPr>
        <w:t>Primera.</w:t>
      </w:r>
      <w:r>
        <w:rPr>
          <w:i/>
        </w:rPr>
        <w:t xml:space="preserve"> En primer lugar resulta necesario deter</w:t>
      </w:r>
      <w:r>
        <w:rPr>
          <w:i/>
        </w:rPr>
        <w:t xml:space="preserve">minar la calificación de los bienes de titularidad municipal ya que su régimen jurídico dependerá de la naturaleza de éstos, siendo distinto el de los bienes patrimoniales del correspondiente a los bienes de dominio público. </w:t>
      </w:r>
      <w:r>
        <w:t xml:space="preserve"> </w:t>
      </w:r>
    </w:p>
    <w:p w:rsidR="00EE0979" w:rsidRDefault="00B022A0">
      <w:pPr>
        <w:spacing w:after="282" w:line="239" w:lineRule="auto"/>
        <w:ind w:left="722" w:firstLine="0"/>
        <w:jc w:val="left"/>
      </w:pPr>
      <w:r>
        <w:rPr>
          <w:i/>
        </w:rPr>
        <w:t>Como principio general, ha de</w:t>
      </w:r>
      <w:r>
        <w:rPr>
          <w:i/>
        </w:rPr>
        <w:t xml:space="preserve"> afirmarse que cualquier cosa mueble o inmueble puede ser expropiada en cuanto sea preciso para un fin de interés público. Pueden ser expropiados no sólo los bienes de propiedad privada sino también los bienes de dominio público que, por ser inalienables, </w:t>
      </w:r>
      <w:r>
        <w:rPr>
          <w:i/>
        </w:rPr>
        <w:t xml:space="preserve">deberán ser desafectados. </w:t>
      </w:r>
    </w:p>
    <w:p w:rsidR="00EE0979" w:rsidRDefault="00B022A0">
      <w:pPr>
        <w:spacing w:after="275"/>
        <w:ind w:left="-1" w:right="98" w:firstLine="708"/>
      </w:pPr>
      <w:r>
        <w:rPr>
          <w:i/>
        </w:rPr>
        <w:t xml:space="preserve"> Nada se opone a que los bienes patrimoniales sean expropiados, pero se aviva la polémica si se trata de los bienes de dominio público.  </w:t>
      </w:r>
    </w:p>
    <w:p w:rsidR="00EE0979" w:rsidRDefault="00B022A0">
      <w:pPr>
        <w:spacing w:after="275"/>
        <w:ind w:left="-1" w:right="98" w:firstLine="708"/>
      </w:pPr>
      <w:r>
        <w:rPr>
          <w:i/>
        </w:rPr>
        <w:t>Nada impide, dice Nemesio Rodríguez Moro, que un bien de dominio o uso público cambie de de</w:t>
      </w:r>
      <w:r>
        <w:rPr>
          <w:i/>
        </w:rPr>
        <w:t xml:space="preserve">stino siempre que éste siga siendo público. En este sentido no será preciso desafectarlo del servicio público, transferirlo al campo patrimonial, para luego afectarlo a un mismo destino público. Este cambio puede hacerlo la Administración sin necesidad de </w:t>
      </w:r>
      <w:r>
        <w:rPr>
          <w:i/>
        </w:rPr>
        <w:t xml:space="preserve">que el bien pase al campo privado, sin que pierda en consecuencia su nota inalienable, puesto que en tal cambio de destino no se produce propiamente una enajenación.  </w:t>
      </w:r>
    </w:p>
    <w:p w:rsidR="00EE0979" w:rsidRDefault="00B022A0">
      <w:pPr>
        <w:spacing w:after="275"/>
        <w:ind w:left="-1" w:right="98" w:firstLine="708"/>
      </w:pPr>
      <w:r>
        <w:rPr>
          <w:i/>
        </w:rPr>
        <w:t>El problema que realmente se plantea es el de si es posible la expropiación forzosa de b</w:t>
      </w:r>
      <w:r>
        <w:rPr>
          <w:i/>
        </w:rPr>
        <w:t>ienes de dominio público, frente a la cual se alza el dogma de la inalienabilidad del dominio público, que no es sino un correlato de su afección pública. Por ello, la figura pertinente para regular los cambios de titularidad sobre estos bienes, que normal</w:t>
      </w:r>
      <w:r>
        <w:rPr>
          <w:i/>
        </w:rPr>
        <w:t xml:space="preserve">mente implican cambio de afectación del dominio, no es la expropiación sino la mutación demanial. Dentro de la mutación demanial podemos distinguir entre la objetiva o interna (sólo hay un cambio de destino del bien, pero no un cambio de titularidad) y la </w:t>
      </w:r>
      <w:r>
        <w:rPr>
          <w:i/>
        </w:rPr>
        <w:t>subjetiva o externa (cambio de titularidad del bien), que debe ser legalmente posible a través del expediente expropiatorio, ya que, en caso contrario, ningún bien demanial podría ser destinado a una utilidad pública distinta sin consentimiento de su titul</w:t>
      </w:r>
      <w:r>
        <w:rPr>
          <w:i/>
        </w:rPr>
        <w:t xml:space="preserve">ar. </w:t>
      </w:r>
    </w:p>
    <w:p w:rsidR="00EE0979" w:rsidRDefault="00B022A0">
      <w:pPr>
        <w:spacing w:after="277"/>
        <w:ind w:left="-1" w:right="98" w:firstLine="708"/>
      </w:pPr>
      <w:r>
        <w:rPr>
          <w:i/>
        </w:rPr>
        <w:t xml:space="preserve">La sentencia del Tribunal Supremo de 14 de noviembre de 1984, plantea la cuestión de la expropiación de un bien de dominio público de un Ayuntamiento por parte del Estado y la resuelve a través de una mutación demanial con derecho a una indemnización </w:t>
      </w:r>
      <w:r>
        <w:rPr>
          <w:i/>
        </w:rPr>
        <w:t xml:space="preserve">que se resuelve dentro del expediente expropiatorio pagando el justiprecio.  </w:t>
      </w:r>
    </w:p>
    <w:p w:rsidR="00EE0979" w:rsidRDefault="00B022A0">
      <w:pPr>
        <w:spacing w:after="277"/>
        <w:ind w:left="-1" w:right="98" w:firstLine="708"/>
      </w:pPr>
      <w:r>
        <w:rPr>
          <w:i/>
        </w:rPr>
        <w:t>En consecuencia, creemos que en el caso que nos ocupa de un bien de dominio público municipal que cambia de titularidad y que sigue siendo bien de dominio público (depuradora) es</w:t>
      </w:r>
      <w:r>
        <w:rPr>
          <w:i/>
        </w:rPr>
        <w:t>tamos ante una mutación demanial externa. La posibilidad de la mutación demanial subjetiva o externa la contempla la LPAP en su artículo 71.1 siendo aquella por la que el bien, sin dejar de pertenecer al servicio público, puede «mutar» subjetivamente en un</w:t>
      </w:r>
      <w:r>
        <w:rPr>
          <w:i/>
        </w:rPr>
        <w:t>o de sus elementos, el del sujeto público al que está adscrito que. El RD 1373/2009, de 28 de agosto, por el que se aprueba el Reglamento General de la Ley 33/2003, de 3 de noviembre, del Patrimonio de las Administraciones Públicas (RGLPAP), en su Capítulo</w:t>
      </w:r>
      <w:r>
        <w:rPr>
          <w:i/>
        </w:rPr>
        <w:t xml:space="preserve"> II regula las mutaciones demaniales entre Administraciones Públicas, aunque su aplicación se circunscribe al régimen jurídico patrimonial de la Administración General de Estado y de sus organismos públicos.  </w:t>
      </w:r>
    </w:p>
    <w:p w:rsidR="00EE0979" w:rsidRDefault="00B022A0">
      <w:pPr>
        <w:spacing w:after="276"/>
        <w:ind w:left="-1" w:right="98" w:firstLine="708"/>
      </w:pPr>
      <w:r>
        <w:rPr>
          <w:b/>
          <w:i/>
        </w:rPr>
        <w:t>Segunda</w:t>
      </w:r>
      <w:r>
        <w:rPr>
          <w:i/>
        </w:rPr>
        <w:t>. También podría resolverse esta cuestión mediante la figura de la concesión demanial. En este caso la titularidad de los bienes seguiría siendo del Ayuntamiento, mientras que la Comunidad Autónoma tendría derecho a ocuparlos por el plazo máximo de la conc</w:t>
      </w:r>
      <w:r>
        <w:rPr>
          <w:i/>
        </w:rPr>
        <w:t xml:space="preserve">esión, actualmente 75 años (art. 93.3 de la LPAP de carácter básico). </w:t>
      </w:r>
      <w:r>
        <w:t xml:space="preserve"> </w:t>
      </w:r>
    </w:p>
    <w:p w:rsidR="00EE0979" w:rsidRDefault="00B022A0">
      <w:pPr>
        <w:spacing w:after="275"/>
        <w:ind w:left="-1" w:right="98" w:firstLine="708"/>
      </w:pPr>
      <w:r>
        <w:rPr>
          <w:i/>
        </w:rPr>
        <w:t xml:space="preserve">El uso privativo de los bienes de dominio público que determine su ocupación con obras o instalaciones fijas deberá estar amparado por la correspondiente concesión administrativa que, </w:t>
      </w:r>
      <w:r>
        <w:rPr>
          <w:i/>
        </w:rPr>
        <w:t xml:space="preserve">de acuerdo con el artículo 93 de la LPAP (de carácter básico), deberá efectuarse en régimen de concurrencia. No obstante, podrá acordarse el otorgamiento directo de la concesión en los supuestos previstos en el artículo 137.4 de esta ley, entre los que se </w:t>
      </w:r>
      <w:r>
        <w:rPr>
          <w:i/>
        </w:rPr>
        <w:t>encuentra cuando se trate de otra Administración pública o, en general, cualquier persona jurídica de derecho público o privado perteneciente al sector público. A estos efectos, se entenderá por persona jurídica de derecho privado perteneciente al sector p</w:t>
      </w:r>
      <w:r>
        <w:rPr>
          <w:i/>
        </w:rPr>
        <w:t xml:space="preserve">úblico la sociedad mercantil en cuyo capital sea mayoritaria la participación directa o indirecta de una o varias Administraciones públicas o personas jurídica de Derecho público.  </w:t>
      </w:r>
    </w:p>
    <w:p w:rsidR="00EE0979" w:rsidRDefault="00B022A0">
      <w:pPr>
        <w:spacing w:after="275"/>
        <w:ind w:left="-1" w:right="98" w:firstLine="708"/>
      </w:pPr>
      <w:r>
        <w:rPr>
          <w:b/>
          <w:i/>
        </w:rPr>
        <w:t>Tercera</w:t>
      </w:r>
      <w:r>
        <w:rPr>
          <w:i/>
        </w:rPr>
        <w:t>. Para el caso de que los bienes estuviesen cali cados como patrimo</w:t>
      </w:r>
      <w:r>
        <w:rPr>
          <w:i/>
        </w:rPr>
        <w:t>niales, además de su posible expropiación o imposición de servidumbres forzosas, también cabe su cesión gratuita. El RB permite la cesión gratuita de este tipo de bienes a entidades o instituciones públicas para fines que redunden en beneficio de los habit</w:t>
      </w:r>
      <w:r>
        <w:rPr>
          <w:i/>
        </w:rPr>
        <w:t xml:space="preserve">antes del término municipal. Por tanto es posible la cesión a la Comunidad Autónoma de los terrenos necesarios para la construcción de la depuradora. </w:t>
      </w:r>
      <w:r>
        <w:t xml:space="preserve"> </w:t>
      </w:r>
    </w:p>
    <w:p w:rsidR="00EE0979" w:rsidRDefault="00B022A0">
      <w:pPr>
        <w:spacing w:after="275"/>
        <w:ind w:left="-1" w:right="98" w:firstLine="708"/>
      </w:pPr>
      <w:r>
        <w:rPr>
          <w:i/>
        </w:rPr>
        <w:t>La cesión gratuita (artículo 110 del RB) requiere acuerdo adoptado con el voto favorable de la mayoría a</w:t>
      </w:r>
      <w:r>
        <w:rPr>
          <w:i/>
        </w:rPr>
        <w:t xml:space="preserve">bsoluta del número legal de miembros de la corporación, previa instrucción del expediente con arreglo a estos requisitos: </w:t>
      </w:r>
    </w:p>
    <w:p w:rsidR="00EE0979" w:rsidRDefault="00B022A0">
      <w:pPr>
        <w:numPr>
          <w:ilvl w:val="0"/>
          <w:numId w:val="62"/>
        </w:numPr>
        <w:spacing w:after="275"/>
        <w:ind w:right="98" w:firstLine="708"/>
      </w:pPr>
      <w:r>
        <w:rPr>
          <w:i/>
        </w:rPr>
        <w:t>Justificación documental por la propia entidad o institución solicitante de su carácter público y memoria demostrativa de que los nes</w:t>
      </w:r>
      <w:r>
        <w:rPr>
          <w:i/>
        </w:rPr>
        <w:t xml:space="preserve"> que persigue han de redundar de manera evidente y positiva en bene cio de los habitantes del término municipal.  </w:t>
      </w:r>
    </w:p>
    <w:p w:rsidR="00EE0979" w:rsidRDefault="00B022A0">
      <w:pPr>
        <w:numPr>
          <w:ilvl w:val="0"/>
          <w:numId w:val="62"/>
        </w:numPr>
        <w:ind w:right="98" w:firstLine="708"/>
      </w:pPr>
      <w:r>
        <w:rPr>
          <w:i/>
        </w:rPr>
        <w:t xml:space="preserve">Certificación del Registro de la propiedad acreditativa de que los bienes se hallan </w:t>
      </w:r>
    </w:p>
    <w:p w:rsidR="00EE0979" w:rsidRDefault="00B022A0">
      <w:pPr>
        <w:spacing w:after="272"/>
        <w:ind w:left="9" w:right="98" w:hanging="10"/>
      </w:pPr>
      <w:r>
        <w:rPr>
          <w:i/>
        </w:rPr>
        <w:t>debidamente inscritos en concepto de patrimoniales de la</w:t>
      </w:r>
      <w:r>
        <w:rPr>
          <w:i/>
        </w:rPr>
        <w:t xml:space="preserve"> entidad local. </w:t>
      </w:r>
    </w:p>
    <w:p w:rsidR="00EE0979" w:rsidRDefault="00B022A0">
      <w:pPr>
        <w:numPr>
          <w:ilvl w:val="0"/>
          <w:numId w:val="62"/>
        </w:numPr>
        <w:ind w:right="98" w:firstLine="708"/>
      </w:pPr>
      <w:r>
        <w:rPr>
          <w:i/>
        </w:rPr>
        <w:t xml:space="preserve">Certificación del Secretario de la corporación en la que conste que los bienes guran en </w:t>
      </w:r>
    </w:p>
    <w:p w:rsidR="00EE0979" w:rsidRDefault="00B022A0">
      <w:pPr>
        <w:spacing w:after="274"/>
        <w:ind w:left="9" w:right="98" w:hanging="10"/>
      </w:pPr>
      <w:r>
        <w:rPr>
          <w:i/>
        </w:rPr>
        <w:t xml:space="preserve">el inventario aprobado por la corporación con la antedicha cali cación jurídica.  </w:t>
      </w:r>
    </w:p>
    <w:p w:rsidR="00EE0979" w:rsidRDefault="00B022A0">
      <w:pPr>
        <w:numPr>
          <w:ilvl w:val="0"/>
          <w:numId w:val="62"/>
        </w:numPr>
        <w:ind w:right="98" w:firstLine="708"/>
      </w:pPr>
      <w:r>
        <w:rPr>
          <w:i/>
        </w:rPr>
        <w:t>Informe del interventor de fondos en el que pruebe no haber deuda p</w:t>
      </w:r>
      <w:r>
        <w:rPr>
          <w:i/>
        </w:rPr>
        <w:t xml:space="preserve">endiente de </w:t>
      </w:r>
    </w:p>
    <w:p w:rsidR="00EE0979" w:rsidRDefault="00B022A0">
      <w:pPr>
        <w:spacing w:after="272"/>
        <w:ind w:left="9" w:right="98" w:hanging="10"/>
      </w:pPr>
      <w:r>
        <w:rPr>
          <w:i/>
        </w:rPr>
        <w:t xml:space="preserve">liquidación con cargo al presupuesto municipal.  </w:t>
      </w:r>
    </w:p>
    <w:p w:rsidR="00EE0979" w:rsidRDefault="00B022A0">
      <w:pPr>
        <w:numPr>
          <w:ilvl w:val="0"/>
          <w:numId w:val="62"/>
        </w:numPr>
        <w:spacing w:after="277"/>
        <w:ind w:right="98" w:firstLine="708"/>
      </w:pPr>
      <w:r>
        <w:rPr>
          <w:i/>
        </w:rPr>
        <w:t>Dictamen suscrito por técnico que asevere que los bienes no se hallan comprendidos en ningún plan de ordenación, reforma o adaptación, no son necesarios para la entidad local ni es previsible q</w:t>
      </w:r>
      <w:r>
        <w:rPr>
          <w:i/>
        </w:rPr>
        <w:t xml:space="preserve">ue lo sean en los diez años inmediatos. </w:t>
      </w:r>
    </w:p>
    <w:p w:rsidR="00EE0979" w:rsidRDefault="00B022A0">
      <w:pPr>
        <w:numPr>
          <w:ilvl w:val="0"/>
          <w:numId w:val="62"/>
        </w:numPr>
        <w:spacing w:after="272"/>
        <w:ind w:right="98" w:firstLine="708"/>
      </w:pPr>
      <w:r>
        <w:rPr>
          <w:i/>
        </w:rPr>
        <w:t xml:space="preserve">Información pública por plazo no inferior a quince días. </w:t>
      </w:r>
    </w:p>
    <w:p w:rsidR="00EE0979" w:rsidRDefault="00B022A0">
      <w:pPr>
        <w:spacing w:after="261" w:line="259" w:lineRule="auto"/>
        <w:ind w:left="722" w:firstLine="0"/>
        <w:jc w:val="left"/>
      </w:pPr>
      <w:r>
        <w:rPr>
          <w:i/>
        </w:rPr>
        <w:t xml:space="preserve"> </w:t>
      </w:r>
    </w:p>
    <w:p w:rsidR="00EE0979" w:rsidRDefault="00B022A0">
      <w:pPr>
        <w:ind w:left="-1" w:right="98" w:firstLine="708"/>
      </w:pPr>
      <w:r>
        <w:rPr>
          <w:i/>
        </w:rPr>
        <w:t xml:space="preserve">No obstante, lo anterior, los trámites de cesión gratuita sólo serán precisos cuando la Depuradora vaya a ser de titularidad de la Comunidad Autónoma. Si la depuradora va a ser propiedad municipal, no tiene sentido transmitir la propiedad del terreno para </w:t>
      </w:r>
      <w:r>
        <w:rPr>
          <w:i/>
        </w:rPr>
        <w:t>construir la depuradora que posteriormente se integrará en el patrimonio del Ayuntamiento. Si fuera este el caso, simplemente, se pone a disposición de la Comunidad Autónoma los terrenos con la finalidad de que la depuradora se construya y para ello result</w:t>
      </w:r>
      <w:r>
        <w:rPr>
          <w:i/>
        </w:rPr>
        <w:t xml:space="preserve">a suficiente un simple acuerdo plenario para acordar la puesta a disposición -que no es más que una cesión temporal- que haga posible la construcción de la depuradora y la ocupación de los terrenos mientras duren las obras. </w:t>
      </w:r>
    </w:p>
    <w:p w:rsidR="00EE0979" w:rsidRDefault="00B022A0">
      <w:pPr>
        <w:spacing w:after="274" w:line="248" w:lineRule="auto"/>
        <w:ind w:left="732" w:right="95" w:hanging="10"/>
      </w:pPr>
      <w:r>
        <w:rPr>
          <w:i/>
        </w:rPr>
        <w:t xml:space="preserve"> </w:t>
      </w:r>
      <w:r>
        <w:rPr>
          <w:b/>
          <w:i/>
        </w:rPr>
        <w:t>CONCLUSIONES</w:t>
      </w:r>
      <w:r>
        <w:rPr>
          <w:i/>
        </w:rPr>
        <w:t xml:space="preserve"> </w:t>
      </w:r>
      <w:r>
        <w:t xml:space="preserve"> </w:t>
      </w:r>
    </w:p>
    <w:p w:rsidR="00EE0979" w:rsidRDefault="00B022A0">
      <w:pPr>
        <w:spacing w:after="278"/>
        <w:ind w:left="-1" w:right="98" w:firstLine="708"/>
      </w:pPr>
      <w:r>
        <w:rPr>
          <w:b/>
          <w:i/>
        </w:rPr>
        <w:t>Primera</w:t>
      </w:r>
      <w:r>
        <w:rPr>
          <w:i/>
        </w:rPr>
        <w:t>. Si los</w:t>
      </w:r>
      <w:r>
        <w:rPr>
          <w:i/>
        </w:rPr>
        <w:t xml:space="preserve"> bienes municipales están calificados como de dominio público la cesión a la comunidad autónoma para la construcción de la depuradora se puede acometer a través de la figura de la mutación demanial externa y en el supuesto de que no se exija la transmisión</w:t>
      </w:r>
      <w:r>
        <w:rPr>
          <w:i/>
        </w:rPr>
        <w:t xml:space="preserve"> de la propiedad sino sólo su ocupación por un periodo máximo de 75 años, cabe la concesión demanial que puede acordarse directamente al darse uno de los supuestos del art. 137.4 de la LPAP. </w:t>
      </w:r>
      <w:r>
        <w:t xml:space="preserve"> </w:t>
      </w:r>
    </w:p>
    <w:p w:rsidR="00EE0979" w:rsidRDefault="00B022A0">
      <w:pPr>
        <w:spacing w:after="275"/>
        <w:ind w:left="-1" w:right="98" w:firstLine="708"/>
      </w:pPr>
      <w:r>
        <w:rPr>
          <w:b/>
          <w:i/>
        </w:rPr>
        <w:t>Segunda</w:t>
      </w:r>
      <w:r>
        <w:rPr>
          <w:i/>
        </w:rPr>
        <w:t>. Si los bienes tuvieran la condición de patrimoniales c</w:t>
      </w:r>
      <w:r>
        <w:rPr>
          <w:i/>
        </w:rPr>
        <w:t xml:space="preserve">abe la cesión gratuita a la comunidad autónoma tramitando el expediente del art. 110 del RB. </w:t>
      </w:r>
      <w:r>
        <w:t xml:space="preserve"> </w:t>
      </w:r>
    </w:p>
    <w:p w:rsidR="00EE0979" w:rsidRDefault="00B022A0">
      <w:pPr>
        <w:spacing w:after="213" w:line="306" w:lineRule="auto"/>
        <w:ind w:left="-1" w:firstLine="698"/>
        <w:jc w:val="left"/>
      </w:pPr>
      <w:r>
        <w:rPr>
          <w:b/>
          <w:i/>
        </w:rPr>
        <w:t>Tercera</w:t>
      </w:r>
      <w:r>
        <w:rPr>
          <w:i/>
        </w:rPr>
        <w:t>. En el caso de que finalmente la depuradora vaya a ser de propiedad municipal no será necesario tramitar expediente de cesión gratuita, sino que sería su</w:t>
      </w:r>
      <w:r>
        <w:rPr>
          <w:i/>
        </w:rPr>
        <w:t>ficiente un simple acuerdo plenario para acordar la puesta a disposición -que no es más que una cesión temporal- que haga posible la construcción de la depuradora y la ocupación de los terrenos mientras duren las obras.</w:t>
      </w:r>
      <w:r>
        <w:t xml:space="preserve"> </w:t>
      </w:r>
      <w:r>
        <w:rPr>
          <w:i/>
        </w:rPr>
        <w:t>Salvo mejor criterio fundado en dere</w:t>
      </w:r>
      <w:r>
        <w:rPr>
          <w:i/>
        </w:rPr>
        <w:t>cho.</w:t>
      </w:r>
      <w:r>
        <w:t xml:space="preserve">” </w:t>
      </w:r>
    </w:p>
    <w:p w:rsidR="00EE0979" w:rsidRDefault="00B022A0">
      <w:pPr>
        <w:spacing w:after="296" w:line="259" w:lineRule="auto"/>
        <w:ind w:left="722" w:firstLine="0"/>
        <w:jc w:val="left"/>
      </w:pPr>
      <w:r>
        <w:t xml:space="preserve"> </w:t>
      </w:r>
    </w:p>
    <w:p w:rsidR="00EE0979" w:rsidRDefault="00B022A0">
      <w:pPr>
        <w:spacing w:after="476"/>
        <w:ind w:left="14" w:right="100" w:firstLine="708"/>
      </w:pPr>
      <w:r>
        <w:rPr>
          <w:b/>
        </w:rPr>
        <w:t>Vista</w:t>
      </w:r>
      <w:r>
        <w:t xml:space="preserve"> consulta emitida por la entidad “EL CONSULTOR DE LOS AYUNTAMIENTOS”, que dice: </w:t>
      </w:r>
    </w:p>
    <w:p w:rsidR="00EE0979" w:rsidRDefault="00B022A0">
      <w:pPr>
        <w:spacing w:after="141" w:line="260" w:lineRule="auto"/>
        <w:ind w:left="10" w:hanging="10"/>
        <w:jc w:val="center"/>
      </w:pPr>
      <w:r>
        <w:t xml:space="preserve">“ </w:t>
      </w:r>
      <w:r>
        <w:rPr>
          <w:b/>
          <w:i/>
          <w:color w:val="0091DA"/>
        </w:rPr>
        <w:t>Distinción entre cesión gratuita y puesta a disposición de terrenos municipales, a efectos de construcción de centros de educación primaria.</w:t>
      </w:r>
      <w:r>
        <w:rPr>
          <w:rFonts w:ascii="Times New Roman" w:eastAsia="Times New Roman" w:hAnsi="Times New Roman" w:cs="Times New Roman"/>
          <w:sz w:val="24"/>
        </w:rPr>
        <w:t xml:space="preserve"> </w:t>
      </w:r>
    </w:p>
    <w:p w:rsidR="00EE0979" w:rsidRDefault="00B022A0">
      <w:pPr>
        <w:spacing w:after="183" w:line="259" w:lineRule="auto"/>
        <w:ind w:left="10" w:right="95" w:hanging="10"/>
        <w:jc w:val="center"/>
      </w:pPr>
      <w:r>
        <w:rPr>
          <w:i/>
          <w:color w:val="333333"/>
        </w:rPr>
        <w:t xml:space="preserve">Redacción de El Consultor de los Ayuntamientos </w:t>
      </w:r>
    </w:p>
    <w:p w:rsidR="00EE0979" w:rsidRDefault="00B022A0">
      <w:pPr>
        <w:spacing w:after="76" w:line="259" w:lineRule="auto"/>
        <w:ind w:left="10" w:right="94" w:hanging="10"/>
        <w:jc w:val="center"/>
      </w:pPr>
      <w:r>
        <w:rPr>
          <w:b/>
          <w:i/>
          <w:color w:val="666666"/>
        </w:rPr>
        <w:t>El Consultor de los Ayuntamientos</w:t>
      </w:r>
      <w:r>
        <w:rPr>
          <w:i/>
          <w:color w:val="666666"/>
        </w:rPr>
        <w:t xml:space="preserve">, Nº 18, Sección Consultas, Quincena del 30 Sep. al 14 </w:t>
      </w:r>
    </w:p>
    <w:p w:rsidR="00EE0979" w:rsidRDefault="00B022A0">
      <w:pPr>
        <w:spacing w:after="149" w:line="259" w:lineRule="auto"/>
        <w:ind w:left="10" w:right="94" w:hanging="10"/>
        <w:jc w:val="center"/>
      </w:pPr>
      <w:r>
        <w:rPr>
          <w:i/>
          <w:color w:val="666666"/>
        </w:rPr>
        <w:t xml:space="preserve">Oct. 2004, Ref. 2903/2004, pág. 2903, tomo 3, Editorial </w:t>
      </w:r>
      <w:r>
        <w:rPr>
          <w:b/>
          <w:i/>
          <w:color w:val="666666"/>
        </w:rPr>
        <w:t>El Consultor de los Ayuntamientos</w:t>
      </w:r>
      <w:r>
        <w:rPr>
          <w:rFonts w:ascii="Times New Roman" w:eastAsia="Times New Roman" w:hAnsi="Times New Roman" w:cs="Times New Roman"/>
          <w:color w:val="666666"/>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9357" w:type="dxa"/>
        <w:tblInd w:w="455" w:type="dxa"/>
        <w:tblCellMar>
          <w:top w:w="65" w:type="dxa"/>
          <w:left w:w="280" w:type="dxa"/>
          <w:bottom w:w="8" w:type="dxa"/>
          <w:right w:w="115" w:type="dxa"/>
        </w:tblCellMar>
        <w:tblLook w:val="04A0" w:firstRow="1" w:lastRow="0" w:firstColumn="1" w:lastColumn="0" w:noHBand="0" w:noVBand="1"/>
      </w:tblPr>
      <w:tblGrid>
        <w:gridCol w:w="9357"/>
      </w:tblGrid>
      <w:tr w:rsidR="00EE0979">
        <w:trPr>
          <w:trHeight w:val="593"/>
        </w:trPr>
        <w:tc>
          <w:tcPr>
            <w:tcW w:w="9357" w:type="dxa"/>
            <w:tcBorders>
              <w:top w:val="single" w:sz="12" w:space="0" w:color="0091DA"/>
              <w:left w:val="single" w:sz="12" w:space="0" w:color="0091DA"/>
              <w:bottom w:val="nil"/>
              <w:right w:val="single" w:sz="12" w:space="0" w:color="0091DA"/>
            </w:tcBorders>
            <w:vAlign w:val="bottom"/>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r>
      <w:tr w:rsidR="00EE0979">
        <w:trPr>
          <w:trHeight w:val="923"/>
        </w:trPr>
        <w:tc>
          <w:tcPr>
            <w:tcW w:w="9357" w:type="dxa"/>
            <w:tcBorders>
              <w:top w:val="nil"/>
              <w:left w:val="single" w:sz="12" w:space="0" w:color="0091DA"/>
              <w:bottom w:val="single" w:sz="12" w:space="0" w:color="0091DA"/>
              <w:right w:val="single" w:sz="12" w:space="0" w:color="0091DA"/>
            </w:tcBorders>
            <w:shd w:val="clear" w:color="auto" w:fill="FFFFFF"/>
          </w:tcPr>
          <w:p w:rsidR="00EE0979" w:rsidRDefault="00B022A0">
            <w:pPr>
              <w:spacing w:after="36" w:line="259" w:lineRule="auto"/>
              <w:ind w:left="0" w:firstLine="0"/>
              <w:jc w:val="left"/>
            </w:pPr>
            <w:r>
              <w:rPr>
                <w:rFonts w:ascii="Times New Roman" w:eastAsia="Times New Roman" w:hAnsi="Times New Roman" w:cs="Times New Roman"/>
                <w:sz w:val="24"/>
              </w:rPr>
              <w:t xml:space="preserve"> </w:t>
            </w:r>
          </w:p>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r>
    </w:tbl>
    <w:p w:rsidR="00EE0979" w:rsidRDefault="00B022A0">
      <w:pPr>
        <w:pStyle w:val="Ttulo2"/>
      </w:pPr>
      <w:r>
        <w:t xml:space="preserve">Antecedentes.-- </w:t>
      </w:r>
    </w:p>
    <w:p w:rsidR="00EE0979" w:rsidRDefault="00B022A0">
      <w:pPr>
        <w:spacing w:after="102" w:line="317" w:lineRule="auto"/>
        <w:ind w:left="9" w:hanging="10"/>
        <w:jc w:val="left"/>
      </w:pPr>
      <w:r>
        <w:rPr>
          <w:i/>
          <w:color w:val="111111"/>
        </w:rPr>
        <w:t xml:space="preserve">Por la Junta de Castilla y León se solicita la puesta a disposición a la misma de un solar para la construcción de un colegio público. ¿No sería más adecuado tramitar expediente de cesión gratuita? </w:t>
      </w:r>
    </w:p>
    <w:p w:rsidR="00EE0979" w:rsidRDefault="00B022A0">
      <w:pPr>
        <w:spacing w:after="0" w:line="259" w:lineRule="auto"/>
        <w:ind w:left="14" w:firstLine="0"/>
        <w:jc w:val="left"/>
      </w:pPr>
      <w:r>
        <w:rPr>
          <w:i/>
          <w:color w:val="111111"/>
        </w:rPr>
        <w:t xml:space="preserve"> </w:t>
      </w:r>
    </w:p>
    <w:p w:rsidR="00EE0979" w:rsidRDefault="00B022A0">
      <w:pPr>
        <w:pStyle w:val="Ttulo2"/>
        <w:ind w:right="93"/>
      </w:pPr>
      <w:r>
        <w:t xml:space="preserve">Contestación.-- </w:t>
      </w:r>
    </w:p>
    <w:p w:rsidR="00EE0979" w:rsidRDefault="00B022A0">
      <w:pPr>
        <w:spacing w:after="79" w:line="315" w:lineRule="auto"/>
        <w:ind w:left="9" w:right="95" w:hanging="10"/>
      </w:pPr>
      <w:r>
        <w:rPr>
          <w:i/>
          <w:color w:val="111111"/>
        </w:rPr>
        <w:t>El art. 51.1 del Texto Refundido de la Ley de Enseñanza Primaria, aprobado por Decreto 193/1967, de 2 de febrero (LA LEY 123/1967) (EC 556/1967) atribuye ex lege la propiedad de los edificios públicos escolares, cualquiera que sea el procedimiento de finan</w:t>
      </w:r>
      <w:r>
        <w:rPr>
          <w:i/>
          <w:color w:val="111111"/>
        </w:rPr>
        <w:t>ciación, a los Ayuntamientos. El municipio se subroga en todas las acciones y derechos que pudieran corresponder a los organismos que hayan financiado su construcción. Construidos los edificios escolares pasan a propiedad municipal.</w:t>
      </w:r>
      <w:r>
        <w:rPr>
          <w:rFonts w:ascii="Times New Roman" w:eastAsia="Times New Roman" w:hAnsi="Times New Roman" w:cs="Times New Roman"/>
          <w:sz w:val="24"/>
        </w:rPr>
        <w:t xml:space="preserve"> </w:t>
      </w:r>
    </w:p>
    <w:p w:rsidR="00EE0979" w:rsidRDefault="00B022A0">
      <w:pPr>
        <w:spacing w:after="79" w:line="315" w:lineRule="auto"/>
        <w:ind w:left="9" w:right="95" w:hanging="10"/>
      </w:pPr>
      <w:r>
        <w:rPr>
          <w:i/>
          <w:color w:val="111111"/>
        </w:rPr>
        <w:t>Ahora bien, no todos l</w:t>
      </w:r>
      <w:r>
        <w:rPr>
          <w:i/>
          <w:color w:val="111111"/>
        </w:rPr>
        <w:t xml:space="preserve">os centros docentes pasan a propiedad municipal, sino que, a la vista de la disposición adicional 17.ª de la Ley Orgánica 1/1990, de 3 de octubre (LA LEY 2578/1990) (EC 1764/1990), de Ordenación General del Sistema Educativo, y del art. 4 del Real Decreto </w:t>
      </w:r>
      <w:r>
        <w:rPr>
          <w:i/>
          <w:color w:val="111111"/>
        </w:rPr>
        <w:t>2274/1993 de 22 de diciembre (LA LEY 270/1994) (EC 391/1994), sólo pasarán a propiedad municipal los centros de educación infantil (2.º ciclo) y los de enseñanza primaria y especial. Por ello, el citado art. 4 del Real Decreto 2274/1993 (LA LEY 270/1994) d</w:t>
      </w:r>
      <w:r>
        <w:rPr>
          <w:i/>
          <w:color w:val="111111"/>
        </w:rPr>
        <w:t>istingue los conceptos de puesta a disposición y cesión gratuita de terrenos.</w:t>
      </w:r>
      <w:r>
        <w:rPr>
          <w:rFonts w:ascii="Times New Roman" w:eastAsia="Times New Roman" w:hAnsi="Times New Roman" w:cs="Times New Roman"/>
          <w:sz w:val="24"/>
        </w:rPr>
        <w:t xml:space="preserve"> </w:t>
      </w:r>
    </w:p>
    <w:p w:rsidR="00EE0979" w:rsidRDefault="00B022A0">
      <w:pPr>
        <w:spacing w:after="105" w:line="315" w:lineRule="auto"/>
        <w:ind w:left="9" w:right="95" w:hanging="10"/>
      </w:pPr>
      <w:r>
        <w:rPr>
          <w:i/>
          <w:color w:val="111111"/>
        </w:rPr>
        <w:t>Los trámites de cesión gratuita sólo serán precisos cuando el centro público devenga de propiedad estatal o autonómica. Si el centro docente es por ley de propiedad municipal, n</w:t>
      </w:r>
      <w:r>
        <w:rPr>
          <w:i/>
          <w:color w:val="111111"/>
        </w:rPr>
        <w:t>o tiene sentido transmitir la propiedad del solar para construir el centro que posteriormente se integrará en el patrimonio del Ayuntamiento. Por ello, simplemente, se ponen a disposición del Ministerio o del órgano competente de la Comunidad Autónoma, con</w:t>
      </w:r>
      <w:r>
        <w:rPr>
          <w:i/>
          <w:color w:val="111111"/>
        </w:rPr>
        <w:t xml:space="preserve"> la finalidad de que el centro sea construido. </w:t>
      </w:r>
    </w:p>
    <w:p w:rsidR="00EE0979" w:rsidRDefault="00B022A0">
      <w:pPr>
        <w:spacing w:after="0" w:line="315" w:lineRule="auto"/>
        <w:ind w:left="9" w:right="95" w:hanging="10"/>
      </w:pPr>
      <w:r>
        <w:rPr>
          <w:i/>
          <w:color w:val="111111"/>
        </w:rPr>
        <w:t>De ahí que, en el caso consultado, baste un simple acuerdo plenario para acordar la puesta a disposición --que no es más que una cesión temporal-- que haga posible la construcción del centro y la ocupación de</w:t>
      </w:r>
      <w:r>
        <w:rPr>
          <w:i/>
          <w:color w:val="111111"/>
        </w:rPr>
        <w:t>l solar mientras duren las obras. Otra cosa sería si lo que se pretende construir es un Centro de ESO, en cuyo caso, al quedar el centro de propiedad estatal o autonómica, sería preciso tramitar expediente de cesión gratuita.</w:t>
      </w:r>
      <w:r>
        <w:rPr>
          <w:color w:val="111111"/>
        </w:rPr>
        <w:t>”</w:t>
      </w:r>
      <w:r>
        <w:rPr>
          <w:rFonts w:ascii="Times New Roman" w:eastAsia="Times New Roman" w:hAnsi="Times New Roman" w:cs="Times New Roman"/>
          <w:sz w:val="24"/>
        </w:rPr>
        <w:t xml:space="preserve"> </w:t>
      </w:r>
    </w:p>
    <w:p w:rsidR="00EE0979" w:rsidRDefault="00B022A0">
      <w:pPr>
        <w:spacing w:after="259" w:line="259" w:lineRule="auto"/>
        <w:ind w:left="722" w:firstLine="0"/>
        <w:jc w:val="left"/>
      </w:pPr>
      <w:r>
        <w:t xml:space="preserve"> </w:t>
      </w:r>
    </w:p>
    <w:p w:rsidR="00EE0979" w:rsidRDefault="00B022A0">
      <w:pPr>
        <w:spacing w:after="255" w:line="265" w:lineRule="auto"/>
        <w:ind w:left="624" w:right="721" w:hanging="10"/>
        <w:jc w:val="center"/>
      </w:pPr>
      <w:r>
        <w:rPr>
          <w:b/>
        </w:rPr>
        <w:t xml:space="preserve">Vista la Ley 7/1985, de 2 </w:t>
      </w:r>
      <w:r>
        <w:rPr>
          <w:b/>
        </w:rPr>
        <w:t xml:space="preserve">de abril, Reguladora de las Bases del Régimen Local. </w:t>
      </w:r>
    </w:p>
    <w:p w:rsidR="00EE0979" w:rsidRDefault="00B022A0">
      <w:pPr>
        <w:spacing w:after="274"/>
        <w:ind w:left="14" w:right="100" w:firstLine="708"/>
      </w:pPr>
      <w:r>
        <w:rPr>
          <w:b/>
        </w:rPr>
        <w:t>Artículo 33. 2.</w:t>
      </w:r>
      <w:r>
        <w:t xml:space="preserve"> Corresponde en todo caso al Pleno: ñ) Aquellas atribuciones que deban corresponder al Pleno por exigir su aprobación una mayoría especial.  </w:t>
      </w:r>
    </w:p>
    <w:p w:rsidR="00EE0979" w:rsidRDefault="00B022A0">
      <w:pPr>
        <w:spacing w:after="275"/>
        <w:ind w:left="14" w:right="100" w:firstLine="708"/>
      </w:pPr>
      <w:r>
        <w:t>En base a los antecedentes de hecho y fundame</w:t>
      </w:r>
      <w:r>
        <w:t xml:space="preserve">ntos de Derecho expuestos, se emite la siguiente, </w:t>
      </w:r>
    </w:p>
    <w:p w:rsidR="00EE0979" w:rsidRDefault="00B022A0">
      <w:pPr>
        <w:pStyle w:val="Ttulo1"/>
        <w:numPr>
          <w:ilvl w:val="0"/>
          <w:numId w:val="0"/>
        </w:numPr>
        <w:spacing w:after="95"/>
        <w:ind w:left="624" w:right="707"/>
      </w:pPr>
      <w:r>
        <w:t xml:space="preserve">INFORME-PROPUESTA DE RESOLUCIÓN </w:t>
      </w:r>
    </w:p>
    <w:p w:rsidR="00EE0979" w:rsidRDefault="00B022A0">
      <w:pPr>
        <w:spacing w:after="98" w:line="259" w:lineRule="auto"/>
        <w:ind w:left="0" w:right="36" w:firstLine="0"/>
        <w:jc w:val="center"/>
      </w:pPr>
      <w:r>
        <w:t xml:space="preserve"> </w:t>
      </w:r>
    </w:p>
    <w:p w:rsidR="00EE0979" w:rsidRDefault="00B022A0">
      <w:pPr>
        <w:spacing w:after="111"/>
        <w:ind w:right="100"/>
      </w:pPr>
      <w:r>
        <w:rPr>
          <w:b/>
        </w:rPr>
        <w:t xml:space="preserve">Primero. - </w:t>
      </w:r>
      <w:r>
        <w:t xml:space="preserve">Aprobar la cesión temporal de uso de los siguientes bienes inmuebles de propiedad municipal al Cabildo Insular de Tenerife: </w:t>
      </w:r>
    </w:p>
    <w:p w:rsidR="00EE0979" w:rsidRDefault="00B022A0">
      <w:pPr>
        <w:spacing w:after="0" w:line="259" w:lineRule="auto"/>
        <w:ind w:left="14" w:firstLine="0"/>
        <w:jc w:val="left"/>
      </w:pPr>
      <w: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4"/>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7"/>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1"/>
        <w:ind w:right="100"/>
      </w:pPr>
      <w:r>
        <w:rPr>
          <w:b/>
        </w:rPr>
        <w:t xml:space="preserve">Segundo. - </w:t>
      </w:r>
      <w:r>
        <w:t xml:space="preserve"> </w:t>
      </w:r>
      <w:r>
        <w:t>Poner a disposición del Cabildo Insular de Tenerife de los bienes descritos en el informe técnico emitido por la Arquitecta municipal con fecha 13 de abril de 2023, con el objeto de destinarlos a la ejecución del proyecto “Proyecto de remodelación de la Pl</w:t>
      </w:r>
      <w:r>
        <w:t>aza de la Patrona de Canarias y su entorno, canalización de cauce e implantación de obras hidráulicas.</w:t>
      </w:r>
      <w:r>
        <w:rPr>
          <w:b/>
        </w:rPr>
        <w:t>”</w:t>
      </w:r>
      <w:r>
        <w:t xml:space="preserve">  </w:t>
      </w:r>
    </w:p>
    <w:p w:rsidR="00EE0979" w:rsidRDefault="00B022A0">
      <w:pPr>
        <w:spacing w:after="106"/>
        <w:ind w:right="100"/>
      </w:pPr>
      <w:r>
        <w:rPr>
          <w:b/>
        </w:rPr>
        <w:t xml:space="preserve">Tercero. - </w:t>
      </w:r>
      <w:r>
        <w:t xml:space="preserve">Facultar a la Alcaldía para la firma de documentación que se derive en la ejecución del Acuerdo que se adopte.” </w:t>
      </w:r>
    </w:p>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6"/>
        <w:ind w:right="99" w:hanging="10"/>
      </w:pPr>
      <w:r>
        <w:rPr>
          <w:b/>
        </w:rPr>
        <w:t>Consta en el expedient</w:t>
      </w:r>
      <w:r>
        <w:rPr>
          <w:b/>
        </w:rPr>
        <w:t xml:space="preserve">e propuesta de la Alcaldesa-Presidenta, de fecha 19 de abril de 2023, cuyo tenor literal es el siguiente: </w:t>
      </w:r>
    </w:p>
    <w:p w:rsidR="00EE0979" w:rsidRDefault="00B022A0">
      <w:pPr>
        <w:spacing w:after="98" w:line="259" w:lineRule="auto"/>
        <w:ind w:left="14" w:firstLine="0"/>
        <w:jc w:val="left"/>
      </w:pPr>
      <w:r>
        <w:t xml:space="preserve"> </w:t>
      </w:r>
    </w:p>
    <w:p w:rsidR="00EE0979" w:rsidRDefault="00B022A0">
      <w:pPr>
        <w:spacing w:after="146" w:line="259" w:lineRule="auto"/>
        <w:ind w:left="14" w:firstLine="0"/>
        <w:jc w:val="left"/>
      </w:pPr>
      <w:r>
        <w:t xml:space="preserve"> </w:t>
      </w:r>
    </w:p>
    <w:p w:rsidR="00EE0979" w:rsidRDefault="00B022A0">
      <w:pPr>
        <w:pStyle w:val="Ttulo1"/>
        <w:numPr>
          <w:ilvl w:val="0"/>
          <w:numId w:val="0"/>
        </w:numPr>
        <w:spacing w:after="189"/>
        <w:ind w:left="624" w:right="711"/>
      </w:pPr>
      <w:r>
        <w:t>“PROPUESTA</w:t>
      </w:r>
      <w:r>
        <w:rPr>
          <w:rFonts w:ascii="Times New Roman" w:eastAsia="Times New Roman" w:hAnsi="Times New Roman" w:cs="Times New Roman"/>
          <w:b w:val="0"/>
          <w:sz w:val="24"/>
        </w:rPr>
        <w:t xml:space="preserve"> </w:t>
      </w:r>
    </w:p>
    <w:p w:rsidR="00EE0979" w:rsidRDefault="00B022A0">
      <w:pPr>
        <w:ind w:right="100"/>
      </w:pPr>
      <w:r>
        <w:t>La que suscribe, Alcaldesa-</w:t>
      </w:r>
      <w:r>
        <w:t>Presidenta del Ayuntamiento de la Villa de Candelaria, al amparo de lo dispuesto en el Reglamento de Organización, Funcionamiento y Régimen Jurídico de las Entidades Locales, así como en la Ley 7/1985, de 2 de abril, Reguladora de las Bases de Régimen Loca</w:t>
      </w:r>
      <w:r>
        <w:t xml:space="preserve">l, tienen el honor de someter a la consideración del Ayuntamiento Pleno la siguiente propuesta: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5"/>
        <w:ind w:left="624" w:right="2421"/>
      </w:pPr>
      <w:r>
        <w:t xml:space="preserve">                            “INFORME                             </w:t>
      </w:r>
      <w:r>
        <w:rPr>
          <w:b w:val="0"/>
        </w:rPr>
        <w:t xml:space="preserve"> </w:t>
      </w:r>
    </w:p>
    <w:p w:rsidR="00EE0979" w:rsidRDefault="00B022A0">
      <w:pPr>
        <w:spacing w:after="114"/>
        <w:ind w:right="99" w:hanging="10"/>
      </w:pPr>
      <w:r>
        <w:rPr>
          <w:b/>
        </w:rPr>
        <w:t xml:space="preserve">Visto el expediente antedicho, la funcionaria Mª del Pilar Chico Delgado, que desempeña </w:t>
      </w:r>
      <w:r>
        <w:rPr>
          <w:b/>
        </w:rPr>
        <w:t>el puesto de trabajo de técnico de adm.gral. conformado por el Secretario General, debidamente fiscalizado favorablemente por el Interventor Municipal, emite el siguiente informe:</w:t>
      </w:r>
      <w:r>
        <w:t xml:space="preserve"> </w:t>
      </w:r>
    </w:p>
    <w:p w:rsidR="00EE0979" w:rsidRDefault="00B022A0">
      <w:pPr>
        <w:spacing w:after="98" w:line="259" w:lineRule="auto"/>
        <w:ind w:left="14" w:firstLine="0"/>
        <w:jc w:val="left"/>
      </w:pPr>
      <w:r>
        <w:t xml:space="preserve">  </w:t>
      </w:r>
    </w:p>
    <w:p w:rsidR="00EE0979" w:rsidRDefault="00B022A0">
      <w:pPr>
        <w:pStyle w:val="Ttulo1"/>
        <w:numPr>
          <w:ilvl w:val="0"/>
          <w:numId w:val="0"/>
        </w:numPr>
        <w:spacing w:after="92"/>
        <w:ind w:left="624" w:right="709"/>
      </w:pPr>
      <w:r>
        <w:t xml:space="preserve">Antecedentes de hecho  </w:t>
      </w:r>
    </w:p>
    <w:p w:rsidR="00EE0979" w:rsidRDefault="00B022A0">
      <w:pPr>
        <w:spacing w:after="101" w:line="259" w:lineRule="auto"/>
        <w:ind w:left="0" w:right="36" w:firstLine="0"/>
        <w:jc w:val="center"/>
      </w:pPr>
      <w:r>
        <w:rPr>
          <w:b/>
        </w:rPr>
        <w:t xml:space="preserve"> </w:t>
      </w:r>
    </w:p>
    <w:p w:rsidR="00EE0979" w:rsidRDefault="00B022A0">
      <w:pPr>
        <w:ind w:right="100"/>
      </w:pPr>
      <w:r>
        <w:rPr>
          <w:b/>
        </w:rPr>
        <w:t xml:space="preserve"> </w:t>
      </w:r>
      <w:r>
        <w:rPr>
          <w:b/>
        </w:rPr>
        <w:tab/>
        <w:t>Visto</w:t>
      </w:r>
      <w:r>
        <w:t xml:space="preserve"> informe técnico de fecha 13 de abril d</w:t>
      </w:r>
      <w:r>
        <w:t xml:space="preserve">e 2023, emitido por la Arquitecta municipal que dice: </w:t>
      </w:r>
    </w:p>
    <w:p w:rsidR="00EE0979" w:rsidRDefault="00B022A0">
      <w:pPr>
        <w:spacing w:after="100" w:line="259" w:lineRule="auto"/>
        <w:ind w:left="14" w:firstLine="0"/>
        <w:jc w:val="left"/>
      </w:pPr>
      <w:r>
        <w:t xml:space="preserve"> </w:t>
      </w:r>
    </w:p>
    <w:p w:rsidR="00EE0979" w:rsidRDefault="00B022A0">
      <w:pPr>
        <w:spacing w:after="132" w:line="259" w:lineRule="auto"/>
        <w:ind w:left="14" w:firstLine="0"/>
        <w:jc w:val="left"/>
      </w:pPr>
      <w:r>
        <w:t xml:space="preserve"> </w:t>
      </w:r>
    </w:p>
    <w:p w:rsidR="00EE0979" w:rsidRDefault="00B022A0">
      <w:pPr>
        <w:pStyle w:val="Ttulo1"/>
        <w:numPr>
          <w:ilvl w:val="0"/>
          <w:numId w:val="0"/>
        </w:numPr>
        <w:spacing w:after="95"/>
        <w:ind w:left="624" w:right="709"/>
      </w:pPr>
      <w:r>
        <w:t>“INFORME</w:t>
      </w:r>
      <w:r>
        <w:rPr>
          <w:b w:val="0"/>
        </w:rPr>
        <w:t xml:space="preserve"> </w:t>
      </w:r>
    </w:p>
    <w:p w:rsidR="00EE0979" w:rsidRDefault="00B022A0">
      <w:pPr>
        <w:spacing w:after="142"/>
        <w:ind w:right="100"/>
      </w:pPr>
      <w:r>
        <w:t>A la vista del Oficio presentado por el Cabildo Insular de Tenerife, con fecha 3 de abril de 2023, con número de registro de entrada</w:t>
      </w:r>
      <w:r>
        <w:rPr>
          <w:b/>
        </w:rPr>
        <w:t xml:space="preserve"> </w:t>
      </w:r>
      <w:r>
        <w:t>2023-E-RC-4045</w:t>
      </w:r>
      <w:r>
        <w:rPr>
          <w:b/>
        </w:rPr>
        <w:t xml:space="preserve">, </w:t>
      </w:r>
      <w:r>
        <w:t>en relación con la puesta a disposición de los terrenos necesarios para la ejecución del “Proyecto de remodelación de la Plaza de la Patrona de Canarias y su entorno, canalización de cauce e implantación de obras hidráulicas” así como aclaración del alcanc</w:t>
      </w:r>
      <w:r>
        <w:t xml:space="preserve">e de la Concesión del Paseo de San Blas, Nayra Guzmán Hernández, arquitecta, emite el presente informe: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ANTECEDENTES </w:t>
      </w:r>
    </w:p>
    <w:p w:rsidR="00EE0979" w:rsidRDefault="00B022A0">
      <w:pPr>
        <w:spacing w:after="0" w:line="259" w:lineRule="auto"/>
        <w:ind w:left="14" w:firstLine="0"/>
        <w:jc w:val="left"/>
      </w:pPr>
      <w:r>
        <w:rPr>
          <w:b/>
        </w:rPr>
        <w:t xml:space="preserve"> </w:t>
      </w:r>
    </w:p>
    <w:p w:rsidR="00EE0979" w:rsidRDefault="00B022A0">
      <w:pPr>
        <w:numPr>
          <w:ilvl w:val="0"/>
          <w:numId w:val="63"/>
        </w:numPr>
        <w:spacing w:after="39"/>
        <w:ind w:right="100" w:hanging="283"/>
      </w:pPr>
      <w:r>
        <w:t xml:space="preserve">Con fecha 14 de mayo del 2009, se resuelve adjudicar, como resultado del Concurso de Ideas, la Remodelación de la Plaza de la Patrona y su Entorno, Término Municipal de Candelaria al Equipo Redactor </w:t>
      </w:r>
      <w:r>
        <w:rPr>
          <w:b/>
        </w:rPr>
        <w:t>RUIZ-LARREA &amp; ASOCIADOS S.L Y ESTUDIO ARQUITECTURA EUSTAQ</w:t>
      </w:r>
      <w:r>
        <w:rPr>
          <w:b/>
        </w:rPr>
        <w:t>UIO MARTÍNEZ SLPU “RLA &amp; EM UTE”</w:t>
      </w:r>
      <w:r>
        <w:rPr>
          <w:rFonts w:ascii="Times New Roman" w:eastAsia="Times New Roman" w:hAnsi="Times New Roman" w:cs="Times New Roman"/>
          <w:sz w:val="24"/>
        </w:rPr>
        <w:t xml:space="preserve"> </w:t>
      </w:r>
    </w:p>
    <w:p w:rsidR="00EE0979" w:rsidRDefault="00B022A0">
      <w:pPr>
        <w:numPr>
          <w:ilvl w:val="0"/>
          <w:numId w:val="63"/>
        </w:numPr>
        <w:spacing w:after="34"/>
        <w:ind w:right="100" w:hanging="283"/>
      </w:pPr>
      <w:r>
        <w:t>Con fecha 9 de noviembre de 2010, se aprueba por el Excmo. Cabildo Insular de Tenerife (Área de Turismo y Planificación), el Plan Director para la redacción del proyecto de la Remodelación de la Plaza de la Patrona y su En</w:t>
      </w:r>
      <w:r>
        <w:t xml:space="preserve">torno, Término Municipal de Candelaria </w:t>
      </w:r>
    </w:p>
    <w:p w:rsidR="00EE0979" w:rsidRDefault="00B022A0">
      <w:pPr>
        <w:numPr>
          <w:ilvl w:val="0"/>
          <w:numId w:val="63"/>
        </w:numPr>
        <w:spacing w:after="42"/>
        <w:ind w:right="100" w:hanging="283"/>
      </w:pPr>
      <w:r>
        <w:t xml:space="preserve">Con fecha 11 de febrero de 2011, se presentan por parte del Ayuntamiento de Candelaria, sugerencias al Documento del Plan Director  </w:t>
      </w:r>
    </w:p>
    <w:p w:rsidR="00EE0979" w:rsidRDefault="00B022A0">
      <w:pPr>
        <w:numPr>
          <w:ilvl w:val="0"/>
          <w:numId w:val="63"/>
        </w:numPr>
        <w:spacing w:after="42"/>
        <w:ind w:right="100" w:hanging="283"/>
      </w:pPr>
      <w:r>
        <w:t xml:space="preserve">Con fecha 26 de enero de 2016 se presenta informe por parte de la Comisión Insular </w:t>
      </w:r>
      <w:r>
        <w:t xml:space="preserve">de Patrimonio Histórico del Excmo. Cabildo Insular de Tenerife </w:t>
      </w:r>
    </w:p>
    <w:p w:rsidR="00EE0979" w:rsidRDefault="00B022A0">
      <w:pPr>
        <w:numPr>
          <w:ilvl w:val="0"/>
          <w:numId w:val="63"/>
        </w:numPr>
        <w:spacing w:after="44"/>
        <w:ind w:right="100" w:hanging="283"/>
      </w:pPr>
      <w:r>
        <w:t xml:space="preserve">Con fecha 14 de febrero de 2019, se presenta Proyecto de Remodelación de la Plaza de la Basílica. </w:t>
      </w:r>
    </w:p>
    <w:p w:rsidR="00EE0979" w:rsidRDefault="00B022A0">
      <w:pPr>
        <w:numPr>
          <w:ilvl w:val="0"/>
          <w:numId w:val="63"/>
        </w:numPr>
        <w:spacing w:after="42"/>
        <w:ind w:right="100" w:hanging="283"/>
      </w:pPr>
      <w:r>
        <w:t xml:space="preserve">Con fecha 14 de marzo de 2019 y nº de registro de salida se remite al Cabildo, informe sobre </w:t>
      </w:r>
      <w:r>
        <w:t xml:space="preserve">la compatibilidad urbanística del Proyecto, con las siguientes conclusiones: </w:t>
      </w:r>
    </w:p>
    <w:p w:rsidR="00EE0979" w:rsidRDefault="00B022A0">
      <w:pPr>
        <w:spacing w:after="39" w:line="259" w:lineRule="auto"/>
        <w:ind w:left="14" w:firstLine="0"/>
        <w:jc w:val="left"/>
      </w:pPr>
      <w:r>
        <w:rPr>
          <w:b/>
        </w:rPr>
        <w:t xml:space="preserve"> </w:t>
      </w:r>
    </w:p>
    <w:p w:rsidR="00EE0979" w:rsidRDefault="00B022A0">
      <w:pPr>
        <w:spacing w:after="25"/>
        <w:ind w:left="591" w:right="98" w:hanging="10"/>
      </w:pPr>
      <w:r>
        <w:rPr>
          <w:i/>
        </w:rPr>
        <w:t xml:space="preserve">“…Los tres sectores, se encuentran dentro </w:t>
      </w:r>
      <w:r>
        <w:rPr>
          <w:i/>
        </w:rPr>
        <w:t>del Suelo Urbano Consolidado de Interés Cultural, en el Casco de Candelaria, incluido en el Bien de Interés Cultural, en la categoría de Monumento, del Santuario de la Virgen de Candelaria y del Convento. El entorno abarca el antiguo Ayuntamiento, La Plaza</w:t>
      </w:r>
      <w:r>
        <w:rPr>
          <w:i/>
        </w:rPr>
        <w:t xml:space="preserve">, y los Riscos de la Basílica hasta la Cueva de San Blas. </w:t>
      </w:r>
    </w:p>
    <w:p w:rsidR="00EE0979" w:rsidRDefault="00B022A0">
      <w:pPr>
        <w:spacing w:after="19" w:line="259" w:lineRule="auto"/>
        <w:ind w:left="581" w:firstLine="0"/>
        <w:jc w:val="left"/>
      </w:pPr>
      <w:r>
        <w:rPr>
          <w:i/>
        </w:rPr>
        <w:t xml:space="preserve"> </w:t>
      </w:r>
    </w:p>
    <w:p w:rsidR="00EE0979" w:rsidRDefault="00B022A0">
      <w:pPr>
        <w:spacing w:after="27"/>
        <w:ind w:left="591" w:right="98" w:hanging="10"/>
      </w:pPr>
      <w:r>
        <w:rPr>
          <w:i/>
        </w:rPr>
        <w:t>Las obras permitidas en líneas generales son las de son de conservación, restauración y consolidación y por tanto las obras descritas dentro del Proyecto de Remodelación de la Plaza de la Basílic</w:t>
      </w:r>
      <w:r>
        <w:rPr>
          <w:i/>
        </w:rPr>
        <w:t xml:space="preserve">a, incluidas dentro de los tres primeros sectores se consideran COMPATIBLES con el Plan General de Ordenación.  </w:t>
      </w:r>
    </w:p>
    <w:p w:rsidR="00EE0979" w:rsidRDefault="00B022A0">
      <w:pPr>
        <w:spacing w:after="16" w:line="259" w:lineRule="auto"/>
        <w:ind w:left="581" w:firstLine="0"/>
        <w:jc w:val="left"/>
      </w:pPr>
      <w:r>
        <w:rPr>
          <w:i/>
        </w:rPr>
        <w:t xml:space="preserve"> </w:t>
      </w:r>
    </w:p>
    <w:p w:rsidR="00EE0979" w:rsidRDefault="00B022A0">
      <w:pPr>
        <w:spacing w:after="25"/>
        <w:ind w:left="591" w:right="98" w:hanging="10"/>
      </w:pPr>
      <w:r>
        <w:rPr>
          <w:i/>
        </w:rPr>
        <w:t>En el presente informe se comprueba la compatibilidad urbanística del proyecto presentado con el Plan General de Ordenación y por tanto queda</w:t>
      </w:r>
      <w:r>
        <w:rPr>
          <w:i/>
        </w:rPr>
        <w:t xml:space="preserve">rá condicionado a cuantos informes sectoriales le sea de aplicación, en especial a los emitidos por la Comisión Insular de Patrimonio Histórico del Excmo. Cabildo Insular de Tenerife, Consejo Insular de aguas y Demarcación de Costas ,..” </w:t>
      </w:r>
    </w:p>
    <w:p w:rsidR="00EE0979" w:rsidRDefault="00B022A0">
      <w:pPr>
        <w:ind w:left="14" w:right="100" w:firstLine="852"/>
      </w:pPr>
      <w:r>
        <w:rPr>
          <w:i/>
        </w:rPr>
        <w:t xml:space="preserve"> </w:t>
      </w:r>
      <w:r>
        <w:rPr>
          <w:rFonts w:ascii="Courier New" w:eastAsia="Courier New" w:hAnsi="Courier New" w:cs="Courier New"/>
          <w:sz w:val="37"/>
          <w:vertAlign w:val="subscript"/>
        </w:rPr>
        <w:t>o</w:t>
      </w:r>
      <w:r>
        <w:rPr>
          <w:sz w:val="24"/>
        </w:rPr>
        <w:t xml:space="preserve"> </w:t>
      </w:r>
      <w:r>
        <w:t xml:space="preserve">  Con fecha 28</w:t>
      </w:r>
      <w:r>
        <w:t xml:space="preserve"> de septiembre de 2020 y nº de registro de entrada 2020-E-RC-10531 se presenta por parte del Cabildo el Proyecto actualizado recogiendo las consideraciones realizadas por los diferentes organismos y entidades públicas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left="441" w:right="100" w:hanging="427"/>
      </w:pPr>
      <w:r>
        <w:rPr>
          <w:rFonts w:ascii="Courier New" w:eastAsia="Courier New" w:hAnsi="Courier New" w:cs="Courier New"/>
        </w:rPr>
        <w:t>o</w:t>
      </w:r>
      <w:r>
        <w:t xml:space="preserve">   Con fecha 25 de febrero de 2021</w:t>
      </w:r>
      <w:r>
        <w:t xml:space="preserve"> se solicita por parte del Ayuntamiento autorización de del Servicio Provincial de Costas de las Obras contenidas en el Proyecto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ÁMBITO DE EJECUCION DEL PROYECTO  </w:t>
      </w:r>
    </w:p>
    <w:p w:rsidR="00EE0979" w:rsidRDefault="00B022A0">
      <w:pPr>
        <w:spacing w:after="0" w:line="259" w:lineRule="auto"/>
        <w:ind w:left="14" w:firstLine="0"/>
        <w:jc w:val="left"/>
      </w:pPr>
      <w:r>
        <w:rPr>
          <w:b/>
        </w:rPr>
        <w:t xml:space="preserve"> </w:t>
      </w:r>
    </w:p>
    <w:p w:rsidR="00EE0979" w:rsidRDefault="00B022A0">
      <w:pPr>
        <w:ind w:right="100"/>
      </w:pPr>
      <w:r>
        <w:t xml:space="preserve">En el proyecto presentado, se distinguen tres ámbitos diferenciados, que se dividen en </w:t>
      </w:r>
      <w:r>
        <w:t>sectores comprendidos entre el Paseo de San Blas y el final de la calle Antón Guanche: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SECTOR 1 Paseo Marítimo </w:t>
      </w:r>
    </w:p>
    <w:p w:rsidR="00EE0979" w:rsidRDefault="00B022A0">
      <w:pPr>
        <w:ind w:right="100"/>
      </w:pPr>
      <w:r>
        <w:t xml:space="preserve">SECTOR 2 Plaza de la Patrona </w:t>
      </w:r>
    </w:p>
    <w:p w:rsidR="00EE0979" w:rsidRDefault="00B022A0">
      <w:pPr>
        <w:ind w:right="100"/>
      </w:pPr>
      <w:r>
        <w:t xml:space="preserve">SECTOR 3 Plaza de los Artesanos </w:t>
      </w:r>
    </w:p>
    <w:p w:rsidR="00EE0979" w:rsidRDefault="00B022A0">
      <w:pPr>
        <w:spacing w:after="0" w:line="259" w:lineRule="auto"/>
        <w:ind w:left="14" w:firstLine="0"/>
        <w:jc w:val="left"/>
      </w:pPr>
      <w:r>
        <w:t xml:space="preserve"> </w:t>
      </w:r>
    </w:p>
    <w:p w:rsidR="00EE0979" w:rsidRDefault="00B022A0">
      <w:pPr>
        <w:spacing w:after="0" w:line="259" w:lineRule="auto"/>
        <w:ind w:left="0" w:right="1075" w:firstLine="0"/>
        <w:jc w:val="right"/>
      </w:pPr>
      <w:r>
        <w:rPr>
          <w:noProof/>
        </w:rPr>
        <w:drawing>
          <wp:inline distT="0" distB="0" distL="0" distR="0">
            <wp:extent cx="4770163" cy="4555303"/>
            <wp:effectExtent l="0" t="0" r="0" b="0"/>
            <wp:docPr id="20993" name="Picture 20993"/>
            <wp:cNvGraphicFramePr/>
            <a:graphic xmlns:a="http://schemas.openxmlformats.org/drawingml/2006/main">
              <a:graphicData uri="http://schemas.openxmlformats.org/drawingml/2006/picture">
                <pic:pic xmlns:pic="http://schemas.openxmlformats.org/drawingml/2006/picture">
                  <pic:nvPicPr>
                    <pic:cNvPr id="20993" name="Picture 20993"/>
                    <pic:cNvPicPr/>
                  </pic:nvPicPr>
                  <pic:blipFill>
                    <a:blip r:embed="rId24"/>
                    <a:stretch>
                      <a:fillRect/>
                    </a:stretch>
                  </pic:blipFill>
                  <pic:spPr>
                    <a:xfrm>
                      <a:off x="0" y="0"/>
                      <a:ext cx="4770163" cy="4555303"/>
                    </a:xfrm>
                    <a:prstGeom prst="rect">
                      <a:avLst/>
                    </a:prstGeom>
                  </pic:spPr>
                </pic:pic>
              </a:graphicData>
            </a:graphic>
          </wp:inline>
        </w:drawing>
      </w: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left="384" w:right="99" w:hanging="10"/>
      </w:pPr>
      <w:r>
        <w:rPr>
          <w:b/>
        </w:rPr>
        <w:t xml:space="preserve">5. INVENTARIO MUNICIPAL DE BIENES </w:t>
      </w:r>
    </w:p>
    <w:p w:rsidR="00EE0979" w:rsidRDefault="00B022A0">
      <w:pPr>
        <w:spacing w:after="0" w:line="259" w:lineRule="auto"/>
        <w:ind w:left="14" w:firstLine="0"/>
        <w:jc w:val="left"/>
      </w:pPr>
      <w:r>
        <w:rPr>
          <w:b/>
        </w:rPr>
        <w:t xml:space="preserve"> </w:t>
      </w:r>
    </w:p>
    <w:p w:rsidR="00EE0979" w:rsidRDefault="00B022A0">
      <w:pPr>
        <w:ind w:right="100"/>
      </w:pPr>
      <w:r>
        <w:t xml:space="preserve">A la vista de los Acuerdos de la Junta de Gobierno Local para la actualización del Inventario de bienes del Ayuntamiento de Candelaria y la aprobación de las siguientes fichas: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Plaza del Ayuntamiento Viejo de Candelaria: Acuerdo de la Junta de Gobierno </w:t>
      </w:r>
      <w:r>
        <w:rPr>
          <w:b/>
        </w:rPr>
        <w:t xml:space="preserve">Local de fecha </w:t>
      </w:r>
    </w:p>
    <w:p w:rsidR="00EE0979" w:rsidRDefault="00B022A0">
      <w:pPr>
        <w:spacing w:after="6"/>
        <w:ind w:right="99" w:hanging="10"/>
      </w:pPr>
      <w:r>
        <w:rPr>
          <w:b/>
        </w:rPr>
        <w:t xml:space="preserve">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1/138 </w:t>
      </w:r>
    </w:p>
    <w:p w:rsidR="00EE0979" w:rsidRDefault="00B022A0">
      <w:pPr>
        <w:spacing w:after="0" w:line="259" w:lineRule="auto"/>
        <w:ind w:left="1706" w:firstLine="0"/>
        <w:jc w:val="left"/>
      </w:pPr>
      <w:r>
        <w:t xml:space="preserve">   </w:t>
      </w:r>
      <w:r>
        <w:rPr>
          <w:rFonts w:ascii="Calibri" w:eastAsia="Calibri" w:hAnsi="Calibri" w:cs="Calibri"/>
          <w:noProof/>
        </w:rPr>
        <mc:AlternateContent>
          <mc:Choice Requires="wpg">
            <w:drawing>
              <wp:inline distT="0" distB="0" distL="0" distR="0">
                <wp:extent cx="3812860" cy="4681729"/>
                <wp:effectExtent l="0" t="0" r="0" b="0"/>
                <wp:docPr id="260590" name="Group 260590"/>
                <wp:cNvGraphicFramePr/>
                <a:graphic xmlns:a="http://schemas.openxmlformats.org/drawingml/2006/main">
                  <a:graphicData uri="http://schemas.microsoft.com/office/word/2010/wordprocessingGroup">
                    <wpg:wgp>
                      <wpg:cNvGrpSpPr/>
                      <wpg:grpSpPr>
                        <a:xfrm>
                          <a:off x="0" y="0"/>
                          <a:ext cx="3812860" cy="4681729"/>
                          <a:chOff x="0" y="0"/>
                          <a:chExt cx="3812860" cy="4681729"/>
                        </a:xfrm>
                      </wpg:grpSpPr>
                      <wps:wsp>
                        <wps:cNvPr id="21033" name="Rectangle 21033"/>
                        <wps:cNvSpPr/>
                        <wps:spPr>
                          <a:xfrm>
                            <a:off x="3719449" y="3464790"/>
                            <a:ext cx="50673" cy="224379"/>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4873" name="Picture 284873"/>
                          <pic:cNvPicPr/>
                        </pic:nvPicPr>
                        <pic:blipFill>
                          <a:blip r:embed="rId42"/>
                          <a:stretch>
                            <a:fillRect/>
                          </a:stretch>
                        </pic:blipFill>
                        <pic:spPr>
                          <a:xfrm>
                            <a:off x="-4571" y="-2538"/>
                            <a:ext cx="3712464" cy="3596640"/>
                          </a:xfrm>
                          <a:prstGeom prst="rect">
                            <a:avLst/>
                          </a:prstGeom>
                        </pic:spPr>
                      </pic:pic>
                      <pic:pic xmlns:pic="http://schemas.openxmlformats.org/drawingml/2006/picture">
                        <pic:nvPicPr>
                          <pic:cNvPr id="284874" name="Picture 284874"/>
                          <pic:cNvPicPr/>
                        </pic:nvPicPr>
                        <pic:blipFill>
                          <a:blip r:embed="rId26"/>
                          <a:stretch>
                            <a:fillRect/>
                          </a:stretch>
                        </pic:blipFill>
                        <pic:spPr>
                          <a:xfrm>
                            <a:off x="10668" y="3597149"/>
                            <a:ext cx="3800856" cy="1085088"/>
                          </a:xfrm>
                          <a:prstGeom prst="rect">
                            <a:avLst/>
                          </a:prstGeom>
                        </pic:spPr>
                      </pic:pic>
                    </wpg:wgp>
                  </a:graphicData>
                </a:graphic>
              </wp:inline>
            </w:drawing>
          </mc:Choice>
          <mc:Fallback xmlns:a="http://schemas.openxmlformats.org/drawingml/2006/main">
            <w:pict>
              <v:group id="Group 260590" style="width:300.225pt;height:368.64pt;mso-position-horizontal-relative:char;mso-position-vertical-relative:line" coordsize="38128,46817">
                <v:rect id="Rectangle 21033" style="position:absolute;width:506;height:2243;left:37194;top:3464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4873" style="position:absolute;width:37124;height:35966;left:-45;top:-25;" filled="f">
                  <v:imagedata r:id="rId43"/>
                </v:shape>
                <v:shape id="Picture 284874" style="position:absolute;width:38008;height:10850;left:106;top:35971;" filled="f">
                  <v:imagedata r:id="rId29"/>
                </v:shape>
              </v:group>
            </w:pict>
          </mc:Fallback>
        </mc:AlternateContent>
      </w:r>
      <w:r>
        <w:t xml:space="preserve">           </w:t>
      </w:r>
    </w:p>
    <w:p w:rsidR="00EE0979" w:rsidRDefault="00B022A0">
      <w:pPr>
        <w:spacing w:after="52" w:line="259" w:lineRule="auto"/>
        <w:ind w:left="0" w:right="35" w:firstLine="0"/>
        <w:jc w:val="center"/>
      </w:pPr>
      <w:r>
        <w:rPr>
          <w:noProof/>
        </w:rPr>
        <w:drawing>
          <wp:inline distT="0" distB="0" distL="0" distR="0">
            <wp:extent cx="3452022" cy="1904905"/>
            <wp:effectExtent l="0" t="0" r="0" b="0"/>
            <wp:docPr id="21073" name="Picture 21073"/>
            <wp:cNvGraphicFramePr/>
            <a:graphic xmlns:a="http://schemas.openxmlformats.org/drawingml/2006/main">
              <a:graphicData uri="http://schemas.openxmlformats.org/drawingml/2006/picture">
                <pic:pic xmlns:pic="http://schemas.openxmlformats.org/drawingml/2006/picture">
                  <pic:nvPicPr>
                    <pic:cNvPr id="21073" name="Picture 21073"/>
                    <pic:cNvPicPr/>
                  </pic:nvPicPr>
                  <pic:blipFill>
                    <a:blip r:embed="rId27"/>
                    <a:stretch>
                      <a:fillRect/>
                    </a:stretch>
                  </pic:blipFill>
                  <pic:spPr>
                    <a:xfrm>
                      <a:off x="0" y="0"/>
                      <a:ext cx="3452022" cy="1904905"/>
                    </a:xfrm>
                    <a:prstGeom prst="rect">
                      <a:avLst/>
                    </a:prstGeom>
                  </pic:spPr>
                </pic:pic>
              </a:graphicData>
            </a:graphic>
          </wp:inline>
        </w:drawing>
      </w:r>
      <w:r>
        <w:t xml:space="preserve"> </w:t>
      </w:r>
    </w:p>
    <w:p w:rsidR="00EE0979" w:rsidRDefault="00B022A0">
      <w:pPr>
        <w:spacing w:after="95" w:line="259" w:lineRule="auto"/>
        <w:ind w:left="0" w:right="36" w:firstLine="0"/>
        <w:jc w:val="center"/>
      </w:pPr>
      <w:r>
        <w:t xml:space="preserve"> </w:t>
      </w:r>
    </w:p>
    <w:p w:rsidR="00EE0979" w:rsidRDefault="00B022A0">
      <w:pPr>
        <w:spacing w:after="6"/>
        <w:ind w:right="99" w:hanging="10"/>
      </w:pPr>
      <w:r>
        <w:rPr>
          <w:b/>
        </w:rPr>
        <w:t xml:space="preserve">Terrenos y bienes naturales de la Plaza del Ayuntamiento viejo de Candelaria: Acuerdo de la Junta de Gobierno Local de fecha 1 de febrero de 2023 </w:t>
      </w:r>
    </w:p>
    <w:p w:rsidR="00EE0979" w:rsidRDefault="00B022A0">
      <w:pPr>
        <w:spacing w:after="0" w:line="259" w:lineRule="auto"/>
        <w:ind w:left="734" w:firstLine="0"/>
        <w:jc w:val="left"/>
      </w:pPr>
      <w:r>
        <w:rPr>
          <w:b/>
        </w:rPr>
        <w:t xml:space="preserve"> </w:t>
      </w:r>
    </w:p>
    <w:p w:rsidR="00EE0979" w:rsidRDefault="00B022A0">
      <w:pPr>
        <w:spacing w:after="6"/>
        <w:ind w:right="99" w:hanging="10"/>
      </w:pPr>
      <w:r>
        <w:rPr>
          <w:b/>
        </w:rPr>
        <w:t xml:space="preserve">Nº de inventario 11/134 </w:t>
      </w:r>
    </w:p>
    <w:p w:rsidR="00EE0979" w:rsidRDefault="00B022A0">
      <w:pPr>
        <w:spacing w:after="0" w:line="259" w:lineRule="auto"/>
        <w:ind w:left="734" w:firstLine="0"/>
        <w:jc w:val="left"/>
      </w:pPr>
      <w:r>
        <w:rPr>
          <w:rFonts w:ascii="Times New Roman" w:eastAsia="Times New Roman" w:hAnsi="Times New Roman" w:cs="Times New Roman"/>
          <w:b/>
          <w:sz w:val="24"/>
        </w:rPr>
        <w:t xml:space="preserve"> </w:t>
      </w:r>
    </w:p>
    <w:p w:rsidR="00EE0979" w:rsidRDefault="00B022A0">
      <w:pPr>
        <w:spacing w:after="0" w:line="259" w:lineRule="auto"/>
        <w:ind w:left="0" w:right="1533" w:firstLine="0"/>
        <w:jc w:val="right"/>
      </w:pPr>
      <w:r>
        <w:rPr>
          <w:noProof/>
        </w:rPr>
        <w:drawing>
          <wp:inline distT="0" distB="0" distL="0" distR="0">
            <wp:extent cx="4170511" cy="3055480"/>
            <wp:effectExtent l="0" t="0" r="0" b="0"/>
            <wp:docPr id="21075" name="Picture 21075"/>
            <wp:cNvGraphicFramePr/>
            <a:graphic xmlns:a="http://schemas.openxmlformats.org/drawingml/2006/main">
              <a:graphicData uri="http://schemas.openxmlformats.org/drawingml/2006/picture">
                <pic:pic xmlns:pic="http://schemas.openxmlformats.org/drawingml/2006/picture">
                  <pic:nvPicPr>
                    <pic:cNvPr id="21075" name="Picture 21075"/>
                    <pic:cNvPicPr/>
                  </pic:nvPicPr>
                  <pic:blipFill>
                    <a:blip r:embed="rId31"/>
                    <a:stretch>
                      <a:fillRect/>
                    </a:stretch>
                  </pic:blipFill>
                  <pic:spPr>
                    <a:xfrm>
                      <a:off x="0" y="0"/>
                      <a:ext cx="4170511" cy="305548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309" w:lineRule="auto"/>
        <w:ind w:left="4795" w:right="1577" w:hanging="3255"/>
      </w:pPr>
      <w:r>
        <w:rPr>
          <w:noProof/>
        </w:rPr>
        <w:drawing>
          <wp:inline distT="0" distB="0" distL="0" distR="0">
            <wp:extent cx="4110564" cy="4091874"/>
            <wp:effectExtent l="0" t="0" r="0" b="0"/>
            <wp:docPr id="21097" name="Picture 21097"/>
            <wp:cNvGraphicFramePr/>
            <a:graphic xmlns:a="http://schemas.openxmlformats.org/drawingml/2006/main">
              <a:graphicData uri="http://schemas.openxmlformats.org/drawingml/2006/picture">
                <pic:pic xmlns:pic="http://schemas.openxmlformats.org/drawingml/2006/picture">
                  <pic:nvPicPr>
                    <pic:cNvPr id="21097" name="Picture 21097"/>
                    <pic:cNvPicPr/>
                  </pic:nvPicPr>
                  <pic:blipFill>
                    <a:blip r:embed="rId34"/>
                    <a:stretch>
                      <a:fillRect/>
                    </a:stretch>
                  </pic:blipFill>
                  <pic:spPr>
                    <a:xfrm>
                      <a:off x="0" y="0"/>
                      <a:ext cx="4110564" cy="4091874"/>
                    </a:xfrm>
                    <a:prstGeom prst="rect">
                      <a:avLst/>
                    </a:prstGeom>
                  </pic:spPr>
                </pic:pic>
              </a:graphicData>
            </a:graphic>
          </wp:inline>
        </w:drawing>
      </w:r>
      <w:r>
        <w:t xml:space="preserve">  </w:t>
      </w:r>
    </w:p>
    <w:p w:rsidR="00EE0979" w:rsidRDefault="00B022A0">
      <w:pPr>
        <w:spacing w:after="50" w:line="259" w:lineRule="auto"/>
        <w:ind w:left="0" w:right="1154" w:firstLine="0"/>
        <w:jc w:val="right"/>
      </w:pPr>
      <w:r>
        <w:rPr>
          <w:noProof/>
        </w:rPr>
        <w:drawing>
          <wp:inline distT="0" distB="0" distL="0" distR="0">
            <wp:extent cx="4662139" cy="6553595"/>
            <wp:effectExtent l="0" t="0" r="0" b="0"/>
            <wp:docPr id="21124" name="Picture 21124"/>
            <wp:cNvGraphicFramePr/>
            <a:graphic xmlns:a="http://schemas.openxmlformats.org/drawingml/2006/main">
              <a:graphicData uri="http://schemas.openxmlformats.org/drawingml/2006/picture">
                <pic:pic xmlns:pic="http://schemas.openxmlformats.org/drawingml/2006/picture">
                  <pic:nvPicPr>
                    <pic:cNvPr id="21124" name="Picture 21124"/>
                    <pic:cNvPicPr/>
                  </pic:nvPicPr>
                  <pic:blipFill>
                    <a:blip r:embed="rId35"/>
                    <a:stretch>
                      <a:fillRect/>
                    </a:stretch>
                  </pic:blipFill>
                  <pic:spPr>
                    <a:xfrm>
                      <a:off x="0" y="0"/>
                      <a:ext cx="4662139" cy="6553595"/>
                    </a:xfrm>
                    <a:prstGeom prst="rect">
                      <a:avLst/>
                    </a:prstGeom>
                  </pic:spPr>
                </pic:pic>
              </a:graphicData>
            </a:graphic>
          </wp:inline>
        </w:drawing>
      </w:r>
      <w:r>
        <w:t xml:space="preserve"> </w:t>
      </w:r>
    </w:p>
    <w:p w:rsidR="00EE0979" w:rsidRDefault="00B022A0">
      <w:pPr>
        <w:spacing w:after="100" w:line="259" w:lineRule="auto"/>
        <w:ind w:left="0" w:right="36" w:firstLine="0"/>
        <w:jc w:val="center"/>
      </w:pPr>
      <w:r>
        <w:t xml:space="preserve"> </w:t>
      </w:r>
    </w:p>
    <w:p w:rsidR="00EE0979" w:rsidRDefault="00B022A0">
      <w:pPr>
        <w:spacing w:after="98" w:line="259" w:lineRule="auto"/>
        <w:ind w:left="0" w:right="36" w:firstLine="0"/>
        <w:jc w:val="center"/>
      </w:pPr>
      <w:r>
        <w:t xml:space="preserve"> </w:t>
      </w:r>
    </w:p>
    <w:p w:rsidR="00EE0979" w:rsidRDefault="00B022A0">
      <w:pPr>
        <w:spacing w:after="115"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3" w:line="265" w:lineRule="auto"/>
        <w:ind w:left="124" w:hanging="10"/>
        <w:jc w:val="center"/>
      </w:pPr>
      <w:r>
        <w:rPr>
          <w:rFonts w:ascii="Times New Roman" w:eastAsia="Times New Roman" w:hAnsi="Times New Roman" w:cs="Times New Roman"/>
          <w:b/>
          <w:sz w:val="24"/>
        </w:rPr>
        <w:t>6.</w:t>
      </w:r>
      <w:r>
        <w:rPr>
          <w:b/>
          <w:sz w:val="24"/>
        </w:rPr>
        <w:t xml:space="preserve"> </w:t>
      </w:r>
      <w:r>
        <w:rPr>
          <w:b/>
        </w:rPr>
        <w:t xml:space="preserve">CONCESION PARA LA LEGALIZACION DE LAS OBRAS DEL PASEO DE SAN BLAS. </w:t>
      </w:r>
    </w:p>
    <w:p w:rsidR="00EE0979" w:rsidRDefault="00B022A0">
      <w:pPr>
        <w:spacing w:after="6"/>
        <w:ind w:left="744" w:right="99" w:hanging="10"/>
      </w:pPr>
      <w:r>
        <w:rPr>
          <w:b/>
        </w:rPr>
        <w:t>EXPEDIENTE 5113/2020</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color w:val="2F3E4D"/>
        </w:rPr>
        <w:t xml:space="preserve"> </w:t>
      </w:r>
    </w:p>
    <w:tbl>
      <w:tblPr>
        <w:tblStyle w:val="TableGrid"/>
        <w:tblW w:w="9565" w:type="dxa"/>
        <w:tblInd w:w="14" w:type="dxa"/>
        <w:tblCellMar>
          <w:top w:w="2" w:type="dxa"/>
          <w:left w:w="0" w:type="dxa"/>
          <w:bottom w:w="0" w:type="dxa"/>
          <w:right w:w="0" w:type="dxa"/>
        </w:tblCellMar>
        <w:tblLook w:val="04A0" w:firstRow="1" w:lastRow="0" w:firstColumn="1" w:lastColumn="0" w:noHBand="0" w:noVBand="1"/>
      </w:tblPr>
      <w:tblGrid>
        <w:gridCol w:w="6131"/>
        <w:gridCol w:w="3435"/>
      </w:tblGrid>
      <w:tr w:rsidR="00EE0979">
        <w:trPr>
          <w:trHeight w:val="258"/>
        </w:trPr>
        <w:tc>
          <w:tcPr>
            <w:tcW w:w="9565" w:type="dxa"/>
            <w:gridSpan w:val="2"/>
            <w:tcBorders>
              <w:top w:val="nil"/>
              <w:left w:val="nil"/>
              <w:bottom w:val="nil"/>
              <w:right w:val="nil"/>
            </w:tcBorders>
            <w:shd w:val="clear" w:color="auto" w:fill="F5F7F9"/>
          </w:tcPr>
          <w:p w:rsidR="00EE0979" w:rsidRDefault="00B022A0">
            <w:pPr>
              <w:spacing w:after="0" w:line="259" w:lineRule="auto"/>
              <w:ind w:left="0" w:right="-3" w:firstLine="0"/>
            </w:pPr>
            <w:r>
              <w:rPr>
                <w:color w:val="2F3E4D"/>
              </w:rPr>
              <w:t xml:space="preserve">La concesión para legalización de obras de protección marina del Paseo de San Blas, </w:t>
            </w:r>
            <w:r>
              <w:rPr>
                <w:b/>
                <w:color w:val="2F3E4D"/>
              </w:rPr>
              <w:t xml:space="preserve">se solicita </w:t>
            </w:r>
          </w:p>
        </w:tc>
      </w:tr>
      <w:tr w:rsidR="00EE0979">
        <w:trPr>
          <w:trHeight w:val="253"/>
        </w:trPr>
        <w:tc>
          <w:tcPr>
            <w:tcW w:w="9565" w:type="dxa"/>
            <w:gridSpan w:val="2"/>
            <w:tcBorders>
              <w:top w:val="nil"/>
              <w:left w:val="nil"/>
              <w:bottom w:val="nil"/>
              <w:right w:val="nil"/>
            </w:tcBorders>
            <w:shd w:val="clear" w:color="auto" w:fill="F5F7F9"/>
          </w:tcPr>
          <w:p w:rsidR="00EE0979" w:rsidRDefault="00B022A0">
            <w:pPr>
              <w:spacing w:after="0" w:line="259" w:lineRule="auto"/>
              <w:ind w:left="0" w:firstLine="0"/>
            </w:pPr>
            <w:r>
              <w:rPr>
                <w:b/>
                <w:color w:val="2F3E4D"/>
              </w:rPr>
              <w:t>con motivo de la legalización de las obras de emergencia autorizadas por el Servicio Pro-</w:t>
            </w:r>
          </w:p>
        </w:tc>
      </w:tr>
      <w:tr w:rsidR="00EE0979">
        <w:trPr>
          <w:trHeight w:val="259"/>
        </w:trPr>
        <w:tc>
          <w:tcPr>
            <w:tcW w:w="6131" w:type="dxa"/>
            <w:tcBorders>
              <w:top w:val="nil"/>
              <w:left w:val="nil"/>
              <w:bottom w:val="nil"/>
              <w:right w:val="nil"/>
            </w:tcBorders>
            <w:shd w:val="clear" w:color="auto" w:fill="F5F7F9"/>
          </w:tcPr>
          <w:p w:rsidR="00EE0979" w:rsidRDefault="00B022A0">
            <w:pPr>
              <w:spacing w:after="0" w:line="259" w:lineRule="auto"/>
              <w:ind w:left="0" w:firstLine="0"/>
            </w:pPr>
            <w:r>
              <w:rPr>
                <w:b/>
                <w:color w:val="2F3E4D"/>
              </w:rPr>
              <w:t xml:space="preserve">vincial de Costas </w:t>
            </w:r>
            <w:r>
              <w:rPr>
                <w:color w:val="2F3E4D"/>
              </w:rPr>
              <w:t>y</w:t>
            </w:r>
            <w:r>
              <w:rPr>
                <w:b/>
                <w:color w:val="2F3E4D"/>
              </w:rPr>
              <w:t xml:space="preserve"> </w:t>
            </w:r>
            <w:r>
              <w:rPr>
                <w:color w:val="2F3E4D"/>
              </w:rPr>
              <w:t>que se ejecutaron</w:t>
            </w:r>
            <w:r>
              <w:rPr>
                <w:b/>
                <w:color w:val="2F3E4D"/>
              </w:rPr>
              <w:t xml:space="preserve"> </w:t>
            </w:r>
            <w:r>
              <w:rPr>
                <w:color w:val="2F3E4D"/>
              </w:rPr>
              <w:t>en los años 2014/2015.</w:t>
            </w:r>
          </w:p>
        </w:tc>
        <w:tc>
          <w:tcPr>
            <w:tcW w:w="3435" w:type="dxa"/>
            <w:tcBorders>
              <w:top w:val="nil"/>
              <w:left w:val="nil"/>
              <w:bottom w:val="nil"/>
              <w:right w:val="nil"/>
            </w:tcBorders>
          </w:tcPr>
          <w:p w:rsidR="00EE0979" w:rsidRDefault="00B022A0">
            <w:pPr>
              <w:spacing w:after="0" w:line="259" w:lineRule="auto"/>
              <w:ind w:left="-1" w:firstLine="0"/>
              <w:jc w:val="left"/>
            </w:pPr>
            <w:r>
              <w:rPr>
                <w:color w:val="2F3E4D"/>
              </w:rPr>
              <w:t xml:space="preserve"> </w:t>
            </w:r>
            <w:r>
              <w:rPr>
                <w:rFonts w:ascii="Times New Roman" w:eastAsia="Times New Roman" w:hAnsi="Times New Roman" w:cs="Times New Roman"/>
                <w:sz w:val="24"/>
              </w:rPr>
              <w:t xml:space="preserve"> </w:t>
            </w:r>
          </w:p>
        </w:tc>
      </w:tr>
    </w:tbl>
    <w:p w:rsidR="00EE0979" w:rsidRDefault="00B022A0">
      <w:pPr>
        <w:spacing w:after="0" w:line="259" w:lineRule="auto"/>
        <w:ind w:left="14" w:firstLine="0"/>
        <w:jc w:val="left"/>
      </w:pPr>
      <w:r>
        <w:t xml:space="preserve"> </w:t>
      </w:r>
    </w:p>
    <w:p w:rsidR="00EE0979" w:rsidRDefault="00B022A0">
      <w:pPr>
        <w:ind w:right="100"/>
      </w:pPr>
      <w:r>
        <w:t>El procedimiento de declaración de emergencia, así como las correspondientes autorizaciones de costas se localizan en el Expediente 2012/2842 que se denomina, “Obras de Emergencia de las actuaciones necesarias para la Protección Marítima del B.I.C. del San</w:t>
      </w:r>
      <w:r>
        <w:t xml:space="preserve">tuario y Convento de la Candelaria.”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r>
        <w:br w:type="page"/>
      </w:r>
    </w:p>
    <w:p w:rsidR="00EE0979" w:rsidRDefault="00B022A0">
      <w:pPr>
        <w:spacing w:after="0" w:line="259" w:lineRule="auto"/>
        <w:ind w:left="0" w:right="1021" w:firstLine="0"/>
        <w:jc w:val="right"/>
      </w:pPr>
      <w:r>
        <w:rPr>
          <w:noProof/>
        </w:rPr>
        <w:drawing>
          <wp:inline distT="0" distB="0" distL="0" distR="0">
            <wp:extent cx="4838730" cy="6027418"/>
            <wp:effectExtent l="0" t="0" r="0" b="0"/>
            <wp:docPr id="21225" name="Picture 21225"/>
            <wp:cNvGraphicFramePr/>
            <a:graphic xmlns:a="http://schemas.openxmlformats.org/drawingml/2006/main">
              <a:graphicData uri="http://schemas.openxmlformats.org/drawingml/2006/picture">
                <pic:pic xmlns:pic="http://schemas.openxmlformats.org/drawingml/2006/picture">
                  <pic:nvPicPr>
                    <pic:cNvPr id="21225" name="Picture 21225"/>
                    <pic:cNvPicPr/>
                  </pic:nvPicPr>
                  <pic:blipFill>
                    <a:blip r:embed="rId36"/>
                    <a:stretch>
                      <a:fillRect/>
                    </a:stretch>
                  </pic:blipFill>
                  <pic:spPr>
                    <a:xfrm>
                      <a:off x="0" y="0"/>
                      <a:ext cx="4838730" cy="602741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Cronología Expediente 5113/2020 de solicitud de concesión del Paseo de San Blas:</w:t>
      </w:r>
      <w:r>
        <w:rPr>
          <w:rFonts w:ascii="Times New Roman" w:eastAsia="Times New Roman" w:hAnsi="Times New Roman" w:cs="Times New Roman"/>
          <w:sz w:val="24"/>
        </w:rPr>
        <w:t xml:space="preserve"> </w:t>
      </w:r>
    </w:p>
    <w:p w:rsidR="00EE0979" w:rsidRDefault="00B022A0">
      <w:pPr>
        <w:spacing w:after="0" w:line="259" w:lineRule="auto"/>
        <w:ind w:left="0" w:right="36" w:firstLine="0"/>
        <w:jc w:val="center"/>
      </w:pPr>
      <w:r>
        <w:t xml:space="preserve"> </w:t>
      </w:r>
    </w:p>
    <w:p w:rsidR="00EE0979" w:rsidRDefault="00B022A0">
      <w:pPr>
        <w:numPr>
          <w:ilvl w:val="0"/>
          <w:numId w:val="64"/>
        </w:numPr>
        <w:spacing w:after="27"/>
        <w:ind w:right="100" w:hanging="283"/>
      </w:pPr>
      <w:r>
        <w:t>Con fecha 19 de diciembre de 2019 y registro de salida 2019-S-RC-6604, se solicita Concesión de Ocupación del DPMT Paseo S</w:t>
      </w:r>
      <w:r>
        <w:t xml:space="preserve">an Blas para llevar a cabo la Protección Marítima del B.I.C. del Santuario y Convento de la Candelaria. </w:t>
      </w:r>
    </w:p>
    <w:p w:rsidR="00EE0979" w:rsidRDefault="00B022A0">
      <w:pPr>
        <w:spacing w:after="17" w:line="259" w:lineRule="auto"/>
        <w:ind w:left="14" w:firstLine="0"/>
        <w:jc w:val="left"/>
      </w:pPr>
      <w:r>
        <w:t xml:space="preserve"> </w:t>
      </w:r>
    </w:p>
    <w:p w:rsidR="00EE0979" w:rsidRDefault="00B022A0">
      <w:pPr>
        <w:numPr>
          <w:ilvl w:val="0"/>
          <w:numId w:val="64"/>
        </w:numPr>
        <w:ind w:right="100" w:hanging="283"/>
      </w:pPr>
      <w:r>
        <w:t xml:space="preserve">El Servicio Provincial de Costas Tenerife requiere documentación el 7 de julio de 2020 y registro de entrada 2020-E-RC-6793 </w:t>
      </w:r>
    </w:p>
    <w:p w:rsidR="00EE0979" w:rsidRDefault="00B022A0">
      <w:pPr>
        <w:spacing w:after="14" w:line="259" w:lineRule="auto"/>
        <w:ind w:left="14" w:firstLine="0"/>
        <w:jc w:val="left"/>
      </w:pPr>
      <w:r>
        <w:t xml:space="preserve"> </w:t>
      </w:r>
    </w:p>
    <w:p w:rsidR="00EE0979" w:rsidRDefault="00B022A0">
      <w:pPr>
        <w:numPr>
          <w:ilvl w:val="0"/>
          <w:numId w:val="64"/>
        </w:numPr>
        <w:ind w:right="100" w:hanging="283"/>
      </w:pPr>
      <w:r>
        <w:t xml:space="preserve">Con fecha 6 de agosto de 2020 y registro de salida 2020-S-RC-2360, se remite documentación al Servicio Provincial de Costas para subsanar la documentación requerida. </w:t>
      </w:r>
      <w:r>
        <w:rPr>
          <w:rFonts w:ascii="Times New Roman" w:eastAsia="Times New Roman" w:hAnsi="Times New Roman" w:cs="Times New Roman"/>
          <w:sz w:val="24"/>
        </w:rPr>
        <w:t xml:space="preserve"> </w:t>
      </w:r>
    </w:p>
    <w:p w:rsidR="00EE0979" w:rsidRDefault="00B022A0">
      <w:pPr>
        <w:spacing w:after="14" w:line="259" w:lineRule="auto"/>
        <w:ind w:left="734" w:firstLine="0"/>
        <w:jc w:val="left"/>
      </w:pPr>
      <w:r>
        <w:t xml:space="preserve"> </w:t>
      </w:r>
    </w:p>
    <w:p w:rsidR="00EE0979" w:rsidRDefault="00B022A0">
      <w:pPr>
        <w:numPr>
          <w:ilvl w:val="0"/>
          <w:numId w:val="64"/>
        </w:numPr>
        <w:ind w:right="100" w:hanging="283"/>
      </w:pPr>
      <w:r>
        <w:t xml:space="preserve">El 16 de octubre de 2020, se realiza el Acta de Confrontación de los suelos objeto de </w:t>
      </w:r>
      <w:r>
        <w:t xml:space="preserve">concesión por parte del Servicio Provincial de Costas y se pone de manifiesto que se debe incluir </w:t>
      </w:r>
      <w:r>
        <w:rPr>
          <w:b/>
        </w:rPr>
        <w:t>el tramo final del paseo y la parte correspondiente de la escollera, que se encuentran ocupando Dominio Público Marítimo Terrestre. (se incorpora extracto del</w:t>
      </w:r>
      <w:r>
        <w:rPr>
          <w:b/>
        </w:rPr>
        <w:t xml:space="preserve"> acta al presente informe)</w:t>
      </w:r>
      <w:r>
        <w:rPr>
          <w:rFonts w:ascii="Times New Roman" w:eastAsia="Times New Roman" w:hAnsi="Times New Roman" w:cs="Times New Roman"/>
          <w:sz w:val="24"/>
        </w:rPr>
        <w:t xml:space="preserve"> </w:t>
      </w:r>
    </w:p>
    <w:p w:rsidR="00EE0979" w:rsidRDefault="00B022A0">
      <w:pPr>
        <w:spacing w:after="14" w:line="259" w:lineRule="auto"/>
        <w:ind w:left="14" w:firstLine="0"/>
        <w:jc w:val="left"/>
      </w:pPr>
      <w:r>
        <w:t xml:space="preserve"> </w:t>
      </w:r>
    </w:p>
    <w:p w:rsidR="00EE0979" w:rsidRDefault="00B022A0">
      <w:pPr>
        <w:numPr>
          <w:ilvl w:val="0"/>
          <w:numId w:val="64"/>
        </w:numPr>
        <w:ind w:right="100" w:hanging="283"/>
      </w:pPr>
      <w:r>
        <w:t>Con fecha 18 de diciembre de 2020 y registro de salida 2020-S-RC-4105. Se aporta plano con la superficie que no se había incluido en el proyecto inicialmente, perteneciente al tramo final del paseo y la escollera, resultando l</w:t>
      </w:r>
      <w:r>
        <w:t xml:space="preserve">a superficie total ocupada en dominio público marítimo terrestre y </w:t>
      </w:r>
      <w:r>
        <w:rPr>
          <w:b/>
        </w:rPr>
        <w:t>sometida a concesión de 2.554,86 m2</w:t>
      </w:r>
      <w:r>
        <w:t xml:space="preserve">, de acuerdo a lo requerido en el Acta de Confrontación firmada de fecha 16 de octubre de 2020. </w:t>
      </w:r>
      <w:r>
        <w:rPr>
          <w:rFonts w:ascii="Times New Roman" w:eastAsia="Times New Roman" w:hAnsi="Times New Roman" w:cs="Times New Roman"/>
          <w:sz w:val="24"/>
        </w:rPr>
        <w:t xml:space="preserve"> </w:t>
      </w:r>
    </w:p>
    <w:p w:rsidR="00EE0979" w:rsidRDefault="00B022A0">
      <w:pPr>
        <w:spacing w:after="16" w:line="259" w:lineRule="auto"/>
        <w:ind w:left="298" w:firstLine="0"/>
        <w:jc w:val="left"/>
      </w:pPr>
      <w:r>
        <w:t xml:space="preserve"> </w:t>
      </w:r>
    </w:p>
    <w:p w:rsidR="00EE0979" w:rsidRDefault="00B022A0">
      <w:pPr>
        <w:numPr>
          <w:ilvl w:val="0"/>
          <w:numId w:val="64"/>
        </w:numPr>
        <w:spacing w:after="27"/>
        <w:ind w:right="100" w:hanging="283"/>
      </w:pPr>
      <w:r>
        <w:t>El Servicio Provincial de Costas Tenerife requiere doc</w:t>
      </w:r>
      <w:r>
        <w:t xml:space="preserve">umentación el 7 de enero de 2021 y registro de entrada 2021-E-RC-75 </w:t>
      </w:r>
    </w:p>
    <w:p w:rsidR="00EE0979" w:rsidRDefault="00B022A0">
      <w:pPr>
        <w:spacing w:after="11" w:line="259" w:lineRule="auto"/>
        <w:ind w:left="734" w:firstLine="0"/>
        <w:jc w:val="left"/>
      </w:pPr>
      <w:r>
        <w:t xml:space="preserve"> </w:t>
      </w:r>
    </w:p>
    <w:p w:rsidR="00EE0979" w:rsidRDefault="00B022A0">
      <w:pPr>
        <w:numPr>
          <w:ilvl w:val="0"/>
          <w:numId w:val="64"/>
        </w:numPr>
        <w:ind w:right="100" w:hanging="283"/>
      </w:pPr>
      <w:r>
        <w:t xml:space="preserve">Con fecha 21 de enero de 2021 y registro de salida 2021-S-RC-150 se remite al Servicio Provincial de Costas la documentación requerida. </w:t>
      </w:r>
      <w:r>
        <w:rPr>
          <w:rFonts w:ascii="Times New Roman" w:eastAsia="Times New Roman" w:hAnsi="Times New Roman" w:cs="Times New Roman"/>
          <w:sz w:val="24"/>
        </w:rPr>
        <w:t xml:space="preserve"> </w:t>
      </w:r>
    </w:p>
    <w:p w:rsidR="00EE0979" w:rsidRDefault="00B022A0">
      <w:pPr>
        <w:spacing w:after="14" w:line="259" w:lineRule="auto"/>
        <w:ind w:left="734" w:firstLine="0"/>
        <w:jc w:val="left"/>
      </w:pPr>
      <w:r>
        <w:t xml:space="preserve"> </w:t>
      </w:r>
    </w:p>
    <w:p w:rsidR="00EE0979" w:rsidRDefault="00B022A0">
      <w:pPr>
        <w:numPr>
          <w:ilvl w:val="0"/>
          <w:numId w:val="64"/>
        </w:numPr>
        <w:ind w:right="100" w:hanging="283"/>
      </w:pPr>
      <w:r>
        <w:t>Con fecha 10 de febrero de 2021 y registro de</w:t>
      </w:r>
      <w:r>
        <w:t xml:space="preserve"> entrada 2021-E-RC-1389 Se recibe del Servicio Provincial de Costas, anuncio de información Pública relativa a la solicitud de Concesión para la Legalización de las Obras de Protección Marítima del Paseo de San Blas, T.M. De Candelaria.</w:t>
      </w:r>
      <w:r>
        <w:rPr>
          <w:rFonts w:ascii="Times New Roman" w:eastAsia="Times New Roman" w:hAnsi="Times New Roman" w:cs="Times New Roman"/>
          <w:sz w:val="24"/>
        </w:rPr>
        <w:t xml:space="preserve"> </w:t>
      </w:r>
    </w:p>
    <w:p w:rsidR="00EE0979" w:rsidRDefault="00B022A0">
      <w:pPr>
        <w:spacing w:after="0" w:line="259" w:lineRule="auto"/>
        <w:ind w:left="0" w:right="376" w:firstLine="0"/>
        <w:jc w:val="right"/>
      </w:pPr>
      <w:r>
        <w:rPr>
          <w:noProof/>
        </w:rPr>
        <w:drawing>
          <wp:inline distT="0" distB="0" distL="0" distR="0">
            <wp:extent cx="5861304" cy="7196328"/>
            <wp:effectExtent l="0" t="0" r="0" b="0"/>
            <wp:docPr id="284875" name="Picture 284875"/>
            <wp:cNvGraphicFramePr/>
            <a:graphic xmlns:a="http://schemas.openxmlformats.org/drawingml/2006/main">
              <a:graphicData uri="http://schemas.openxmlformats.org/drawingml/2006/picture">
                <pic:pic xmlns:pic="http://schemas.openxmlformats.org/drawingml/2006/picture">
                  <pic:nvPicPr>
                    <pic:cNvPr id="284875" name="Picture 284875"/>
                    <pic:cNvPicPr/>
                  </pic:nvPicPr>
                  <pic:blipFill>
                    <a:blip r:embed="rId37"/>
                    <a:stretch>
                      <a:fillRect/>
                    </a:stretch>
                  </pic:blipFill>
                  <pic:spPr>
                    <a:xfrm>
                      <a:off x="0" y="0"/>
                      <a:ext cx="5861304" cy="7196328"/>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color w:val="FF0000"/>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0" w:right="393" w:firstLine="0"/>
        <w:jc w:val="right"/>
      </w:pPr>
      <w:r>
        <w:rPr>
          <w:noProof/>
        </w:rPr>
        <w:drawing>
          <wp:inline distT="0" distB="0" distL="0" distR="0">
            <wp:extent cx="5638801" cy="3660649"/>
            <wp:effectExtent l="0" t="0" r="0" b="0"/>
            <wp:docPr id="284876" name="Picture 284876"/>
            <wp:cNvGraphicFramePr/>
            <a:graphic xmlns:a="http://schemas.openxmlformats.org/drawingml/2006/main">
              <a:graphicData uri="http://schemas.openxmlformats.org/drawingml/2006/picture">
                <pic:pic xmlns:pic="http://schemas.openxmlformats.org/drawingml/2006/picture">
                  <pic:nvPicPr>
                    <pic:cNvPr id="284876" name="Picture 284876"/>
                    <pic:cNvPicPr/>
                  </pic:nvPicPr>
                  <pic:blipFill>
                    <a:blip r:embed="rId44"/>
                    <a:stretch>
                      <a:fillRect/>
                    </a:stretch>
                  </pic:blipFill>
                  <pic:spPr>
                    <a:xfrm>
                      <a:off x="0" y="0"/>
                      <a:ext cx="5638801" cy="3660649"/>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spacing w:after="0" w:line="259" w:lineRule="auto"/>
        <w:ind w:left="0" w:right="397" w:firstLine="0"/>
        <w:jc w:val="right"/>
      </w:pPr>
      <w:r>
        <w:rPr>
          <w:noProof/>
        </w:rPr>
        <w:drawing>
          <wp:inline distT="0" distB="0" distL="0" distR="0">
            <wp:extent cx="5852144" cy="2903287"/>
            <wp:effectExtent l="0" t="0" r="0" b="0"/>
            <wp:docPr id="21525" name="Picture 21525"/>
            <wp:cNvGraphicFramePr/>
            <a:graphic xmlns:a="http://schemas.openxmlformats.org/drawingml/2006/main">
              <a:graphicData uri="http://schemas.openxmlformats.org/drawingml/2006/picture">
                <pic:pic xmlns:pic="http://schemas.openxmlformats.org/drawingml/2006/picture">
                  <pic:nvPicPr>
                    <pic:cNvPr id="21525" name="Picture 21525"/>
                    <pic:cNvPicPr/>
                  </pic:nvPicPr>
                  <pic:blipFill>
                    <a:blip r:embed="rId39"/>
                    <a:stretch>
                      <a:fillRect/>
                    </a:stretch>
                  </pic:blipFill>
                  <pic:spPr>
                    <a:xfrm>
                      <a:off x="0" y="0"/>
                      <a:ext cx="5852144" cy="2903287"/>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CONCLUSIONES: </w:t>
      </w:r>
    </w:p>
    <w:p w:rsidR="00EE0979" w:rsidRDefault="00B022A0">
      <w:pPr>
        <w:spacing w:after="0" w:line="259" w:lineRule="auto"/>
        <w:ind w:left="14" w:firstLine="0"/>
        <w:jc w:val="left"/>
      </w:pPr>
      <w:r>
        <w:rPr>
          <w:b/>
        </w:rPr>
        <w:t xml:space="preserve"> </w:t>
      </w:r>
    </w:p>
    <w:p w:rsidR="00EE0979" w:rsidRDefault="00B022A0">
      <w:pPr>
        <w:ind w:right="100"/>
      </w:pPr>
      <w:r>
        <w:t>En relación a la solicitud de aclaración del alcance de la Concesión de Ocupación del DPMT del Paseo San Blas, se indica, que la misma se está tramitando como consecuencia de las obras de emergencia ejecutadas y autorizadas por el Servicio Provincial de Co</w:t>
      </w:r>
      <w:r>
        <w:t>stas en el año 2014 en el Paseo de San Blas. Por otra parte, en relación al ámbito territorial de la concesión, este es coincidente con el “Proyecto de remodelación de la Plaza de la Patrona de Canarias y su entorno, canalización de cauce e implantación de</w:t>
      </w:r>
      <w:r>
        <w:t xml:space="preserve"> obras hidráulicas” en las actuaciones a ejecutar en la Cueva del Camello, que fueron autorizadas por el Servicio Provincial de Costas, según resolución de fecha 12 de agosto 2021 y de las cuales se ha solicitado prórroga con fecha 22 de marzo de 2022 y re</w:t>
      </w:r>
      <w:r>
        <w:t>gistro de salida 2022-S-RC-1049.</w:t>
      </w:r>
      <w:r>
        <w:rPr>
          <w:sz w:val="24"/>
        </w:rPr>
        <w:t xml:space="preserve"> </w:t>
      </w:r>
    </w:p>
    <w:p w:rsidR="00EE0979" w:rsidRDefault="00B022A0">
      <w:pPr>
        <w:spacing w:after="55" w:line="259" w:lineRule="auto"/>
        <w:ind w:left="125" w:firstLine="0"/>
        <w:jc w:val="left"/>
      </w:pPr>
      <w:r>
        <w:t xml:space="preserve"> </w:t>
      </w:r>
    </w:p>
    <w:p w:rsidR="00EE0979" w:rsidRDefault="00B022A0">
      <w:pPr>
        <w:ind w:right="100"/>
      </w:pPr>
      <w:r>
        <w:t>Por otra parte, a la vista de los Acuerdos de la Junta de Gobierno Local de fecha 1 de febrero de 2023 para la actualización del Inventario de bienes del Ayuntamiento de Candelaria y la aprobación de las siguientes ficha</w:t>
      </w:r>
      <w:r>
        <w:t>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2"/>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8"/>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98" w:line="259" w:lineRule="auto"/>
        <w:ind w:left="14" w:firstLine="0"/>
        <w:jc w:val="left"/>
      </w:pPr>
      <w:r>
        <w:rPr>
          <w:b/>
        </w:rPr>
        <w:t xml:space="preserve"> </w:t>
      </w:r>
    </w:p>
    <w:p w:rsidR="00EE0979" w:rsidRDefault="00B022A0">
      <w:pPr>
        <w:ind w:right="100"/>
      </w:pPr>
      <w:r>
        <w:t xml:space="preserve">Se informa </w:t>
      </w:r>
      <w:r>
        <w:rPr>
          <w:b/>
        </w:rPr>
        <w:t>FAVORABLEMENTE,</w:t>
      </w:r>
      <w:r>
        <w:t xml:space="preserve"> </w:t>
      </w:r>
      <w:r>
        <w:t xml:space="preserve">la puesta a disposición de los suelos con número de inventario 1/138 Y 11/134, para la ejecución del “Proyecto de remodelación de la Plaza de la Patrona de </w:t>
      </w:r>
    </w:p>
    <w:p w:rsidR="00EE0979" w:rsidRDefault="00B022A0">
      <w:pPr>
        <w:spacing w:after="109"/>
        <w:ind w:right="100"/>
      </w:pPr>
      <w:r>
        <w:t xml:space="preserve">Canarias y su entorno, canalización de cauce e implantación de obras hidráulicas.” </w:t>
      </w:r>
    </w:p>
    <w:p w:rsidR="00EE0979" w:rsidRDefault="00B022A0">
      <w:pPr>
        <w:spacing w:after="259" w:line="259" w:lineRule="auto"/>
        <w:ind w:left="722" w:firstLine="0"/>
        <w:jc w:val="left"/>
      </w:pPr>
      <w:r>
        <w:t xml:space="preserve"> </w:t>
      </w:r>
    </w:p>
    <w:p w:rsidR="00EE0979" w:rsidRDefault="00B022A0">
      <w:pPr>
        <w:pStyle w:val="Ttulo1"/>
        <w:numPr>
          <w:ilvl w:val="0"/>
          <w:numId w:val="0"/>
        </w:numPr>
        <w:spacing w:after="258"/>
        <w:ind w:left="624" w:right="0"/>
      </w:pPr>
      <w:r>
        <w:t xml:space="preserve">FUNDAMENTOS JURÍDICOS </w:t>
      </w:r>
    </w:p>
    <w:p w:rsidR="00EE0979" w:rsidRDefault="00B022A0">
      <w:pPr>
        <w:spacing w:after="264" w:line="259" w:lineRule="auto"/>
        <w:ind w:left="674" w:firstLine="0"/>
        <w:jc w:val="center"/>
      </w:pPr>
      <w:r>
        <w:rPr>
          <w:b/>
        </w:rPr>
        <w:t xml:space="preserve"> </w:t>
      </w:r>
    </w:p>
    <w:p w:rsidR="00EE0979" w:rsidRDefault="00B022A0">
      <w:pPr>
        <w:pBdr>
          <w:bottom w:val="single" w:sz="6" w:space="0" w:color="CCCCCC"/>
        </w:pBdr>
        <w:shd w:val="clear" w:color="auto" w:fill="F9F9F9"/>
        <w:spacing w:after="261" w:line="216" w:lineRule="auto"/>
        <w:ind w:left="9" w:hanging="10"/>
        <w:jc w:val="left"/>
      </w:pPr>
      <w:r>
        <w:rPr>
          <w:color w:val="1F4D78"/>
        </w:rPr>
        <w:t xml:space="preserve">Artículos del </w:t>
      </w:r>
      <w:r>
        <w:t>Real Decreto 1372/1986, de 13 de junio, por el que se aprueba el Reglamento de Bienes de las Entidades Locales:</w:t>
      </w:r>
      <w:r>
        <w:rPr>
          <w:rFonts w:ascii="Calibri" w:eastAsia="Calibri" w:hAnsi="Calibri" w:cs="Calibri"/>
          <w:color w:val="1F4D78"/>
          <w:sz w:val="24"/>
        </w:rPr>
        <w:t xml:space="preserve"> </w:t>
      </w:r>
    </w:p>
    <w:p w:rsidR="00EE0979" w:rsidRDefault="00B022A0">
      <w:pPr>
        <w:spacing w:after="341" w:line="259" w:lineRule="auto"/>
        <w:ind w:left="722" w:firstLine="0"/>
        <w:jc w:val="left"/>
      </w:pPr>
      <w:r>
        <w:rPr>
          <w:b/>
        </w:rPr>
        <w:t xml:space="preserve">  </w:t>
      </w:r>
    </w:p>
    <w:p w:rsidR="00EE0979" w:rsidRDefault="00B022A0">
      <w:pPr>
        <w:spacing w:after="146"/>
        <w:ind w:right="100"/>
      </w:pPr>
      <w:r>
        <w:t>Art. 109.</w:t>
      </w:r>
      <w:r>
        <w:rPr>
          <w:rFonts w:ascii="Calibri" w:eastAsia="Calibri" w:hAnsi="Calibri" w:cs="Calibri"/>
          <w:color w:val="2E74B5"/>
          <w:sz w:val="24"/>
        </w:rPr>
        <w:t xml:space="preserve"> </w:t>
      </w:r>
    </w:p>
    <w:p w:rsidR="00EE0979" w:rsidRDefault="00B022A0">
      <w:pPr>
        <w:numPr>
          <w:ilvl w:val="0"/>
          <w:numId w:val="65"/>
        </w:numPr>
        <w:spacing w:after="171"/>
        <w:ind w:right="100" w:firstLine="360"/>
      </w:pPr>
      <w:r>
        <w:t>Los bienes inmuebles patrimoniales no podrán enajenarse, gravarse ni permutarse sin autori</w:t>
      </w:r>
      <w:r>
        <w:t>zación del órgano competente de la Comunidad Autónoma, cuando su valor exceda del 25 por 100 de los recursos ordinarios del presupuesto anual de la Corporación. No obstante, se dará cuenta al órgano competente de la Comunidad Autónoma de toda enajenación d</w:t>
      </w:r>
      <w:r>
        <w:t xml:space="preserve">e bienes inmuebles que se produzca. </w:t>
      </w:r>
    </w:p>
    <w:p w:rsidR="00EE0979" w:rsidRDefault="00B022A0">
      <w:pPr>
        <w:numPr>
          <w:ilvl w:val="0"/>
          <w:numId w:val="65"/>
        </w:numPr>
        <w:spacing w:after="475"/>
        <w:ind w:right="100" w:firstLine="36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900684</wp:posOffset>
                </wp:positionH>
                <wp:positionV relativeFrom="page">
                  <wp:posOffset>6231636</wp:posOffset>
                </wp:positionV>
                <wp:extent cx="6659881" cy="7620"/>
                <wp:effectExtent l="0" t="0" r="0" b="0"/>
                <wp:wrapTopAndBottom/>
                <wp:docPr id="262823" name="Group 262823"/>
                <wp:cNvGraphicFramePr/>
                <a:graphic xmlns:a="http://schemas.openxmlformats.org/drawingml/2006/main">
                  <a:graphicData uri="http://schemas.microsoft.com/office/word/2010/wordprocessingGroup">
                    <wpg:wgp>
                      <wpg:cNvGrpSpPr/>
                      <wpg:grpSpPr>
                        <a:xfrm>
                          <a:off x="0" y="0"/>
                          <a:ext cx="6659881" cy="7620"/>
                          <a:chOff x="0" y="0"/>
                          <a:chExt cx="6659881" cy="7620"/>
                        </a:xfrm>
                      </wpg:grpSpPr>
                      <wps:wsp>
                        <wps:cNvPr id="293827" name="Shape 293827"/>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823" style="width:524.4pt;height:0.600006pt;position:absolute;mso-position-horizontal-relative:page;mso-position-horizontal:absolute;margin-left:70.92pt;mso-position-vertical-relative:page;margin-top:490.68pt;" coordsize="66598,76">
                <v:shape id="Shape 293828"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t>Los bienes inmuebles patrimoniales no podrán cederse gratuitamente sino a Entidades o Instituciones publicas para fines que redunden en beneficio de los habitantes del término municipal, así como a las Instituciones pr</w:t>
      </w:r>
      <w:r>
        <w:t xml:space="preserve">ivadas de interés público sin animo de lucro. De estas cesiones también se dará cuenta a la autoridad competente de la Comunidad Autónoma. </w:t>
      </w:r>
    </w:p>
    <w:p w:rsidR="00EE0979" w:rsidRDefault="00B022A0">
      <w:pPr>
        <w:spacing w:before="366" w:after="169"/>
        <w:ind w:right="100"/>
      </w:pPr>
      <w:r>
        <w:t xml:space="preserve">Art. 110. </w:t>
      </w:r>
    </w:p>
    <w:p w:rsidR="00EE0979" w:rsidRDefault="00B022A0">
      <w:pPr>
        <w:spacing w:after="354"/>
        <w:ind w:left="14" w:right="100" w:firstLine="360"/>
      </w:pPr>
      <w:r>
        <w:t xml:space="preserve">1. En todo caso, la cesión gratuita de los bienes requerirá acuerdo adoptado con el voto favorable de la </w:t>
      </w:r>
      <w:r>
        <w:t xml:space="preserve">mayoría absoluta del número legal de miembros de la Corporación, previa instrucción del expediente con arreglo a estos requisitos: </w:t>
      </w:r>
    </w:p>
    <w:p w:rsidR="00EE0979" w:rsidRDefault="00B022A0">
      <w:pPr>
        <w:numPr>
          <w:ilvl w:val="0"/>
          <w:numId w:val="66"/>
        </w:numPr>
        <w:spacing w:after="174"/>
        <w:ind w:right="100" w:firstLine="360"/>
      </w:pPr>
      <w:r>
        <w:t xml:space="preserve">Justificación documental por la propia Entidad o Institución solicitante de su carácter público y Memoria demostrativa de que los fines que persigue han de redundar de manera evidente y positiva en beneficio de los habitantes del término municipal. </w:t>
      </w:r>
    </w:p>
    <w:p w:rsidR="00EE0979" w:rsidRDefault="00B022A0">
      <w:pPr>
        <w:numPr>
          <w:ilvl w:val="0"/>
          <w:numId w:val="66"/>
        </w:numPr>
        <w:spacing w:after="3" w:line="259" w:lineRule="auto"/>
        <w:ind w:right="100" w:firstLine="360"/>
      </w:pPr>
      <w:r>
        <w:t>Certif</w:t>
      </w:r>
      <w:r>
        <w:t>icación del Registro de la Propiedad acreditativa de que los bienes se hallan debida-</w:t>
      </w:r>
    </w:p>
    <w:p w:rsidR="00EE0979" w:rsidRDefault="00B022A0">
      <w:pPr>
        <w:spacing w:after="171"/>
        <w:ind w:right="100"/>
      </w:pPr>
      <w:r>
        <w:t xml:space="preserve">mente inscritos en concepto de patrimoniales de la Entidad local. </w:t>
      </w:r>
    </w:p>
    <w:p w:rsidR="00EE0979" w:rsidRDefault="00B022A0">
      <w:pPr>
        <w:numPr>
          <w:ilvl w:val="0"/>
          <w:numId w:val="66"/>
        </w:numPr>
        <w:spacing w:after="3" w:line="259" w:lineRule="auto"/>
        <w:ind w:right="100" w:firstLine="360"/>
      </w:pPr>
      <w:r>
        <w:t xml:space="preserve">Certificación del Secretario de la Corporación en la que conste que los bienes figuran en el </w:t>
      </w:r>
    </w:p>
    <w:p w:rsidR="00EE0979" w:rsidRDefault="00B022A0">
      <w:pPr>
        <w:spacing w:after="169"/>
        <w:ind w:right="100"/>
      </w:pPr>
      <w:r>
        <w:t>inventari</w:t>
      </w:r>
      <w:r>
        <w:t xml:space="preserve">o aprobado por la Corporación con la antedicha calificación jurídica. </w:t>
      </w:r>
    </w:p>
    <w:p w:rsidR="00EE0979" w:rsidRDefault="00B022A0">
      <w:pPr>
        <w:numPr>
          <w:ilvl w:val="0"/>
          <w:numId w:val="66"/>
        </w:numPr>
        <w:ind w:right="100" w:firstLine="360"/>
      </w:pPr>
      <w:r>
        <w:t xml:space="preserve">Informe del Interventor de fondos en el que pruebe no haber deuda pendiente de liquidación con cargo al presupuesto municipal. </w:t>
      </w:r>
    </w:p>
    <w:p w:rsidR="00EE0979" w:rsidRDefault="00B022A0">
      <w:pPr>
        <w:numPr>
          <w:ilvl w:val="0"/>
          <w:numId w:val="66"/>
        </w:numPr>
        <w:spacing w:after="171"/>
        <w:ind w:right="100" w:firstLine="360"/>
      </w:pPr>
      <w:r>
        <w:t xml:space="preserve">Dictamen suscrito por técnico que asevere que los bienes </w:t>
      </w:r>
      <w:r>
        <w:t xml:space="preserve">no se hallan comprendidos en ningún plan de ordenación, reforma o adaptación, no son necesarios para la Entidad local ni es previsible que lo sean en los diez años inmediatos. </w:t>
      </w:r>
    </w:p>
    <w:p w:rsidR="00EE0979" w:rsidRDefault="00B022A0">
      <w:pPr>
        <w:numPr>
          <w:ilvl w:val="0"/>
          <w:numId w:val="66"/>
        </w:numPr>
        <w:spacing w:after="351"/>
        <w:ind w:right="100" w:firstLine="360"/>
      </w:pPr>
      <w:r>
        <w:t xml:space="preserve">Información pública por plazo no inferior a quince días. </w:t>
      </w:r>
    </w:p>
    <w:p w:rsidR="00EE0979" w:rsidRDefault="00B022A0">
      <w:pPr>
        <w:spacing w:after="174"/>
        <w:ind w:left="14" w:right="100" w:firstLine="360"/>
      </w:pPr>
      <w:r>
        <w:t>2. La cesión de solar</w:t>
      </w:r>
      <w:r>
        <w:t>es al Organismo competente de promoción de la vivienda para construir viviendas de protección oficial revestirá, normalmente, la forma de permuta de los terrenos por número equivalente de aquellos que hubieren de edificarse y, cuando esto no fuere posible,</w:t>
      </w:r>
      <w:r>
        <w:t xml:space="preserve"> la cesión gratuita no precisará el cumplimiento del requisito d) del párrafo precedente. </w:t>
      </w:r>
    </w:p>
    <w:p w:rsidR="00EE0979" w:rsidRDefault="00B022A0">
      <w:pPr>
        <w:spacing w:after="483" w:line="259" w:lineRule="auto"/>
        <w:ind w:left="0" w:right="48" w:firstLine="0"/>
        <w:jc w:val="right"/>
      </w:pPr>
      <w:r>
        <w:t xml:space="preserve"> </w:t>
      </w:r>
    </w:p>
    <w:p w:rsidR="00EE0979" w:rsidRDefault="00B022A0">
      <w:pPr>
        <w:spacing w:before="365" w:after="171"/>
        <w:ind w:right="100"/>
      </w:pPr>
      <w:r>
        <w:t xml:space="preserve">Art. 111. </w:t>
      </w:r>
    </w:p>
    <w:p w:rsidR="00EE0979" w:rsidRDefault="00B022A0">
      <w:pPr>
        <w:numPr>
          <w:ilvl w:val="0"/>
          <w:numId w:val="67"/>
        </w:numPr>
        <w:spacing w:after="171"/>
        <w:ind w:right="100" w:firstLine="360"/>
      </w:pPr>
      <w:r>
        <w:t>Si los bienes cedidos no fuesen destinados al uso dentro del plazo señalado en el acuerdo de cesión o dejasen de serlo posteriormente se considerará resuelta la cesión y revertirán aquéllos a la Corporación local, la cual tendrá derecho a percibir de la En</w:t>
      </w:r>
      <w:r>
        <w:t xml:space="preserve">tidad beneficiaria, previa tasación pericial, el valor de los detrimentos experimentados por los bienes cedidos. </w:t>
      </w:r>
    </w:p>
    <w:p w:rsidR="00EE0979" w:rsidRDefault="00B022A0">
      <w:pPr>
        <w:numPr>
          <w:ilvl w:val="0"/>
          <w:numId w:val="67"/>
        </w:numPr>
        <w:spacing w:after="174"/>
        <w:ind w:right="100" w:firstLine="36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900684</wp:posOffset>
                </wp:positionH>
                <wp:positionV relativeFrom="page">
                  <wp:posOffset>4009645</wp:posOffset>
                </wp:positionV>
                <wp:extent cx="6659881" cy="6096"/>
                <wp:effectExtent l="0" t="0" r="0" b="0"/>
                <wp:wrapTopAndBottom/>
                <wp:docPr id="262392" name="Group 262392"/>
                <wp:cNvGraphicFramePr/>
                <a:graphic xmlns:a="http://schemas.openxmlformats.org/drawingml/2006/main">
                  <a:graphicData uri="http://schemas.microsoft.com/office/word/2010/wordprocessingGroup">
                    <wpg:wgp>
                      <wpg:cNvGrpSpPr/>
                      <wpg:grpSpPr>
                        <a:xfrm>
                          <a:off x="0" y="0"/>
                          <a:ext cx="6659881" cy="6096"/>
                          <a:chOff x="0" y="0"/>
                          <a:chExt cx="6659881" cy="6096"/>
                        </a:xfrm>
                      </wpg:grpSpPr>
                      <wps:wsp>
                        <wps:cNvPr id="293845" name="Shape 293845"/>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392" style="width:524.4pt;height:0.47998pt;position:absolute;mso-position-horizontal-relative:page;mso-position-horizontal:absolute;margin-left:70.92pt;mso-position-vertical-relative:page;margin-top:315.72pt;" coordsize="66598,60">
                <v:shape id="Shape 293846"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900684</wp:posOffset>
                </wp:positionH>
                <wp:positionV relativeFrom="page">
                  <wp:posOffset>6499860</wp:posOffset>
                </wp:positionV>
                <wp:extent cx="6659881" cy="7620"/>
                <wp:effectExtent l="0" t="0" r="0" b="0"/>
                <wp:wrapTopAndBottom/>
                <wp:docPr id="262393" name="Group 262393"/>
                <wp:cNvGraphicFramePr/>
                <a:graphic xmlns:a="http://schemas.openxmlformats.org/drawingml/2006/main">
                  <a:graphicData uri="http://schemas.microsoft.com/office/word/2010/wordprocessingGroup">
                    <wpg:wgp>
                      <wpg:cNvGrpSpPr/>
                      <wpg:grpSpPr>
                        <a:xfrm>
                          <a:off x="0" y="0"/>
                          <a:ext cx="6659881" cy="7620"/>
                          <a:chOff x="0" y="0"/>
                          <a:chExt cx="6659881" cy="7620"/>
                        </a:xfrm>
                      </wpg:grpSpPr>
                      <wps:wsp>
                        <wps:cNvPr id="293847" name="Shape 293847"/>
                        <wps:cNvSpPr/>
                        <wps:spPr>
                          <a:xfrm>
                            <a:off x="0" y="0"/>
                            <a:ext cx="6659881" cy="9144"/>
                          </a:xfrm>
                          <a:custGeom>
                            <a:avLst/>
                            <a:gdLst/>
                            <a:ahLst/>
                            <a:cxnLst/>
                            <a:rect l="0" t="0" r="0" b="0"/>
                            <a:pathLst>
                              <a:path w="6659881" h="9144">
                                <a:moveTo>
                                  <a:pt x="0" y="0"/>
                                </a:moveTo>
                                <a:lnTo>
                                  <a:pt x="6659881" y="0"/>
                                </a:lnTo>
                                <a:lnTo>
                                  <a:pt x="665988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393" style="width:524.4pt;height:0.600006pt;position:absolute;mso-position-horizontal-relative:page;mso-position-horizontal:absolute;margin-left:70.92pt;mso-position-vertical-relative:page;margin-top:511.8pt;" coordsize="66598,76">
                <v:shape id="Shape 293848" style="position:absolute;width:66598;height:91;left:0;top:0;" coordsize="6659881,9144" path="m0,0l6659881,0l6659881,9144l0,9144l0,0">
                  <v:stroke weight="0pt" endcap="square" joinstyle="miter" miterlimit="10" on="false" color="#000000" opacity="0"/>
                  <v:fill on="true" color="#000000"/>
                </v:shape>
                <w10:wrap type="topAndBottom"/>
              </v:group>
            </w:pict>
          </mc:Fallback>
        </mc:AlternateContent>
      </w:r>
      <w:r>
        <w:t>Si en el acuerdo de cesión no se estipula otra cosa, se entenderá que los fines para los cuales se hubieran otorgado deberán cumplirse en el</w:t>
      </w:r>
      <w:r>
        <w:t xml:space="preserve"> plazo máximo de cinco años, debiendo mantenerse su destino durante los treinta años siguientes. </w:t>
      </w:r>
    </w:p>
    <w:p w:rsidR="00EE0979" w:rsidRDefault="00B022A0">
      <w:pPr>
        <w:numPr>
          <w:ilvl w:val="0"/>
          <w:numId w:val="67"/>
        </w:numPr>
        <w:spacing w:after="474"/>
        <w:ind w:right="100" w:firstLine="360"/>
      </w:pPr>
      <w:r>
        <w:t xml:space="preserve">Los bienes cedidos revertirán, en su caso, al Patrimonio de la Entidad cedente con todas sus pertenencias y accesiones. </w:t>
      </w:r>
    </w:p>
    <w:p w:rsidR="00EE0979" w:rsidRDefault="00B022A0">
      <w:pPr>
        <w:spacing w:before="6" w:after="261" w:line="259" w:lineRule="auto"/>
        <w:ind w:left="722" w:firstLine="0"/>
        <w:jc w:val="left"/>
      </w:pPr>
      <w:r>
        <w:t xml:space="preserve"> </w:t>
      </w:r>
    </w:p>
    <w:p w:rsidR="00EE0979" w:rsidRDefault="00B022A0">
      <w:pPr>
        <w:spacing w:after="262" w:line="259" w:lineRule="auto"/>
        <w:ind w:left="722" w:firstLine="0"/>
        <w:jc w:val="left"/>
      </w:pPr>
      <w:r>
        <w:t xml:space="preserve"> </w:t>
      </w:r>
    </w:p>
    <w:p w:rsidR="00EE0979" w:rsidRDefault="00B022A0">
      <w:pPr>
        <w:spacing w:after="275"/>
        <w:ind w:left="14" w:right="100" w:firstLine="708"/>
      </w:pPr>
      <w:r>
        <w:t>En el presente expediente, los tr</w:t>
      </w:r>
      <w:r>
        <w:t>ámites de la cesión gratuita sólo serían precisos aplicar cuando hubiera que traspasar  la titularidad de los bienes municipales a favor del Cabildo Insular de Tenerife, por el contrario en el presente caso la propiedad de los bienes revierten al Ayuntamie</w:t>
      </w:r>
      <w:r>
        <w:t>nto, una vez ejecutado el proyecto de obra, por lo que  sólo se pone a disposición del Cabildo Insular de Tenerife varias parcelas municipales con el objeto de ejecutar por parte de ese Organismo el proyecto denominado “Proyecto de remodelación de la Plaza</w:t>
      </w:r>
      <w:r>
        <w:t xml:space="preserve"> de la Patrona de Canarias y su entorno, canalización de cauce e implantación de obras hidráulicas”. </w:t>
      </w:r>
    </w:p>
    <w:p w:rsidR="00EE0979" w:rsidRDefault="00B022A0">
      <w:pPr>
        <w:spacing w:after="296" w:line="259" w:lineRule="auto"/>
        <w:ind w:left="722" w:firstLine="0"/>
        <w:jc w:val="left"/>
      </w:pPr>
      <w:r>
        <w:t xml:space="preserve"> </w:t>
      </w:r>
    </w:p>
    <w:p w:rsidR="00EE0979" w:rsidRDefault="00B022A0">
      <w:pPr>
        <w:spacing w:after="277"/>
        <w:ind w:left="727" w:right="100"/>
      </w:pPr>
      <w:r>
        <w:rPr>
          <w:b/>
        </w:rPr>
        <w:t>Vista</w:t>
      </w:r>
      <w:r>
        <w:t xml:space="preserve"> la consulta emitida por la entidad “ESPUBLICO”, que dice: </w:t>
      </w:r>
    </w:p>
    <w:p w:rsidR="00EE0979" w:rsidRDefault="00B022A0">
      <w:pPr>
        <w:ind w:left="732" w:right="98" w:hanging="10"/>
      </w:pPr>
      <w:r>
        <w:rPr>
          <w:noProof/>
        </w:rPr>
        <w:drawing>
          <wp:anchor distT="0" distB="0" distL="114300" distR="114300" simplePos="0" relativeHeight="251675648" behindDoc="1" locked="0" layoutInCell="1" allowOverlap="0">
            <wp:simplePos x="0" y="0"/>
            <wp:positionH relativeFrom="column">
              <wp:posOffset>505917</wp:posOffset>
            </wp:positionH>
            <wp:positionV relativeFrom="paragraph">
              <wp:posOffset>-945</wp:posOffset>
            </wp:positionV>
            <wp:extent cx="210312" cy="156972"/>
            <wp:effectExtent l="0" t="0" r="0" b="0"/>
            <wp:wrapNone/>
            <wp:docPr id="21732" name="Picture 21732"/>
            <wp:cNvGraphicFramePr/>
            <a:graphic xmlns:a="http://schemas.openxmlformats.org/drawingml/2006/main">
              <a:graphicData uri="http://schemas.openxmlformats.org/drawingml/2006/picture">
                <pic:pic xmlns:pic="http://schemas.openxmlformats.org/drawingml/2006/picture">
                  <pic:nvPicPr>
                    <pic:cNvPr id="21732" name="Picture 21732"/>
                    <pic:cNvPicPr/>
                  </pic:nvPicPr>
                  <pic:blipFill>
                    <a:blip r:embed="rId19"/>
                    <a:stretch>
                      <a:fillRect/>
                    </a:stretch>
                  </pic:blipFill>
                  <pic:spPr>
                    <a:xfrm>
                      <a:off x="0" y="0"/>
                      <a:ext cx="210312" cy="156972"/>
                    </a:xfrm>
                    <a:prstGeom prst="rect">
                      <a:avLst/>
                    </a:prstGeom>
                  </pic:spPr>
                </pic:pic>
              </a:graphicData>
            </a:graphic>
          </wp:anchor>
        </w:drawing>
      </w:r>
      <w:r>
        <w:t xml:space="preserve">“ </w:t>
      </w:r>
      <w:r>
        <w:rPr>
          <w:i/>
        </w:rPr>
        <w:t>CONSULTA</w:t>
      </w:r>
      <w:r>
        <w:t xml:space="preserve"> </w:t>
      </w:r>
    </w:p>
    <w:p w:rsidR="00EE0979" w:rsidRDefault="00B022A0">
      <w:pPr>
        <w:spacing w:after="274"/>
        <w:ind w:left="732" w:right="98" w:hanging="10"/>
      </w:pPr>
      <w:r>
        <w:rPr>
          <w:i/>
        </w:rPr>
        <w:t xml:space="preserve"> Cesión del Ayuntamiento en expediente expropiatorio </w:t>
      </w:r>
    </w:p>
    <w:p w:rsidR="00EE0979" w:rsidRDefault="00B022A0">
      <w:pPr>
        <w:spacing w:after="272"/>
        <w:ind w:left="732" w:right="98" w:hanging="10"/>
      </w:pPr>
      <w:r>
        <w:rPr>
          <w:noProof/>
        </w:rPr>
        <w:drawing>
          <wp:anchor distT="0" distB="0" distL="114300" distR="114300" simplePos="0" relativeHeight="251676672" behindDoc="1" locked="0" layoutInCell="1" allowOverlap="0">
            <wp:simplePos x="0" y="0"/>
            <wp:positionH relativeFrom="column">
              <wp:posOffset>498297</wp:posOffset>
            </wp:positionH>
            <wp:positionV relativeFrom="paragraph">
              <wp:posOffset>396</wp:posOffset>
            </wp:positionV>
            <wp:extent cx="210312" cy="156972"/>
            <wp:effectExtent l="0" t="0" r="0" b="0"/>
            <wp:wrapNone/>
            <wp:docPr id="21769" name="Picture 21769"/>
            <wp:cNvGraphicFramePr/>
            <a:graphic xmlns:a="http://schemas.openxmlformats.org/drawingml/2006/main">
              <a:graphicData uri="http://schemas.openxmlformats.org/drawingml/2006/picture">
                <pic:pic xmlns:pic="http://schemas.openxmlformats.org/drawingml/2006/picture">
                  <pic:nvPicPr>
                    <pic:cNvPr id="21769" name="Picture 21769"/>
                    <pic:cNvPicPr/>
                  </pic:nvPicPr>
                  <pic:blipFill>
                    <a:blip r:embed="rId41"/>
                    <a:stretch>
                      <a:fillRect/>
                    </a:stretch>
                  </pic:blipFill>
                  <pic:spPr>
                    <a:xfrm>
                      <a:off x="0" y="0"/>
                      <a:ext cx="210312" cy="156972"/>
                    </a:xfrm>
                    <a:prstGeom prst="rect">
                      <a:avLst/>
                    </a:prstGeom>
                  </pic:spPr>
                </pic:pic>
              </a:graphicData>
            </a:graphic>
          </wp:anchor>
        </w:drawing>
      </w:r>
      <w:r>
        <w:rPr>
          <w:i/>
        </w:rPr>
        <w:t xml:space="preserve">  </w:t>
      </w:r>
      <w:r>
        <w:rPr>
          <w:i/>
        </w:rPr>
        <w:t xml:space="preserve">PATRIMONIO 26/12/2018  </w:t>
      </w:r>
    </w:p>
    <w:p w:rsidR="00EE0979" w:rsidRDefault="00B022A0">
      <w:pPr>
        <w:spacing w:after="275"/>
        <w:ind w:left="-1" w:right="98" w:firstLine="708"/>
      </w:pPr>
      <w:r>
        <w:rPr>
          <w:i/>
        </w:rPr>
        <w:t>En este Municipio la Comunidad Autónoma va a construir una depuradora. Ahora se nos pide que el Ayuntamiento emita certificación sobre la cesión de uso, ocupación definitiva y/o servidumbre de paso de las parcelas de titularidad mun</w:t>
      </w:r>
      <w:r>
        <w:rPr>
          <w:i/>
        </w:rPr>
        <w:t xml:space="preserve">icipal afectadas por el proyecto expropiatorio que posibilite la ejecución de la depuradora, adjuntando una relación de las parcelas afectadas sobre las que se solicita la cesión.  </w:t>
      </w:r>
    </w:p>
    <w:p w:rsidR="00EE0979" w:rsidRDefault="00B022A0">
      <w:pPr>
        <w:spacing w:after="275"/>
        <w:ind w:left="-1" w:right="98" w:firstLine="708"/>
      </w:pPr>
      <w:r>
        <w:rPr>
          <w:i/>
        </w:rPr>
        <w:t>Se nos plantea, para dar cumplimiento a lo solicitado, si basta con un acu</w:t>
      </w:r>
      <w:r>
        <w:rPr>
          <w:i/>
        </w:rPr>
        <w:t xml:space="preserve">erdo del pleno de cesión de uso como ocupación definitiva o servidumbre de paso, según los casos, a favor de la Comunidad autónoma o es necesario algún trámite más. </w:t>
      </w:r>
    </w:p>
    <w:p w:rsidR="00EE0979" w:rsidRDefault="00B022A0">
      <w:pPr>
        <w:spacing w:after="271" w:line="248" w:lineRule="auto"/>
        <w:ind w:left="732" w:right="95" w:hanging="10"/>
      </w:pPr>
      <w:r>
        <w:rPr>
          <w:i/>
        </w:rPr>
        <w:t xml:space="preserve"> </w:t>
      </w:r>
      <w:r>
        <w:rPr>
          <w:b/>
          <w:i/>
        </w:rPr>
        <w:t xml:space="preserve">RESOLUCIÓN </w:t>
      </w:r>
      <w:r>
        <w:t xml:space="preserve"> </w:t>
      </w:r>
    </w:p>
    <w:p w:rsidR="00EE0979" w:rsidRDefault="00B022A0">
      <w:pPr>
        <w:spacing w:after="274" w:line="248" w:lineRule="auto"/>
        <w:ind w:left="732" w:right="95" w:hanging="10"/>
      </w:pPr>
      <w:r>
        <w:rPr>
          <w:b/>
          <w:i/>
        </w:rPr>
        <w:t xml:space="preserve">CONSIDERACIONES JURÍDICAS  </w:t>
      </w:r>
    </w:p>
    <w:p w:rsidR="00EE0979" w:rsidRDefault="00B022A0">
      <w:pPr>
        <w:spacing w:after="278"/>
        <w:ind w:left="-1" w:right="98" w:firstLine="708"/>
      </w:pPr>
      <w:r>
        <w:rPr>
          <w:b/>
          <w:i/>
        </w:rPr>
        <w:t>Primera.</w:t>
      </w:r>
      <w:r>
        <w:rPr>
          <w:i/>
        </w:rPr>
        <w:t xml:space="preserve"> En primer lugar resulta necesario deter</w:t>
      </w:r>
      <w:r>
        <w:rPr>
          <w:i/>
        </w:rPr>
        <w:t xml:space="preserve">minar la calificación de los bienes de titularidad municipal ya que su régimen jurídico dependerá de la naturaleza de éstos, siendo distinto el de los bienes patrimoniales del correspondiente a los bienes de dominio público. </w:t>
      </w:r>
      <w:r>
        <w:t xml:space="preserve"> </w:t>
      </w:r>
    </w:p>
    <w:p w:rsidR="00EE0979" w:rsidRDefault="00B022A0">
      <w:pPr>
        <w:spacing w:after="275"/>
        <w:ind w:left="-1" w:right="98" w:firstLine="708"/>
      </w:pPr>
      <w:r>
        <w:rPr>
          <w:i/>
        </w:rPr>
        <w:t>Como principio general, ha de</w:t>
      </w:r>
      <w:r>
        <w:rPr>
          <w:i/>
        </w:rPr>
        <w:t xml:space="preserve"> afirmarse que cualquier cosa mueble o inmueble puede ser expropiada en cuanto sea preciso para un fin de interés público. Pueden ser expropiados no sólo los bienes de propiedad privada sino también los bienes de dominio público que, por ser inalienables, </w:t>
      </w:r>
      <w:r>
        <w:rPr>
          <w:i/>
        </w:rPr>
        <w:t xml:space="preserve">deberán ser desafectados. </w:t>
      </w:r>
    </w:p>
    <w:p w:rsidR="00EE0979" w:rsidRDefault="00B022A0">
      <w:pPr>
        <w:spacing w:after="275"/>
        <w:ind w:left="-1" w:right="98" w:firstLine="708"/>
      </w:pPr>
      <w:r>
        <w:rPr>
          <w:i/>
        </w:rPr>
        <w:t xml:space="preserve"> Nada se opone a que los bienes patrimoniales sean expropiados, pero se aviva la polémica si se trata de los bienes de dominio público.  </w:t>
      </w:r>
    </w:p>
    <w:p w:rsidR="00EE0979" w:rsidRDefault="00B022A0">
      <w:pPr>
        <w:spacing w:after="275"/>
        <w:ind w:left="-1" w:right="98" w:firstLine="708"/>
      </w:pPr>
      <w:r>
        <w:rPr>
          <w:i/>
        </w:rPr>
        <w:t>Nada impide, dice Nemesio Rodríguez Moro, que un bien de dominio o uso público cambie de de</w:t>
      </w:r>
      <w:r>
        <w:rPr>
          <w:i/>
        </w:rPr>
        <w:t xml:space="preserve">stino siempre que éste siga siendo público. En este sentido no será preciso desafectarlo del servicio público, transferirlo al campo patrimonial, para luego afectarlo a un mismo destino público. Este cambio puede hacerlo la Administración sin necesidad de </w:t>
      </w:r>
      <w:r>
        <w:rPr>
          <w:i/>
        </w:rPr>
        <w:t xml:space="preserve">que el bien pase al campo privado, sin que pierda en consecuencia su nota inalienable, puesto que en tal cambio de destino no se produce propiamente una enajenación.  </w:t>
      </w:r>
    </w:p>
    <w:p w:rsidR="00EE0979" w:rsidRDefault="00B022A0">
      <w:pPr>
        <w:ind w:left="-1" w:right="98" w:firstLine="708"/>
      </w:pPr>
      <w:r>
        <w:rPr>
          <w:i/>
        </w:rPr>
        <w:t>El problema que realmente se plantea es el de si es posible la expropiación forzosa de b</w:t>
      </w:r>
      <w:r>
        <w:rPr>
          <w:i/>
        </w:rPr>
        <w:t>ienes de dominio público, frente a la cual se alza el dogma de la inalienabilidad del dominio público, que no es sino un correlato de su afección pública. Por ello, la figura pertinente para regular los cambios de titularidad sobre estos bienes, que normal</w:t>
      </w:r>
      <w:r>
        <w:rPr>
          <w:i/>
        </w:rPr>
        <w:t xml:space="preserve">mente implican cambio de afectación del dominio, no es la expropiación sino la mutación demanial. Dentro de la mutación demanial podemos distinguir entre la objetiva o interna (sólo hay un cambio de destino del bien, pero no un cambio de titularidad) y la </w:t>
      </w:r>
      <w:r>
        <w:rPr>
          <w:i/>
        </w:rPr>
        <w:t>subjetiva o externa (cambio de titularidad del bien), que debe ser legalmente posible a través del expediente expropiatorio, ya que, en caso contrario, ningún bien demanial podría ser destinado a una utilidad pública distinta sin consentimiento de su titul</w:t>
      </w:r>
      <w:r>
        <w:rPr>
          <w:i/>
        </w:rPr>
        <w:t xml:space="preserve">ar. </w:t>
      </w:r>
    </w:p>
    <w:p w:rsidR="00EE0979" w:rsidRDefault="00B022A0">
      <w:pPr>
        <w:spacing w:after="277"/>
        <w:ind w:left="-1" w:right="98" w:firstLine="708"/>
      </w:pPr>
      <w:r>
        <w:rPr>
          <w:i/>
        </w:rPr>
        <w:t xml:space="preserve">La sentencia del Tribunal Supremo de 14 de noviembre de 1984, plantea la cuestión de la expropiación de un bien de dominio público de un Ayuntamiento por parte del Estado y la resuelve a través de una mutación demanial con derecho a una indemnización </w:t>
      </w:r>
      <w:r>
        <w:rPr>
          <w:i/>
        </w:rPr>
        <w:t xml:space="preserve">que se resuelve dentro del expediente expropiatorio pagando el justiprecio.  </w:t>
      </w:r>
    </w:p>
    <w:p w:rsidR="00EE0979" w:rsidRDefault="00B022A0">
      <w:pPr>
        <w:spacing w:after="277"/>
        <w:ind w:left="-1" w:right="98" w:firstLine="708"/>
      </w:pPr>
      <w:r>
        <w:rPr>
          <w:i/>
        </w:rPr>
        <w:t>En consecuencia, creemos que en el caso que nos ocupa de un bien de dominio público municipal que cambia de titularidad y que sigue siendo bien de dominio público (depuradora) es</w:t>
      </w:r>
      <w:r>
        <w:rPr>
          <w:i/>
        </w:rPr>
        <w:t>tamos ante una mutación demanial externa. La posibilidad de la mutación demanial subjetiva o externa la contempla la LPAP en su artículo 71.1 siendo aquella por la que el bien, sin dejar de pertenecer al servicio público, puede «mutar» subjetivamente en un</w:t>
      </w:r>
      <w:r>
        <w:rPr>
          <w:i/>
        </w:rPr>
        <w:t>o de sus elementos, el del sujeto público al que está adscrito que. El RD 1373/2009, de 28 de agosto, por el que se aprueba el Reglamento General de la Ley 33/2003, de 3 de noviembre, del Patrimonio de las Administraciones Públicas (RGLPAP), en su Capítulo</w:t>
      </w:r>
      <w:r>
        <w:rPr>
          <w:i/>
        </w:rPr>
        <w:t xml:space="preserve"> II regula las mutaciones demaniales entre Administraciones Públicas, aunque su aplicación se circunscribe al régimen jurídico patrimonial de la Administración General de Estado y de sus organismos públicos.  </w:t>
      </w:r>
    </w:p>
    <w:p w:rsidR="00EE0979" w:rsidRDefault="00B022A0">
      <w:pPr>
        <w:spacing w:after="276"/>
        <w:ind w:left="-1" w:right="98" w:firstLine="708"/>
      </w:pPr>
      <w:r>
        <w:rPr>
          <w:b/>
          <w:i/>
        </w:rPr>
        <w:t>Segunda</w:t>
      </w:r>
      <w:r>
        <w:rPr>
          <w:i/>
        </w:rPr>
        <w:t>. También podría resolverse esta cuesti</w:t>
      </w:r>
      <w:r>
        <w:rPr>
          <w:i/>
        </w:rPr>
        <w:t>ón mediante la figura de la concesión demanial. En este caso la titularidad de los bienes seguiría siendo del Ayuntamiento, mientras que la Comunidad Autónoma tendría derecho a ocuparlos por el plazo máximo de la concesión, actualmente 75 años (art. 93.3 d</w:t>
      </w:r>
      <w:r>
        <w:rPr>
          <w:i/>
        </w:rPr>
        <w:t xml:space="preserve">e la LPAP de carácter básico). </w:t>
      </w:r>
      <w:r>
        <w:t xml:space="preserve"> </w:t>
      </w:r>
    </w:p>
    <w:p w:rsidR="00EE0979" w:rsidRDefault="00B022A0">
      <w:pPr>
        <w:spacing w:after="275"/>
        <w:ind w:left="-1" w:right="98" w:firstLine="708"/>
      </w:pPr>
      <w:r>
        <w:rPr>
          <w:i/>
        </w:rPr>
        <w:t>El uso privativo de los bienes de dominio público que determine su ocupación con obras o instalaciones fijas deberá estar amparado por la correspondiente concesión administrativa que, de acuerdo con el artículo 93 de la LPA</w:t>
      </w:r>
      <w:r>
        <w:rPr>
          <w:i/>
        </w:rPr>
        <w:t>P (de carácter básico), deberá efectuarse en régimen de concurrencia. No obstante, podrá acordarse el otorgamiento directo de la concesión en los supuestos previstos en el artículo 137.4 de esta ley, entre los que se encuentra cuando se trate de otra Admin</w:t>
      </w:r>
      <w:r>
        <w:rPr>
          <w:i/>
        </w:rPr>
        <w:t>istración pública o, en general, cualquier persona jurídica de derecho público o privado perteneciente al sector público. A estos efectos, se entenderá por persona jurídica de derecho privado perteneciente al sector público la sociedad mercantil en cuyo ca</w:t>
      </w:r>
      <w:r>
        <w:rPr>
          <w:i/>
        </w:rPr>
        <w:t xml:space="preserve">pital sea mayoritaria la participación directa o indirecta de una o varias Administraciones públicas o personas jurídica de Derecho público.  </w:t>
      </w:r>
    </w:p>
    <w:p w:rsidR="00EE0979" w:rsidRDefault="00B022A0">
      <w:pPr>
        <w:spacing w:after="275"/>
        <w:ind w:left="-1" w:right="98" w:firstLine="708"/>
      </w:pPr>
      <w:r>
        <w:rPr>
          <w:b/>
          <w:i/>
        </w:rPr>
        <w:t>Tercera</w:t>
      </w:r>
      <w:r>
        <w:rPr>
          <w:i/>
        </w:rPr>
        <w:t>. Para el caso de que los bienes estuviesen cali cados como patrimoniales, además de su posible expropiación o imposición de servidumbres forzosas, también cabe su cesión gratuita. El RB permite la cesión gratuita de este tipo de bienes a entidades o insti</w:t>
      </w:r>
      <w:r>
        <w:rPr>
          <w:i/>
        </w:rPr>
        <w:t xml:space="preserve">tuciones públicas para fines que redunden en beneficio de los habitantes del término municipal. Por tanto es posible la cesión a la Comunidad Autónoma de los terrenos necesarios para la construcción de la depuradora. </w:t>
      </w:r>
      <w:r>
        <w:t xml:space="preserve"> </w:t>
      </w:r>
    </w:p>
    <w:p w:rsidR="00EE0979" w:rsidRDefault="00B022A0">
      <w:pPr>
        <w:spacing w:after="275"/>
        <w:ind w:left="-1" w:right="98" w:firstLine="708"/>
      </w:pPr>
      <w:r>
        <w:rPr>
          <w:i/>
        </w:rPr>
        <w:t xml:space="preserve">La cesión gratuita (artículo 110 del </w:t>
      </w:r>
      <w:r>
        <w:rPr>
          <w:i/>
        </w:rPr>
        <w:t xml:space="preserve">RB) requiere acuerdo adoptado con el voto favorable de la mayoría absoluta del número legal de miembros de la corporación, previa instrucción del expediente con arreglo a estos requisitos: </w:t>
      </w:r>
    </w:p>
    <w:p w:rsidR="00EE0979" w:rsidRDefault="00B022A0">
      <w:pPr>
        <w:numPr>
          <w:ilvl w:val="0"/>
          <w:numId w:val="68"/>
        </w:numPr>
        <w:spacing w:after="277"/>
        <w:ind w:right="98" w:firstLine="708"/>
      </w:pPr>
      <w:r>
        <w:rPr>
          <w:i/>
        </w:rPr>
        <w:t>Justificación documental por la propia entidad o institución solic</w:t>
      </w:r>
      <w:r>
        <w:rPr>
          <w:i/>
        </w:rPr>
        <w:t xml:space="preserve">itante de su carácter público y memoria demostrativa de que los nes que persigue han de redundar de manera evidente y positiva en bene cio de los habitantes del término municipal.  </w:t>
      </w:r>
    </w:p>
    <w:p w:rsidR="00EE0979" w:rsidRDefault="00B022A0">
      <w:pPr>
        <w:numPr>
          <w:ilvl w:val="0"/>
          <w:numId w:val="68"/>
        </w:numPr>
        <w:spacing w:after="9" w:line="249" w:lineRule="auto"/>
        <w:ind w:right="98" w:firstLine="708"/>
      </w:pPr>
      <w:r>
        <w:rPr>
          <w:i/>
        </w:rPr>
        <w:t xml:space="preserve">Certificación del Registro de la propiedad acreditativa de que los bienes </w:t>
      </w:r>
      <w:r>
        <w:rPr>
          <w:i/>
        </w:rPr>
        <w:t xml:space="preserve">se hallan </w:t>
      </w:r>
    </w:p>
    <w:p w:rsidR="00EE0979" w:rsidRDefault="00B022A0">
      <w:pPr>
        <w:ind w:left="9" w:right="98" w:hanging="10"/>
      </w:pPr>
      <w:r>
        <w:rPr>
          <w:i/>
        </w:rPr>
        <w:t xml:space="preserve">debidamente inscritos en concepto de patrimoniales de la entidad local. </w:t>
      </w:r>
    </w:p>
    <w:p w:rsidR="00EE0979" w:rsidRDefault="00B022A0">
      <w:pPr>
        <w:numPr>
          <w:ilvl w:val="0"/>
          <w:numId w:val="68"/>
        </w:numPr>
        <w:ind w:right="98" w:firstLine="708"/>
      </w:pPr>
      <w:r>
        <w:rPr>
          <w:i/>
        </w:rPr>
        <w:t xml:space="preserve">Certificación del Secretario de la corporación en la que conste que los bienes guran en </w:t>
      </w:r>
    </w:p>
    <w:p w:rsidR="00EE0979" w:rsidRDefault="00B022A0">
      <w:pPr>
        <w:spacing w:after="272"/>
        <w:ind w:left="9" w:right="98" w:hanging="10"/>
      </w:pPr>
      <w:r>
        <w:rPr>
          <w:i/>
        </w:rPr>
        <w:t xml:space="preserve">el inventario aprobado por la corporación con la antedicha cali cación jurídica.  </w:t>
      </w:r>
    </w:p>
    <w:p w:rsidR="00EE0979" w:rsidRDefault="00B022A0">
      <w:pPr>
        <w:numPr>
          <w:ilvl w:val="0"/>
          <w:numId w:val="68"/>
        </w:numPr>
        <w:ind w:right="98" w:firstLine="708"/>
      </w:pPr>
      <w:r>
        <w:rPr>
          <w:i/>
        </w:rPr>
        <w:t xml:space="preserve">Informe del interventor de fondos en el que pruebe no haber deuda pendiente de </w:t>
      </w:r>
    </w:p>
    <w:p w:rsidR="00EE0979" w:rsidRDefault="00B022A0">
      <w:pPr>
        <w:spacing w:after="274"/>
        <w:ind w:left="9" w:right="98" w:hanging="10"/>
      </w:pPr>
      <w:r>
        <w:rPr>
          <w:i/>
        </w:rPr>
        <w:t xml:space="preserve">liquidación con cargo al presupuesto municipal.  </w:t>
      </w:r>
    </w:p>
    <w:p w:rsidR="00EE0979" w:rsidRDefault="00B022A0">
      <w:pPr>
        <w:numPr>
          <w:ilvl w:val="0"/>
          <w:numId w:val="68"/>
        </w:numPr>
        <w:spacing w:after="275"/>
        <w:ind w:right="98" w:firstLine="708"/>
      </w:pPr>
      <w:r>
        <w:rPr>
          <w:i/>
        </w:rPr>
        <w:t>Dictamen suscrito por técnico que asevere que los bienes no se hallan comprendidos en ningún plan de ordenación, reforma o ada</w:t>
      </w:r>
      <w:r>
        <w:rPr>
          <w:i/>
        </w:rPr>
        <w:t xml:space="preserve">ptación, no son necesarios para la entidad local ni es previsible que lo sean en los diez años inmediatos. </w:t>
      </w:r>
    </w:p>
    <w:p w:rsidR="00EE0979" w:rsidRDefault="00B022A0">
      <w:pPr>
        <w:numPr>
          <w:ilvl w:val="0"/>
          <w:numId w:val="68"/>
        </w:numPr>
        <w:spacing w:after="272"/>
        <w:ind w:right="98" w:firstLine="708"/>
      </w:pPr>
      <w:r>
        <w:rPr>
          <w:i/>
        </w:rPr>
        <w:t xml:space="preserve">Información pública por plazo no inferior a quince días. </w:t>
      </w:r>
    </w:p>
    <w:p w:rsidR="00EE0979" w:rsidRDefault="00B022A0">
      <w:pPr>
        <w:spacing w:after="261" w:line="259" w:lineRule="auto"/>
        <w:ind w:left="722" w:firstLine="0"/>
        <w:jc w:val="left"/>
      </w:pPr>
      <w:r>
        <w:rPr>
          <w:i/>
        </w:rPr>
        <w:t xml:space="preserve"> </w:t>
      </w:r>
    </w:p>
    <w:p w:rsidR="00EE0979" w:rsidRDefault="00B022A0">
      <w:pPr>
        <w:spacing w:after="277"/>
        <w:ind w:left="-1" w:right="98" w:firstLine="708"/>
      </w:pPr>
      <w:r>
        <w:rPr>
          <w:i/>
        </w:rPr>
        <w:t xml:space="preserve">No obstante, lo anterior, los trámites de cesión gratuita sólo serán precisos cuando la Depuradora vaya a ser de titularidad de la Comunidad Autónoma. Si la depuradora va a ser propiedad municipal, no tiene sentido transmitir la propiedad del terreno para </w:t>
      </w:r>
      <w:r>
        <w:rPr>
          <w:i/>
        </w:rPr>
        <w:t>construir la depuradora que posteriormente se integrará en el patrimonio del Ayuntamiento. Si fuera este el caso, simplemente, se pone a disposición de la Comunidad Autónoma los terrenos con la finalidad de que la depuradora se construya y para ello result</w:t>
      </w:r>
      <w:r>
        <w:rPr>
          <w:i/>
        </w:rPr>
        <w:t xml:space="preserve">a suficiente un simple acuerdo plenario para acordar la puesta a disposición -que no es más que una cesión temporal- que haga posible la construcción de la depuradora y la ocupación de los terrenos mientras duren las obras. </w:t>
      </w:r>
    </w:p>
    <w:p w:rsidR="00EE0979" w:rsidRDefault="00B022A0">
      <w:pPr>
        <w:spacing w:after="271" w:line="248" w:lineRule="auto"/>
        <w:ind w:left="732" w:right="95" w:hanging="10"/>
      </w:pPr>
      <w:r>
        <w:rPr>
          <w:i/>
        </w:rPr>
        <w:t xml:space="preserve"> </w:t>
      </w:r>
      <w:r>
        <w:rPr>
          <w:b/>
          <w:i/>
        </w:rPr>
        <w:t>CONCLUSIONES</w:t>
      </w:r>
      <w:r>
        <w:rPr>
          <w:i/>
        </w:rPr>
        <w:t xml:space="preserve"> </w:t>
      </w:r>
      <w:r>
        <w:t xml:space="preserve"> </w:t>
      </w:r>
    </w:p>
    <w:p w:rsidR="00EE0979" w:rsidRDefault="00B022A0">
      <w:pPr>
        <w:spacing w:after="275"/>
        <w:ind w:left="-1" w:right="98" w:firstLine="708"/>
      </w:pPr>
      <w:r>
        <w:rPr>
          <w:b/>
          <w:i/>
        </w:rPr>
        <w:t>Primera</w:t>
      </w:r>
      <w:r>
        <w:rPr>
          <w:i/>
        </w:rPr>
        <w:t>. Si los</w:t>
      </w:r>
      <w:r>
        <w:rPr>
          <w:i/>
        </w:rPr>
        <w:t xml:space="preserve"> bienes municipales están calificados como de dominio público la cesión a la comunidad autónoma para la construcción de la depuradora se puede acometer a través de la figura de la mutación demanial externa y en el supuesto de que no se exija la transmisión</w:t>
      </w:r>
      <w:r>
        <w:rPr>
          <w:i/>
        </w:rPr>
        <w:t xml:space="preserve"> de la propiedad sino sólo su ocupación por un periodo máximo de 75 años, cabe la concesión demanial que puede acordarse directamente al darse uno de los supuestos del art. 137.4 de la LPAP. </w:t>
      </w:r>
      <w:r>
        <w:t xml:space="preserve"> </w:t>
      </w:r>
    </w:p>
    <w:p w:rsidR="00EE0979" w:rsidRDefault="00B022A0">
      <w:pPr>
        <w:spacing w:after="278"/>
        <w:ind w:left="-1" w:right="98" w:firstLine="708"/>
      </w:pPr>
      <w:r>
        <w:rPr>
          <w:b/>
          <w:i/>
        </w:rPr>
        <w:t>Segunda</w:t>
      </w:r>
      <w:r>
        <w:rPr>
          <w:i/>
        </w:rPr>
        <w:t>. Si los bienes tuvieran la condición de patrimoniales c</w:t>
      </w:r>
      <w:r>
        <w:rPr>
          <w:i/>
        </w:rPr>
        <w:t xml:space="preserve">abe la cesión gratuita a la comunidad autónoma tramitando el expediente del art. 110 del RB. </w:t>
      </w:r>
      <w:r>
        <w:t xml:space="preserve"> </w:t>
      </w:r>
    </w:p>
    <w:p w:rsidR="00EE0979" w:rsidRDefault="00B022A0">
      <w:pPr>
        <w:spacing w:after="213" w:line="306" w:lineRule="auto"/>
        <w:ind w:left="-1" w:firstLine="698"/>
        <w:jc w:val="left"/>
      </w:pPr>
      <w:r>
        <w:rPr>
          <w:b/>
          <w:i/>
        </w:rPr>
        <w:t>Tercera</w:t>
      </w:r>
      <w:r>
        <w:rPr>
          <w:i/>
        </w:rPr>
        <w:t>. En el caso de que finalmente la depuradora vaya a ser de propiedad municipal no será necesario tramitar expediente de cesión gratuita, sino que sería su</w:t>
      </w:r>
      <w:r>
        <w:rPr>
          <w:i/>
        </w:rPr>
        <w:t>ficiente un simple acuerdo plenario para acordar la puesta a disposición -que no es más que una cesión temporal- que haga posible la construcción de la depuradora y la ocupación de los terrenos mientras duren las obras.</w:t>
      </w:r>
      <w:r>
        <w:t xml:space="preserve"> </w:t>
      </w:r>
      <w:r>
        <w:rPr>
          <w:i/>
        </w:rPr>
        <w:t>Salvo mejor criterio fundado en dere</w:t>
      </w:r>
      <w:r>
        <w:rPr>
          <w:i/>
        </w:rPr>
        <w:t>cho.</w:t>
      </w:r>
      <w:r>
        <w:t xml:space="preserve">” </w:t>
      </w:r>
    </w:p>
    <w:p w:rsidR="00EE0979" w:rsidRDefault="00B022A0">
      <w:pPr>
        <w:spacing w:after="295" w:line="259" w:lineRule="auto"/>
        <w:ind w:left="722" w:firstLine="0"/>
        <w:jc w:val="left"/>
      </w:pPr>
      <w:r>
        <w:t xml:space="preserve"> </w:t>
      </w:r>
    </w:p>
    <w:p w:rsidR="00EE0979" w:rsidRDefault="00B022A0">
      <w:pPr>
        <w:ind w:left="14" w:right="100" w:firstLine="708"/>
      </w:pPr>
      <w:r>
        <w:rPr>
          <w:b/>
        </w:rPr>
        <w:t>Vista</w:t>
      </w:r>
      <w:r>
        <w:t xml:space="preserve"> consulta emitida por la entidad “EL CONSULTOR DE LOS AYUNTAMIENTOS”, que dice: </w:t>
      </w:r>
    </w:p>
    <w:p w:rsidR="00EE0979" w:rsidRDefault="00B022A0">
      <w:pPr>
        <w:spacing w:after="141" w:line="260" w:lineRule="auto"/>
        <w:ind w:left="10" w:hanging="10"/>
        <w:jc w:val="center"/>
      </w:pPr>
      <w:r>
        <w:t xml:space="preserve">“ </w:t>
      </w:r>
      <w:r>
        <w:rPr>
          <w:b/>
          <w:i/>
          <w:color w:val="0091DA"/>
        </w:rPr>
        <w:t>Distinción entre cesión gratuita y puesta a disposición de terrenos municipales, a efectos de construcción de centros de educación primaria.</w:t>
      </w:r>
      <w:r>
        <w:rPr>
          <w:rFonts w:ascii="Times New Roman" w:eastAsia="Times New Roman" w:hAnsi="Times New Roman" w:cs="Times New Roman"/>
          <w:sz w:val="24"/>
        </w:rPr>
        <w:t xml:space="preserve"> </w:t>
      </w:r>
    </w:p>
    <w:p w:rsidR="00EE0979" w:rsidRDefault="00B022A0">
      <w:pPr>
        <w:spacing w:after="183" w:line="259" w:lineRule="auto"/>
        <w:ind w:left="10" w:right="94" w:hanging="10"/>
        <w:jc w:val="center"/>
      </w:pPr>
      <w:r>
        <w:rPr>
          <w:i/>
          <w:color w:val="333333"/>
        </w:rPr>
        <w:t xml:space="preserve">Redacción de El Consultor de los Ayuntamientos </w:t>
      </w:r>
    </w:p>
    <w:p w:rsidR="00EE0979" w:rsidRDefault="00B022A0">
      <w:pPr>
        <w:spacing w:after="76" w:line="259" w:lineRule="auto"/>
        <w:ind w:left="10" w:right="94" w:hanging="10"/>
        <w:jc w:val="center"/>
      </w:pPr>
      <w:r>
        <w:rPr>
          <w:b/>
          <w:i/>
          <w:color w:val="666666"/>
        </w:rPr>
        <w:t>El Consultor de los Ayuntamientos</w:t>
      </w:r>
      <w:r>
        <w:rPr>
          <w:i/>
          <w:color w:val="666666"/>
        </w:rPr>
        <w:t xml:space="preserve">, Nº 18, Sección Consultas, Quincena del 30 Sep. al 14 </w:t>
      </w:r>
    </w:p>
    <w:p w:rsidR="00EE0979" w:rsidRDefault="00B022A0">
      <w:pPr>
        <w:spacing w:after="150" w:line="259" w:lineRule="auto"/>
        <w:ind w:left="10" w:right="94" w:hanging="10"/>
        <w:jc w:val="center"/>
      </w:pPr>
      <w:r>
        <w:rPr>
          <w:i/>
          <w:color w:val="666666"/>
        </w:rPr>
        <w:t xml:space="preserve">Oct. 2004, Ref. 2903/2004, pág. 2903, tomo 3, Editorial </w:t>
      </w:r>
      <w:r>
        <w:rPr>
          <w:b/>
          <w:i/>
          <w:color w:val="666666"/>
        </w:rPr>
        <w:t>El Consultor de los Ayuntamientos</w:t>
      </w:r>
      <w:r>
        <w:rPr>
          <w:rFonts w:ascii="Times New Roman" w:eastAsia="Times New Roman" w:hAnsi="Times New Roman" w:cs="Times New Roman"/>
          <w:color w:val="666666"/>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9357" w:type="dxa"/>
        <w:tblInd w:w="455" w:type="dxa"/>
        <w:tblCellMar>
          <w:top w:w="65" w:type="dxa"/>
          <w:left w:w="280" w:type="dxa"/>
          <w:bottom w:w="8" w:type="dxa"/>
          <w:right w:w="115" w:type="dxa"/>
        </w:tblCellMar>
        <w:tblLook w:val="04A0" w:firstRow="1" w:lastRow="0" w:firstColumn="1" w:lastColumn="0" w:noHBand="0" w:noVBand="1"/>
      </w:tblPr>
      <w:tblGrid>
        <w:gridCol w:w="9357"/>
      </w:tblGrid>
      <w:tr w:rsidR="00EE0979">
        <w:trPr>
          <w:trHeight w:val="593"/>
        </w:trPr>
        <w:tc>
          <w:tcPr>
            <w:tcW w:w="9357" w:type="dxa"/>
            <w:tcBorders>
              <w:top w:val="single" w:sz="12" w:space="0" w:color="0091DA"/>
              <w:left w:val="single" w:sz="12" w:space="0" w:color="0091DA"/>
              <w:bottom w:val="nil"/>
              <w:right w:val="single" w:sz="12" w:space="0" w:color="0091DA"/>
            </w:tcBorders>
            <w:vAlign w:val="bottom"/>
          </w:tcPr>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r>
      <w:tr w:rsidR="00EE0979">
        <w:trPr>
          <w:trHeight w:val="925"/>
        </w:trPr>
        <w:tc>
          <w:tcPr>
            <w:tcW w:w="9357" w:type="dxa"/>
            <w:tcBorders>
              <w:top w:val="nil"/>
              <w:left w:val="single" w:sz="12" w:space="0" w:color="0091DA"/>
              <w:bottom w:val="single" w:sz="12" w:space="0" w:color="0091DA"/>
              <w:right w:val="single" w:sz="12" w:space="0" w:color="0091DA"/>
            </w:tcBorders>
            <w:shd w:val="clear" w:color="auto" w:fill="FFFFFF"/>
          </w:tcPr>
          <w:p w:rsidR="00EE0979" w:rsidRDefault="00B022A0">
            <w:pPr>
              <w:spacing w:after="36" w:line="259" w:lineRule="auto"/>
              <w:ind w:left="0" w:firstLine="0"/>
              <w:jc w:val="left"/>
            </w:pPr>
            <w:r>
              <w:rPr>
                <w:rFonts w:ascii="Times New Roman" w:eastAsia="Times New Roman" w:hAnsi="Times New Roman" w:cs="Times New Roman"/>
                <w:sz w:val="24"/>
              </w:rPr>
              <w:t xml:space="preserve"> </w:t>
            </w:r>
          </w:p>
          <w:p w:rsidR="00EE0979" w:rsidRDefault="00B022A0">
            <w:pPr>
              <w:spacing w:after="0" w:line="259" w:lineRule="auto"/>
              <w:ind w:left="0" w:firstLine="0"/>
              <w:jc w:val="left"/>
            </w:pPr>
            <w:r>
              <w:rPr>
                <w:rFonts w:ascii="Times New Roman" w:eastAsia="Times New Roman" w:hAnsi="Times New Roman" w:cs="Times New Roman"/>
                <w:sz w:val="24"/>
              </w:rPr>
              <w:t xml:space="preserve"> </w:t>
            </w:r>
          </w:p>
        </w:tc>
      </w:tr>
    </w:tbl>
    <w:p w:rsidR="00EE0979" w:rsidRDefault="00B022A0">
      <w:pPr>
        <w:pStyle w:val="Ttulo2"/>
      </w:pPr>
      <w:r>
        <w:t xml:space="preserve">Antecedentes.-- </w:t>
      </w:r>
    </w:p>
    <w:p w:rsidR="00EE0979" w:rsidRDefault="00B022A0">
      <w:pPr>
        <w:spacing w:after="102" w:line="317" w:lineRule="auto"/>
        <w:ind w:left="9" w:hanging="10"/>
        <w:jc w:val="left"/>
      </w:pPr>
      <w:r>
        <w:rPr>
          <w:i/>
          <w:color w:val="111111"/>
        </w:rPr>
        <w:t xml:space="preserve">Por la Junta de Castilla y León se solicita la puesta a disposición a la misma de un solar para la construcción de un colegio público. ¿No sería más adecuado tramitar expediente de cesión gratuita? </w:t>
      </w:r>
    </w:p>
    <w:p w:rsidR="00EE0979" w:rsidRDefault="00B022A0">
      <w:pPr>
        <w:pStyle w:val="Ttulo2"/>
        <w:ind w:right="93"/>
      </w:pPr>
      <w:r>
        <w:t xml:space="preserve">Contestación.-- </w:t>
      </w:r>
    </w:p>
    <w:p w:rsidR="00EE0979" w:rsidRDefault="00B022A0">
      <w:pPr>
        <w:spacing w:after="79" w:line="315" w:lineRule="auto"/>
        <w:ind w:left="9" w:right="95" w:hanging="10"/>
      </w:pPr>
      <w:r>
        <w:rPr>
          <w:i/>
          <w:color w:val="111111"/>
        </w:rPr>
        <w:t>El art. 51.1 del Texto Refundido de la L</w:t>
      </w:r>
      <w:r>
        <w:rPr>
          <w:i/>
          <w:color w:val="111111"/>
        </w:rPr>
        <w:t>ey de Enseñanza Primaria, aprobado por Decreto 193/1967, de 2 de febrero (LA LEY 123/1967) (EC 556/1967) atribuye ex lege la propiedad de los edificios públicos escolares, cualquiera que sea el procedimiento de financiación, a los Ayuntamientos. El municip</w:t>
      </w:r>
      <w:r>
        <w:rPr>
          <w:i/>
          <w:color w:val="111111"/>
        </w:rPr>
        <w:t>io se subroga en todas las acciones y derechos que pudieran corresponder a los organismos que hayan financiado su construcción. Construidos los edificios escolares pasan a propiedad municipal.</w:t>
      </w:r>
      <w:r>
        <w:rPr>
          <w:rFonts w:ascii="Times New Roman" w:eastAsia="Times New Roman" w:hAnsi="Times New Roman" w:cs="Times New Roman"/>
          <w:sz w:val="24"/>
        </w:rPr>
        <w:t xml:space="preserve"> </w:t>
      </w:r>
    </w:p>
    <w:p w:rsidR="00EE0979" w:rsidRDefault="00B022A0">
      <w:pPr>
        <w:spacing w:after="79" w:line="315" w:lineRule="auto"/>
        <w:ind w:left="9" w:right="95" w:hanging="10"/>
      </w:pPr>
      <w:r>
        <w:rPr>
          <w:i/>
          <w:color w:val="111111"/>
        </w:rPr>
        <w:t>Ahora bien, no todos los centros docentes pasan a propiedad mu</w:t>
      </w:r>
      <w:r>
        <w:rPr>
          <w:i/>
          <w:color w:val="111111"/>
        </w:rPr>
        <w:t>nicipal, sino que, a la vista de la disposición adicional 17.ª de la Ley Orgánica 1/1990, de 3 de octubre (LA LEY 2578/1990) (EC 1764/1990), de Ordenación General del Sistema Educativo, y del art. 4 del Real Decreto 2274/1993 de 22 de diciembre (LA LEY 270</w:t>
      </w:r>
      <w:r>
        <w:rPr>
          <w:i/>
          <w:color w:val="111111"/>
        </w:rPr>
        <w:t>/1994) (EC 391/1994), sólo pasarán a propiedad municipal los centros de educación infantil (2.º ciclo) y los de enseñanza primaria y especial. Por ello, el citado art. 4 del Real Decreto 2274/1993 (LA LEY 270/1994) distingue los conceptos de puesta a dispo</w:t>
      </w:r>
      <w:r>
        <w:rPr>
          <w:i/>
          <w:color w:val="111111"/>
        </w:rPr>
        <w:t>sición y cesión gratuita de terrenos.</w:t>
      </w:r>
      <w:r>
        <w:rPr>
          <w:rFonts w:ascii="Times New Roman" w:eastAsia="Times New Roman" w:hAnsi="Times New Roman" w:cs="Times New Roman"/>
          <w:sz w:val="24"/>
        </w:rPr>
        <w:t xml:space="preserve"> </w:t>
      </w:r>
    </w:p>
    <w:p w:rsidR="00EE0979" w:rsidRDefault="00B022A0">
      <w:pPr>
        <w:spacing w:after="79" w:line="315" w:lineRule="auto"/>
        <w:ind w:left="9" w:right="95" w:hanging="10"/>
      </w:pPr>
      <w:r>
        <w:rPr>
          <w:i/>
          <w:color w:val="111111"/>
        </w:rPr>
        <w:t xml:space="preserve">Los trámites de cesión gratuita sólo serán precisos cuando el centro público devenga de propiedad estatal o autonómica. Si el centro docente es por ley de propiedad municipal, no tiene sentido transmitir la propiedad </w:t>
      </w:r>
      <w:r>
        <w:rPr>
          <w:i/>
          <w:color w:val="111111"/>
        </w:rPr>
        <w:t>del solar para construir el centro que posteriormente se integrará en el patrimonio del Ayuntamiento. Por ello, simplemente, se ponen a disposición del Ministerio o del órgano competente de la Comunidad Autónoma, con la finalidad de que el centro sea const</w:t>
      </w:r>
      <w:r>
        <w:rPr>
          <w:i/>
          <w:color w:val="111111"/>
        </w:rPr>
        <w:t xml:space="preserve">ruido. </w:t>
      </w:r>
    </w:p>
    <w:p w:rsidR="00EE0979" w:rsidRDefault="00B022A0">
      <w:pPr>
        <w:spacing w:after="0" w:line="315" w:lineRule="auto"/>
        <w:ind w:left="9" w:right="95" w:hanging="10"/>
      </w:pPr>
      <w:r>
        <w:rPr>
          <w:i/>
          <w:color w:val="111111"/>
        </w:rPr>
        <w:t xml:space="preserve">De ahí que, en el caso consultado, baste un simple acuerdo plenario para acordar la puesta a disposición --que no es más que una cesión temporal-- que haga posible la construcción del centro </w:t>
      </w:r>
      <w:r>
        <w:rPr>
          <w:i/>
          <w:color w:val="111111"/>
        </w:rPr>
        <w:t>y la ocupación del solar mientras duren las obras. Otra cosa sería si lo que se pretende construir es un Centro de ESO, en cuyo caso, al quedar el centro de propiedad estatal o autonómica, sería preciso tramitar expediente de cesión gratuita.</w:t>
      </w:r>
      <w:r>
        <w:rPr>
          <w:color w:val="111111"/>
        </w:rPr>
        <w:t>”</w:t>
      </w:r>
      <w:r>
        <w:rPr>
          <w:rFonts w:ascii="Times New Roman" w:eastAsia="Times New Roman" w:hAnsi="Times New Roman" w:cs="Times New Roman"/>
          <w:sz w:val="24"/>
        </w:rPr>
        <w:t xml:space="preserve"> </w:t>
      </w:r>
    </w:p>
    <w:p w:rsidR="00EE0979" w:rsidRDefault="00B022A0">
      <w:pPr>
        <w:spacing w:after="259" w:line="259" w:lineRule="auto"/>
        <w:ind w:left="722" w:firstLine="0"/>
        <w:jc w:val="left"/>
      </w:pPr>
      <w:r>
        <w:t xml:space="preserve"> </w:t>
      </w:r>
    </w:p>
    <w:p w:rsidR="00EE0979" w:rsidRDefault="00B022A0">
      <w:pPr>
        <w:spacing w:after="258" w:line="265" w:lineRule="auto"/>
        <w:ind w:left="624" w:right="721" w:hanging="10"/>
        <w:jc w:val="center"/>
      </w:pPr>
      <w:r>
        <w:rPr>
          <w:b/>
        </w:rPr>
        <w:t xml:space="preserve">Vista la Ley 7/1985, de 2 de abril, Reguladora de las Bases del Régimen Local. </w:t>
      </w:r>
    </w:p>
    <w:p w:rsidR="00EE0979" w:rsidRDefault="00B022A0">
      <w:pPr>
        <w:spacing w:after="274"/>
        <w:ind w:left="14" w:right="100" w:firstLine="708"/>
      </w:pPr>
      <w:r>
        <w:rPr>
          <w:b/>
        </w:rPr>
        <w:t>Artículo 33. 2.</w:t>
      </w:r>
      <w:r>
        <w:t xml:space="preserve"> Corresponde en todo caso al Pleno: ñ) Aquellas atribuciones que deban corresponder al Pleno por exigir su aprobación una mayoría especial.  </w:t>
      </w:r>
    </w:p>
    <w:p w:rsidR="00EE0979" w:rsidRDefault="00B022A0">
      <w:pPr>
        <w:spacing w:after="272"/>
        <w:ind w:left="14" w:right="100" w:firstLine="708"/>
      </w:pPr>
      <w:r>
        <w:t>En base a los antec</w:t>
      </w:r>
      <w:r>
        <w:t xml:space="preserve">edentes de hecho y fundamentos de Derecho expuestos, se emite la siguiente, </w:t>
      </w:r>
    </w:p>
    <w:p w:rsidR="00EE0979" w:rsidRDefault="00B022A0">
      <w:pPr>
        <w:pStyle w:val="Ttulo1"/>
        <w:numPr>
          <w:ilvl w:val="0"/>
          <w:numId w:val="0"/>
        </w:numPr>
        <w:spacing w:after="95"/>
        <w:ind w:left="624" w:right="707"/>
      </w:pPr>
      <w:r>
        <w:t xml:space="preserve">INFORME-PROPUESTA DE RESOLUCIÓN </w:t>
      </w:r>
    </w:p>
    <w:p w:rsidR="00EE0979" w:rsidRDefault="00B022A0">
      <w:pPr>
        <w:spacing w:after="98" w:line="259" w:lineRule="auto"/>
        <w:ind w:left="0" w:right="36" w:firstLine="0"/>
        <w:jc w:val="center"/>
      </w:pPr>
      <w:r>
        <w:t xml:space="preserve"> </w:t>
      </w:r>
    </w:p>
    <w:p w:rsidR="00EE0979" w:rsidRDefault="00B022A0">
      <w:pPr>
        <w:spacing w:after="114"/>
        <w:ind w:right="100"/>
      </w:pPr>
      <w:r>
        <w:rPr>
          <w:b/>
        </w:rPr>
        <w:t xml:space="preserve">Primero. - </w:t>
      </w:r>
      <w:r>
        <w:t xml:space="preserve">Aprobar la cesión temporal de uso de los siguientes bienes inmuebles de propiedad municipal al Cabildo Insular de Tenerife: </w:t>
      </w:r>
    </w:p>
    <w:p w:rsidR="00EE0979" w:rsidRDefault="00B022A0">
      <w:pPr>
        <w:spacing w:after="0" w:line="259" w:lineRule="auto"/>
        <w:ind w:left="14" w:firstLine="0"/>
        <w:jc w:val="left"/>
      </w:pPr>
      <w: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4"/>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0"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98"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11"/>
        <w:ind w:right="100"/>
      </w:pPr>
      <w:r>
        <w:rPr>
          <w:b/>
        </w:rPr>
        <w:t xml:space="preserve">Segundo. - </w:t>
      </w:r>
      <w:r>
        <w:t xml:space="preserve"> </w:t>
      </w:r>
      <w:r>
        <w:t>Poner a disposición del Cabildo Insular de Tenerife de los bienes descritos en el informe técnico emitido por la Arquitecta municipal con fecha 13 de abril de 2023, con el objeto de destinarlos a la ejecución del proyecto “Proyecto de remodelación de la Pl</w:t>
      </w:r>
      <w:r>
        <w:t>aza de la Patrona de Canarias y su entorno, canalización de cauce e implantación de obras hidráulicas.</w:t>
      </w:r>
      <w:r>
        <w:rPr>
          <w:b/>
        </w:rPr>
        <w:t>”</w:t>
      </w:r>
      <w:r>
        <w:t xml:space="preserve">  </w:t>
      </w:r>
    </w:p>
    <w:p w:rsidR="00EE0979" w:rsidRDefault="00B022A0">
      <w:pPr>
        <w:spacing w:after="106"/>
        <w:ind w:right="100"/>
      </w:pPr>
      <w:r>
        <w:rPr>
          <w:b/>
        </w:rPr>
        <w:t xml:space="preserve">Tercero. - </w:t>
      </w:r>
      <w:r>
        <w:t xml:space="preserve">Facultar a la Alcaldía para la firma de documentación que se derive en la ejecución del Acuerdo que se adopte.” </w:t>
      </w:r>
    </w:p>
    <w:p w:rsidR="00EE0979" w:rsidRDefault="00B022A0">
      <w:pPr>
        <w:spacing w:after="95" w:line="259" w:lineRule="auto"/>
        <w:ind w:left="14" w:firstLine="0"/>
        <w:jc w:val="left"/>
      </w:pPr>
      <w:r>
        <w:t xml:space="preserve"> </w:t>
      </w:r>
    </w:p>
    <w:p w:rsidR="00EE0979" w:rsidRDefault="00B022A0">
      <w:pPr>
        <w:spacing w:after="113"/>
        <w:ind w:right="100"/>
      </w:pPr>
      <w:r>
        <w:t xml:space="preserve">En virtud de lo expuesto se somete al </w:t>
      </w:r>
      <w:r>
        <w:rPr>
          <w:b/>
        </w:rPr>
        <w:t>Pleno</w:t>
      </w:r>
      <w:r>
        <w:t xml:space="preserve"> la siguiente propuesta de acuerdo: </w:t>
      </w:r>
    </w:p>
    <w:p w:rsidR="00EE0979" w:rsidRDefault="00B022A0">
      <w:pPr>
        <w:spacing w:after="96" w:line="259" w:lineRule="auto"/>
        <w:ind w:left="14" w:firstLine="0"/>
        <w:jc w:val="left"/>
      </w:pPr>
      <w:r>
        <w:t xml:space="preserve"> </w:t>
      </w:r>
    </w:p>
    <w:p w:rsidR="00EE0979" w:rsidRDefault="00B022A0">
      <w:pPr>
        <w:pStyle w:val="Ttulo1"/>
        <w:numPr>
          <w:ilvl w:val="0"/>
          <w:numId w:val="0"/>
        </w:numPr>
        <w:spacing w:after="95"/>
        <w:ind w:left="624" w:right="712"/>
      </w:pPr>
      <w:r>
        <w:t>PROPUESTA DE ACUERDO</w:t>
      </w:r>
      <w:r>
        <w:rPr>
          <w:b w:val="0"/>
        </w:rPr>
        <w:t xml:space="preserve"> </w:t>
      </w:r>
    </w:p>
    <w:p w:rsidR="00EE0979" w:rsidRDefault="00B022A0">
      <w:pPr>
        <w:ind w:right="100"/>
      </w:pPr>
      <w:r>
        <w:rPr>
          <w:b/>
        </w:rPr>
        <w:t xml:space="preserve">Primero. - </w:t>
      </w:r>
      <w:r>
        <w:t xml:space="preserve">Aprobar la cesión temporal de uso de los siguientes bienes inmuebles de propiedad municipal al Cabildo Insular de Tenerife: </w:t>
      </w:r>
    </w:p>
    <w:p w:rsidR="00EE0979" w:rsidRDefault="00B022A0">
      <w:pPr>
        <w:spacing w:after="0" w:line="259" w:lineRule="auto"/>
        <w:ind w:left="14" w:firstLine="0"/>
        <w:jc w:val="left"/>
      </w:pPr>
      <w:r>
        <w:t xml:space="preserve"> </w:t>
      </w:r>
    </w:p>
    <w:tbl>
      <w:tblPr>
        <w:tblStyle w:val="TableGrid"/>
        <w:tblW w:w="8824" w:type="dxa"/>
        <w:tblInd w:w="127" w:type="dxa"/>
        <w:tblCellMar>
          <w:top w:w="7" w:type="dxa"/>
          <w:left w:w="127" w:type="dxa"/>
          <w:bottom w:w="0" w:type="dxa"/>
          <w:right w:w="73" w:type="dxa"/>
        </w:tblCellMar>
        <w:tblLook w:val="04A0" w:firstRow="1" w:lastRow="0" w:firstColumn="1" w:lastColumn="0" w:noHBand="0" w:noVBand="1"/>
      </w:tblPr>
      <w:tblGrid>
        <w:gridCol w:w="4357"/>
        <w:gridCol w:w="4467"/>
      </w:tblGrid>
      <w:tr w:rsidR="00EE0979">
        <w:trPr>
          <w:trHeight w:val="382"/>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w:t>
            </w:r>
            <w:r>
              <w:rPr>
                <w:b/>
              </w:rPr>
              <w:t xml:space="preserve">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8"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7"/>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100" w:line="259" w:lineRule="auto"/>
        <w:ind w:left="14" w:firstLine="0"/>
        <w:jc w:val="left"/>
      </w:pPr>
      <w:r>
        <w:t xml:space="preserve"> </w:t>
      </w:r>
    </w:p>
    <w:p w:rsidR="00EE0979" w:rsidRDefault="00B022A0">
      <w:pPr>
        <w:spacing w:after="95" w:line="259" w:lineRule="auto"/>
        <w:ind w:left="14" w:firstLine="0"/>
        <w:jc w:val="left"/>
      </w:pPr>
      <w:r>
        <w:t xml:space="preserve"> </w:t>
      </w:r>
    </w:p>
    <w:p w:rsidR="00EE0979" w:rsidRDefault="00B022A0">
      <w:pPr>
        <w:spacing w:after="114"/>
        <w:ind w:right="100"/>
      </w:pPr>
      <w:r>
        <w:rPr>
          <w:b/>
        </w:rPr>
        <w:t xml:space="preserve">Segundo. - </w:t>
      </w:r>
      <w:r>
        <w:t xml:space="preserve"> </w:t>
      </w:r>
      <w:r>
        <w:t>Poner a disposición del Cabildo Insular de Tenerife de los bienes descritos en el informe técnico emitido por la Arquitecta municipal con fecha 13 de abril de 2023, con el objeto de destinarlos a la ejecución del proyecto “Proyecto de remodelación de la Pl</w:t>
      </w:r>
      <w:r>
        <w:t>aza de la Patrona de Canarias y su entorno, canalización de cauce e implantación de obras hidráulicas.</w:t>
      </w:r>
      <w:r>
        <w:rPr>
          <w:b/>
        </w:rPr>
        <w:t>”</w:t>
      </w:r>
      <w:r>
        <w:t xml:space="preserve">  </w:t>
      </w:r>
    </w:p>
    <w:p w:rsidR="00EE0979" w:rsidRDefault="00B022A0">
      <w:pPr>
        <w:spacing w:after="111"/>
        <w:ind w:right="100"/>
      </w:pPr>
      <w:r>
        <w:rPr>
          <w:b/>
        </w:rPr>
        <w:t xml:space="preserve">Tercero. - </w:t>
      </w:r>
      <w:r>
        <w:t xml:space="preserve">Facultar a la Alcaldía para la firma de documentación que se derive en la ejecución del Acuerdo que se adopte.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DICTAMEN FAVORABLE DE LA COMISIÓN INFORMATIVA DE P.G. URBANÍSTICA Y AMBIENTAL, OBRAS y SERVICIOS PÚBLICOS DE 24 DE ABRIL DE 2023.  </w:t>
      </w:r>
    </w:p>
    <w:p w:rsidR="00EE0979" w:rsidRDefault="00B022A0">
      <w:pPr>
        <w:spacing w:after="0" w:line="259" w:lineRule="auto"/>
        <w:ind w:left="14" w:firstLine="0"/>
        <w:jc w:val="left"/>
      </w:pPr>
      <w:r>
        <w:rPr>
          <w:b/>
        </w:rPr>
        <w:t xml:space="preserve"> </w:t>
      </w:r>
    </w:p>
    <w:p w:rsidR="00EE0979" w:rsidRDefault="00B022A0">
      <w:pPr>
        <w:ind w:right="100"/>
      </w:pPr>
      <w:r>
        <w:rPr>
          <w:b/>
        </w:rPr>
        <w:t xml:space="preserve"> </w:t>
      </w:r>
      <w:r>
        <w:t>Votos a favor: 7.</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Los 4 concejales del Grupo Socialista:  Don Reinaldo José Triviño Blanco, Doña Margarita Eva </w:t>
      </w:r>
    </w:p>
    <w:p w:rsidR="00EE0979" w:rsidRDefault="00B022A0">
      <w:pPr>
        <w:tabs>
          <w:tab w:val="center" w:pos="1866"/>
          <w:tab w:val="center" w:pos="3122"/>
          <w:tab w:val="center" w:pos="4377"/>
          <w:tab w:val="center" w:pos="5915"/>
          <w:tab w:val="center" w:pos="7364"/>
          <w:tab w:val="center" w:pos="8584"/>
          <w:tab w:val="right" w:pos="9689"/>
        </w:tabs>
        <w:ind w:left="0" w:firstLine="0"/>
        <w:jc w:val="left"/>
      </w:pPr>
      <w:r>
        <w:t>Tender</w:t>
      </w:r>
      <w:r>
        <w:t xml:space="preserve">o </w:t>
      </w:r>
      <w:r>
        <w:tab/>
        <w:t xml:space="preserve">Barroso, </w:t>
      </w:r>
      <w:r>
        <w:tab/>
        <w:t xml:space="preserve">Don </w:t>
      </w:r>
      <w:r>
        <w:tab/>
        <w:t xml:space="preserve">Olegario </w:t>
      </w:r>
      <w:r>
        <w:tab/>
        <w:t xml:space="preserve">Francisco </w:t>
      </w:r>
      <w:r>
        <w:tab/>
        <w:t xml:space="preserve">Alonso </w:t>
      </w:r>
      <w:r>
        <w:tab/>
        <w:t xml:space="preserve">Bello </w:t>
      </w:r>
      <w:r>
        <w:tab/>
        <w:t xml:space="preserve">y  </w:t>
      </w:r>
    </w:p>
    <w:p w:rsidR="00EE0979" w:rsidRDefault="00B022A0">
      <w:pPr>
        <w:ind w:right="100"/>
      </w:pPr>
      <w:r>
        <w:t>Don Jorge Baute Delgado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t xml:space="preserve"> </w:t>
      </w:r>
    </w:p>
    <w:p w:rsidR="00EE0979" w:rsidRDefault="00B022A0">
      <w:pPr>
        <w:ind w:right="100"/>
      </w:pPr>
      <w:r>
        <w:t xml:space="preserve">Abstenciones: 3.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w:t>
      </w:r>
      <w:r>
        <w:rPr>
          <w:color w:val="2F3E4D"/>
        </w:rPr>
        <w:t>Alicia Mercedes Marrero Meneses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3528" w:hanging="10"/>
      </w:pPr>
      <w:r>
        <w:rPr>
          <w:b/>
        </w:rPr>
        <w:t xml:space="preserve">JUNTA DE PORTAVOCES DE 24 DE ABRIL DE 2023  Quedó oída.  </w:t>
      </w:r>
    </w:p>
    <w:p w:rsidR="00EE0979" w:rsidRDefault="00B022A0">
      <w:pPr>
        <w:spacing w:after="0" w:line="259" w:lineRule="auto"/>
        <w:ind w:left="14" w:firstLine="0"/>
        <w:jc w:val="left"/>
      </w:pPr>
      <w:r>
        <w:rPr>
          <w:b/>
        </w:rPr>
        <w:t xml:space="preserve"> </w:t>
      </w:r>
    </w:p>
    <w:p w:rsidR="00EE0979" w:rsidRDefault="00B022A0">
      <w:pPr>
        <w:ind w:right="100"/>
      </w:pPr>
      <w:r>
        <w:t>Votos a favor: La unanimidad de los 1</w:t>
      </w:r>
      <w:r>
        <w:t xml:space="preserve">8 concejales presentes. </w:t>
      </w:r>
    </w:p>
    <w:p w:rsidR="00EE0979" w:rsidRDefault="00B022A0">
      <w:pPr>
        <w:spacing w:after="0" w:line="259" w:lineRule="auto"/>
        <w:ind w:left="14" w:firstLine="0"/>
        <w:jc w:val="left"/>
      </w:pPr>
      <w:r>
        <w:t xml:space="preserve"> </w:t>
      </w:r>
    </w:p>
    <w:p w:rsidR="00EE0979" w:rsidRDefault="00B022A0">
      <w:pPr>
        <w:ind w:right="100"/>
      </w:pPr>
      <w:r>
        <w:t xml:space="preserve">11 concejales del Grupo Socialista: Doña María Concepción Brito Núñez, Doña Don Jorge Baute Delgado, Doña Olivia Concepción Pérez Díaz, Don José Francisco Pinto Ramos, Doña Hilaria Cecilia Otazo González, Don Airam Pérez Chinea, </w:t>
      </w:r>
      <w:r>
        <w:t xml:space="preserve">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Popular: Don Andrés Rodríguez Delgado, Don Jaco</w:t>
      </w:r>
      <w:r>
        <w:t xml:space="preserve">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2"/>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w:t>
      </w:r>
      <w:r>
        <w:t xml:space="preserve">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0" w:line="238" w:lineRule="auto"/>
        <w:ind w:left="14" w:right="8330" w:firstLine="0"/>
        <w:jc w:val="left"/>
      </w:pPr>
      <w:r>
        <w:rPr>
          <w:b/>
        </w:rPr>
        <w:t xml:space="preserve">                       </w:t>
      </w:r>
    </w:p>
    <w:p w:rsidR="00EE0979" w:rsidRDefault="00B022A0">
      <w:pPr>
        <w:spacing w:after="3" w:line="265" w:lineRule="auto"/>
        <w:ind w:left="624" w:right="712" w:hanging="10"/>
        <w:jc w:val="center"/>
      </w:pPr>
      <w:r>
        <w:rPr>
          <w:b/>
        </w:rPr>
        <w:t xml:space="preserve">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111"/>
        <w:ind w:right="99" w:hanging="10"/>
      </w:pPr>
      <w:r>
        <w:rPr>
          <w:b/>
        </w:rPr>
        <w:t xml:space="preserve">Primero. - </w:t>
      </w:r>
      <w:r>
        <w:rPr>
          <w:b/>
        </w:rPr>
        <w:t xml:space="preserve">Aprobar la cesión temporal de uso de los siguientes bienes inmuebles de propiedad municipal al Cabildo Insular de Tenerife: </w:t>
      </w:r>
    </w:p>
    <w:p w:rsidR="00EE0979" w:rsidRDefault="00B022A0">
      <w:pPr>
        <w:spacing w:after="0" w:line="259" w:lineRule="auto"/>
        <w:ind w:left="14" w:firstLine="0"/>
        <w:jc w:val="left"/>
      </w:pPr>
      <w:r>
        <w:rPr>
          <w:b/>
        </w:rPr>
        <w:t xml:space="preserve"> </w:t>
      </w:r>
    </w:p>
    <w:tbl>
      <w:tblPr>
        <w:tblStyle w:val="TableGrid"/>
        <w:tblW w:w="8824" w:type="dxa"/>
        <w:tblInd w:w="127" w:type="dxa"/>
        <w:tblCellMar>
          <w:top w:w="9" w:type="dxa"/>
          <w:left w:w="127" w:type="dxa"/>
          <w:bottom w:w="0" w:type="dxa"/>
          <w:right w:w="73" w:type="dxa"/>
        </w:tblCellMar>
        <w:tblLook w:val="04A0" w:firstRow="1" w:lastRow="0" w:firstColumn="1" w:lastColumn="0" w:noHBand="0" w:noVBand="1"/>
      </w:tblPr>
      <w:tblGrid>
        <w:gridCol w:w="4357"/>
        <w:gridCol w:w="4467"/>
      </w:tblGrid>
      <w:tr w:rsidR="00EE0979">
        <w:trPr>
          <w:trHeight w:val="384"/>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1" w:firstLine="0"/>
              <w:jc w:val="center"/>
            </w:pPr>
            <w:r>
              <w:rPr>
                <w:b/>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rPr>
                <w:b/>
              </w:rPr>
              <w:t xml:space="preserve">DENOMINACION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2" w:firstLine="0"/>
              <w:jc w:val="center"/>
            </w:pPr>
            <w:r>
              <w:t xml:space="preserve">1/138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6" w:firstLine="0"/>
              <w:jc w:val="center"/>
            </w:pPr>
            <w:r>
              <w:t xml:space="preserve">Plaza del Ayuntamiento Viejo de </w:t>
            </w:r>
          </w:p>
          <w:p w:rsidR="00EE0979" w:rsidRDefault="00B022A0">
            <w:pPr>
              <w:spacing w:after="0" w:line="259" w:lineRule="auto"/>
              <w:ind w:left="0" w:right="58" w:firstLine="0"/>
              <w:jc w:val="center"/>
            </w:pPr>
            <w:r>
              <w:t xml:space="preserve">Candelaria </w:t>
            </w:r>
          </w:p>
        </w:tc>
      </w:tr>
      <w:tr w:rsidR="00EE0979">
        <w:trPr>
          <w:trHeight w:val="636"/>
        </w:trPr>
        <w:tc>
          <w:tcPr>
            <w:tcW w:w="435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57" w:firstLine="0"/>
              <w:jc w:val="center"/>
            </w:pPr>
            <w:r>
              <w:t xml:space="preserve">11/134 </w:t>
            </w:r>
          </w:p>
        </w:tc>
        <w:tc>
          <w:tcPr>
            <w:tcW w:w="4467"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Terrenos y bienes naturales de la Plaza del </w:t>
            </w:r>
          </w:p>
          <w:p w:rsidR="00EE0979" w:rsidRDefault="00B022A0">
            <w:pPr>
              <w:spacing w:after="0" w:line="259" w:lineRule="auto"/>
              <w:ind w:left="0" w:right="59" w:firstLine="0"/>
              <w:jc w:val="center"/>
            </w:pPr>
            <w:r>
              <w:t xml:space="preserve">Ayuntamiento viejo </w:t>
            </w:r>
          </w:p>
        </w:tc>
      </w:tr>
    </w:tbl>
    <w:p w:rsidR="00EE0979" w:rsidRDefault="00B022A0">
      <w:pPr>
        <w:spacing w:after="100" w:line="259" w:lineRule="auto"/>
        <w:ind w:left="14" w:firstLine="0"/>
        <w:jc w:val="left"/>
      </w:pPr>
      <w:r>
        <w:t xml:space="preserve"> </w:t>
      </w:r>
    </w:p>
    <w:p w:rsidR="00EE0979" w:rsidRDefault="00B022A0">
      <w:pPr>
        <w:spacing w:after="95" w:line="259" w:lineRule="auto"/>
        <w:ind w:left="14" w:firstLine="0"/>
        <w:jc w:val="left"/>
      </w:pPr>
      <w:r>
        <w:t xml:space="preserve"> </w:t>
      </w:r>
    </w:p>
    <w:p w:rsidR="00EE0979" w:rsidRDefault="00B022A0">
      <w:pPr>
        <w:spacing w:after="111"/>
        <w:ind w:right="99" w:hanging="10"/>
      </w:pPr>
      <w:r>
        <w:rPr>
          <w:b/>
        </w:rPr>
        <w:t xml:space="preserve">Segundo. - </w:t>
      </w:r>
      <w:r>
        <w:t xml:space="preserve"> </w:t>
      </w:r>
      <w:r>
        <w:rPr>
          <w:b/>
        </w:rPr>
        <w:t>Poner a disposición del Cabildo Insular de Tenerife de los bienes descritos en el informe técnico emitido por la Arquitecta municipal con fecha 13 de abril de 2023, con el objeto de destinarlos a la ejecución del proyecto “Proyecto de remodelación de la Pl</w:t>
      </w:r>
      <w:r>
        <w:rPr>
          <w:b/>
        </w:rPr>
        <w:t xml:space="preserve">aza de la Patrona de Canarias y su entorno, canalización de cauce e implantación de obras hidráulicas.” </w:t>
      </w:r>
      <w:r>
        <w:t xml:space="preserve"> </w:t>
      </w:r>
    </w:p>
    <w:p w:rsidR="00EE0979" w:rsidRDefault="00B022A0">
      <w:pPr>
        <w:spacing w:after="162"/>
        <w:ind w:right="99" w:hanging="10"/>
      </w:pPr>
      <w:r>
        <w:rPr>
          <w:b/>
        </w:rPr>
        <w:t xml:space="preserve">Tercero. - Facultar a la Alcaldía para la firma de documentación que se derive en la ejecución del Acuerdo que se adopte. </w:t>
      </w:r>
    </w:p>
    <w:p w:rsidR="00EE0979" w:rsidRDefault="00B022A0">
      <w:pPr>
        <w:spacing w:after="0" w:line="426" w:lineRule="auto"/>
        <w:ind w:left="14" w:right="9614" w:firstLine="0"/>
        <w:jc w:val="left"/>
      </w:pPr>
      <w:r>
        <w:rPr>
          <w:i/>
          <w:color w:val="222222"/>
        </w:rPr>
        <w:t xml:space="preserve">   </w:t>
      </w:r>
    </w:p>
    <w:p w:rsidR="00EE0979" w:rsidRDefault="00B022A0">
      <w:pPr>
        <w:spacing w:after="91" w:line="250" w:lineRule="auto"/>
        <w:ind w:left="9" w:right="102" w:hanging="10"/>
      </w:pPr>
      <w:r>
        <w:rPr>
          <w:b/>
          <w:sz w:val="24"/>
        </w:rPr>
        <w:t>10.- Expediente 482/201</w:t>
      </w:r>
      <w:r>
        <w:rPr>
          <w:b/>
          <w:sz w:val="24"/>
        </w:rPr>
        <w:t>9. Propuesta de la Alcaldesa-Presidenta de 13 de abril de 2023 al Pleno de miembros de la Comisión de seguimiento en Representación del Ayuntamiento de Candelaria para la ejecución de las obras contenidas en el proyecto de remodelación de la Plaza de La Pa</w:t>
      </w:r>
      <w:r>
        <w:rPr>
          <w:b/>
          <w:sz w:val="24"/>
        </w:rPr>
        <w:t xml:space="preserve">trona.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Consta en el expediente propuesta de la Alcaldesa-Presidenta, de fecha 13 de abril de 2023, cuyo tenor literal es el siguiente: </w:t>
      </w:r>
    </w:p>
    <w:p w:rsidR="00EE0979" w:rsidRDefault="00B022A0">
      <w:pPr>
        <w:spacing w:after="98" w:line="259" w:lineRule="auto"/>
        <w:ind w:left="14" w:firstLine="0"/>
        <w:jc w:val="left"/>
      </w:pPr>
      <w:r>
        <w:rPr>
          <w:b/>
        </w:rPr>
        <w:t xml:space="preserve"> </w:t>
      </w:r>
    </w:p>
    <w:p w:rsidR="00EE0979" w:rsidRDefault="00B022A0">
      <w:pPr>
        <w:spacing w:after="114" w:line="259" w:lineRule="auto"/>
        <w:ind w:left="14" w:firstLine="0"/>
        <w:jc w:val="left"/>
      </w:pPr>
      <w:r>
        <w:rPr>
          <w:b/>
        </w:rPr>
        <w:t xml:space="preserve"> </w:t>
      </w:r>
    </w:p>
    <w:p w:rsidR="00EE0979" w:rsidRDefault="00B022A0">
      <w:pPr>
        <w:spacing w:after="93" w:line="265" w:lineRule="auto"/>
        <w:ind w:left="624" w:right="712" w:hanging="10"/>
        <w:jc w:val="center"/>
      </w:pPr>
      <w:r>
        <w:rPr>
          <w:b/>
        </w:rPr>
        <w:t xml:space="preserve">“PROPUESTA DE LA ALCALDESA-PRESIDENTA AL PLENO. </w:t>
      </w:r>
    </w:p>
    <w:p w:rsidR="00EE0979" w:rsidRDefault="00B022A0">
      <w:pPr>
        <w:spacing w:after="100" w:line="259" w:lineRule="auto"/>
        <w:ind w:left="0" w:right="36" w:firstLine="0"/>
        <w:jc w:val="center"/>
      </w:pPr>
      <w:r>
        <w:rPr>
          <w:b/>
        </w:rPr>
        <w:t xml:space="preserve"> </w:t>
      </w:r>
    </w:p>
    <w:p w:rsidR="00EE0979" w:rsidRDefault="00B022A0">
      <w:pPr>
        <w:spacing w:after="223"/>
        <w:ind w:right="100"/>
      </w:pPr>
      <w:r>
        <w:t>Visto el Convenio de colaboración entre el Excmo. Cabildo Insular de Tenerife, el Consejo Insular de Aguas de Tenerife y el Ayuntamiento de Candelaria para la ejecución de las obras contenidas en el proyecto de remodelación de la plaza de la patrona de can</w:t>
      </w:r>
      <w:r>
        <w:t>arias y su entorno, canalización de cauce e implantación de obras hidráulicas aprobado por el Pleno en sesión ordinaria celebrada el día 29 de diciembre de 2021, se propone como miembros de la Comisión de seguimiento en Representación del Ayuntamiento de C</w:t>
      </w:r>
      <w:r>
        <w:t xml:space="preserve">andelaria a las siguientes personas:  </w:t>
      </w:r>
    </w:p>
    <w:p w:rsidR="00EE0979" w:rsidRDefault="00B022A0">
      <w:pPr>
        <w:spacing w:after="221"/>
        <w:ind w:right="100"/>
      </w:pPr>
      <w:r>
        <w:t xml:space="preserve">Vocal titular: Alcaldesa-Presidenta: Doña María Concepción Brito Núñez.  </w:t>
      </w:r>
    </w:p>
    <w:p w:rsidR="00EE0979" w:rsidRDefault="00B022A0">
      <w:pPr>
        <w:spacing w:after="224"/>
        <w:ind w:right="100"/>
      </w:pPr>
      <w:r>
        <w:t xml:space="preserve">Vocal Suplente: Concejal delegado: Don Reinaldo José Triviño Blanco.  </w:t>
      </w:r>
    </w:p>
    <w:p w:rsidR="00EE0979" w:rsidRDefault="00B022A0">
      <w:pPr>
        <w:spacing w:after="260"/>
        <w:ind w:right="100"/>
      </w:pPr>
      <w:r>
        <w:t xml:space="preserve">Vocal titular: Arquitecta: Doña Nayra Guzmán Hernández.  </w:t>
      </w:r>
    </w:p>
    <w:p w:rsidR="00EE0979" w:rsidRDefault="00B022A0">
      <w:pPr>
        <w:spacing w:after="219"/>
        <w:ind w:right="100"/>
      </w:pPr>
      <w:r>
        <w:t>Vocal suplente</w:t>
      </w:r>
      <w:r>
        <w:t xml:space="preserve">: Arquitecto municipal: Don Javier González Gómez.” </w:t>
      </w:r>
    </w:p>
    <w:p w:rsidR="00EE0979" w:rsidRDefault="00B022A0">
      <w:pPr>
        <w:spacing w:after="6"/>
        <w:ind w:right="99" w:hanging="10"/>
      </w:pPr>
      <w:r>
        <w:rPr>
          <w:b/>
        </w:rPr>
        <w:t xml:space="preserve">DICTAMEN FAVORABLE DE LA COMISIÓN INFORMATIVA DE P.G. URBANÍSTICA Y AMBIENTAL, OBRAS y SERVICIOS PÚBLICOS DE 24 DE ABRIL DE 2023.  </w:t>
      </w:r>
    </w:p>
    <w:p w:rsidR="00EE0979" w:rsidRDefault="00B022A0">
      <w:pPr>
        <w:spacing w:after="211" w:line="259" w:lineRule="auto"/>
        <w:ind w:left="14" w:firstLine="0"/>
        <w:jc w:val="left"/>
      </w:pPr>
      <w:r>
        <w:t xml:space="preserve"> </w:t>
      </w:r>
    </w:p>
    <w:p w:rsidR="00EE0979" w:rsidRDefault="00B022A0">
      <w:pPr>
        <w:ind w:right="100"/>
      </w:pPr>
      <w:r>
        <w:t xml:space="preserve">Votos a favor: 7. </w:t>
      </w:r>
    </w:p>
    <w:p w:rsidR="00EE0979" w:rsidRDefault="00B022A0">
      <w:pPr>
        <w:spacing w:after="0" w:line="259" w:lineRule="auto"/>
        <w:ind w:left="14" w:firstLine="0"/>
        <w:jc w:val="left"/>
      </w:pPr>
      <w:r>
        <w:t xml:space="preserve"> </w:t>
      </w:r>
    </w:p>
    <w:p w:rsidR="00EE0979" w:rsidRDefault="00B022A0">
      <w:pPr>
        <w:ind w:right="100"/>
      </w:pPr>
      <w:r>
        <w:t>Los 4 concejales del Grupo Socialista:  Don Rein</w:t>
      </w:r>
      <w:r>
        <w:t xml:space="preserve">aldo José Triviño Blanco, Doña Margarita Eva </w:t>
      </w:r>
    </w:p>
    <w:p w:rsidR="00EE0979" w:rsidRDefault="00B022A0">
      <w:pPr>
        <w:tabs>
          <w:tab w:val="center" w:pos="1866"/>
          <w:tab w:val="center" w:pos="3122"/>
          <w:tab w:val="center" w:pos="4377"/>
          <w:tab w:val="center" w:pos="5915"/>
          <w:tab w:val="center" w:pos="7364"/>
          <w:tab w:val="center" w:pos="8584"/>
          <w:tab w:val="right" w:pos="9689"/>
        </w:tabs>
        <w:ind w:left="0" w:firstLine="0"/>
        <w:jc w:val="left"/>
      </w:pPr>
      <w:r>
        <w:t xml:space="preserve">Tendero </w:t>
      </w:r>
      <w:r>
        <w:tab/>
        <w:t xml:space="preserve">Barroso, </w:t>
      </w:r>
      <w:r>
        <w:tab/>
        <w:t xml:space="preserve">Don </w:t>
      </w:r>
      <w:r>
        <w:tab/>
        <w:t xml:space="preserve">Olegario </w:t>
      </w:r>
      <w:r>
        <w:tab/>
        <w:t xml:space="preserve">Francisco </w:t>
      </w:r>
      <w:r>
        <w:tab/>
        <w:t xml:space="preserve">Alonso </w:t>
      </w:r>
      <w:r>
        <w:tab/>
        <w:t xml:space="preserve">Bello </w:t>
      </w:r>
      <w:r>
        <w:tab/>
        <w:t xml:space="preserve">y  </w:t>
      </w:r>
    </w:p>
    <w:p w:rsidR="00EE0979" w:rsidRDefault="00B022A0">
      <w:pPr>
        <w:ind w:right="100"/>
      </w:pPr>
      <w:r>
        <w:t>Don Jorge Baute Delgado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t xml:space="preserve"> </w:t>
      </w:r>
    </w:p>
    <w:p w:rsidR="00EE0979" w:rsidRDefault="00B022A0">
      <w:pPr>
        <w:ind w:right="100"/>
      </w:pPr>
      <w:r>
        <w:t xml:space="preserve">Abstenciones: 3. </w:t>
      </w:r>
    </w:p>
    <w:p w:rsidR="00EE0979" w:rsidRDefault="00B022A0">
      <w:pPr>
        <w:spacing w:after="0" w:line="259" w:lineRule="auto"/>
        <w:ind w:left="14" w:firstLine="0"/>
        <w:jc w:val="left"/>
      </w:pPr>
      <w:r>
        <w:t xml:space="preserve"> </w:t>
      </w:r>
    </w:p>
    <w:p w:rsidR="00EE0979" w:rsidRDefault="00B022A0">
      <w:pPr>
        <w:ind w:right="100"/>
      </w:pPr>
      <w:r>
        <w:t xml:space="preserve">El concejal del Grupo Popular, Don Jacobo López Fariña. </w:t>
      </w:r>
    </w:p>
    <w:p w:rsidR="00EE0979" w:rsidRDefault="00B022A0">
      <w:pPr>
        <w:spacing w:after="0" w:line="259" w:lineRule="auto"/>
        <w:ind w:left="14" w:firstLine="0"/>
        <w:jc w:val="left"/>
      </w:pPr>
      <w:r>
        <w:t xml:space="preserve"> </w:t>
      </w:r>
    </w:p>
    <w:p w:rsidR="00EE0979" w:rsidRDefault="00B022A0">
      <w:pPr>
        <w:ind w:right="100"/>
      </w:pPr>
      <w:r>
        <w:t>La concejal del Grupo Mixto (SSP), Doña Lourdes del Carmen Mondéjar Rondón.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t xml:space="preserve">La concejal del Grupo Mixto (CC-PNC): Doña </w:t>
      </w:r>
      <w:r>
        <w:rPr>
          <w:color w:val="2F3E4D"/>
        </w:rPr>
        <w:t>Alicia Mercedes Marrero Meneses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JUNTA DE PORTAVOCES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VOTACIÓN EN EL PLENO DE 27 DE AB</w:t>
      </w:r>
      <w:r>
        <w:rPr>
          <w:b/>
        </w:rPr>
        <w:t xml:space="preserve">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La unanimidad de los 18 concejales presentes.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w:t>
      </w:r>
      <w:r>
        <w:t xml:space="preserve">aria Cecilia Otazo González, Don Airam Pérez Chinea, 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w:t>
      </w:r>
      <w:r>
        <w:t xml:space="preserve">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   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223"/>
        <w:ind w:right="100"/>
      </w:pPr>
      <w:r>
        <w:t>Se propone como miembros de la Comisi</w:t>
      </w:r>
      <w:r>
        <w:t xml:space="preserve">ón de seguimiento en Representación del Ayuntamiento de Candelaria a las siguientes personas:  </w:t>
      </w:r>
    </w:p>
    <w:p w:rsidR="00EE0979" w:rsidRDefault="00B022A0">
      <w:pPr>
        <w:spacing w:after="221"/>
        <w:ind w:right="100"/>
      </w:pPr>
      <w:r>
        <w:t xml:space="preserve">Vocal titular: Alcaldesa-Presidenta: Doña María Concepción Brito Núñez.  </w:t>
      </w:r>
    </w:p>
    <w:p w:rsidR="00EE0979" w:rsidRDefault="00B022A0">
      <w:pPr>
        <w:spacing w:after="224"/>
        <w:ind w:right="100"/>
      </w:pPr>
      <w:r>
        <w:t xml:space="preserve">Vocal Suplente: Concejal delegado: Don Reinaldo José Triviño Blanco.  </w:t>
      </w:r>
    </w:p>
    <w:p w:rsidR="00EE0979" w:rsidRDefault="00B022A0">
      <w:pPr>
        <w:spacing w:after="221"/>
        <w:ind w:right="100"/>
      </w:pPr>
      <w:r>
        <w:t xml:space="preserve">Vocal titular: </w:t>
      </w:r>
      <w:r>
        <w:t xml:space="preserve">Arquitecta: Doña Nayra Guzmán Hernández.  </w:t>
      </w:r>
    </w:p>
    <w:p w:rsidR="00EE0979" w:rsidRDefault="00B022A0">
      <w:pPr>
        <w:spacing w:after="154"/>
        <w:ind w:right="100"/>
      </w:pPr>
      <w:r>
        <w:t xml:space="preserve">Vocal suplente: Arquitecto municipal: Don Javier González Gómez. </w:t>
      </w:r>
    </w:p>
    <w:p w:rsidR="00EE0979" w:rsidRDefault="00B022A0">
      <w:pPr>
        <w:spacing w:after="2" w:line="425" w:lineRule="auto"/>
        <w:ind w:left="14" w:right="9614" w:firstLine="0"/>
        <w:jc w:val="left"/>
      </w:pPr>
      <w:r>
        <w:rPr>
          <w:i/>
          <w:color w:val="222222"/>
        </w:rPr>
        <w:t xml:space="preserve">   </w:t>
      </w:r>
    </w:p>
    <w:p w:rsidR="00EE0979" w:rsidRDefault="00B022A0">
      <w:pPr>
        <w:spacing w:after="127" w:line="259" w:lineRule="auto"/>
        <w:ind w:left="14" w:firstLine="0"/>
        <w:jc w:val="left"/>
      </w:pPr>
      <w:r>
        <w:rPr>
          <w:i/>
          <w:color w:val="222222"/>
        </w:rPr>
        <w:t xml:space="preserve"> </w:t>
      </w:r>
    </w:p>
    <w:p w:rsidR="00EE0979" w:rsidRDefault="00B022A0">
      <w:pPr>
        <w:spacing w:after="0" w:line="259" w:lineRule="auto"/>
        <w:ind w:left="14" w:firstLine="0"/>
        <w:jc w:val="left"/>
      </w:pPr>
      <w:r>
        <w:rPr>
          <w:b/>
        </w:rPr>
        <w:t xml:space="preserve"> </w:t>
      </w:r>
    </w:p>
    <w:p w:rsidR="00EE0979" w:rsidRDefault="00B022A0">
      <w:pPr>
        <w:spacing w:after="100" w:line="259" w:lineRule="auto"/>
        <w:ind w:left="14" w:firstLine="0"/>
        <w:jc w:val="left"/>
      </w:pPr>
      <w:r>
        <w:rPr>
          <w:b/>
        </w:rPr>
        <w:t xml:space="preserve"> </w:t>
      </w:r>
    </w:p>
    <w:p w:rsidR="00EE0979" w:rsidRDefault="00B022A0">
      <w:pPr>
        <w:spacing w:after="114"/>
        <w:ind w:right="99" w:hanging="10"/>
      </w:pPr>
      <w:r>
        <w:rPr>
          <w:b/>
        </w:rPr>
        <w:t>11.- Expediente 4437/2023. Moción del Grupo Mixto con registro de entrada nº (2023-E-RE</w:t>
      </w:r>
      <w:r>
        <w:rPr>
          <w:b/>
        </w:rPr>
        <w:t xml:space="preserve">3130) de 18 de abril de 2023 para el apoyo a la iniciativa legislativa popular a favor de la regularización extraordinaria de población migrante. </w:t>
      </w:r>
    </w:p>
    <w:p w:rsidR="00EE0979" w:rsidRDefault="00B022A0">
      <w:pPr>
        <w:spacing w:after="111" w:line="259" w:lineRule="auto"/>
        <w:ind w:left="14" w:firstLine="0"/>
        <w:jc w:val="left"/>
      </w:pPr>
      <w:r>
        <w:rPr>
          <w:b/>
        </w:rPr>
        <w:t xml:space="preserve"> </w:t>
      </w:r>
    </w:p>
    <w:p w:rsidR="00EE0979" w:rsidRDefault="00B022A0">
      <w:pPr>
        <w:spacing w:after="6"/>
        <w:ind w:right="99" w:hanging="10"/>
      </w:pPr>
      <w:r>
        <w:rPr>
          <w:rFonts w:ascii="Times New Roman" w:eastAsia="Times New Roman" w:hAnsi="Times New Roman" w:cs="Times New Roman"/>
          <w:b/>
          <w:sz w:val="24"/>
        </w:rPr>
        <w:t xml:space="preserve">     </w:t>
      </w:r>
      <w:r>
        <w:rPr>
          <w:b/>
        </w:rPr>
        <w:t>Consta en el expediente electrónico la referida moción que se inserta literalmente:</w:t>
      </w:r>
      <w:r>
        <w:rPr>
          <w:rFonts w:ascii="Times New Roman" w:eastAsia="Times New Roman" w:hAnsi="Times New Roman" w:cs="Times New Roman"/>
          <w:sz w:val="24"/>
        </w:rPr>
        <w:t xml:space="preserve"> </w:t>
      </w:r>
    </w:p>
    <w:p w:rsidR="00EE0979" w:rsidRDefault="00B022A0">
      <w:pPr>
        <w:spacing w:after="95" w:line="259" w:lineRule="auto"/>
        <w:ind w:left="14" w:firstLine="0"/>
        <w:jc w:val="left"/>
      </w:pPr>
      <w:r>
        <w:rPr>
          <w:b/>
        </w:rPr>
        <w:t xml:space="preserve"> </w:t>
      </w:r>
    </w:p>
    <w:p w:rsidR="00EE0979" w:rsidRDefault="00B022A0">
      <w:pPr>
        <w:spacing w:after="67" w:line="259" w:lineRule="auto"/>
        <w:ind w:left="14" w:firstLine="0"/>
        <w:jc w:val="left"/>
      </w:pPr>
      <w:r>
        <w:t xml:space="preserve">               </w:t>
      </w:r>
      <w:r>
        <w:t xml:space="preserve">        </w:t>
      </w:r>
      <w:r>
        <w:rPr>
          <w:noProof/>
        </w:rPr>
        <w:drawing>
          <wp:inline distT="0" distB="0" distL="0" distR="0">
            <wp:extent cx="3764280" cy="1318260"/>
            <wp:effectExtent l="0" t="0" r="0" b="0"/>
            <wp:docPr id="22886" name="Picture 22886"/>
            <wp:cNvGraphicFramePr/>
            <a:graphic xmlns:a="http://schemas.openxmlformats.org/drawingml/2006/main">
              <a:graphicData uri="http://schemas.openxmlformats.org/drawingml/2006/picture">
                <pic:pic xmlns:pic="http://schemas.openxmlformats.org/drawingml/2006/picture">
                  <pic:nvPicPr>
                    <pic:cNvPr id="22886" name="Picture 22886"/>
                    <pic:cNvPicPr/>
                  </pic:nvPicPr>
                  <pic:blipFill>
                    <a:blip r:embed="rId45"/>
                    <a:stretch>
                      <a:fillRect/>
                    </a:stretch>
                  </pic:blipFill>
                  <pic:spPr>
                    <a:xfrm>
                      <a:off x="0" y="0"/>
                      <a:ext cx="3764280" cy="1318260"/>
                    </a:xfrm>
                    <a:prstGeom prst="rect">
                      <a:avLst/>
                    </a:prstGeom>
                  </pic:spPr>
                </pic:pic>
              </a:graphicData>
            </a:graphic>
          </wp:inline>
        </w:drawing>
      </w:r>
      <w: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pBdr>
          <w:top w:val="single" w:sz="4" w:space="0" w:color="000001"/>
          <w:left w:val="single" w:sz="4" w:space="0" w:color="000001"/>
          <w:bottom w:val="single" w:sz="4" w:space="0" w:color="000001"/>
          <w:right w:val="single" w:sz="4" w:space="0" w:color="000001"/>
        </w:pBdr>
        <w:spacing w:after="2" w:line="256" w:lineRule="auto"/>
        <w:ind w:left="9" w:right="965" w:hanging="10"/>
        <w:jc w:val="left"/>
      </w:pPr>
      <w:r>
        <w:rPr>
          <w:b/>
          <w:sz w:val="24"/>
        </w:rPr>
        <w:t xml:space="preserve">MOCIÓN EN APOYO A LA INICIATIVA LEGISLATIVA POPULAR A FAVOR DE LA REGULARIZACIÓN EXTRAORDINARIA DE POBLACIÓN </w:t>
      </w:r>
    </w:p>
    <w:p w:rsidR="00EE0979" w:rsidRDefault="00B022A0">
      <w:pPr>
        <w:pBdr>
          <w:top w:val="single" w:sz="4" w:space="0" w:color="000001"/>
          <w:left w:val="single" w:sz="4" w:space="0" w:color="000001"/>
          <w:bottom w:val="single" w:sz="4" w:space="0" w:color="000001"/>
          <w:right w:val="single" w:sz="4" w:space="0" w:color="000001"/>
        </w:pBdr>
        <w:spacing w:after="2" w:line="256" w:lineRule="auto"/>
        <w:ind w:left="9" w:right="965" w:hanging="10"/>
        <w:jc w:val="left"/>
      </w:pPr>
      <w:r>
        <w:rPr>
          <w:b/>
          <w:sz w:val="24"/>
        </w:rPr>
        <w:t xml:space="preserve">MIGRANTE </w:t>
      </w:r>
      <w:r>
        <w:rPr>
          <w:sz w:val="24"/>
          <w:vertAlign w:val="subscript"/>
        </w:rPr>
        <w:t xml:space="preserve">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ind w:right="100"/>
      </w:pPr>
      <w:r>
        <w:t xml:space="preserve">“Lourdes del Carmen Mondéjar Rondón, Concejala y Portavoz del Grupo Municipal Mixto y del Partido </w:t>
      </w:r>
      <w:r>
        <w:rPr>
          <w:i/>
        </w:rPr>
        <w:t xml:space="preserve">Sí se puede </w:t>
      </w:r>
      <w:r>
        <w:t>en Candelaria</w:t>
      </w:r>
      <w:r>
        <w:rPr>
          <w:i/>
        </w:rPr>
        <w:t xml:space="preserve"> con CIF: </w:t>
      </w:r>
      <w:r>
        <w:t xml:space="preserve">V 76683143, en uso de las atribuciones que le confiere el Reglamento Orgánico del Gobierno y de la Administración Municipal, presenta al Pleno del Ilustre Ayuntamiento de Candelaria de 27 de abril de 2023, la presente MOCIÓN para su </w:t>
      </w:r>
      <w:r>
        <w:t xml:space="preserve">debate y aprobación si procede, de acuerdo con la siguiente </w:t>
      </w:r>
      <w:r>
        <w:rPr>
          <w:rFonts w:ascii="Times New Roman" w:eastAsia="Times New Roman" w:hAnsi="Times New Roman" w:cs="Times New Roman"/>
          <w:sz w:val="24"/>
        </w:rPr>
        <w:t xml:space="preserve"> </w:t>
      </w:r>
    </w:p>
    <w:p w:rsidR="00EE0979" w:rsidRDefault="00B022A0">
      <w:pPr>
        <w:spacing w:after="30" w:line="259" w:lineRule="auto"/>
        <w:ind w:left="298" w:firstLine="0"/>
        <w:jc w:val="left"/>
      </w:pPr>
      <w:r>
        <w:t xml:space="preserve">  </w:t>
      </w:r>
    </w:p>
    <w:p w:rsidR="00EE0979" w:rsidRDefault="00B022A0">
      <w:pPr>
        <w:spacing w:after="98" w:line="259" w:lineRule="auto"/>
        <w:ind w:left="4117" w:firstLine="0"/>
        <w:jc w:val="left"/>
      </w:pPr>
      <w:r>
        <w:rPr>
          <w:b/>
        </w:rPr>
        <w:t xml:space="preserve"> </w:t>
      </w:r>
      <w:r>
        <w:rPr>
          <w:rFonts w:ascii="Times New Roman" w:eastAsia="Times New Roman" w:hAnsi="Times New Roman" w:cs="Times New Roman"/>
          <w:sz w:val="24"/>
        </w:rPr>
        <w:t xml:space="preserve"> </w:t>
      </w:r>
    </w:p>
    <w:p w:rsidR="00EE0979" w:rsidRDefault="00B022A0">
      <w:pPr>
        <w:spacing w:after="6"/>
        <w:ind w:left="2651" w:right="99" w:hanging="10"/>
      </w:pPr>
      <w:r>
        <w:rPr>
          <w:b/>
        </w:rPr>
        <w:t xml:space="preserve">EXPOSICIÓN DE MOTIVOS: </w:t>
      </w:r>
      <w:r>
        <w:rPr>
          <w:rFonts w:ascii="Times New Roman" w:eastAsia="Times New Roman" w:hAnsi="Times New Roman" w:cs="Times New Roman"/>
          <w:sz w:val="24"/>
        </w:rPr>
        <w:t xml:space="preserve"> </w:t>
      </w:r>
    </w:p>
    <w:p w:rsidR="00EE0979" w:rsidRDefault="00B022A0">
      <w:pPr>
        <w:spacing w:after="173" w:line="259" w:lineRule="auto"/>
        <w:ind w:left="298" w:firstLine="0"/>
        <w:jc w:val="left"/>
      </w:pPr>
      <w:r>
        <w:t xml:space="preserve">  </w:t>
      </w:r>
    </w:p>
    <w:p w:rsidR="00EE0979" w:rsidRDefault="00B022A0">
      <w:pPr>
        <w:numPr>
          <w:ilvl w:val="0"/>
          <w:numId w:val="69"/>
        </w:numPr>
        <w:ind w:right="1798" w:hanging="10"/>
      </w:pPr>
      <w:r>
        <w:t>Dado que el Movimiento #RegularizaciónYa ha solicitado a Sí se puede la presentación en el Ayuntamiento de Candelaria de la moción de apoyo a la Iniciativa Legislativa Popular, ILP por una Regularización extraordinaria de personas migrantes en el Estado es</w:t>
      </w:r>
      <w:r>
        <w:t>pañol.</w:t>
      </w:r>
      <w:r>
        <w:rPr>
          <w:vertAlign w:val="subscript"/>
        </w:rPr>
        <w:t xml:space="preserve"> </w:t>
      </w:r>
      <w:r>
        <w:rPr>
          <w:rFonts w:ascii="Times New Roman" w:eastAsia="Times New Roman" w:hAnsi="Times New Roman" w:cs="Times New Roman"/>
          <w:sz w:val="24"/>
        </w:rPr>
        <w:t xml:space="preserve"> </w:t>
      </w:r>
    </w:p>
    <w:p w:rsidR="00EE0979" w:rsidRDefault="00B022A0">
      <w:pPr>
        <w:spacing w:after="170" w:line="259" w:lineRule="auto"/>
        <w:ind w:left="298" w:firstLine="0"/>
        <w:jc w:val="left"/>
      </w:pPr>
      <w:r>
        <w:t xml:space="preserve">   </w:t>
      </w:r>
    </w:p>
    <w:p w:rsidR="00EE0979" w:rsidRDefault="00B022A0">
      <w:pPr>
        <w:numPr>
          <w:ilvl w:val="0"/>
          <w:numId w:val="69"/>
        </w:numPr>
        <w:ind w:right="1798" w:hanging="10"/>
      </w:pPr>
      <w:r>
        <w:t xml:space="preserve">Dado que de acuerdo con las estimaciones más recientes, en el Estado español vivirían alrededor 500.000 personas migrantes en situación administrativa irregular, de las cuales una tercera parte serían menores de edad.  </w:t>
      </w:r>
    </w:p>
    <w:p w:rsidR="00EE0979" w:rsidRDefault="00B022A0">
      <w:pPr>
        <w:spacing w:after="173" w:line="259" w:lineRule="auto"/>
        <w:ind w:left="298" w:firstLine="0"/>
        <w:jc w:val="left"/>
      </w:pPr>
      <w:r>
        <w:t xml:space="preserve">  </w:t>
      </w:r>
    </w:p>
    <w:p w:rsidR="00EE0979" w:rsidRDefault="00B022A0">
      <w:pPr>
        <w:numPr>
          <w:ilvl w:val="0"/>
          <w:numId w:val="69"/>
        </w:numPr>
        <w:spacing w:after="4"/>
        <w:ind w:right="1798" w:hanging="10"/>
      </w:pPr>
      <w:r>
        <w:t>Dado que los criteri</w:t>
      </w:r>
      <w:r>
        <w:t xml:space="preserve">os para la obtención del permiso de residencia previstos en la Ley Orgánica 4/2000, sobre derechos y libertades de los extranjeros en España o su integración social, son muy restrictivos.  </w:t>
      </w:r>
    </w:p>
    <w:p w:rsidR="00EE0979" w:rsidRDefault="00B022A0">
      <w:pPr>
        <w:spacing w:after="170" w:line="259" w:lineRule="auto"/>
        <w:ind w:left="298" w:firstLine="0"/>
        <w:jc w:val="left"/>
      </w:pPr>
      <w:r>
        <w:t xml:space="preserve">  </w:t>
      </w:r>
    </w:p>
    <w:p w:rsidR="00EE0979" w:rsidRDefault="00B022A0">
      <w:pPr>
        <w:numPr>
          <w:ilvl w:val="0"/>
          <w:numId w:val="69"/>
        </w:numPr>
        <w:ind w:right="1798" w:hanging="10"/>
      </w:pPr>
      <w:r>
        <w:t xml:space="preserve">Dado que esta restricción genera situaciones de vulnerabilidad </w:t>
      </w:r>
      <w:r>
        <w:t xml:space="preserve">graves a las personas que la sufren y que impacta en la exclusión social de las mismas.  </w:t>
      </w:r>
    </w:p>
    <w:p w:rsidR="00EE0979" w:rsidRDefault="00B022A0">
      <w:pPr>
        <w:spacing w:after="172" w:line="259" w:lineRule="auto"/>
        <w:ind w:left="298" w:firstLine="0"/>
        <w:jc w:val="left"/>
      </w:pPr>
      <w:r>
        <w:t xml:space="preserve">  </w:t>
      </w:r>
    </w:p>
    <w:p w:rsidR="00EE0979" w:rsidRDefault="00B022A0">
      <w:pPr>
        <w:numPr>
          <w:ilvl w:val="0"/>
          <w:numId w:val="69"/>
        </w:numPr>
        <w:ind w:right="1798" w:hanging="10"/>
      </w:pPr>
      <w:r>
        <w:t>Dado que esta exclusión social también impacta en la ciudad y a la sociedad en conjunto, comportando la pérdida de una gran aportación económica, fiscal y de soste</w:t>
      </w:r>
      <w:r>
        <w:t xml:space="preserve">nibilidad de sectores productivos esenciales, especialmente necesaria en el contexto de crisis social y económica actual.  </w:t>
      </w:r>
    </w:p>
    <w:p w:rsidR="00EE0979" w:rsidRDefault="00B022A0">
      <w:pPr>
        <w:spacing w:after="170" w:line="259" w:lineRule="auto"/>
        <w:ind w:left="298" w:firstLine="0"/>
        <w:jc w:val="left"/>
      </w:pPr>
      <w:r>
        <w:t xml:space="preserve">  </w:t>
      </w:r>
    </w:p>
    <w:p w:rsidR="00EE0979" w:rsidRDefault="00B022A0">
      <w:pPr>
        <w:numPr>
          <w:ilvl w:val="0"/>
          <w:numId w:val="69"/>
        </w:numPr>
        <w:ind w:right="1798" w:hanging="10"/>
      </w:pPr>
      <w:r>
        <w:t>Dado que durante una reunión ministerial de la OCDE el pasado verano el Ministro de Inclusión, Seguridad Social y Migraciones, Jo</w:t>
      </w:r>
      <w:r>
        <w:t>sé Luis Escrivá, declaró que “lo que está pasando, con períodos tan largos de irregularidad, a veces de hasta siete u ocho años, es que se genera una economía informal que presiona a la baja sobre las condiciones laborales y los salarios de muchos sectores</w:t>
      </w:r>
      <w:r>
        <w:t xml:space="preserve">.”  </w:t>
      </w:r>
    </w:p>
    <w:p w:rsidR="00EE0979" w:rsidRDefault="00B022A0">
      <w:pPr>
        <w:spacing w:after="172" w:line="259" w:lineRule="auto"/>
        <w:ind w:left="298" w:firstLine="0"/>
        <w:jc w:val="left"/>
      </w:pPr>
      <w:r>
        <w:t xml:space="preserve">  </w:t>
      </w:r>
    </w:p>
    <w:p w:rsidR="00EE0979" w:rsidRDefault="00B022A0">
      <w:pPr>
        <w:numPr>
          <w:ilvl w:val="0"/>
          <w:numId w:val="69"/>
        </w:numPr>
        <w:ind w:right="1798" w:hanging="10"/>
      </w:pPr>
      <w:r>
        <w:t xml:space="preserve">Dado que en Agosto de 2022 el Gobierno del Estado </w:t>
      </w:r>
      <w:r>
        <w:t>ha aprobado una reforma del Reglamento de la Ley Orgánica 4/2000, sobre derechos y libertades de los extranjeros en España o su integración social, que flexibiliza los trámites para conceder autorizaciones de trabajo con el objetivo de incidir en el crecim</w:t>
      </w:r>
      <w:r>
        <w:t xml:space="preserve">iento de la economía y de los puestos de trabajo dignos y de calidad pero que no resuelven la situación de las 500.000 personas que viven actualmente en el Estado español en situación administrativa irregular.  </w:t>
      </w:r>
    </w:p>
    <w:p w:rsidR="00EE0979" w:rsidRDefault="00B022A0">
      <w:pPr>
        <w:spacing w:after="170" w:line="259" w:lineRule="auto"/>
        <w:ind w:left="298" w:firstLine="0"/>
        <w:jc w:val="left"/>
      </w:pPr>
      <w:r>
        <w:t xml:space="preserve">  </w:t>
      </w:r>
    </w:p>
    <w:p w:rsidR="00EE0979" w:rsidRDefault="00B022A0">
      <w:pPr>
        <w:numPr>
          <w:ilvl w:val="0"/>
          <w:numId w:val="69"/>
        </w:numPr>
        <w:ind w:right="1798" w:hanging="10"/>
      </w:pPr>
      <w:r>
        <w:t>Dado que el mecanismo de la regularizació</w:t>
      </w:r>
      <w:r>
        <w:t xml:space="preserve">n extraordinaria ha sido utilizado a la Unión Europea, entre 1996 y 2008, 43 veces en 17 Estados miembro, seis de los cuales en el Estado español.   </w:t>
      </w:r>
    </w:p>
    <w:p w:rsidR="00EE0979" w:rsidRDefault="00B022A0">
      <w:pPr>
        <w:spacing w:after="172" w:line="259" w:lineRule="auto"/>
        <w:ind w:left="298" w:firstLine="0"/>
        <w:jc w:val="left"/>
      </w:pPr>
      <w:r>
        <w:t xml:space="preserve">  </w:t>
      </w:r>
    </w:p>
    <w:p w:rsidR="00EE0979" w:rsidRDefault="00B022A0">
      <w:pPr>
        <w:numPr>
          <w:ilvl w:val="0"/>
          <w:numId w:val="69"/>
        </w:numPr>
        <w:ind w:right="1798" w:hanging="10"/>
      </w:pPr>
      <w:r>
        <w:t>Dado que las regularizaciones extraordinarias más recientes se han realizado en Portugal e Italia el 20</w:t>
      </w:r>
      <w:r>
        <w:t xml:space="preserve">20, durante la pandemia por la COVID-19, y que son una medida a la que el Relator Especial por los Derechos Humanos de las personas migrantes de las Naciones Unidas apoya.  </w:t>
      </w:r>
    </w:p>
    <w:p w:rsidR="00EE0979" w:rsidRDefault="00B022A0">
      <w:pPr>
        <w:spacing w:after="0" w:line="259" w:lineRule="auto"/>
        <w:ind w:left="298" w:firstLine="0"/>
        <w:jc w:val="left"/>
      </w:pPr>
      <w:r>
        <w:t xml:space="preserve">  </w:t>
      </w:r>
    </w:p>
    <w:p w:rsidR="00EE0979" w:rsidRDefault="00B022A0">
      <w:pPr>
        <w:ind w:left="298" w:right="100"/>
      </w:pPr>
      <w:r>
        <w:t xml:space="preserve">Por todo lo expuesto, la Concejala de Sí se puede eleva a la consideración del </w:t>
      </w:r>
    </w:p>
    <w:p w:rsidR="00EE0979" w:rsidRDefault="00B022A0">
      <w:pPr>
        <w:ind w:left="298" w:right="100"/>
      </w:pPr>
      <w:r>
        <w:t>Pleno la adopción de los siguientes</w:t>
      </w:r>
      <w:r>
        <w:rPr>
          <w:vertAlign w:val="subscript"/>
        </w:rPr>
        <w:t xml:space="preserve"> </w:t>
      </w:r>
      <w:r>
        <w:rPr>
          <w:b/>
        </w:rPr>
        <w:t>ACUERDOS</w:t>
      </w:r>
      <w:r>
        <w:rPr>
          <w:vertAlign w:val="subscript"/>
        </w:rPr>
        <w:t xml:space="preserve"> </w:t>
      </w:r>
      <w:r>
        <w:rPr>
          <w:rFonts w:ascii="Times New Roman" w:eastAsia="Times New Roman" w:hAnsi="Times New Roman" w:cs="Times New Roman"/>
          <w:sz w:val="24"/>
        </w:rPr>
        <w:t xml:space="preserve"> </w:t>
      </w:r>
    </w:p>
    <w:p w:rsidR="00EE0979" w:rsidRDefault="00B022A0">
      <w:pPr>
        <w:spacing w:after="0" w:line="259" w:lineRule="auto"/>
        <w:ind w:left="298" w:firstLine="0"/>
        <w:jc w:val="left"/>
      </w:pPr>
      <w:r>
        <w:t xml:space="preserve">  </w:t>
      </w:r>
    </w:p>
    <w:p w:rsidR="00EE0979" w:rsidRDefault="00B022A0">
      <w:pPr>
        <w:numPr>
          <w:ilvl w:val="0"/>
          <w:numId w:val="70"/>
        </w:numPr>
        <w:ind w:right="1534"/>
      </w:pPr>
      <w:r>
        <w:t>Apoyar al Movimiento #RegularizacionYa por la recogida de más de 700mil firmas para la Iniciativa Legislativa Popular (ILP) por una regularización extraordinaria de personas migrantes en el Estado español,</w:t>
      </w:r>
      <w:r>
        <w:t xml:space="preserve"> que ya se encuentra en el Congreso en la Comisión de Trabajo e Inclusión.  </w:t>
      </w:r>
    </w:p>
    <w:p w:rsidR="00EE0979" w:rsidRDefault="00B022A0">
      <w:pPr>
        <w:spacing w:after="0" w:line="259" w:lineRule="auto"/>
        <w:ind w:left="298" w:firstLine="0"/>
        <w:jc w:val="left"/>
      </w:pPr>
      <w:r>
        <w:t xml:space="preserve">  </w:t>
      </w:r>
    </w:p>
    <w:p w:rsidR="00EE0979" w:rsidRDefault="00B022A0">
      <w:pPr>
        <w:numPr>
          <w:ilvl w:val="0"/>
          <w:numId w:val="70"/>
        </w:numPr>
        <w:ind w:right="1534"/>
      </w:pPr>
      <w:r>
        <w:t xml:space="preserve">Instar en el Congreso de Diputados a realizar un cambio en el siguiente texto articulado de la Proposición de Ley. LEY  </w:t>
      </w:r>
    </w:p>
    <w:p w:rsidR="00EE0979" w:rsidRDefault="00B022A0">
      <w:pPr>
        <w:ind w:left="298" w:right="100"/>
      </w:pPr>
      <w:r>
        <w:t xml:space="preserve">POR LA QUE SE ESTABLECE UNA REGULARIZACIÓN  </w:t>
      </w:r>
    </w:p>
    <w:p w:rsidR="00EE0979" w:rsidRDefault="00B022A0">
      <w:pPr>
        <w:ind w:left="298" w:right="100"/>
      </w:pPr>
      <w:r>
        <w:t>EXTRAORDIN</w:t>
      </w:r>
      <w:r>
        <w:t xml:space="preserve">ARIA PARA PERSONAS EXTRANJERAS  </w:t>
      </w:r>
    </w:p>
    <w:p w:rsidR="00EE0979" w:rsidRDefault="00B022A0">
      <w:pPr>
        <w:ind w:left="298" w:right="1802"/>
      </w:pPr>
      <w:r>
        <w:t xml:space="preserve">Artículo único: modificación de la disposición transitoria primera de la Ley Orgánica 4/2000, de 11 de enero, sobre derechos y libertades de los extranjeros en España y su integración social.  </w:t>
      </w:r>
    </w:p>
    <w:p w:rsidR="00EE0979" w:rsidRDefault="00B022A0">
      <w:pPr>
        <w:spacing w:after="0" w:line="259" w:lineRule="auto"/>
        <w:ind w:left="298" w:firstLine="0"/>
        <w:jc w:val="left"/>
      </w:pPr>
      <w:r>
        <w:t xml:space="preserve">  </w:t>
      </w:r>
    </w:p>
    <w:p w:rsidR="00EE0979" w:rsidRDefault="00B022A0">
      <w:pPr>
        <w:ind w:left="298" w:right="1801"/>
      </w:pPr>
      <w:r>
        <w:t>Se modifica la disposición</w:t>
      </w:r>
      <w:r>
        <w:t xml:space="preserve"> transitoria primera de la Ley Orgánica 4/2000, de 11 de enero, sobre derechos y libertades de los extranjeros en España y su integración social con la siguiente redacción:  </w:t>
      </w:r>
    </w:p>
    <w:p w:rsidR="00EE0979" w:rsidRDefault="00B022A0">
      <w:pPr>
        <w:spacing w:after="0" w:line="259" w:lineRule="auto"/>
        <w:ind w:left="298" w:firstLine="0"/>
        <w:jc w:val="left"/>
      </w:pPr>
      <w:r>
        <w:t xml:space="preserve">  </w:t>
      </w:r>
    </w:p>
    <w:p w:rsidR="00EE0979" w:rsidRDefault="00B022A0">
      <w:pPr>
        <w:ind w:left="298" w:right="1802"/>
      </w:pPr>
      <w:r>
        <w:t>"Disposición transitoria primera. Regularización de extranjeros que se encuent</w:t>
      </w:r>
      <w:r>
        <w:t xml:space="preserve">ren en España. El Gobierno, mediante real decreto, tiene que establecer, en el plazo de seis meses, el procedimiento para la regularización de los extranjeros que estén en el territorio español antes del día 1 de noviembre de 2021".  </w:t>
      </w:r>
    </w:p>
    <w:p w:rsidR="00EE0979" w:rsidRDefault="00B022A0">
      <w:pPr>
        <w:spacing w:after="0" w:line="259" w:lineRule="auto"/>
        <w:ind w:left="298" w:firstLine="0"/>
        <w:jc w:val="left"/>
      </w:pPr>
      <w:r>
        <w:t xml:space="preserve">  </w:t>
      </w:r>
    </w:p>
    <w:p w:rsidR="00EE0979" w:rsidRDefault="00B022A0">
      <w:pPr>
        <w:numPr>
          <w:ilvl w:val="0"/>
          <w:numId w:val="71"/>
        </w:numPr>
        <w:ind w:right="1445"/>
      </w:pPr>
      <w:r>
        <w:t>Reiterar el compro</w:t>
      </w:r>
      <w:r>
        <w:t xml:space="preserve">miso de este Ayuntamiento con los derechos y libertades de las personas migrantes y con la lucha por un municipio y una sociedad más justas, inclusivas, diversas y democráticas.  </w:t>
      </w:r>
    </w:p>
    <w:p w:rsidR="00EE0979" w:rsidRDefault="00B022A0">
      <w:pPr>
        <w:spacing w:after="0" w:line="259" w:lineRule="auto"/>
        <w:ind w:left="298" w:firstLine="0"/>
        <w:jc w:val="left"/>
      </w:pPr>
      <w:r>
        <w:t xml:space="preserve">  </w:t>
      </w:r>
    </w:p>
    <w:p w:rsidR="00EE0979" w:rsidRDefault="00B022A0">
      <w:pPr>
        <w:numPr>
          <w:ilvl w:val="0"/>
          <w:numId w:val="71"/>
        </w:numPr>
        <w:ind w:right="1445"/>
      </w:pPr>
      <w:r>
        <w:t>Trasladar el acuerdo del Consejo Plenario al Movimiento #RegularizacionYa</w:t>
      </w:r>
      <w:r>
        <w:t xml:space="preserve">, al Congreso de los Diputados y al Gobierno del Estado.” </w:t>
      </w:r>
    </w:p>
    <w:p w:rsidR="00EE0979" w:rsidRDefault="00B022A0">
      <w:pPr>
        <w:spacing w:after="0" w:line="259" w:lineRule="auto"/>
        <w:ind w:left="298" w:firstLine="0"/>
        <w:jc w:val="left"/>
      </w:pPr>
      <w:r>
        <w:t xml:space="preserve">  </w:t>
      </w:r>
    </w:p>
    <w:p w:rsidR="00EE0979" w:rsidRDefault="00B022A0">
      <w:pPr>
        <w:spacing w:after="163" w:line="259" w:lineRule="auto"/>
        <w:ind w:left="10" w:right="111" w:hanging="10"/>
        <w:jc w:val="right"/>
      </w:pPr>
      <w:r>
        <w:t xml:space="preserve">En Candelaria, a 17 de abril de 2023 </w:t>
      </w:r>
    </w:p>
    <w:p w:rsidR="00EE0979" w:rsidRDefault="00B022A0">
      <w:pPr>
        <w:spacing w:after="3" w:line="484" w:lineRule="auto"/>
        <w:ind w:left="5725" w:right="111" w:hanging="10"/>
        <w:jc w:val="right"/>
      </w:pPr>
      <w:r>
        <w:t>Firmado Lourdes del Carmen Mondéjar Rondón.</w:t>
      </w:r>
      <w:r>
        <w:rPr>
          <w:rFonts w:ascii="Times New Roman" w:eastAsia="Times New Roman" w:hAnsi="Times New Roman" w:cs="Times New Roman"/>
          <w:sz w:val="24"/>
        </w:rPr>
        <w:t xml:space="preserve"> </w:t>
      </w:r>
    </w:p>
    <w:p w:rsidR="00EE0979" w:rsidRDefault="00B022A0">
      <w:pPr>
        <w:spacing w:after="4" w:line="259" w:lineRule="auto"/>
        <w:ind w:left="0" w:firstLine="0"/>
        <w:jc w:val="right"/>
      </w:pPr>
      <w:r>
        <w:t xml:space="preserve"> </w:t>
      </w:r>
    </w:p>
    <w:p w:rsidR="00EE0979" w:rsidRDefault="00B022A0">
      <w:pPr>
        <w:spacing w:after="3" w:line="259" w:lineRule="auto"/>
        <w:ind w:left="10" w:right="111" w:hanging="10"/>
        <w:jc w:val="right"/>
      </w:pPr>
      <w:r>
        <w:t>Concejala y portavoz de Sí se puede</w:t>
      </w:r>
      <w:r>
        <w:rPr>
          <w:rFonts w:ascii="Times New Roman" w:eastAsia="Times New Roman" w:hAnsi="Times New Roman" w:cs="Times New Roman"/>
          <w:sz w:val="24"/>
        </w:rPr>
        <w:t xml:space="preserve"> </w:t>
      </w:r>
    </w:p>
    <w:p w:rsidR="00EE0979" w:rsidRDefault="00B022A0">
      <w:pPr>
        <w:spacing w:after="91" w:line="259" w:lineRule="auto"/>
        <w:ind w:left="0" w:right="71" w:firstLine="0"/>
        <w:jc w:val="right"/>
      </w:pPr>
      <w:r>
        <w:rPr>
          <w:sz w:val="14"/>
        </w:rPr>
        <w:t xml:space="preserve"> </w:t>
      </w:r>
    </w:p>
    <w:p w:rsidR="00EE0979" w:rsidRDefault="00B022A0">
      <w:pPr>
        <w:spacing w:after="74" w:line="259" w:lineRule="auto"/>
        <w:ind w:left="0" w:right="71" w:firstLine="0"/>
        <w:jc w:val="right"/>
      </w:pPr>
      <w:r>
        <w:rPr>
          <w:sz w:val="14"/>
        </w:rPr>
        <w:t xml:space="preserve"> </w:t>
      </w:r>
    </w:p>
    <w:p w:rsidR="00EE0979" w:rsidRDefault="00B022A0">
      <w:pPr>
        <w:spacing w:after="0" w:line="259" w:lineRule="auto"/>
        <w:ind w:left="0" w:right="48" w:firstLine="0"/>
        <w:jc w:val="right"/>
      </w:pPr>
      <w:r>
        <w:t xml:space="preserve"> </w:t>
      </w:r>
    </w:p>
    <w:p w:rsidR="00EE0979" w:rsidRDefault="00B022A0">
      <w:pPr>
        <w:spacing w:after="0" w:line="259" w:lineRule="auto"/>
        <w:ind w:left="0" w:right="48" w:firstLine="0"/>
        <w:jc w:val="right"/>
      </w:pPr>
      <w:r>
        <w:rPr>
          <w:b/>
        </w:rPr>
        <w:t xml:space="preserve"> </w:t>
      </w:r>
    </w:p>
    <w:p w:rsidR="00EE0979" w:rsidRDefault="00B022A0">
      <w:pPr>
        <w:spacing w:after="9" w:line="259" w:lineRule="auto"/>
        <w:ind w:left="14" w:firstLine="0"/>
        <w:jc w:val="left"/>
      </w:pPr>
      <w:r>
        <w:t xml:space="preserve"> </w:t>
      </w:r>
    </w:p>
    <w:p w:rsidR="00EE0979" w:rsidRDefault="00B022A0">
      <w:pPr>
        <w:spacing w:after="6"/>
        <w:ind w:right="99" w:hanging="10"/>
      </w:pPr>
      <w:r>
        <w:rPr>
          <w:b/>
        </w:rPr>
        <w:t>DICTAMEN FAVORABLE DE LA COMISIÓN INFORMATIVA DE SERVICIOS A LAS</w:t>
      </w:r>
      <w:r>
        <w:rPr>
          <w:rFonts w:ascii="Times New Roman" w:eastAsia="Times New Roman" w:hAnsi="Times New Roman" w:cs="Times New Roman"/>
          <w:b/>
          <w:sz w:val="24"/>
        </w:rPr>
        <w:t xml:space="preserve"> PERSONAS </w:t>
      </w:r>
      <w:r>
        <w:rPr>
          <w:b/>
        </w:rPr>
        <w:t>DE 24 DE ABRIL DE 2023.</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2. </w:t>
      </w:r>
    </w:p>
    <w:p w:rsidR="00EE0979" w:rsidRDefault="00B022A0">
      <w:pPr>
        <w:ind w:right="100"/>
      </w:pPr>
      <w:r>
        <w:t xml:space="preserve">2 de las concejalas del Grupo Mixto: </w:t>
      </w:r>
    </w:p>
    <w:p w:rsidR="00EE0979" w:rsidRDefault="00B022A0">
      <w:pPr>
        <w:ind w:right="100"/>
      </w:pPr>
      <w:r>
        <w:t xml:space="preserve">Doña Lourdes del Carmen Mondéjar Rondón y Doña Alicia Mercedes Marrero Meneses. </w:t>
      </w:r>
    </w:p>
    <w:p w:rsidR="00EE0979" w:rsidRDefault="00B022A0">
      <w:pPr>
        <w:spacing w:after="0" w:line="259" w:lineRule="auto"/>
        <w:ind w:left="14" w:firstLine="0"/>
        <w:jc w:val="left"/>
      </w:pPr>
      <w:r>
        <w:t xml:space="preserve"> </w:t>
      </w:r>
    </w:p>
    <w:p w:rsidR="00EE0979" w:rsidRDefault="00B022A0">
      <w:pPr>
        <w:ind w:right="100"/>
      </w:pPr>
      <w:r>
        <w:t xml:space="preserve">Votos en contra: 0. </w:t>
      </w:r>
    </w:p>
    <w:p w:rsidR="00EE0979" w:rsidRDefault="00B022A0">
      <w:pPr>
        <w:spacing w:after="0" w:line="259" w:lineRule="auto"/>
        <w:ind w:left="14" w:firstLine="0"/>
        <w:jc w:val="left"/>
      </w:pPr>
      <w:r>
        <w:t xml:space="preserve"> </w:t>
      </w:r>
    </w:p>
    <w:p w:rsidR="00EE0979" w:rsidRDefault="00B022A0">
      <w:pPr>
        <w:ind w:right="100"/>
      </w:pPr>
      <w:r>
        <w:t xml:space="preserve">Abstenciones: 5. </w:t>
      </w:r>
    </w:p>
    <w:p w:rsidR="00EE0979" w:rsidRDefault="00B022A0">
      <w:pPr>
        <w:ind w:right="100"/>
      </w:pPr>
      <w:r>
        <w:t xml:space="preserve">Doña Olivia Concepción Pérez Díaz, Don Reinaldo José Triviño Blanco, Doña Margarita Eva Tendero Barroso, Don Manuel Alberto González Pestano. </w:t>
      </w:r>
    </w:p>
    <w:p w:rsidR="00EE0979" w:rsidRDefault="00B022A0">
      <w:pPr>
        <w:ind w:right="100"/>
      </w:pPr>
      <w:r>
        <w:t xml:space="preserve">1 del concejal del Grupo Popular, Don Jacobo López Fariña.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JUNTA DE P</w:t>
      </w:r>
      <w:r>
        <w:rPr>
          <w:b/>
        </w:rPr>
        <w:t xml:space="preserve">ORTAVOCES DE 24 DE ABRIL DE 2023.  </w:t>
      </w:r>
    </w:p>
    <w:p w:rsidR="00EE0979" w:rsidRDefault="00B022A0">
      <w:pPr>
        <w:ind w:right="100"/>
      </w:pPr>
      <w:r>
        <w:t xml:space="preserve">Quedó oída.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VOTACIÓN EN EL PLENO DE 27 DE ABRIL DE 2023. </w:t>
      </w:r>
    </w:p>
    <w:p w:rsidR="00EE0979" w:rsidRDefault="00B022A0">
      <w:pPr>
        <w:spacing w:after="0" w:line="259" w:lineRule="auto"/>
        <w:ind w:left="14" w:firstLine="0"/>
        <w:jc w:val="left"/>
      </w:pPr>
      <w:r>
        <w:rPr>
          <w:b/>
        </w:rPr>
        <w:t xml:space="preserve"> </w:t>
      </w:r>
    </w:p>
    <w:p w:rsidR="00EE0979" w:rsidRDefault="00B022A0">
      <w:pPr>
        <w:ind w:right="100"/>
      </w:pPr>
      <w:r>
        <w:t xml:space="preserve">Votos a favor: La unanimidad de los 18 concejales presentes.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w:t>
      </w:r>
      <w:r>
        <w:t>aría Concepción Brito Núñez, Doña Don Jorge Baute Delgado, Doña Olivia Concepción Pérez Díaz, Don José Francisco Pinto Ramos, Doña Hilaria Cecilia Otazo González, Don Airam Pérez Chinea, Doña Margarita Eva Tendero Barroso, Don Manuel Alberto González Pesta</w:t>
      </w:r>
      <w:r>
        <w:t xml:space="preserve">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1 de la concejal del Grupo Mixto (VxC): Doña Alicia Mercedes Ma</w:t>
      </w:r>
      <w:r>
        <w:t xml:space="preserve">rrero Meneses.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                     ACUERDO DEL PLENO DE 27 DE ABRIL DE 2023. </w:t>
      </w:r>
    </w:p>
    <w:p w:rsidR="00EE0979" w:rsidRDefault="00B022A0">
      <w:pPr>
        <w:spacing w:after="0" w:line="259" w:lineRule="auto"/>
        <w:ind w:left="14" w:firstLine="0"/>
        <w:jc w:val="left"/>
      </w:pPr>
      <w:r>
        <w:rPr>
          <w:b/>
        </w:rPr>
        <w:t xml:space="preserve"> </w:t>
      </w:r>
    </w:p>
    <w:p w:rsidR="00EE0979" w:rsidRDefault="00B022A0">
      <w:pPr>
        <w:numPr>
          <w:ilvl w:val="0"/>
          <w:numId w:val="72"/>
        </w:numPr>
        <w:spacing w:after="6"/>
        <w:ind w:right="1409" w:hanging="10"/>
      </w:pPr>
      <w:r>
        <w:rPr>
          <w:b/>
        </w:rPr>
        <w:t>Apoyar al Movimiento #RegularizacionYa por la recogida de más de 700mil firmas para la Iniciativa Legislativa Popular (ILP) por una regularización extraordinaria de</w:t>
      </w:r>
      <w:r>
        <w:rPr>
          <w:b/>
        </w:rPr>
        <w:t xml:space="preserve"> personas migrantes en el Estado español, que ya se encuentra en el Congreso en la Comisión de Trabajo e Inclusión.  </w:t>
      </w:r>
    </w:p>
    <w:p w:rsidR="00EE0979" w:rsidRDefault="00B022A0">
      <w:pPr>
        <w:spacing w:after="0" w:line="259" w:lineRule="auto"/>
        <w:ind w:left="298" w:firstLine="0"/>
        <w:jc w:val="left"/>
      </w:pPr>
      <w:r>
        <w:rPr>
          <w:b/>
        </w:rPr>
        <w:t xml:space="preserve">  </w:t>
      </w:r>
    </w:p>
    <w:p w:rsidR="00EE0979" w:rsidRDefault="00B022A0">
      <w:pPr>
        <w:numPr>
          <w:ilvl w:val="0"/>
          <w:numId w:val="72"/>
        </w:numPr>
        <w:spacing w:after="6"/>
        <w:ind w:right="1409" w:hanging="10"/>
      </w:pPr>
      <w:r>
        <w:rPr>
          <w:b/>
        </w:rPr>
        <w:t xml:space="preserve">Instar en el Congreso de Diputados a realizar un cambio en el siguiente texto articulado de la Proposición de Ley. LEY POR LA QUE SE </w:t>
      </w:r>
    </w:p>
    <w:p w:rsidR="00EE0979" w:rsidRDefault="00B022A0">
      <w:pPr>
        <w:spacing w:after="6"/>
        <w:ind w:left="303" w:right="1800" w:hanging="10"/>
      </w:pPr>
      <w:r>
        <w:rPr>
          <w:b/>
        </w:rPr>
        <w:t>E</w:t>
      </w:r>
      <w:r>
        <w:rPr>
          <w:b/>
        </w:rPr>
        <w:t>STABLECE UNA REGULARIZACIÓN EXTRAORDINARIA PARA PERSONAS EXTRANJERAS Artículo único: modificación de la disposición transitoria primera de la Ley Orgánica 4/2000, de 11 de enero, sobre derechos y libertades de los extranjeros en España y su integración soc</w:t>
      </w:r>
      <w:r>
        <w:rPr>
          <w:b/>
        </w:rPr>
        <w:t xml:space="preserve">ial.  </w:t>
      </w:r>
    </w:p>
    <w:p w:rsidR="00EE0979" w:rsidRDefault="00B022A0">
      <w:pPr>
        <w:spacing w:after="0" w:line="259" w:lineRule="auto"/>
        <w:ind w:left="298" w:firstLine="0"/>
        <w:jc w:val="left"/>
      </w:pPr>
      <w:r>
        <w:rPr>
          <w:b/>
        </w:rPr>
        <w:t xml:space="preserve">  </w:t>
      </w:r>
    </w:p>
    <w:p w:rsidR="00EE0979" w:rsidRDefault="00B022A0">
      <w:pPr>
        <w:spacing w:after="6"/>
        <w:ind w:left="303" w:right="1804" w:hanging="10"/>
      </w:pPr>
      <w:r>
        <w:rPr>
          <w:b/>
        </w:rPr>
        <w:t xml:space="preserve">Se modifica la disposición transitoria primera de la Ley Orgánica 4/2000, de 11 de enero, sobre derechos y libertades de los extranjeros en España y su integración social con la siguiente redacción:  </w:t>
      </w:r>
    </w:p>
    <w:p w:rsidR="00EE0979" w:rsidRDefault="00B022A0">
      <w:pPr>
        <w:spacing w:after="0" w:line="259" w:lineRule="auto"/>
        <w:ind w:left="298" w:firstLine="0"/>
        <w:jc w:val="left"/>
      </w:pPr>
      <w:r>
        <w:rPr>
          <w:b/>
        </w:rPr>
        <w:t xml:space="preserve">  </w:t>
      </w:r>
    </w:p>
    <w:p w:rsidR="00EE0979" w:rsidRDefault="00B022A0">
      <w:pPr>
        <w:spacing w:after="6"/>
        <w:ind w:left="303" w:right="99" w:hanging="10"/>
      </w:pPr>
      <w:r>
        <w:rPr>
          <w:b/>
        </w:rPr>
        <w:t xml:space="preserve">"Disposición transitoria primera. Regularización de extranjeros que se </w:t>
      </w:r>
    </w:p>
    <w:p w:rsidR="00EE0979" w:rsidRDefault="00B022A0">
      <w:pPr>
        <w:spacing w:after="6"/>
        <w:ind w:left="303" w:right="1803" w:hanging="10"/>
      </w:pPr>
      <w:r>
        <w:rPr>
          <w:b/>
        </w:rPr>
        <w:t>encuentren en España. El Gobierno, mediante real decreto, tiene que establecer, en el plazo de seis meses, el procedimiento para la regularización de los extranjeros que estén en el te</w:t>
      </w:r>
      <w:r>
        <w:rPr>
          <w:b/>
        </w:rPr>
        <w:t xml:space="preserve">rritorio español antes del día 1 de noviembre de 2021".  </w:t>
      </w:r>
    </w:p>
    <w:p w:rsidR="00EE0979" w:rsidRDefault="00B022A0">
      <w:pPr>
        <w:spacing w:after="0" w:line="259" w:lineRule="auto"/>
        <w:ind w:left="298" w:firstLine="0"/>
        <w:jc w:val="left"/>
      </w:pPr>
      <w:r>
        <w:rPr>
          <w:b/>
        </w:rPr>
        <w:t xml:space="preserve">  </w:t>
      </w:r>
    </w:p>
    <w:p w:rsidR="00EE0979" w:rsidRDefault="00B022A0">
      <w:pPr>
        <w:numPr>
          <w:ilvl w:val="0"/>
          <w:numId w:val="73"/>
        </w:numPr>
        <w:spacing w:after="6"/>
        <w:ind w:right="1300" w:hanging="10"/>
      </w:pPr>
      <w:r>
        <w:rPr>
          <w:b/>
        </w:rPr>
        <w:t>Reiterar el compromiso de este Ayuntamiento con los derechos y libertades de las personas migrantes y con la lucha por un municipio y una sociedad más justas, inclusivas, diversas y democráticas.</w:t>
      </w:r>
      <w:r>
        <w:rPr>
          <w:b/>
        </w:rPr>
        <w:t xml:space="preserve">  </w:t>
      </w:r>
    </w:p>
    <w:p w:rsidR="00EE0979" w:rsidRDefault="00B022A0">
      <w:pPr>
        <w:spacing w:after="0" w:line="259" w:lineRule="auto"/>
        <w:ind w:left="298" w:firstLine="0"/>
        <w:jc w:val="left"/>
      </w:pPr>
      <w:r>
        <w:rPr>
          <w:b/>
        </w:rPr>
        <w:t xml:space="preserve">  </w:t>
      </w:r>
    </w:p>
    <w:p w:rsidR="00EE0979" w:rsidRDefault="00B022A0">
      <w:pPr>
        <w:numPr>
          <w:ilvl w:val="0"/>
          <w:numId w:val="73"/>
        </w:numPr>
        <w:spacing w:after="44"/>
        <w:ind w:right="1300" w:hanging="10"/>
      </w:pPr>
      <w:r>
        <w:rPr>
          <w:b/>
        </w:rPr>
        <w:t xml:space="preserve">Trasladar el acuerdo del Consejo Plenario al Movimiento #RegularizacionYa, al Congreso de los Diputados y al Gobierno del Estado. </w:t>
      </w:r>
    </w:p>
    <w:p w:rsidR="00EE0979" w:rsidRDefault="00B022A0">
      <w:pPr>
        <w:spacing w:after="0" w:line="426" w:lineRule="auto"/>
        <w:ind w:left="14" w:right="9614" w:firstLine="0"/>
        <w:jc w:val="left"/>
      </w:pPr>
      <w:r>
        <w:rPr>
          <w:i/>
          <w:color w:val="222222"/>
        </w:rPr>
        <w:t xml:space="preserve">          </w:t>
      </w:r>
    </w:p>
    <w:p w:rsidR="00EE0979" w:rsidRDefault="00B022A0">
      <w:pPr>
        <w:spacing w:after="177" w:line="259" w:lineRule="auto"/>
        <w:ind w:left="14" w:firstLine="0"/>
        <w:jc w:val="left"/>
      </w:pPr>
      <w:r>
        <w:rPr>
          <w:i/>
          <w:color w:val="222222"/>
        </w:rPr>
        <w:t xml:space="preserve"> </w:t>
      </w:r>
    </w:p>
    <w:p w:rsidR="00EE0979" w:rsidRDefault="00B022A0">
      <w:pPr>
        <w:spacing w:after="0" w:line="425" w:lineRule="auto"/>
        <w:ind w:left="14" w:right="9614" w:firstLine="0"/>
        <w:jc w:val="left"/>
      </w:pPr>
      <w:r>
        <w:rPr>
          <w:i/>
          <w:color w:val="222222"/>
        </w:rPr>
        <w:t xml:space="preserve">          </w:t>
      </w:r>
    </w:p>
    <w:p w:rsidR="00EE0979" w:rsidRDefault="00B022A0">
      <w:pPr>
        <w:spacing w:after="177" w:line="259" w:lineRule="auto"/>
        <w:ind w:left="14" w:firstLine="0"/>
        <w:jc w:val="left"/>
      </w:pPr>
      <w:r>
        <w:rPr>
          <w:b/>
          <w:color w:val="222222"/>
        </w:rPr>
        <w:t xml:space="preserve">12.- Urgencias </w:t>
      </w:r>
    </w:p>
    <w:p w:rsidR="00EE0979" w:rsidRDefault="00B022A0">
      <w:pPr>
        <w:spacing w:after="129" w:line="259" w:lineRule="auto"/>
        <w:ind w:left="14" w:firstLine="0"/>
        <w:jc w:val="left"/>
      </w:pPr>
      <w:r>
        <w:rPr>
          <w:b/>
          <w:color w:val="222222"/>
        </w:rPr>
        <w:t xml:space="preserve"> </w:t>
      </w:r>
    </w:p>
    <w:p w:rsidR="00EE0979" w:rsidRDefault="00B022A0">
      <w:pPr>
        <w:spacing w:after="6"/>
        <w:ind w:right="99" w:hanging="10"/>
      </w:pPr>
      <w:r>
        <w:rPr>
          <w:b/>
        </w:rPr>
        <w:t xml:space="preserve">URGENCIAS 1. Exp.4740/2023. PROPUESTA DEL CONCEJAL DELEGADO DE HACIENDA DE </w:t>
      </w:r>
    </w:p>
    <w:p w:rsidR="00EE0979" w:rsidRDefault="00B022A0">
      <w:pPr>
        <w:spacing w:after="6"/>
        <w:ind w:right="99" w:hanging="10"/>
      </w:pPr>
      <w:r>
        <w:rPr>
          <w:b/>
        </w:rPr>
        <w:t>MODIFICACIÓN PRESUPUESTARIA 4740/2023 FINANCIADO CON REMANENTE DE TESORERÍA PARA GASTOS GENERALES POR IMPORTE DE 133.504,85 EUROS PARA LA OBRA SKATE PARK DE CANDELARIA.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t xml:space="preserve"> modificación presupuestaria </w:t>
      </w:r>
      <w:r>
        <w:rPr>
          <w:b/>
        </w:rPr>
        <w:t>nº 4740/2023</w:t>
      </w:r>
      <w:r>
        <w:t xml:space="preserve"> de modificación presupuestaria por </w:t>
      </w:r>
      <w:r>
        <w:rPr>
          <w:b/>
        </w:rPr>
        <w:t>Supleme</w:t>
      </w:r>
      <w:r>
        <w:rPr>
          <w:b/>
        </w:rPr>
        <w:t>ntos de Créditos</w:t>
      </w:r>
      <w:r>
        <w:t xml:space="preserve"> financiado con Remanente de Tesorería para gastos generales, por una cantidad total </w:t>
      </w:r>
      <w:r>
        <w:rPr>
          <w:b/>
        </w:rPr>
        <w:t>133.504,85 euros</w:t>
      </w:r>
      <w:r>
        <w:rPr>
          <w:rFonts w:ascii="Times New Roman" w:eastAsia="Times New Roman" w:hAnsi="Times New Roman" w:cs="Times New Roman"/>
          <w:sz w:val="24"/>
        </w:rPr>
        <w:t xml:space="preserve"> </w:t>
      </w:r>
    </w:p>
    <w:p w:rsidR="00EE0979" w:rsidRDefault="00B022A0">
      <w:pPr>
        <w:spacing w:after="98" w:line="259" w:lineRule="auto"/>
        <w:ind w:left="14" w:firstLine="0"/>
        <w:jc w:val="left"/>
      </w:pPr>
      <w:r>
        <w:rPr>
          <w:b/>
        </w:rPr>
        <w:t xml:space="preserve"> </w:t>
      </w:r>
    </w:p>
    <w:p w:rsidR="00EE0979" w:rsidRDefault="00B022A0">
      <w:pPr>
        <w:spacing w:after="98" w:line="259" w:lineRule="auto"/>
        <w:ind w:left="14" w:firstLine="0"/>
        <w:jc w:val="left"/>
      </w:pPr>
      <w:r>
        <w:rPr>
          <w:b/>
        </w:rPr>
        <w:t xml:space="preserve"> </w:t>
      </w:r>
    </w:p>
    <w:p w:rsidR="00EE0979" w:rsidRDefault="00B022A0">
      <w:pPr>
        <w:spacing w:after="114"/>
        <w:ind w:right="99" w:hanging="10"/>
      </w:pPr>
      <w:r>
        <w:rPr>
          <w:b/>
        </w:rPr>
        <w:t>Consta en el expediente Informe de Intervención emitido por Don Nicolás Rojo Garnica, que desempeña el puesto de trabajo de Intervent</w:t>
      </w:r>
      <w:r>
        <w:rPr>
          <w:b/>
        </w:rPr>
        <w:t>or Municipal, de 25 de abril de 2023, del siguiente tenor literal:</w:t>
      </w:r>
      <w:r>
        <w:t xml:space="preserve"> </w:t>
      </w:r>
    </w:p>
    <w:p w:rsidR="00EE0979" w:rsidRDefault="00B022A0">
      <w:pPr>
        <w:spacing w:after="135" w:line="259" w:lineRule="auto"/>
        <w:ind w:left="14" w:firstLine="0"/>
        <w:jc w:val="left"/>
      </w:pPr>
      <w:r>
        <w:rPr>
          <w:b/>
        </w:rPr>
        <w:t xml:space="preserve"> </w:t>
      </w:r>
    </w:p>
    <w:p w:rsidR="00EE0979" w:rsidRDefault="00B022A0">
      <w:pPr>
        <w:pStyle w:val="Ttulo1"/>
        <w:numPr>
          <w:ilvl w:val="0"/>
          <w:numId w:val="0"/>
        </w:numPr>
        <w:spacing w:after="95"/>
        <w:ind w:left="624" w:right="709"/>
      </w:pPr>
      <w:r>
        <w:t>“INFORME</w:t>
      </w:r>
      <w:r>
        <w:rPr>
          <w:b w:val="0"/>
        </w:rPr>
        <w:t xml:space="preserve"> </w:t>
      </w:r>
    </w:p>
    <w:p w:rsidR="00EE0979" w:rsidRDefault="00B022A0">
      <w:pPr>
        <w:spacing w:after="44"/>
        <w:ind w:left="14" w:right="100" w:firstLine="708"/>
      </w:pPr>
      <w:r>
        <w:t xml:space="preserve">Vista la propuesta de la Alcaldesa, de tramitación de modificación presupuestaria por Suplemento de Créditos financiados con remanantes de Tesorería para Gastos Generales, que </w:t>
      </w:r>
      <w:r>
        <w:t>dice:</w:t>
      </w:r>
      <w:r>
        <w:rPr>
          <w:rFonts w:ascii="Times New Roman" w:eastAsia="Times New Roman" w:hAnsi="Times New Roman" w:cs="Times New Roman"/>
          <w:sz w:val="24"/>
        </w:rPr>
        <w:t xml:space="preserve"> </w:t>
      </w:r>
    </w:p>
    <w:p w:rsidR="00EE0979" w:rsidRDefault="00B022A0">
      <w:pPr>
        <w:ind w:left="14" w:right="100" w:firstLine="708"/>
      </w:pPr>
      <w:r>
        <w:t>“El Ayuntamiento de Candelaria necesita créditos extraordinarios a los consignados en el Presupuesto vigente para llevar a cabo actuaciones de mejora de instalaciones e infraestructuras municipales con ocasión de la ejecución de los proyectos siguientes, s</w:t>
      </w:r>
      <w:r>
        <w:t>egún memorias-propuestas presentadas:</w:t>
      </w:r>
      <w:r>
        <w:rPr>
          <w:rFonts w:ascii="Times New Roman" w:eastAsia="Times New Roman" w:hAnsi="Times New Roman" w:cs="Times New Roman"/>
          <w:sz w:val="24"/>
        </w:rPr>
        <w:t xml:space="preserve"> </w:t>
      </w:r>
    </w:p>
    <w:p w:rsidR="00EE0979" w:rsidRDefault="00B022A0">
      <w:pPr>
        <w:spacing w:after="143" w:line="259" w:lineRule="auto"/>
        <w:ind w:left="722" w:firstLine="0"/>
        <w:jc w:val="left"/>
      </w:pPr>
      <w:r>
        <w:rPr>
          <w:rFonts w:ascii="Times New Roman" w:eastAsia="Times New Roman" w:hAnsi="Times New Roman" w:cs="Times New Roman"/>
          <w:sz w:val="20"/>
        </w:rPr>
        <w:t xml:space="preserve"> </w:t>
      </w:r>
    </w:p>
    <w:p w:rsidR="00EE0979" w:rsidRDefault="00B022A0">
      <w:pPr>
        <w:spacing w:after="0" w:line="240" w:lineRule="auto"/>
        <w:ind w:left="1144" w:right="51" w:hanging="293"/>
      </w:pPr>
      <w:r>
        <w:rPr>
          <w:rFonts w:ascii="Segoe UI Symbol" w:eastAsia="Segoe UI Symbol" w:hAnsi="Segoe UI Symbol" w:cs="Segoe UI Symbol"/>
          <w:sz w:val="24"/>
        </w:rPr>
        <w:t></w:t>
      </w:r>
      <w:r>
        <w:rPr>
          <w:b/>
          <w:sz w:val="24"/>
        </w:rPr>
        <w:t xml:space="preserve"> </w:t>
      </w:r>
      <w:r>
        <w:rPr>
          <w:rFonts w:ascii="Times New Roman" w:eastAsia="Times New Roman" w:hAnsi="Times New Roman" w:cs="Times New Roman"/>
          <w:b/>
          <w:sz w:val="20"/>
        </w:rPr>
        <w:t>Obra Skate Park Candelaria</w:t>
      </w:r>
      <w:r>
        <w:rPr>
          <w:rFonts w:ascii="Times New Roman" w:eastAsia="Times New Roman" w:hAnsi="Times New Roman" w:cs="Times New Roman"/>
          <w:sz w:val="20"/>
        </w:rPr>
        <w:t>: la obra del skatepark se trata de una demanda histórica por parte de la ciudadanía de Candelaria ya que se trata de un tipo de instalación que adolece, no solo el municipio, sino en tod</w:t>
      </w:r>
      <w:r>
        <w:rPr>
          <w:rFonts w:ascii="Times New Roman" w:eastAsia="Times New Roman" w:hAnsi="Times New Roman" w:cs="Times New Roman"/>
          <w:sz w:val="20"/>
        </w:rPr>
        <w:t>a la comarca. Fruto de estas peticiones y del programa auspiciado por el Cabildo, la Concejalía de Deportes, desde hace años, ha ido dando los correspondientes pasos para poder realizar este proyecto, y en el que ya se está en los últimos trámites para pod</w:t>
      </w:r>
      <w:r>
        <w:rPr>
          <w:rFonts w:ascii="Times New Roman" w:eastAsia="Times New Roman" w:hAnsi="Times New Roman" w:cs="Times New Roman"/>
          <w:sz w:val="20"/>
        </w:rPr>
        <w:t>er obtener los fondos que permitan formalizar el correspondiente expediente de licitación.</w:t>
      </w:r>
      <w:r>
        <w:rPr>
          <w:rFonts w:ascii="Times New Roman" w:eastAsia="Times New Roman" w:hAnsi="Times New Roman" w:cs="Times New Roman"/>
          <w:i/>
          <w:sz w:val="20"/>
        </w:rPr>
        <w:t xml:space="preserve"> </w:t>
      </w:r>
      <w:r>
        <w:rPr>
          <w:rFonts w:ascii="Times New Roman" w:eastAsia="Times New Roman" w:hAnsi="Times New Roman" w:cs="Times New Roman"/>
          <w:sz w:val="20"/>
        </w:rPr>
        <w:t>Que la licitación del proyecto de Skatepark ha sufrido retraso como consecuencia de que el proyecto técnico de ejecución ha tenido que ser revisado por el arquitecto redactor, debido a una serie de actuaciones previas que debían ejecutarse en las inmediaci</w:t>
      </w:r>
      <w:r>
        <w:rPr>
          <w:rFonts w:ascii="Times New Roman" w:eastAsia="Times New Roman" w:hAnsi="Times New Roman" w:cs="Times New Roman"/>
          <w:sz w:val="20"/>
        </w:rPr>
        <w:t>ones de la parcela, tales como la canalización de las aguas pluviales de la instalación cuyas obras se están ejecutando en la actualidad. En añadido a esto, y dado el contexto inflacionista actual, y el encarecimiento de los materiales de obra, la revisión</w:t>
      </w:r>
      <w:r>
        <w:rPr>
          <w:rFonts w:ascii="Times New Roman" w:eastAsia="Times New Roman" w:hAnsi="Times New Roman" w:cs="Times New Roman"/>
          <w:sz w:val="20"/>
        </w:rPr>
        <w:t xml:space="preserve"> del proyecto también repercutió en un incremento del presupuesto final. El proyecto definitivo fue entregado el pasado 21 de abril de 2023 mediante registro de entrada E-RE-3222, con un coste final de 274.064,85 euros de los cuales el Cabildo financia 140</w:t>
      </w:r>
      <w:r>
        <w:rPr>
          <w:rFonts w:ascii="Times New Roman" w:eastAsia="Times New Roman" w:hAnsi="Times New Roman" w:cs="Times New Roman"/>
          <w:sz w:val="20"/>
        </w:rPr>
        <w:t xml:space="preserve">.560,00 por lo que el coste de </w:t>
      </w:r>
      <w:r>
        <w:rPr>
          <w:rFonts w:ascii="Times New Roman" w:eastAsia="Times New Roman" w:hAnsi="Times New Roman" w:cs="Times New Roman"/>
          <w:b/>
          <w:sz w:val="20"/>
        </w:rPr>
        <w:t>aportación municipal asciende a 133.504,85 €.</w:t>
      </w: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rPr>
          <w:rFonts w:ascii="Times New Roman" w:eastAsia="Times New Roman" w:hAnsi="Times New Roman" w:cs="Times New Roman"/>
          <w:i/>
          <w:sz w:val="20"/>
        </w:rPr>
        <w:t xml:space="preserve"> </w:t>
      </w:r>
    </w:p>
    <w:p w:rsidR="00EE0979" w:rsidRDefault="00B022A0">
      <w:pPr>
        <w:spacing w:after="68" w:line="259" w:lineRule="auto"/>
        <w:ind w:left="722" w:firstLine="0"/>
        <w:jc w:val="left"/>
      </w:pPr>
      <w:r>
        <w:rPr>
          <w:rFonts w:ascii="Times New Roman" w:eastAsia="Times New Roman" w:hAnsi="Times New Roman" w:cs="Times New Roman"/>
          <w:i/>
          <w:sz w:val="20"/>
        </w:rPr>
        <w:t xml:space="preserve"> </w:t>
      </w:r>
    </w:p>
    <w:p w:rsidR="00EE0979" w:rsidRDefault="00B022A0">
      <w:pPr>
        <w:spacing w:after="140"/>
        <w:ind w:left="14" w:right="100" w:firstLine="720"/>
      </w:pPr>
      <w:r>
        <w:t xml:space="preserve">Siendo un gasto específico y determinado ante la imposibilidad de demorarlo a ejercicios posteriores, y no habiendo crédito suficiente en las aplicaciónes presupuestarias. </w:t>
      </w:r>
    </w:p>
    <w:p w:rsidR="00EE0979" w:rsidRDefault="00B022A0">
      <w:pPr>
        <w:spacing w:after="0" w:line="259" w:lineRule="auto"/>
        <w:ind w:left="0" w:right="36" w:firstLine="0"/>
        <w:jc w:val="center"/>
      </w:pPr>
      <w:r>
        <w:rPr>
          <w:b/>
        </w:rPr>
        <w:t xml:space="preserve"> </w:t>
      </w:r>
    </w:p>
    <w:p w:rsidR="00EE0979" w:rsidRDefault="00B022A0">
      <w:pPr>
        <w:spacing w:after="95" w:line="265" w:lineRule="auto"/>
        <w:ind w:left="624" w:right="708" w:hanging="10"/>
        <w:jc w:val="center"/>
      </w:pPr>
      <w:r>
        <w:rPr>
          <w:b/>
        </w:rPr>
        <w:t>SE PROPONE:</w:t>
      </w:r>
      <w:r>
        <w:rPr>
          <w:rFonts w:ascii="Times New Roman" w:eastAsia="Times New Roman" w:hAnsi="Times New Roman" w:cs="Times New Roman"/>
          <w:sz w:val="24"/>
        </w:rPr>
        <w:t xml:space="preserve"> </w:t>
      </w:r>
    </w:p>
    <w:p w:rsidR="00EE0979" w:rsidRDefault="00B022A0">
      <w:pPr>
        <w:spacing w:after="90"/>
        <w:ind w:right="100"/>
      </w:pPr>
      <w:r>
        <w:t xml:space="preserve">Único: Tramitar expediente </w:t>
      </w:r>
      <w:r>
        <w:rPr>
          <w:b/>
        </w:rPr>
        <w:t>4740/2023</w:t>
      </w:r>
      <w:r>
        <w:t xml:space="preserve"> de modificación presupuestaria por </w:t>
      </w:r>
      <w:r>
        <w:rPr>
          <w:b/>
        </w:rPr>
        <w:t xml:space="preserve">Suplemento de Créditos </w:t>
      </w:r>
      <w:r>
        <w:t>financiado con Remanente de Tesorería para gastos generales, por una cantidad total de</w:t>
      </w:r>
      <w:r>
        <w:rPr>
          <w:b/>
        </w:rPr>
        <w:t xml:space="preserve"> 133.504,85 euros</w:t>
      </w:r>
      <w:r>
        <w:t xml:space="preserve">, de acuerdo al siguiente detalle: </w:t>
      </w:r>
    </w:p>
    <w:p w:rsidR="00EE0979" w:rsidRDefault="00B022A0">
      <w:pPr>
        <w:spacing w:after="0" w:line="259" w:lineRule="auto"/>
        <w:ind w:left="154"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665" w:type="dxa"/>
        <w:tblInd w:w="85" w:type="dxa"/>
        <w:tblCellMar>
          <w:top w:w="8" w:type="dxa"/>
          <w:left w:w="0" w:type="dxa"/>
          <w:bottom w:w="5" w:type="dxa"/>
          <w:right w:w="8" w:type="dxa"/>
        </w:tblCellMar>
        <w:tblLook w:val="04A0" w:firstRow="1" w:lastRow="0" w:firstColumn="1" w:lastColumn="0" w:noHBand="0" w:noVBand="1"/>
      </w:tblPr>
      <w:tblGrid>
        <w:gridCol w:w="1134"/>
        <w:gridCol w:w="5655"/>
        <w:gridCol w:w="736"/>
        <w:gridCol w:w="1141"/>
      </w:tblGrid>
      <w:tr w:rsidR="00EE0979">
        <w:trPr>
          <w:trHeight w:val="328"/>
        </w:trPr>
        <w:tc>
          <w:tcPr>
            <w:tcW w:w="1134" w:type="dxa"/>
            <w:tcBorders>
              <w:top w:val="single" w:sz="4" w:space="0" w:color="000000"/>
              <w:left w:val="single" w:sz="4" w:space="0" w:color="000000"/>
              <w:bottom w:val="single" w:sz="4" w:space="0" w:color="000000"/>
              <w:right w:val="nil"/>
            </w:tcBorders>
            <w:shd w:val="clear" w:color="auto" w:fill="D9D9D9"/>
          </w:tcPr>
          <w:p w:rsidR="00EE0979" w:rsidRDefault="00EE0979">
            <w:pPr>
              <w:spacing w:after="160" w:line="259" w:lineRule="auto"/>
              <w:ind w:left="0" w:firstLine="0"/>
              <w:jc w:val="left"/>
            </w:pPr>
          </w:p>
        </w:tc>
        <w:tc>
          <w:tcPr>
            <w:tcW w:w="5655" w:type="dxa"/>
            <w:tcBorders>
              <w:top w:val="single" w:sz="4" w:space="0" w:color="000000"/>
              <w:left w:val="nil"/>
              <w:bottom w:val="single" w:sz="4" w:space="0" w:color="000000"/>
              <w:right w:val="nil"/>
            </w:tcBorders>
            <w:shd w:val="clear" w:color="auto" w:fill="D9D9D9"/>
          </w:tcPr>
          <w:p w:rsidR="00EE0979" w:rsidRDefault="00B022A0">
            <w:pPr>
              <w:spacing w:after="0" w:line="259" w:lineRule="auto"/>
              <w:ind w:left="1875" w:firstLine="0"/>
              <w:jc w:val="left"/>
            </w:pPr>
            <w:r>
              <w:rPr>
                <w:b/>
                <w:sz w:val="20"/>
              </w:rPr>
              <w:t xml:space="preserve">Proyecto de gasto P 23.3.36 </w:t>
            </w:r>
          </w:p>
        </w:tc>
        <w:tc>
          <w:tcPr>
            <w:tcW w:w="1876" w:type="dxa"/>
            <w:gridSpan w:val="2"/>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376"/>
        </w:trPr>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22" w:right="17" w:firstLine="0"/>
              <w:jc w:val="center"/>
            </w:pPr>
            <w:r>
              <w:rPr>
                <w:rFonts w:ascii="Times New Roman" w:eastAsia="Times New Roman" w:hAnsi="Times New Roman" w:cs="Times New Roman"/>
                <w:b/>
                <w:sz w:val="16"/>
              </w:rPr>
              <w:t xml:space="preserve">APLICACIÓN </w:t>
            </w:r>
          </w:p>
        </w:tc>
        <w:tc>
          <w:tcPr>
            <w:tcW w:w="5655"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40" w:firstLine="0"/>
              <w:jc w:val="center"/>
            </w:pPr>
            <w:r>
              <w:rPr>
                <w:b/>
                <w:sz w:val="20"/>
              </w:rPr>
              <w:t xml:space="preserve">DENOMINACIÓN </w:t>
            </w:r>
          </w:p>
        </w:tc>
        <w:tc>
          <w:tcPr>
            <w:tcW w:w="736"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14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14" w:firstLine="0"/>
            </w:pPr>
            <w:r>
              <w:rPr>
                <w:b/>
                <w:sz w:val="20"/>
              </w:rPr>
              <w:t xml:space="preserve">IMPORTE </w:t>
            </w:r>
          </w:p>
        </w:tc>
      </w:tr>
      <w:tr w:rsidR="00EE0979">
        <w:trPr>
          <w:trHeight w:val="294"/>
        </w:trPr>
        <w:tc>
          <w:tcPr>
            <w:tcW w:w="1134"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rFonts w:ascii="Times New Roman" w:eastAsia="Times New Roman" w:hAnsi="Times New Roman" w:cs="Times New Roman"/>
                <w:sz w:val="16"/>
              </w:rPr>
              <w:t xml:space="preserve">34100.61902 </w:t>
            </w:r>
          </w:p>
        </w:tc>
        <w:tc>
          <w:tcPr>
            <w:tcW w:w="5655" w:type="dxa"/>
            <w:tcBorders>
              <w:top w:val="single" w:sz="4" w:space="0" w:color="000000"/>
              <w:left w:val="single" w:sz="4" w:space="0" w:color="000000"/>
              <w:bottom w:val="single" w:sz="4" w:space="0" w:color="000000"/>
              <w:right w:val="nil"/>
            </w:tcBorders>
          </w:tcPr>
          <w:p w:rsidR="00EE0979" w:rsidRDefault="00B022A0">
            <w:pPr>
              <w:spacing w:after="0" w:line="259" w:lineRule="auto"/>
              <w:ind w:left="70" w:firstLine="0"/>
              <w:jc w:val="left"/>
            </w:pPr>
            <w:r>
              <w:rPr>
                <w:sz w:val="20"/>
              </w:rPr>
              <w:t xml:space="preserve">SKATE PARK CANDELARIA </w:t>
            </w:r>
          </w:p>
        </w:tc>
        <w:tc>
          <w:tcPr>
            <w:tcW w:w="736"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1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sz w:val="20"/>
              </w:rPr>
              <w:t xml:space="preserve">133.504,85 </w:t>
            </w:r>
          </w:p>
        </w:tc>
      </w:tr>
      <w:tr w:rsidR="00EE0979">
        <w:trPr>
          <w:trHeight w:val="290"/>
        </w:trPr>
        <w:tc>
          <w:tcPr>
            <w:tcW w:w="1134"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5655" w:type="dxa"/>
            <w:tcBorders>
              <w:top w:val="single" w:sz="4" w:space="0" w:color="000000"/>
              <w:left w:val="nil"/>
              <w:bottom w:val="single" w:sz="4" w:space="0" w:color="000000"/>
              <w:right w:val="nil"/>
            </w:tcBorders>
          </w:tcPr>
          <w:p w:rsidR="00EE0979" w:rsidRDefault="00EE0979">
            <w:pPr>
              <w:spacing w:after="160" w:line="259" w:lineRule="auto"/>
              <w:ind w:left="0" w:firstLine="0"/>
              <w:jc w:val="left"/>
            </w:pPr>
          </w:p>
        </w:tc>
        <w:tc>
          <w:tcPr>
            <w:tcW w:w="736"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1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b/>
                <w:sz w:val="20"/>
              </w:rPr>
              <w:t>133.504,85</w:t>
            </w:r>
            <w:r>
              <w:rPr>
                <w:rFonts w:ascii="Times New Roman" w:eastAsia="Times New Roman" w:hAnsi="Times New Roman" w:cs="Times New Roman"/>
                <w:sz w:val="24"/>
              </w:rPr>
              <w:t xml:space="preserve"> </w:t>
            </w:r>
          </w:p>
        </w:tc>
      </w:tr>
    </w:tbl>
    <w:p w:rsidR="00EE0979" w:rsidRDefault="00B022A0">
      <w:pPr>
        <w:spacing w:after="56" w:line="249" w:lineRule="auto"/>
        <w:ind w:left="9" w:right="98" w:hanging="10"/>
      </w:pPr>
      <w:r>
        <w:rPr>
          <w:rFonts w:ascii="Times New Roman" w:eastAsia="Times New Roman" w:hAnsi="Times New Roman" w:cs="Times New Roman"/>
          <w:sz w:val="24"/>
        </w:rPr>
        <w:t xml:space="preserve">.“ </w:t>
      </w:r>
    </w:p>
    <w:p w:rsidR="00EE0979" w:rsidRDefault="00B022A0">
      <w:pPr>
        <w:spacing w:after="136" w:line="259" w:lineRule="auto"/>
        <w:ind w:left="722" w:firstLine="0"/>
        <w:jc w:val="left"/>
      </w:pPr>
      <w:r>
        <w:rPr>
          <w:rFonts w:ascii="Times New Roman" w:eastAsia="Times New Roman" w:hAnsi="Times New Roman" w:cs="Times New Roman"/>
          <w:sz w:val="24"/>
        </w:rPr>
        <w:t xml:space="preserve"> </w:t>
      </w:r>
    </w:p>
    <w:p w:rsidR="00EE0979" w:rsidRDefault="00B022A0">
      <w:pPr>
        <w:spacing w:after="163"/>
        <w:ind w:left="14" w:right="100"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EE0979" w:rsidRDefault="00B022A0">
      <w:pPr>
        <w:spacing w:after="36"/>
        <w:ind w:right="100"/>
      </w:pPr>
      <w:r>
        <w:rPr>
          <w:b/>
        </w:rPr>
        <w:t xml:space="preserve">PRIMERO. </w:t>
      </w:r>
      <w:r>
        <w:t>Visto Acuerdo del Congreso de los Diputados del 22 de septiembre de 2022 por el que el Congreso de los Diputados, a petición del Gobierno, ha respaldado que en España se mantienen las condiciones de excepcionalidad que aconsejan y justifican mantener la su</w:t>
      </w:r>
      <w:r>
        <w:t xml:space="preserve">spensión de las reglas fiscales, en línea con la recomendación de la Comisión Europea, que también ha decidido extender la cláusula de salvaguarda del Pacto de Estabilidad y Crecimiento ante la crisis desatada por el encarecimiento de precios derivados de </w:t>
      </w:r>
      <w:r>
        <w:t>la invasión rusa de Ucrania.</w:t>
      </w:r>
      <w:r>
        <w:rPr>
          <w:sz w:val="24"/>
        </w:rPr>
        <w:t xml:space="preserve"> </w:t>
      </w:r>
    </w:p>
    <w:p w:rsidR="00EE0979" w:rsidRDefault="00B022A0">
      <w:pPr>
        <w:spacing w:after="34"/>
        <w:ind w:right="100"/>
      </w:pPr>
      <w:r>
        <w:t xml:space="preserve"> Atendiendo al acuerdo del Consejo de Ministros de 26 de julio de 2022, mediante el que se acuerda: “</w:t>
      </w:r>
      <w:r>
        <w:rPr>
          <w:b/>
        </w:rPr>
        <w:t xml:space="preserve">Suspensión de las reglas fiscales: </w:t>
      </w:r>
      <w:r>
        <w:t>El acuerdo de Consejo de Ministros también incluye el mantenimiento de la suspensión de la</w:t>
      </w:r>
      <w:r>
        <w:t>s reglas fiscales. Una medida que ya se ha realizado en años anteriores y va en línea con la decisión de la Comisión Europea de mantener la cláusula de salvaguarda del Pacto de Estabilidad y Crecimiento también para 2023. Esto permite dotar a los países de</w:t>
      </w:r>
      <w:r>
        <w:t xml:space="preserve"> mayor flexibilidad para afrontar la crisis derivada de la invasión de Ucrania. </w:t>
      </w:r>
      <w:r>
        <w:rPr>
          <w:rFonts w:ascii="Times New Roman" w:eastAsia="Times New Roman" w:hAnsi="Times New Roman" w:cs="Times New Roman"/>
          <w:sz w:val="24"/>
        </w:rPr>
        <w:t xml:space="preserve"> </w:t>
      </w:r>
    </w:p>
    <w:p w:rsidR="00EE0979" w:rsidRDefault="00B022A0">
      <w:pPr>
        <w:ind w:right="100"/>
      </w:pPr>
      <w:r>
        <w:t>Por tanto, el Gobierno solicitará de nuevo al Congreso de los Diputados que aprecie si en España concurren las circunstancias extraordinarias previstas en el artículo 135.4 d</w:t>
      </w:r>
      <w:r>
        <w:t xml:space="preserve">e la Constitución Española y 11.3 de la Ley Orgánica de Estabilidad Presupuestaria y Sostenibilidad Financiera. Es el mismo trámite que se siguió en años anteriores para suspender las reglas fiscales nacionales.   </w:t>
      </w:r>
    </w:p>
    <w:p w:rsidR="00EE0979" w:rsidRDefault="00B022A0">
      <w:pPr>
        <w:ind w:right="100"/>
      </w:pPr>
      <w:r>
        <w:t xml:space="preserve">En cualquier caso, la suspensión de las reglas fiscales no implica abandonar la responsabilidad fiscal, sino que el compromiso con la reducción del déficit público se mantiene con una senda descendente que llevará al déficit por debajo del 3% en 2025.” </w:t>
      </w:r>
    </w:p>
    <w:p w:rsidR="00EE0979" w:rsidRDefault="00B022A0">
      <w:pPr>
        <w:ind w:right="100"/>
      </w:pPr>
      <w:r>
        <w:t xml:space="preserve"> L</w:t>
      </w:r>
      <w:r>
        <w:t xml:space="preserve">a suspensión de las reglas fiscales ha supuesto que el superávit no tenga que dedicarse a amortizar deuda, aun siendo posible realizar esta amortización si la EELL lo considera. La regla del artículo 32 de la LOEPSF puede no aplicarse a partir del momento </w:t>
      </w:r>
      <w:r>
        <w:t xml:space="preserve">en que se han suspendido las reglas fiscales, ya que estas son el fundamento de aquella regla. Regla que conecta con el objetivo de estabilidad presupuestaria y con el de deuda pública.  </w:t>
      </w:r>
    </w:p>
    <w:p w:rsidR="00EE0979" w:rsidRDefault="00B022A0">
      <w:pPr>
        <w:spacing w:after="0" w:line="259" w:lineRule="auto"/>
        <w:ind w:left="722" w:firstLine="0"/>
        <w:jc w:val="left"/>
      </w:pPr>
      <w:r>
        <w:t xml:space="preserve"> </w:t>
      </w:r>
    </w:p>
    <w:p w:rsidR="00EE0979" w:rsidRDefault="00B022A0">
      <w:pPr>
        <w:ind w:right="100"/>
      </w:pPr>
      <w:r>
        <w:rPr>
          <w:rFonts w:ascii="Times New Roman" w:eastAsia="Times New Roman" w:hAnsi="Times New Roman" w:cs="Times New Roman"/>
          <w:sz w:val="24"/>
        </w:rPr>
        <w:t xml:space="preserve"> </w:t>
      </w:r>
      <w:r>
        <w:t>Al no ser aplicable la regla general, tampoco es necesaria la reg</w:t>
      </w:r>
      <w:r>
        <w:t>la especial de destinar el superávit a inversiones financieramente sostenibles, salvo las excepciones siguientes, o mediante norma posterior que prorrogue íntegramente la DA 6ª de la LOEPSF.</w:t>
      </w:r>
      <w:r>
        <w:rPr>
          <w:rFonts w:ascii="Times New Roman" w:eastAsia="Times New Roman" w:hAnsi="Times New Roman" w:cs="Times New Roman"/>
          <w:sz w:val="24"/>
        </w:rPr>
        <w:t xml:space="preserve"> </w:t>
      </w:r>
    </w:p>
    <w:p w:rsidR="00EE0979" w:rsidRDefault="00B022A0">
      <w:pPr>
        <w:spacing w:after="59" w:line="259" w:lineRule="auto"/>
        <w:ind w:left="14" w:firstLine="0"/>
        <w:jc w:val="left"/>
      </w:pPr>
      <w:r>
        <w:t xml:space="preserve"> </w:t>
      </w:r>
      <w:r>
        <w:tab/>
        <w:t xml:space="preserve"> </w:t>
      </w:r>
    </w:p>
    <w:p w:rsidR="00EE0979" w:rsidRDefault="00B022A0">
      <w:pPr>
        <w:spacing w:after="30"/>
        <w:ind w:right="100"/>
      </w:pPr>
      <w:r>
        <w:rPr>
          <w:b/>
        </w:rPr>
        <w:t>SEGUNDO</w:t>
      </w:r>
      <w:r>
        <w:t>. La legislación aplicable es la siguiente:</w:t>
      </w:r>
      <w:r>
        <w:rPr>
          <w:rFonts w:ascii="Times New Roman" w:eastAsia="Times New Roman" w:hAnsi="Times New Roman" w:cs="Times New Roman"/>
          <w:sz w:val="24"/>
        </w:rPr>
        <w:t xml:space="preserve"> </w:t>
      </w:r>
    </w:p>
    <w:p w:rsidR="00EE0979" w:rsidRDefault="00B022A0">
      <w:pPr>
        <w:numPr>
          <w:ilvl w:val="0"/>
          <w:numId w:val="74"/>
        </w:numPr>
        <w:spacing w:after="47" w:line="252" w:lineRule="auto"/>
        <w:ind w:right="100" w:hanging="360"/>
      </w:pPr>
      <w:r>
        <w:t>Los artí</w:t>
      </w:r>
      <w:r>
        <w:t xml:space="preserve">culos 169, 170 y 172 a 177 del Real Decreto Legislativo 2/2004, de 5 de marzo, por el que se aprueba el Texto Refundido de la Ley Reguladora de las Haciendas Locales.  </w:t>
      </w:r>
    </w:p>
    <w:p w:rsidR="00EE0979" w:rsidRDefault="00B022A0">
      <w:pPr>
        <w:numPr>
          <w:ilvl w:val="0"/>
          <w:numId w:val="74"/>
        </w:numPr>
        <w:spacing w:after="52"/>
        <w:ind w:right="100" w:hanging="360"/>
      </w:pPr>
      <w:r>
        <w:t>Los artículos 34 a 38 del Real Decreto 500/1990, de 20 de abril, por el que se desarrol</w:t>
      </w:r>
      <w:r>
        <w:t xml:space="preserve">la el Capítulo I, del Título VI, de la Ley 39/1988, de 28 de diciembre, Reguladora de las Haciendas Locales, en materia de presupuestos. </w:t>
      </w:r>
    </w:p>
    <w:p w:rsidR="00EE0979" w:rsidRDefault="00B022A0">
      <w:pPr>
        <w:numPr>
          <w:ilvl w:val="0"/>
          <w:numId w:val="74"/>
        </w:numPr>
        <w:spacing w:after="51"/>
        <w:ind w:right="100" w:hanging="360"/>
      </w:pPr>
      <w:r>
        <w:t>Los artículos 3, 4, 11, 12, 13, 21, 23 y 32 de la Ley Orgánica 2/2012, de 27 de abril, de Estabilidad Presupuestaria y</w:t>
      </w:r>
      <w:r>
        <w:t xml:space="preserve"> Sostenibilidad Financiera.  </w:t>
      </w:r>
    </w:p>
    <w:p w:rsidR="00EE0979" w:rsidRDefault="00B022A0">
      <w:pPr>
        <w:numPr>
          <w:ilvl w:val="0"/>
          <w:numId w:val="74"/>
        </w:numPr>
        <w:spacing w:after="51"/>
        <w:ind w:right="100" w:hanging="360"/>
      </w:pPr>
      <w:r>
        <w:t xml:space="preserve">El artículo 16.2 del Real Decreto 1463/2007, de 2 de noviembre, por el que se aprueba el Reglamento de Desarrollo de la Ley 18/2001, de 12 de noviembre, de Estabilidad Presupuestaria, en su Aplicación a las Entidades Locales. </w:t>
      </w:r>
    </w:p>
    <w:p w:rsidR="00EE0979" w:rsidRDefault="00B022A0">
      <w:pPr>
        <w:numPr>
          <w:ilvl w:val="0"/>
          <w:numId w:val="74"/>
        </w:numPr>
        <w:spacing w:after="51"/>
        <w:ind w:right="100" w:hanging="360"/>
      </w:pPr>
      <w:r>
        <w:t xml:space="preserve">El artículo 22.2.e) de la Ley 7/1985, de 2 de abril, Reguladora de las Bases del Régimen Local. </w:t>
      </w:r>
    </w:p>
    <w:p w:rsidR="00EE0979" w:rsidRDefault="00B022A0">
      <w:pPr>
        <w:numPr>
          <w:ilvl w:val="0"/>
          <w:numId w:val="74"/>
        </w:numPr>
        <w:spacing w:after="90"/>
        <w:ind w:right="100" w:hanging="360"/>
      </w:pPr>
      <w:r>
        <w:t xml:space="preserve">La Disposición Adicional 6.ª de la Ley Orgánica 2/2012, de 27 de abril, de Estabilidad Presupuestaria y Sostenibilidad Financiera. </w:t>
      </w:r>
    </w:p>
    <w:p w:rsidR="00EE0979" w:rsidRDefault="00B022A0">
      <w:pPr>
        <w:numPr>
          <w:ilvl w:val="0"/>
          <w:numId w:val="74"/>
        </w:numPr>
        <w:spacing w:after="35"/>
        <w:ind w:right="100" w:hanging="360"/>
      </w:pPr>
      <w:r>
        <w:t>La Orden EHA/3565/2008, de 3 de diciembre, por la que se aprueba la estructura de presupuestos de las entidades locales. - Resolución de 14 de septiembre de 2009, de la Dirección General de Coordinación Financiera con las Comunidades Autónomas y con las En</w:t>
      </w:r>
      <w:r>
        <w:t>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EE0979" w:rsidRDefault="00B022A0">
      <w:pPr>
        <w:numPr>
          <w:ilvl w:val="0"/>
          <w:numId w:val="74"/>
        </w:numPr>
        <w:spacing w:after="54"/>
        <w:ind w:right="100" w:hanging="360"/>
      </w:pPr>
      <w:r>
        <w:t>La Disposición Adicional 16.ª del Texto Refundido de la Ley Re</w:t>
      </w:r>
      <w:r>
        <w:t xml:space="preserve">guladora de las Haciendas Locales.  </w:t>
      </w:r>
    </w:p>
    <w:p w:rsidR="00EE0979" w:rsidRDefault="00B022A0">
      <w:pPr>
        <w:numPr>
          <w:ilvl w:val="0"/>
          <w:numId w:val="74"/>
        </w:numPr>
        <w:spacing w:after="51"/>
        <w:ind w:right="100" w:hanging="360"/>
      </w:pPr>
      <w:r>
        <w:t>Acuerdo del Congreso de los Diputados del 13 de octubre de 2020, relativo al Objetivo de Estabilidad Presupuestaria, según acuerdo del Consejo de Ministros de 6 de octubre de 2020 de “Someter a la deliberación del Pleno</w:t>
      </w:r>
      <w:r>
        <w:t xml:space="preserve">, a los efectos previstos en los artículos 135.4 de la Constitución y 11.3 de la Ley Orgánica 2/2012, de 27 de abril, de Estabilidad Presupuestaria y Sostenibilidad Financiera y publicar en el Boletín Oficial de las Cortes Generales.” </w:t>
      </w:r>
    </w:p>
    <w:p w:rsidR="00EE0979" w:rsidRDefault="00B022A0">
      <w:pPr>
        <w:spacing w:after="0" w:line="259" w:lineRule="auto"/>
        <w:ind w:left="14" w:firstLine="0"/>
        <w:jc w:val="left"/>
      </w:pPr>
      <w:r>
        <w:t xml:space="preserve"> </w:t>
      </w:r>
    </w:p>
    <w:p w:rsidR="00EE0979" w:rsidRDefault="00B022A0">
      <w:pPr>
        <w:ind w:right="100"/>
      </w:pPr>
      <w:r>
        <w:rPr>
          <w:b/>
        </w:rPr>
        <w:t>TERCERO</w:t>
      </w:r>
      <w:r>
        <w:t>: Considera</w:t>
      </w:r>
      <w:r>
        <w:t>ndo que el artículo 177 del Real Decreto Legislativo 2/2004, de 5 de marzo, por el que se aprueba el texto refundido de la Ley Reguladora de las Haciendas Locales, regula los expedientes de modificación presupuestaria mediante créditos extraordinarios y su</w:t>
      </w:r>
      <w:r>
        <w:t>plementos de crédito, al señalar que:</w:t>
      </w:r>
      <w:r>
        <w:rPr>
          <w:rFonts w:ascii="Times New Roman" w:eastAsia="Times New Roman" w:hAnsi="Times New Roman" w:cs="Times New Roman"/>
          <w:sz w:val="24"/>
        </w:rPr>
        <w:t xml:space="preserve"> </w:t>
      </w:r>
    </w:p>
    <w:p w:rsidR="00EE0979" w:rsidRDefault="00B022A0">
      <w:pPr>
        <w:numPr>
          <w:ilvl w:val="0"/>
          <w:numId w:val="75"/>
        </w:numPr>
        <w:ind w:right="100" w:hanging="360"/>
      </w:pPr>
      <w:r>
        <w:t>Cuando haya de realizarse algún gasto que no pueda demorarse hasta el ejercicio siguiente, y sea insuficiente en el presupuesto de la corporación el crédito consignado, el presidente de la corporación ordenará la inco</w:t>
      </w:r>
      <w:r>
        <w:t xml:space="preserve">ación del expediente de suplemento de crédito.  </w:t>
      </w:r>
    </w:p>
    <w:p w:rsidR="00EE0979" w:rsidRDefault="00B022A0">
      <w:pPr>
        <w:numPr>
          <w:ilvl w:val="0"/>
          <w:numId w:val="75"/>
        </w:numPr>
        <w:ind w:right="100" w:hanging="360"/>
      </w:pPr>
      <w:r>
        <w:t>El expediente, que habrá de ser previamente informado por la Intervención, se someterá a la aprobación del Pleno de la corporación, con sujeción a los mismos trámites y requisitos que los presupuestos. Serán</w:t>
      </w:r>
      <w:r>
        <w:t xml:space="preserve">, asimismo, de aplicación, las normas sobre información, reclamación y publicidad de los presupuestos a que se refiere el artículo 169 de esta ley.  </w:t>
      </w:r>
    </w:p>
    <w:p w:rsidR="00EE0979" w:rsidRDefault="00B022A0">
      <w:pPr>
        <w:numPr>
          <w:ilvl w:val="0"/>
          <w:numId w:val="75"/>
        </w:numPr>
        <w:ind w:right="100" w:hanging="360"/>
      </w:pPr>
      <w:r>
        <w:t>El expediente deberá especificar la concreta partida presupuestaria a incrementar y el medio o recurso que</w:t>
      </w:r>
      <w:r>
        <w:t xml:space="preserve"> ha de financiar el aumento que se propone. </w:t>
      </w:r>
    </w:p>
    <w:p w:rsidR="00EE0979" w:rsidRDefault="00B022A0">
      <w:pPr>
        <w:numPr>
          <w:ilvl w:val="0"/>
          <w:numId w:val="75"/>
        </w:numPr>
        <w:ind w:right="100" w:hanging="360"/>
      </w:pPr>
      <w:r>
        <w:t>Dicho aumento se financiará con cargo al remanente líquido de tesorería, con nuevos o mayores ingresos recaudados sobre los totales previstos en el presupuesto corriente, y mediante anulaciones o bajas de crédit</w:t>
      </w:r>
      <w:r>
        <w:t>os de gastos de otras partidas del presupuesto vigente no comprometidos, cuyas dotaciones se estimen reducibles sin perturbación del respectivo servicio. En el expediente se acreditará que los ingresos previstos en el presupuesto vengan efectuándose con no</w:t>
      </w:r>
      <w:r>
        <w:t xml:space="preserve">rmalidad, salvo que aquéllos tengan carácter finalista.  </w:t>
      </w:r>
    </w:p>
    <w:p w:rsidR="00EE0979" w:rsidRDefault="00B022A0">
      <w:pPr>
        <w:spacing w:after="0" w:line="259" w:lineRule="auto"/>
        <w:ind w:left="14" w:firstLine="0"/>
        <w:jc w:val="left"/>
      </w:pPr>
      <w:r>
        <w:rPr>
          <w:b/>
        </w:rPr>
        <w:t xml:space="preserve"> </w:t>
      </w:r>
    </w:p>
    <w:p w:rsidR="00EE0979" w:rsidRDefault="00B022A0">
      <w:pPr>
        <w:ind w:right="100"/>
      </w:pPr>
      <w:r>
        <w:rPr>
          <w:b/>
        </w:rPr>
        <w:t>CUARTO:</w:t>
      </w:r>
      <w:r>
        <w:t xml:space="preserve"> Vista la Liquidación del Presupuesto general 2022, aprobada por </w:t>
      </w:r>
      <w:r>
        <w:rPr>
          <w:b/>
        </w:rPr>
        <w:t xml:space="preserve">decreto 550/2023 </w:t>
      </w:r>
      <w:r>
        <w:t xml:space="preserve">de 1/03/2023, donde se aprueba un Remanente de Tesorería para gastos Generales (RTGG) por un importe de </w:t>
      </w:r>
      <w:r>
        <w:rPr>
          <w:b/>
        </w:rPr>
        <w:t>23.</w:t>
      </w:r>
      <w:r>
        <w:rPr>
          <w:b/>
        </w:rPr>
        <w:t>408.195,38€</w:t>
      </w:r>
      <w:r>
        <w:t>.</w:t>
      </w:r>
      <w:r>
        <w:rPr>
          <w:rFonts w:ascii="Times New Roman" w:eastAsia="Times New Roman" w:hAnsi="Times New Roman" w:cs="Times New Roman"/>
          <w:sz w:val="24"/>
        </w:rPr>
        <w:t xml:space="preserve"> </w:t>
      </w:r>
    </w:p>
    <w:p w:rsidR="00EE0979" w:rsidRDefault="00B022A0">
      <w:pPr>
        <w:ind w:right="100"/>
      </w:pPr>
      <w:r>
        <w:t xml:space="preserve"> Visto Expediente 2209/2023 de Incorporación de Créditos financiados con RTGG, por un importe total de 9.490.282,51€. </w:t>
      </w:r>
    </w:p>
    <w:p w:rsidR="00EE0979" w:rsidRDefault="00B022A0">
      <w:pPr>
        <w:tabs>
          <w:tab w:val="right" w:pos="9689"/>
        </w:tabs>
        <w:spacing w:after="51"/>
        <w:ind w:left="0" w:firstLine="0"/>
        <w:jc w:val="left"/>
      </w:pPr>
      <w:r>
        <w:rPr>
          <w:b/>
        </w:rPr>
        <w:t xml:space="preserve"> </w:t>
      </w:r>
      <w:r>
        <w:rPr>
          <w:b/>
        </w:rPr>
        <w:tab/>
      </w:r>
      <w:r>
        <w:t xml:space="preserve">Visto expediente 3304/2023 de Créditos extraordinarios Pleno de Marzo financiados con </w:t>
      </w:r>
    </w:p>
    <w:p w:rsidR="00EE0979" w:rsidRDefault="00B022A0">
      <w:pPr>
        <w:ind w:right="100"/>
      </w:pPr>
      <w:r>
        <w:t>RTGG, por un importe total de 1.85</w:t>
      </w:r>
      <w:r>
        <w:t>9.520,87€.</w:t>
      </w:r>
      <w:r>
        <w:rPr>
          <w:rFonts w:ascii="Times New Roman" w:eastAsia="Times New Roman" w:hAnsi="Times New Roman" w:cs="Times New Roman"/>
          <w:sz w:val="24"/>
        </w:rPr>
        <w:t xml:space="preserve"> </w:t>
      </w:r>
    </w:p>
    <w:p w:rsidR="00EE0979" w:rsidRDefault="00B022A0">
      <w:pPr>
        <w:spacing w:after="26"/>
        <w:ind w:right="100"/>
      </w:pPr>
      <w:r>
        <w:t xml:space="preserve"> Visto Expediente 3569/2023 de Incorporación de Créditos financiados con RTGG, por un importe total de 859.904,87€.  </w:t>
      </w:r>
    </w:p>
    <w:p w:rsidR="00EE0979" w:rsidRDefault="00B022A0">
      <w:pPr>
        <w:ind w:right="100"/>
      </w:pPr>
      <w:r>
        <w:t xml:space="preserve"> Visto Expediente 4146/2023 de Incorporación de Créditos financiados con RTGG, por un importe total de 9.787,20€;  </w:t>
      </w:r>
    </w:p>
    <w:p w:rsidR="00EE0979" w:rsidRDefault="00B022A0">
      <w:pPr>
        <w:ind w:right="100"/>
      </w:pPr>
      <w:r>
        <w:t xml:space="preserve"> </w:t>
      </w:r>
      <w:r>
        <w:t xml:space="preserve">Visto Expediente 4029/2023 de Créditos Extraordinarios financiados con RTGG, por un importe total de 4.223.072,19€; queda un disponible de Remanente de Tesorería para gastos Generales (RTGG) de </w:t>
      </w:r>
      <w:r>
        <w:rPr>
          <w:b/>
        </w:rPr>
        <w:t>6.965.628,26€.</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r>
        <w:rPr>
          <w:b/>
        </w:rPr>
        <w:tab/>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147"/>
        <w:ind w:right="100"/>
      </w:pPr>
      <w:r>
        <w:rPr>
          <w:b/>
        </w:rPr>
        <w:t>QUINTO:</w:t>
      </w:r>
      <w:r>
        <w:t xml:space="preserve"> Que el expediente de modificació</w:t>
      </w:r>
      <w:r>
        <w:t xml:space="preserve">n presupuestaria </w:t>
      </w:r>
      <w:r>
        <w:rPr>
          <w:b/>
        </w:rPr>
        <w:t>nº 4740/2023</w:t>
      </w:r>
      <w:r>
        <w:t xml:space="preserve"> de modificación presupuestaria por</w:t>
      </w:r>
      <w:r>
        <w:rPr>
          <w:b/>
        </w:rPr>
        <w:t xml:space="preserve"> Suplementos de Créditos </w:t>
      </w:r>
      <w:r>
        <w:t>financiado con Remanente de Tesorería para gastos generales, por una cantidad total de</w:t>
      </w:r>
      <w:r>
        <w:rPr>
          <w:b/>
        </w:rPr>
        <w:t xml:space="preserve"> 133.504,85 euros</w:t>
      </w:r>
      <w:r>
        <w:t xml:space="preserve">, de acuerdo al siguiente detalle:  </w:t>
      </w:r>
    </w:p>
    <w:p w:rsidR="00EE0979" w:rsidRDefault="00B022A0">
      <w:pPr>
        <w:tabs>
          <w:tab w:val="center" w:pos="4727"/>
          <w:tab w:val="center" w:pos="8562"/>
        </w:tabs>
        <w:ind w:left="0" w:firstLine="0"/>
        <w:jc w:val="left"/>
      </w:pPr>
      <w:r>
        <w:t xml:space="preserve"> </w:t>
      </w:r>
      <w:r>
        <w:tab/>
        <w:t xml:space="preserve">Estado de gastos </w:t>
      </w:r>
      <w:r>
        <w:tab/>
        <w:t xml:space="preserve"> </w:t>
      </w:r>
    </w:p>
    <w:p w:rsidR="00EE0979" w:rsidRDefault="00B022A0">
      <w:pPr>
        <w:spacing w:after="0" w:line="259" w:lineRule="auto"/>
        <w:ind w:left="154" w:firstLine="0"/>
        <w:jc w:val="left"/>
      </w:pPr>
      <w:r>
        <w:t xml:space="preserve"> </w:t>
      </w:r>
      <w:r>
        <w:tab/>
        <w:t xml:space="preserve"> </w:t>
      </w:r>
      <w:r>
        <w:tab/>
        <w:t xml:space="preserve"> </w:t>
      </w:r>
    </w:p>
    <w:tbl>
      <w:tblPr>
        <w:tblStyle w:val="TableGrid"/>
        <w:tblW w:w="9097" w:type="dxa"/>
        <w:tblInd w:w="85" w:type="dxa"/>
        <w:tblCellMar>
          <w:top w:w="7" w:type="dxa"/>
          <w:left w:w="0" w:type="dxa"/>
          <w:bottom w:w="6" w:type="dxa"/>
          <w:right w:w="7" w:type="dxa"/>
        </w:tblCellMar>
        <w:tblLook w:val="04A0" w:firstRow="1" w:lastRow="0" w:firstColumn="1" w:lastColumn="0" w:noHBand="0" w:noVBand="1"/>
      </w:tblPr>
      <w:tblGrid>
        <w:gridCol w:w="1423"/>
        <w:gridCol w:w="5628"/>
        <w:gridCol w:w="805"/>
        <w:gridCol w:w="1241"/>
      </w:tblGrid>
      <w:tr w:rsidR="00EE0979">
        <w:trPr>
          <w:trHeight w:val="331"/>
        </w:trPr>
        <w:tc>
          <w:tcPr>
            <w:tcW w:w="7051"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3093" w:firstLine="0"/>
              <w:jc w:val="left"/>
            </w:pPr>
            <w:r>
              <w:rPr>
                <w:b/>
              </w:rPr>
              <w:t xml:space="preserve">Proyecto de gasto P 23.3.36 </w:t>
            </w:r>
          </w:p>
        </w:tc>
        <w:tc>
          <w:tcPr>
            <w:tcW w:w="2047" w:type="dxa"/>
            <w:gridSpan w:val="2"/>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515"/>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rPr>
              <w:t xml:space="preserve">APLICACIÓN </w:t>
            </w:r>
          </w:p>
        </w:tc>
        <w:tc>
          <w:tcPr>
            <w:tcW w:w="5628"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815" w:firstLine="0"/>
              <w:jc w:val="center"/>
            </w:pPr>
            <w:r>
              <w:rPr>
                <w:b/>
              </w:rPr>
              <w:t xml:space="preserve">DENOMINACIÓN </w:t>
            </w:r>
          </w:p>
        </w:tc>
        <w:tc>
          <w:tcPr>
            <w:tcW w:w="805"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19" w:firstLine="0"/>
            </w:pPr>
            <w:r>
              <w:rPr>
                <w:b/>
              </w:rPr>
              <w:t xml:space="preserve">IMPORTE </w:t>
            </w:r>
          </w:p>
        </w:tc>
      </w:tr>
      <w:tr w:rsidR="00EE0979">
        <w:trPr>
          <w:trHeight w:val="294"/>
        </w:trPr>
        <w:tc>
          <w:tcPr>
            <w:tcW w:w="142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pPr>
            <w:r>
              <w:t xml:space="preserve">34100.61902 </w:t>
            </w:r>
          </w:p>
        </w:tc>
        <w:tc>
          <w:tcPr>
            <w:tcW w:w="5628"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t xml:space="preserve">SKATE PARK CANDELARIA </w:t>
            </w:r>
          </w:p>
        </w:tc>
        <w:tc>
          <w:tcPr>
            <w:tcW w:w="805"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t xml:space="preserve">133.504,85 </w:t>
            </w:r>
          </w:p>
        </w:tc>
      </w:tr>
      <w:tr w:rsidR="00EE0979">
        <w:trPr>
          <w:trHeight w:val="296"/>
        </w:trPr>
        <w:tc>
          <w:tcPr>
            <w:tcW w:w="7051" w:type="dxa"/>
            <w:gridSpan w:val="2"/>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805"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b/>
              </w:rPr>
              <w:t>133.504,85</w:t>
            </w:r>
            <w:r>
              <w:rPr>
                <w:rFonts w:ascii="Times New Roman" w:eastAsia="Times New Roman" w:hAnsi="Times New Roman" w:cs="Times New Roman"/>
                <w:sz w:val="24"/>
              </w:rPr>
              <w:t xml:space="preserve"> </w:t>
            </w:r>
          </w:p>
        </w:tc>
      </w:tr>
    </w:tbl>
    <w:p w:rsidR="00EE0979" w:rsidRDefault="00B022A0">
      <w:pPr>
        <w:spacing w:after="0" w:line="259" w:lineRule="auto"/>
        <w:ind w:left="1438" w:firstLine="0"/>
        <w:jc w:val="left"/>
      </w:pPr>
      <w:r>
        <w:rPr>
          <w:b/>
        </w:rPr>
        <w:t xml:space="preserve"> </w:t>
      </w:r>
      <w:r>
        <w:t xml:space="preserve"> </w:t>
      </w:r>
      <w:r>
        <w:tab/>
        <w:t xml:space="preserve"> </w:t>
      </w:r>
    </w:p>
    <w:p w:rsidR="00EE0979" w:rsidRDefault="00B022A0">
      <w:pPr>
        <w:spacing w:after="0" w:line="259" w:lineRule="auto"/>
        <w:ind w:left="0" w:right="176" w:firstLine="0"/>
        <w:jc w:val="center"/>
      </w:pPr>
      <w:r>
        <w:t xml:space="preserve"> </w:t>
      </w:r>
    </w:p>
    <w:p w:rsidR="00EE0979" w:rsidRDefault="00B022A0">
      <w:pPr>
        <w:spacing w:after="0" w:line="259" w:lineRule="auto"/>
        <w:ind w:left="0" w:right="176" w:firstLine="0"/>
        <w:jc w:val="center"/>
      </w:pPr>
      <w:r>
        <w:t xml:space="preserve"> </w:t>
      </w:r>
    </w:p>
    <w:p w:rsidR="00EE0979" w:rsidRDefault="00B022A0">
      <w:pPr>
        <w:spacing w:after="0" w:line="259" w:lineRule="auto"/>
        <w:ind w:left="0" w:right="176" w:firstLine="0"/>
        <w:jc w:val="center"/>
      </w:pPr>
      <w:r>
        <w:t xml:space="preserve"> </w:t>
      </w:r>
    </w:p>
    <w:p w:rsidR="00EE0979" w:rsidRDefault="00B022A0">
      <w:pPr>
        <w:tabs>
          <w:tab w:val="center" w:pos="4727"/>
          <w:tab w:val="center" w:pos="8562"/>
        </w:tabs>
        <w:ind w:left="0" w:firstLine="0"/>
        <w:jc w:val="left"/>
      </w:pPr>
      <w:r>
        <w:t xml:space="preserve"> </w:t>
      </w:r>
      <w:r>
        <w:tab/>
        <w:t xml:space="preserve">Estado de Ingresos  </w:t>
      </w:r>
      <w:r>
        <w:tab/>
        <w:t xml:space="preserve"> </w:t>
      </w:r>
    </w:p>
    <w:p w:rsidR="00EE0979" w:rsidRDefault="00B022A0">
      <w:pPr>
        <w:spacing w:after="0" w:line="259" w:lineRule="auto"/>
        <w:ind w:left="154" w:firstLine="0"/>
        <w:jc w:val="left"/>
      </w:pPr>
      <w:r>
        <w:t xml:space="preserve"> </w:t>
      </w:r>
      <w:r>
        <w:tab/>
        <w:t xml:space="preserve"> </w:t>
      </w:r>
      <w:r>
        <w:tab/>
        <w:t xml:space="preserve"> </w:t>
      </w:r>
    </w:p>
    <w:tbl>
      <w:tblPr>
        <w:tblStyle w:val="TableGrid"/>
        <w:tblW w:w="9097" w:type="dxa"/>
        <w:tblInd w:w="85" w:type="dxa"/>
        <w:tblCellMar>
          <w:top w:w="5" w:type="dxa"/>
          <w:left w:w="68" w:type="dxa"/>
          <w:bottom w:w="8" w:type="dxa"/>
          <w:right w:w="7" w:type="dxa"/>
        </w:tblCellMar>
        <w:tblLook w:val="04A0" w:firstRow="1" w:lastRow="0" w:firstColumn="1" w:lastColumn="0" w:noHBand="0" w:noVBand="1"/>
      </w:tblPr>
      <w:tblGrid>
        <w:gridCol w:w="1423"/>
        <w:gridCol w:w="6433"/>
        <w:gridCol w:w="1241"/>
      </w:tblGrid>
      <w:tr w:rsidR="00EE0979">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rPr>
              <w:t xml:space="preserve">APLICACIÓN </w:t>
            </w:r>
          </w:p>
        </w:tc>
        <w:tc>
          <w:tcPr>
            <w:tcW w:w="643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59" w:firstLine="0"/>
              <w:jc w:val="center"/>
            </w:pPr>
            <w:r>
              <w:rPr>
                <w:b/>
              </w:rPr>
              <w:t xml:space="preserve">DENOMINACIÓN </w:t>
            </w:r>
          </w:p>
        </w:tc>
        <w:tc>
          <w:tcPr>
            <w:tcW w:w="124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51" w:firstLine="0"/>
            </w:pPr>
            <w:r>
              <w:rPr>
                <w:b/>
              </w:rPr>
              <w:t xml:space="preserve">IMPORTE </w:t>
            </w:r>
          </w:p>
        </w:tc>
      </w:tr>
      <w:tr w:rsidR="00EE0979">
        <w:trPr>
          <w:trHeight w:val="296"/>
        </w:trPr>
        <w:tc>
          <w:tcPr>
            <w:tcW w:w="142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t xml:space="preserve">87000 </w:t>
            </w:r>
          </w:p>
        </w:tc>
        <w:tc>
          <w:tcPr>
            <w:tcW w:w="643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pPr>
            <w:r>
              <w:t xml:space="preserve">REMANENTE DE TESORERIA PARA GASTOS GENERALES  </w:t>
            </w:r>
          </w:p>
        </w:tc>
        <w:tc>
          <w:tcPr>
            <w:tcW w:w="1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3" w:firstLine="0"/>
            </w:pPr>
            <w:r>
              <w:t xml:space="preserve">133.504,85 </w:t>
            </w:r>
          </w:p>
        </w:tc>
      </w:tr>
      <w:tr w:rsidR="00EE0979">
        <w:trPr>
          <w:trHeight w:val="293"/>
        </w:trPr>
        <w:tc>
          <w:tcPr>
            <w:tcW w:w="142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rPr>
              <w:t xml:space="preserve">  </w:t>
            </w:r>
          </w:p>
        </w:tc>
        <w:tc>
          <w:tcPr>
            <w:tcW w:w="6433"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6" w:firstLine="0"/>
              <w:jc w:val="right"/>
            </w:pPr>
            <w:r>
              <w:rPr>
                <w:b/>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3" w:firstLine="0"/>
            </w:pPr>
            <w:r>
              <w:rPr>
                <w:b/>
              </w:rPr>
              <w:t>133.504,85</w:t>
            </w:r>
            <w:r>
              <w:rPr>
                <w:rFonts w:ascii="Times New Roman" w:eastAsia="Times New Roman" w:hAnsi="Times New Roman" w:cs="Times New Roman"/>
                <w:sz w:val="24"/>
              </w:rPr>
              <w:t xml:space="preserve"> </w:t>
            </w:r>
          </w:p>
        </w:tc>
      </w:tr>
    </w:tbl>
    <w:p w:rsidR="00EE0979" w:rsidRDefault="00B022A0">
      <w:pPr>
        <w:spacing w:after="112"/>
        <w:ind w:right="99" w:hanging="10"/>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0" w:firstLine="0"/>
        <w:jc w:val="left"/>
      </w:pPr>
      <w:r>
        <w:t xml:space="preserve"> </w:t>
      </w:r>
    </w:p>
    <w:p w:rsidR="00EE0979" w:rsidRDefault="00B022A0">
      <w:pPr>
        <w:spacing w:after="6"/>
        <w:ind w:right="99" w:hanging="10"/>
      </w:pPr>
      <w:r>
        <w:rPr>
          <w:b/>
        </w:rPr>
        <w:t xml:space="preserve">Consta en el expediente propuesta del Concejal delegado de Hacienda, D. Airam Pérez Chinea que transcrito literalmente dice: </w:t>
      </w:r>
    </w:p>
    <w:p w:rsidR="00EE0979" w:rsidRDefault="00B022A0">
      <w:pPr>
        <w:spacing w:after="127" w:line="259" w:lineRule="auto"/>
        <w:ind w:left="14" w:firstLine="0"/>
        <w:jc w:val="left"/>
      </w:pPr>
      <w:r>
        <w:rPr>
          <w:b/>
        </w:rPr>
        <w:t xml:space="preserve"> </w:t>
      </w:r>
    </w:p>
    <w:p w:rsidR="00EE0979" w:rsidRDefault="00B022A0">
      <w:pPr>
        <w:spacing w:after="122"/>
        <w:ind w:left="14" w:right="100" w:firstLine="708"/>
      </w:pPr>
      <w:r>
        <w:t xml:space="preserve">“Dado expediente </w:t>
      </w:r>
      <w:r>
        <w:rPr>
          <w:b/>
        </w:rPr>
        <w:t>4740/2023 de Suplemento de Créditos</w:t>
      </w:r>
      <w:r>
        <w:t>, y visto informe de la Intervención General que se transcribe a continuación:</w:t>
      </w:r>
      <w:r>
        <w:rPr>
          <w:rFonts w:ascii="Times New Roman" w:eastAsia="Times New Roman" w:hAnsi="Times New Roman" w:cs="Times New Roman"/>
          <w:sz w:val="24"/>
        </w:rPr>
        <w:t xml:space="preserve"> </w:t>
      </w:r>
    </w:p>
    <w:p w:rsidR="00EE0979" w:rsidRDefault="00B022A0">
      <w:pPr>
        <w:spacing w:after="44"/>
        <w:ind w:left="14" w:right="100" w:firstLine="708"/>
      </w:pPr>
      <w:r>
        <w:t>“Vista la propuesta de la Alcaldesa, de tramitación de modificación presupuestaria por Suplemento de Créditos financiados con remanantes de T</w:t>
      </w:r>
      <w:r>
        <w:t>esorería para Gastos Generales, que dice:</w:t>
      </w:r>
      <w:r>
        <w:rPr>
          <w:rFonts w:ascii="Times New Roman" w:eastAsia="Times New Roman" w:hAnsi="Times New Roman" w:cs="Times New Roman"/>
          <w:sz w:val="24"/>
        </w:rPr>
        <w:t xml:space="preserve"> </w:t>
      </w:r>
    </w:p>
    <w:p w:rsidR="00EE0979" w:rsidRDefault="00B022A0">
      <w:pPr>
        <w:ind w:left="14" w:right="100" w:firstLine="708"/>
      </w:pPr>
      <w:r>
        <w:t>“El Ayuntamiento de Candelaria necesita créditos extraordinarios a los consignados en el Presupuesto vigente para llevar a cabo actuaciones de mejora de instalaciones e infraestructuras municipales con ocasión de la ejecución de los proyectos siguientes, s</w:t>
      </w:r>
      <w:r>
        <w:t>egún memorias-propuestas presentadas:</w:t>
      </w:r>
      <w:r>
        <w:rPr>
          <w:rFonts w:ascii="Times New Roman" w:eastAsia="Times New Roman" w:hAnsi="Times New Roman" w:cs="Times New Roman"/>
          <w:sz w:val="24"/>
        </w:rPr>
        <w:t xml:space="preserve"> </w:t>
      </w:r>
    </w:p>
    <w:p w:rsidR="00EE0979" w:rsidRDefault="00B022A0">
      <w:pPr>
        <w:spacing w:after="143" w:line="259" w:lineRule="auto"/>
        <w:ind w:left="722" w:firstLine="0"/>
        <w:jc w:val="left"/>
      </w:pPr>
      <w:r>
        <w:rPr>
          <w:rFonts w:ascii="Times New Roman" w:eastAsia="Times New Roman" w:hAnsi="Times New Roman" w:cs="Times New Roman"/>
          <w:sz w:val="20"/>
        </w:rPr>
        <w:t xml:space="preserve"> </w:t>
      </w:r>
    </w:p>
    <w:p w:rsidR="00EE0979" w:rsidRDefault="00B022A0">
      <w:pPr>
        <w:spacing w:after="42" w:line="240" w:lineRule="auto"/>
        <w:ind w:left="1144" w:right="51" w:hanging="293"/>
      </w:pPr>
      <w:r>
        <w:rPr>
          <w:rFonts w:ascii="Segoe UI Symbol" w:eastAsia="Segoe UI Symbol" w:hAnsi="Segoe UI Symbol" w:cs="Segoe UI Symbol"/>
          <w:sz w:val="24"/>
        </w:rPr>
        <w:t></w:t>
      </w:r>
      <w:r>
        <w:rPr>
          <w:b/>
          <w:sz w:val="24"/>
        </w:rPr>
        <w:t xml:space="preserve"> </w:t>
      </w:r>
      <w:r>
        <w:rPr>
          <w:rFonts w:ascii="Times New Roman" w:eastAsia="Times New Roman" w:hAnsi="Times New Roman" w:cs="Times New Roman"/>
          <w:b/>
          <w:sz w:val="20"/>
        </w:rPr>
        <w:t>Obra Skate Park Candelaria</w:t>
      </w:r>
      <w:r>
        <w:rPr>
          <w:rFonts w:ascii="Times New Roman" w:eastAsia="Times New Roman" w:hAnsi="Times New Roman" w:cs="Times New Roman"/>
          <w:sz w:val="20"/>
        </w:rPr>
        <w:t>: la obra del skatepark se trata de una demanda histórica por parte de la ciudadanía de Candelaria ya que se trata de un tipo de instalación que adolece, no solo el municipio, sino en toda la comarca. Fruto de estas peticiones y del programa auspiciado por</w:t>
      </w:r>
      <w:r>
        <w:rPr>
          <w:rFonts w:ascii="Times New Roman" w:eastAsia="Times New Roman" w:hAnsi="Times New Roman" w:cs="Times New Roman"/>
          <w:sz w:val="20"/>
        </w:rPr>
        <w:t xml:space="preserve"> el Cabildo, la Concejalía de Deportes, desde hace años, ha ido dando los correspondientes pasos para poder realizar este proyecto, y en el que ya se está en los últimos trámites para poder obtener los fondos que permitan formalizar el correspondiente expe</w:t>
      </w:r>
      <w:r>
        <w:rPr>
          <w:rFonts w:ascii="Times New Roman" w:eastAsia="Times New Roman" w:hAnsi="Times New Roman" w:cs="Times New Roman"/>
          <w:sz w:val="20"/>
        </w:rPr>
        <w:t>diente de licitación.</w:t>
      </w:r>
      <w:r>
        <w:rPr>
          <w:rFonts w:ascii="Times New Roman" w:eastAsia="Times New Roman" w:hAnsi="Times New Roman" w:cs="Times New Roman"/>
          <w:i/>
          <w:sz w:val="20"/>
        </w:rPr>
        <w:t xml:space="preserve"> </w:t>
      </w:r>
      <w:r>
        <w:rPr>
          <w:rFonts w:ascii="Times New Roman" w:eastAsia="Times New Roman" w:hAnsi="Times New Roman" w:cs="Times New Roman"/>
          <w:sz w:val="20"/>
        </w:rPr>
        <w:t>Que la licitación del proyecto de Skatepark ha sufrido retraso como consecuencia de que el proyecto técnico de ejecución ha tenido que ser revisado por el arquitecto redactor, debido a una serie de actuaciones previas que debían ejecu</w:t>
      </w:r>
      <w:r>
        <w:rPr>
          <w:rFonts w:ascii="Times New Roman" w:eastAsia="Times New Roman" w:hAnsi="Times New Roman" w:cs="Times New Roman"/>
          <w:sz w:val="20"/>
        </w:rPr>
        <w:t>tarse en las inmediaciones de la parcela, tales como la canalización de las aguas pluviales de la instalación cuyas obras se están ejecutando en la actualidad. En añadido a esto, y dado el contexto inflacionista actual, y el encarecimiento de los materiale</w:t>
      </w:r>
      <w:r>
        <w:rPr>
          <w:rFonts w:ascii="Times New Roman" w:eastAsia="Times New Roman" w:hAnsi="Times New Roman" w:cs="Times New Roman"/>
          <w:sz w:val="20"/>
        </w:rPr>
        <w:t>s de obra, la revisión del proyecto también repercutió en un incremento del presupuesto final. El proyecto definitivo fue entregado el pasado 21 de abril de 2023 mediante registro de entrada E-RE-3222, con un coste final de 274.064,85 euros de los cuales e</w:t>
      </w:r>
      <w:r>
        <w:rPr>
          <w:rFonts w:ascii="Times New Roman" w:eastAsia="Times New Roman" w:hAnsi="Times New Roman" w:cs="Times New Roman"/>
          <w:sz w:val="20"/>
        </w:rPr>
        <w:t xml:space="preserve">l Cabildo financia 140.560,00 por lo que el coste de </w:t>
      </w:r>
      <w:r>
        <w:rPr>
          <w:rFonts w:ascii="Times New Roman" w:eastAsia="Times New Roman" w:hAnsi="Times New Roman" w:cs="Times New Roman"/>
          <w:b/>
          <w:sz w:val="20"/>
        </w:rPr>
        <w:t>aportación municipal asciende a 133.504,85 €.</w:t>
      </w:r>
      <w:r>
        <w:rPr>
          <w:rFonts w:ascii="Times New Roman" w:eastAsia="Times New Roman" w:hAnsi="Times New Roman" w:cs="Times New Roman"/>
          <w:sz w:val="24"/>
        </w:rPr>
        <w:t xml:space="preserve"> </w:t>
      </w:r>
    </w:p>
    <w:p w:rsidR="00EE0979" w:rsidRDefault="00B022A0">
      <w:pPr>
        <w:spacing w:after="127" w:line="259" w:lineRule="auto"/>
        <w:ind w:left="722" w:firstLine="0"/>
        <w:jc w:val="left"/>
      </w:pPr>
      <w:r>
        <w:t xml:space="preserve"> </w:t>
      </w:r>
    </w:p>
    <w:p w:rsidR="00EE0979" w:rsidRDefault="00B022A0">
      <w:pPr>
        <w:spacing w:after="139"/>
        <w:ind w:left="14" w:right="100" w:firstLine="720"/>
      </w:pPr>
      <w:r>
        <w:t>Siendo un gasto específico y determinado ante la imposibilidad de demorarlo a ejercicios posteriores, y no habiendo crédito suficiente en las aplicaciónes</w:t>
      </w:r>
      <w:r>
        <w:t xml:space="preserve"> presupuestarias. </w:t>
      </w:r>
    </w:p>
    <w:p w:rsidR="00EE0979" w:rsidRDefault="00B022A0">
      <w:pPr>
        <w:spacing w:after="141" w:line="259" w:lineRule="auto"/>
        <w:ind w:left="722" w:firstLine="0"/>
        <w:jc w:val="left"/>
      </w:pPr>
      <w:r>
        <w:t xml:space="preserve"> </w:t>
      </w:r>
    </w:p>
    <w:p w:rsidR="00EE0979" w:rsidRDefault="00B022A0">
      <w:pPr>
        <w:spacing w:after="93" w:line="265" w:lineRule="auto"/>
        <w:ind w:left="624" w:right="708" w:hanging="10"/>
        <w:jc w:val="center"/>
      </w:pPr>
      <w:r>
        <w:rPr>
          <w:b/>
        </w:rPr>
        <w:t>SE PROPONE:</w:t>
      </w:r>
      <w:r>
        <w:rPr>
          <w:rFonts w:ascii="Times New Roman" w:eastAsia="Times New Roman" w:hAnsi="Times New Roman" w:cs="Times New Roman"/>
          <w:sz w:val="24"/>
        </w:rPr>
        <w:t xml:space="preserve"> </w:t>
      </w:r>
    </w:p>
    <w:p w:rsidR="00EE0979" w:rsidRDefault="00B022A0">
      <w:pPr>
        <w:spacing w:after="56"/>
        <w:ind w:left="9" w:right="42" w:hanging="10"/>
        <w:jc w:val="left"/>
      </w:pPr>
      <w:r>
        <w:t xml:space="preserve">Único: Tramitar expediente </w:t>
      </w:r>
      <w:r>
        <w:rPr>
          <w:b/>
        </w:rPr>
        <w:t>4740/2023</w:t>
      </w:r>
      <w:r>
        <w:t xml:space="preserve"> de modificación presupuestaria por </w:t>
      </w:r>
      <w:r>
        <w:rPr>
          <w:b/>
        </w:rPr>
        <w:t xml:space="preserve">Suplemento de Créditos </w:t>
      </w:r>
      <w:r>
        <w:t>financiado con Remanente de Tesorería para gastos generales, por una cantidad total de</w:t>
      </w:r>
      <w:r>
        <w:rPr>
          <w:b/>
        </w:rPr>
        <w:t xml:space="preserve"> 133.504,85 euros</w:t>
      </w:r>
      <w:r>
        <w:t>, de acuerdo al siguient</w:t>
      </w:r>
      <w:r>
        <w:t xml:space="preserve">e detalle: </w:t>
      </w:r>
    </w:p>
    <w:p w:rsidR="00EE0979" w:rsidRDefault="00B022A0">
      <w:pPr>
        <w:spacing w:after="0" w:line="259" w:lineRule="auto"/>
        <w:ind w:left="1447"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rsidR="00EE0979" w:rsidRDefault="00B022A0">
      <w:pPr>
        <w:spacing w:after="0" w:line="259" w:lineRule="auto"/>
        <w:ind w:left="1447" w:firstLine="0"/>
        <w:jc w:val="left"/>
      </w:pPr>
      <w:r>
        <w:rPr>
          <w:rFonts w:ascii="Times New Roman" w:eastAsia="Times New Roman" w:hAnsi="Times New Roman" w:cs="Times New Roman"/>
          <w:sz w:val="16"/>
        </w:rPr>
        <w:t xml:space="preserve"> </w:t>
      </w:r>
    </w:p>
    <w:p w:rsidR="00EE0979" w:rsidRDefault="00B022A0">
      <w:pPr>
        <w:spacing w:after="0" w:line="259" w:lineRule="auto"/>
        <w:ind w:left="154" w:firstLine="0"/>
        <w:jc w:val="lef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tbl>
      <w:tblPr>
        <w:tblStyle w:val="TableGrid"/>
        <w:tblW w:w="9494" w:type="dxa"/>
        <w:tblInd w:w="85" w:type="dxa"/>
        <w:tblCellMar>
          <w:top w:w="6" w:type="dxa"/>
          <w:left w:w="0" w:type="dxa"/>
          <w:bottom w:w="5" w:type="dxa"/>
          <w:right w:w="10" w:type="dxa"/>
        </w:tblCellMar>
        <w:tblLook w:val="04A0" w:firstRow="1" w:lastRow="0" w:firstColumn="1" w:lastColumn="0" w:noHBand="0" w:noVBand="1"/>
      </w:tblPr>
      <w:tblGrid>
        <w:gridCol w:w="1291"/>
        <w:gridCol w:w="5253"/>
        <w:gridCol w:w="719"/>
        <w:gridCol w:w="1142"/>
        <w:gridCol w:w="1088"/>
      </w:tblGrid>
      <w:tr w:rsidR="00EE0979">
        <w:trPr>
          <w:trHeight w:val="326"/>
        </w:trPr>
        <w:tc>
          <w:tcPr>
            <w:tcW w:w="1291" w:type="dxa"/>
            <w:tcBorders>
              <w:top w:val="single" w:sz="4" w:space="0" w:color="000000"/>
              <w:left w:val="single" w:sz="4" w:space="0" w:color="000000"/>
              <w:bottom w:val="single" w:sz="4" w:space="0" w:color="000000"/>
              <w:right w:val="nil"/>
            </w:tcBorders>
            <w:shd w:val="clear" w:color="auto" w:fill="D9D9D9"/>
          </w:tcPr>
          <w:p w:rsidR="00EE0979" w:rsidRDefault="00EE0979">
            <w:pPr>
              <w:spacing w:after="160" w:line="259" w:lineRule="auto"/>
              <w:ind w:left="0" w:firstLine="0"/>
              <w:jc w:val="left"/>
            </w:pPr>
          </w:p>
        </w:tc>
        <w:tc>
          <w:tcPr>
            <w:tcW w:w="5253" w:type="dxa"/>
            <w:tcBorders>
              <w:top w:val="single" w:sz="4" w:space="0" w:color="000000"/>
              <w:left w:val="nil"/>
              <w:bottom w:val="single" w:sz="4" w:space="0" w:color="000000"/>
              <w:right w:val="nil"/>
            </w:tcBorders>
            <w:shd w:val="clear" w:color="auto" w:fill="D9D9D9"/>
          </w:tcPr>
          <w:p w:rsidR="00EE0979" w:rsidRDefault="00B022A0">
            <w:pPr>
              <w:spacing w:after="0" w:line="259" w:lineRule="auto"/>
              <w:ind w:left="1588" w:firstLine="0"/>
              <w:jc w:val="left"/>
            </w:pPr>
            <w:r>
              <w:rPr>
                <w:b/>
                <w:sz w:val="20"/>
              </w:rPr>
              <w:t xml:space="preserve">Proyecto de gasto P 23.3.36 </w:t>
            </w:r>
          </w:p>
        </w:tc>
        <w:tc>
          <w:tcPr>
            <w:tcW w:w="1861" w:type="dxa"/>
            <w:gridSpan w:val="2"/>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61" w:firstLine="0"/>
              <w:jc w:val="center"/>
            </w:pPr>
            <w:r>
              <w:rPr>
                <w:b/>
                <w:sz w:val="20"/>
              </w:rPr>
              <w:t xml:space="preserve"> </w:t>
            </w:r>
          </w:p>
        </w:tc>
      </w:tr>
      <w:tr w:rsidR="00EE0979">
        <w:trPr>
          <w:trHeight w:val="288"/>
        </w:trPr>
        <w:tc>
          <w:tcPr>
            <w:tcW w:w="129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28" w:firstLine="0"/>
              <w:jc w:val="left"/>
            </w:pPr>
            <w:r>
              <w:rPr>
                <w:rFonts w:ascii="Times New Roman" w:eastAsia="Times New Roman" w:hAnsi="Times New Roman" w:cs="Times New Roman"/>
                <w:b/>
                <w:sz w:val="16"/>
              </w:rPr>
              <w:t xml:space="preserve">APLICACIÓN </w:t>
            </w:r>
          </w:p>
        </w:tc>
        <w:tc>
          <w:tcPr>
            <w:tcW w:w="5253" w:type="dxa"/>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723" w:firstLine="0"/>
              <w:jc w:val="center"/>
            </w:pPr>
            <w:r>
              <w:rPr>
                <w:b/>
                <w:sz w:val="20"/>
              </w:rPr>
              <w:t xml:space="preserve">DENOMINACIÓN </w:t>
            </w:r>
          </w:p>
        </w:tc>
        <w:tc>
          <w:tcPr>
            <w:tcW w:w="719"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114" w:firstLine="0"/>
            </w:pPr>
            <w:r>
              <w:rPr>
                <w:b/>
                <w:sz w:val="20"/>
              </w:rPr>
              <w:t xml:space="preserve">IMPORTE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61" w:firstLine="0"/>
              <w:jc w:val="center"/>
            </w:pPr>
            <w:r>
              <w:rPr>
                <w:b/>
                <w:sz w:val="20"/>
              </w:rPr>
              <w:t xml:space="preserve"> </w:t>
            </w:r>
          </w:p>
        </w:tc>
      </w:tr>
      <w:tr w:rsidR="00EE0979">
        <w:trPr>
          <w:trHeight w:val="292"/>
        </w:trPr>
        <w:tc>
          <w:tcPr>
            <w:tcW w:w="129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jc w:val="left"/>
            </w:pPr>
            <w:r>
              <w:rPr>
                <w:rFonts w:ascii="Times New Roman" w:eastAsia="Times New Roman" w:hAnsi="Times New Roman" w:cs="Times New Roman"/>
                <w:sz w:val="16"/>
              </w:rPr>
              <w:t xml:space="preserve">34100.61902 </w:t>
            </w:r>
          </w:p>
        </w:tc>
        <w:tc>
          <w:tcPr>
            <w:tcW w:w="5253"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SKATE PARK CANDELARIA </w:t>
            </w:r>
          </w:p>
        </w:tc>
        <w:tc>
          <w:tcPr>
            <w:tcW w:w="719"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14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sz w:val="20"/>
              </w:rPr>
              <w:t xml:space="preserve">133.504,85 </w:t>
            </w:r>
          </w:p>
        </w:tc>
        <w:tc>
          <w:tcPr>
            <w:tcW w:w="1088" w:type="dxa"/>
            <w:tcBorders>
              <w:top w:val="single" w:sz="4" w:space="0" w:color="000000"/>
              <w:left w:val="single" w:sz="4" w:space="0" w:color="000000"/>
              <w:bottom w:val="single" w:sz="4" w:space="0" w:color="000000"/>
              <w:right w:val="single" w:sz="4" w:space="0" w:color="000000"/>
            </w:tcBorders>
          </w:tcPr>
          <w:p w:rsidR="00EE0979" w:rsidRDefault="00EE0979">
            <w:pPr>
              <w:spacing w:after="160" w:line="259" w:lineRule="auto"/>
              <w:ind w:left="0" w:firstLine="0"/>
              <w:jc w:val="left"/>
            </w:pPr>
          </w:p>
        </w:tc>
      </w:tr>
      <w:tr w:rsidR="00EE0979">
        <w:trPr>
          <w:trHeight w:val="290"/>
        </w:trPr>
        <w:tc>
          <w:tcPr>
            <w:tcW w:w="1291" w:type="dxa"/>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5253" w:type="dxa"/>
            <w:tcBorders>
              <w:top w:val="single" w:sz="4" w:space="0" w:color="000000"/>
              <w:left w:val="nil"/>
              <w:bottom w:val="single" w:sz="4" w:space="0" w:color="000000"/>
              <w:right w:val="nil"/>
            </w:tcBorders>
          </w:tcPr>
          <w:p w:rsidR="00EE0979" w:rsidRDefault="00EE0979">
            <w:pPr>
              <w:spacing w:after="160" w:line="259" w:lineRule="auto"/>
              <w:ind w:left="0" w:firstLine="0"/>
              <w:jc w:val="left"/>
            </w:pPr>
          </w:p>
        </w:tc>
        <w:tc>
          <w:tcPr>
            <w:tcW w:w="719"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142"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71" w:firstLine="0"/>
            </w:pPr>
            <w:r>
              <w:rPr>
                <w:b/>
                <w:sz w:val="20"/>
              </w:rPr>
              <w:t>133.504,85</w:t>
            </w:r>
            <w:r>
              <w:rPr>
                <w:rFonts w:ascii="Times New Roman" w:eastAsia="Times New Roman" w:hAnsi="Times New Roman" w:cs="Times New Roman"/>
                <w:sz w:val="24"/>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EE0979" w:rsidRDefault="00EE0979">
            <w:pPr>
              <w:spacing w:after="160" w:line="259" w:lineRule="auto"/>
              <w:ind w:left="0" w:firstLine="0"/>
              <w:jc w:val="left"/>
            </w:pPr>
          </w:p>
        </w:tc>
      </w:tr>
    </w:tbl>
    <w:p w:rsidR="00EE0979" w:rsidRDefault="00B022A0">
      <w:pPr>
        <w:spacing w:after="44" w:line="249" w:lineRule="auto"/>
        <w:ind w:left="9" w:right="98" w:hanging="10"/>
      </w:pPr>
      <w:r>
        <w:rPr>
          <w:rFonts w:ascii="Times New Roman" w:eastAsia="Times New Roman" w:hAnsi="Times New Roman" w:cs="Times New Roman"/>
          <w:sz w:val="24"/>
        </w:rPr>
        <w:t xml:space="preserve">.“ </w:t>
      </w:r>
    </w:p>
    <w:p w:rsidR="00EE0979" w:rsidRDefault="00B022A0">
      <w:pPr>
        <w:spacing w:after="0" w:line="259" w:lineRule="auto"/>
        <w:ind w:left="722" w:firstLine="0"/>
        <w:jc w:val="left"/>
      </w:pPr>
      <w:r>
        <w:t xml:space="preserve"> </w:t>
      </w:r>
    </w:p>
    <w:p w:rsidR="00EE0979" w:rsidRDefault="00B022A0">
      <w:pPr>
        <w:spacing w:after="163"/>
        <w:ind w:left="14" w:right="100"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EE0979" w:rsidRDefault="00B022A0">
      <w:pPr>
        <w:spacing w:after="36"/>
        <w:ind w:right="100"/>
      </w:pPr>
      <w:r>
        <w:rPr>
          <w:b/>
        </w:rPr>
        <w:t xml:space="preserve">PRIMERO. </w:t>
      </w:r>
      <w:r>
        <w:t>Visto Acuerdo del Congreso de los Diputados del 22 de s</w:t>
      </w:r>
      <w:r>
        <w:t>eptiembre de 2022 por el que el Congreso de los Diputados, a petición del Gobierno, ha respaldado que en España se mantienen las condiciones de excepcionalidad que aconsejan y justifican mantener la suspensión de las reglas fiscales, en línea con la recome</w:t>
      </w:r>
      <w:r>
        <w:t>ndación de la Comisión Europea, que también ha decidido extender la cláusula de salvaguarda del Pacto de Estabilidad y Crecimiento ante la crisis desatada por el encarecimiento de precios derivados de la invasión rusa de Ucrania.</w:t>
      </w:r>
      <w:r>
        <w:rPr>
          <w:sz w:val="24"/>
        </w:rPr>
        <w:t xml:space="preserve"> </w:t>
      </w:r>
    </w:p>
    <w:p w:rsidR="00EE0979" w:rsidRDefault="00B022A0">
      <w:pPr>
        <w:spacing w:after="33"/>
        <w:ind w:right="100"/>
      </w:pPr>
      <w:r>
        <w:t xml:space="preserve"> Atendiendo al acuerdo de</w:t>
      </w:r>
      <w:r>
        <w:t>l Consejo de Ministros de 26 de julio de 2022, mediante el que se acuerda: “</w:t>
      </w:r>
      <w:r>
        <w:rPr>
          <w:b/>
        </w:rPr>
        <w:t xml:space="preserve">Suspensión de las reglas fiscales: </w:t>
      </w:r>
      <w:r>
        <w:t>El acuerdo de Consejo de Ministros también incluye el mantenimiento de la suspensión de las reglas fiscales. Una medida que ya se ha realizado en</w:t>
      </w:r>
      <w:r>
        <w:t xml:space="preserve"> años anteriores y va en línea con la decisión de la Comisión Europea de mantener la cláusula de salvaguarda del Pacto de Estabilidad y Crecimiento también para 2023. Esto permite dotar a los países de mayor flexibilidad para afrontar la crisis derivada de</w:t>
      </w:r>
      <w:r>
        <w:t xml:space="preserve"> la invasión de Ucrania. </w:t>
      </w:r>
      <w:r>
        <w:rPr>
          <w:rFonts w:ascii="Times New Roman" w:eastAsia="Times New Roman" w:hAnsi="Times New Roman" w:cs="Times New Roman"/>
          <w:sz w:val="24"/>
        </w:rPr>
        <w:t xml:space="preserve"> </w:t>
      </w:r>
    </w:p>
    <w:p w:rsidR="00EE0979" w:rsidRDefault="00B022A0">
      <w:pPr>
        <w:ind w:right="100"/>
      </w:pPr>
      <w:r>
        <w:t>Por tanto, el Gobierno solicitará de nuevo al Congreso de los Diputados que aprecie si en España concurren las circunstancias extraordinarias previstas en el artículo 135.4 de la Constitución Española y 11.3 de la Ley Orgánica de</w:t>
      </w:r>
      <w:r>
        <w:t xml:space="preserve"> Estabilidad Presupuestaria y Sostenibilidad Financiera. Es el mismo trámite que se siguió en años anteriores para suspender las reglas fiscales nacionales.   En cualquier caso, la suspensión de las reglas fiscales no implica abandonar la responsabilidad f</w:t>
      </w:r>
      <w:r>
        <w:t xml:space="preserve">iscal, sino que el compromiso con la reducción del déficit público se mantiene con una senda descendente que llevará al déficit por debajo del 3% en 2025.” </w:t>
      </w:r>
    </w:p>
    <w:p w:rsidR="00EE0979" w:rsidRDefault="00B022A0">
      <w:pPr>
        <w:ind w:right="100"/>
      </w:pPr>
      <w:r>
        <w:t xml:space="preserve"> La suspensión de las reglas fiscales ha supuesto que el superávit no tenga que dedicarse a amortiz</w:t>
      </w:r>
      <w:r>
        <w:t>ar deuda, aun siendo posible realizar esta amortización si la EELL lo considera. La regla del artículo 32 de la LOEPSF puede no aplicarse a partir del momento en que se han suspendido las reglas fiscales, ya que estas son el fundamento de aquella regla. Re</w:t>
      </w:r>
      <w:r>
        <w:t xml:space="preserve">gla que conecta con el objetivo de estabilidad presupuestaria y con el de deuda pública.  </w:t>
      </w:r>
    </w:p>
    <w:p w:rsidR="00EE0979" w:rsidRDefault="00B022A0">
      <w:pPr>
        <w:spacing w:after="0" w:line="259" w:lineRule="auto"/>
        <w:ind w:left="722" w:firstLine="0"/>
        <w:jc w:val="left"/>
      </w:pPr>
      <w:r>
        <w:t xml:space="preserve"> </w:t>
      </w:r>
    </w:p>
    <w:p w:rsidR="00EE0979" w:rsidRDefault="00B022A0">
      <w:pPr>
        <w:ind w:right="100"/>
      </w:pPr>
      <w:r>
        <w:t xml:space="preserve"> Al no ser aplicable la regla general, tampoco es necesaria la regla especial de destinar el superávit a inversiones financieramente sostenibles, salvo las excepci</w:t>
      </w:r>
      <w:r>
        <w:t xml:space="preserve">ones siguientes, o mediante norma posterior que prorrogue íntegramente la DA 6ª de la LOEPSF. </w:t>
      </w:r>
    </w:p>
    <w:p w:rsidR="00EE0979" w:rsidRDefault="00B022A0">
      <w:pPr>
        <w:spacing w:after="57" w:line="259" w:lineRule="auto"/>
        <w:ind w:left="14" w:firstLine="0"/>
        <w:jc w:val="left"/>
      </w:pPr>
      <w:r>
        <w:t xml:space="preserve"> </w:t>
      </w:r>
      <w:r>
        <w:tab/>
        <w:t xml:space="preserve"> </w:t>
      </w:r>
    </w:p>
    <w:p w:rsidR="00EE0979" w:rsidRDefault="00B022A0">
      <w:pPr>
        <w:spacing w:after="30"/>
        <w:ind w:right="100"/>
      </w:pPr>
      <w:r>
        <w:rPr>
          <w:b/>
        </w:rPr>
        <w:t>SEGUNDO</w:t>
      </w:r>
      <w:r>
        <w:t>. La legislación aplicable es la siguiente:</w:t>
      </w:r>
      <w:r>
        <w:rPr>
          <w:rFonts w:ascii="Times New Roman" w:eastAsia="Times New Roman" w:hAnsi="Times New Roman" w:cs="Times New Roman"/>
          <w:sz w:val="24"/>
        </w:rPr>
        <w:t xml:space="preserve"> </w:t>
      </w:r>
    </w:p>
    <w:p w:rsidR="00EE0979" w:rsidRDefault="00B022A0">
      <w:pPr>
        <w:numPr>
          <w:ilvl w:val="0"/>
          <w:numId w:val="76"/>
        </w:numPr>
        <w:spacing w:after="47" w:line="252" w:lineRule="auto"/>
        <w:ind w:right="100" w:hanging="360"/>
      </w:pPr>
      <w:r>
        <w:t>Los artículos 169, 170 y 172 a 177 del Real Decreto Legislativo 2/2004, de 5 de marzo, por el que se apru</w:t>
      </w:r>
      <w:r>
        <w:t xml:space="preserve">eba el Texto Refundido de la Ley Reguladora de las Haciendas Locales.  </w:t>
      </w:r>
    </w:p>
    <w:p w:rsidR="00EE0979" w:rsidRDefault="00B022A0">
      <w:pPr>
        <w:numPr>
          <w:ilvl w:val="0"/>
          <w:numId w:val="76"/>
        </w:numPr>
        <w:spacing w:after="51"/>
        <w:ind w:right="100" w:hanging="360"/>
      </w:pPr>
      <w:r>
        <w:t>Los artículos 34 a 38 del Real Decreto 500/1990, de 20 de abril, por el que se desarrolla el Capítulo I, del Título VI, de la Ley 39/1988, de 28 de diciembre, Reguladora de las Haciend</w:t>
      </w:r>
      <w:r>
        <w:t xml:space="preserve">as Locales, en materia de presupuestos. </w:t>
      </w:r>
    </w:p>
    <w:p w:rsidR="00EE0979" w:rsidRDefault="00B022A0">
      <w:pPr>
        <w:numPr>
          <w:ilvl w:val="0"/>
          <w:numId w:val="76"/>
        </w:numPr>
        <w:spacing w:after="51"/>
        <w:ind w:right="100" w:hanging="360"/>
      </w:pPr>
      <w:r>
        <w:t xml:space="preserve">Los artículos 3, 4, 11, 12, 13, 21, 23 y 32 de la Ley Orgánica 2/2012, de 27 de abril, de Estabilidad Presupuestaria y Sostenibilidad Financiera.  </w:t>
      </w:r>
    </w:p>
    <w:p w:rsidR="00EE0979" w:rsidRDefault="00B022A0">
      <w:pPr>
        <w:numPr>
          <w:ilvl w:val="0"/>
          <w:numId w:val="76"/>
        </w:numPr>
        <w:ind w:right="100" w:hanging="360"/>
      </w:pPr>
      <w:r>
        <w:t xml:space="preserve">El artículo 16.2 del Real Decreto 1463/2007, de 2 de noviembre, por el que se aprueba el Reglamento de Desarrollo de la Ley 18/2001, de 12 de noviembre, de Estabilidad Presupuestaria, en su Aplicación a las Entidades Locales. </w:t>
      </w:r>
    </w:p>
    <w:p w:rsidR="00EE0979" w:rsidRDefault="00B022A0">
      <w:pPr>
        <w:numPr>
          <w:ilvl w:val="0"/>
          <w:numId w:val="76"/>
        </w:numPr>
        <w:spacing w:after="51"/>
        <w:ind w:right="100" w:hanging="360"/>
      </w:pPr>
      <w:r>
        <w:t>El artículo 22.2.e) de la Ley</w:t>
      </w:r>
      <w:r>
        <w:t xml:space="preserve"> 7/1985, de 2 de abril, Reguladora de las Bases del Régimen Local. </w:t>
      </w:r>
    </w:p>
    <w:p w:rsidR="00EE0979" w:rsidRDefault="00B022A0">
      <w:pPr>
        <w:numPr>
          <w:ilvl w:val="0"/>
          <w:numId w:val="76"/>
        </w:numPr>
        <w:spacing w:after="90"/>
        <w:ind w:right="100" w:hanging="360"/>
      </w:pPr>
      <w:r>
        <w:t xml:space="preserve">La Disposición Adicional 6.ª de la Ley Orgánica 2/2012, de 27 de abril, de Estabilidad Presupuestaria y Sostenibilidad Financiera. </w:t>
      </w:r>
    </w:p>
    <w:p w:rsidR="00EE0979" w:rsidRDefault="00B022A0">
      <w:pPr>
        <w:numPr>
          <w:ilvl w:val="0"/>
          <w:numId w:val="76"/>
        </w:numPr>
        <w:spacing w:after="35"/>
        <w:ind w:right="100" w:hanging="360"/>
      </w:pPr>
      <w:r>
        <w:t>La Orden EHA/3565/2008, de 3 de diciembre, por la que se</w:t>
      </w:r>
      <w:r>
        <w:t xml:space="preserve"> aprueba la estructura de presupuestos de las entidades locales. - Resolución de 14 de septiembre de 2009, de la Dirección General de Coordinación Financiera con las Comunidades Autónomas y con las Entidades Locales, por la que se Dictan Medidas para el De</w:t>
      </w:r>
      <w:r>
        <w:t>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EE0979" w:rsidRDefault="00B022A0">
      <w:pPr>
        <w:numPr>
          <w:ilvl w:val="0"/>
          <w:numId w:val="76"/>
        </w:numPr>
        <w:spacing w:after="51"/>
        <w:ind w:right="100" w:hanging="360"/>
      </w:pPr>
      <w:r>
        <w:t xml:space="preserve">La Disposición Adicional 16.ª del Texto Refundido de la Ley Reguladora de las Haciendas Locales.  </w:t>
      </w:r>
    </w:p>
    <w:p w:rsidR="00EE0979" w:rsidRDefault="00B022A0">
      <w:pPr>
        <w:numPr>
          <w:ilvl w:val="0"/>
          <w:numId w:val="76"/>
        </w:numPr>
        <w:ind w:right="100" w:hanging="360"/>
      </w:pPr>
      <w:r>
        <w:t>Acuerdo del Congres</w:t>
      </w:r>
      <w:r>
        <w:t xml:space="preserve">o de los Diputados del 13 de octubre de 2020, relativo al Objetivo de </w:t>
      </w:r>
    </w:p>
    <w:p w:rsidR="00EE0979" w:rsidRDefault="00B022A0">
      <w:pPr>
        <w:spacing w:after="50"/>
        <w:ind w:left="739" w:right="100"/>
      </w:pPr>
      <w:r>
        <w:t xml:space="preserve">Estabilidad Presupuestaria, según acuerdo del Consejo de Ministros de 6 de octubre de 2020 de “Someter a la deliberación del Pleno, a los efectos previstos en los artículos 135.4 de la </w:t>
      </w:r>
      <w:r>
        <w:t xml:space="preserve">Constitución y 11.3 de la Ley Orgánica 2/2012, de 27 de abril, de Estabilidad Presupuestaria y Sostenibilidad Financiera y publicar en el Boletín Oficial de las Cortes Generales.” </w:t>
      </w:r>
    </w:p>
    <w:p w:rsidR="00EE0979" w:rsidRDefault="00B022A0">
      <w:pPr>
        <w:spacing w:after="0" w:line="259" w:lineRule="auto"/>
        <w:ind w:left="14" w:firstLine="0"/>
        <w:jc w:val="left"/>
      </w:pPr>
      <w:r>
        <w:t xml:space="preserve"> </w:t>
      </w:r>
    </w:p>
    <w:p w:rsidR="00EE0979" w:rsidRDefault="00B022A0">
      <w:pPr>
        <w:ind w:right="100"/>
      </w:pPr>
      <w:r>
        <w:rPr>
          <w:b/>
        </w:rPr>
        <w:t>TERCERO</w:t>
      </w:r>
      <w:r>
        <w:t>: Considerando que el artículo 177 del Real Decreto Legislativo 2/</w:t>
      </w:r>
      <w:r>
        <w:t>2004, de 5 de marzo, por el que se aprueba el texto refundido de la Ley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EE0979" w:rsidRDefault="00B022A0">
      <w:pPr>
        <w:numPr>
          <w:ilvl w:val="0"/>
          <w:numId w:val="77"/>
        </w:numPr>
        <w:ind w:right="100" w:hanging="360"/>
      </w:pPr>
      <w:r>
        <w:t>Cuando haya de r</w:t>
      </w:r>
      <w:r>
        <w:t xml:space="preserve">ealizarse algún gasto que no pueda demorarse hasta el ejercicio siguiente, y sea insuficiente en el presupuesto de la corporación el crédito consignado, el presidente de la corporación ordenará la incoación del expediente de suplemento de crédito.  </w:t>
      </w:r>
    </w:p>
    <w:p w:rsidR="00EE0979" w:rsidRDefault="00B022A0">
      <w:pPr>
        <w:numPr>
          <w:ilvl w:val="0"/>
          <w:numId w:val="77"/>
        </w:numPr>
        <w:ind w:right="100" w:hanging="360"/>
      </w:pPr>
      <w:r>
        <w:t>El exp</w:t>
      </w:r>
      <w:r>
        <w:t>ediente, que habrá de ser previamente informado por la Intervención, se someterá a la aprobación del Pleno de la corporación, con sujeción a los mismos trámites y requisitos que los presupuestos. Serán, asimismo, de aplicación, las normas sobre información</w:t>
      </w:r>
      <w:r>
        <w:t xml:space="preserve">, reclamación y publicidad de los presupuestos a que se refiere el artículo 169 de esta ley.  </w:t>
      </w:r>
    </w:p>
    <w:p w:rsidR="00EE0979" w:rsidRDefault="00B022A0">
      <w:pPr>
        <w:numPr>
          <w:ilvl w:val="0"/>
          <w:numId w:val="77"/>
        </w:numPr>
        <w:ind w:right="100" w:hanging="360"/>
      </w:pPr>
      <w:r>
        <w:t xml:space="preserve">El expediente deberá especificar la concreta partida presupuestaria a incrementar y el medio o recurso que ha de financiar el aumento que se propone. </w:t>
      </w:r>
    </w:p>
    <w:p w:rsidR="00EE0979" w:rsidRDefault="00B022A0">
      <w:pPr>
        <w:numPr>
          <w:ilvl w:val="0"/>
          <w:numId w:val="77"/>
        </w:numPr>
        <w:ind w:right="100" w:hanging="360"/>
      </w:pPr>
      <w:r>
        <w:t>Dicho aume</w:t>
      </w:r>
      <w:r>
        <w:t xml:space="preserve">nto se financiará con cargo al remanente líquido de tesorería, con nuevos o mayores ingresos recaudados sobre los totales previstos en el presupuesto corriente, y mediante anulaciones o bajas de créditos de gastos de otras partidas del presupuesto vigente </w:t>
      </w:r>
      <w:r>
        <w:t>no comprometidos, cuyas dotaciones se estimen reducibles sin perturbación del respectivo servicio. En el expediente se acreditará que los ingresos previstos en el presupuesto vengan efectuándose con normalidad, salvo que aquéllos tengan carácter finalista.</w:t>
      </w:r>
      <w: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CUARTO:</w:t>
      </w:r>
      <w:r>
        <w:t xml:space="preserve"> Vista la Liquidación del Presupuesto general 2022, aprobada por </w:t>
      </w:r>
      <w:r>
        <w:rPr>
          <w:b/>
        </w:rPr>
        <w:t xml:space="preserve">decreto 550/2023 </w:t>
      </w:r>
      <w:r>
        <w:t xml:space="preserve">de 1/03/2023, donde se aprueba un Remanente de Tesorería para gastos Generales (RTGG) por un importe de </w:t>
      </w:r>
      <w:r>
        <w:rPr>
          <w:b/>
        </w:rPr>
        <w:t>23.408.195,38€</w:t>
      </w:r>
      <w:r>
        <w:t>.</w:t>
      </w:r>
      <w:r>
        <w:rPr>
          <w:rFonts w:ascii="Times New Roman" w:eastAsia="Times New Roman" w:hAnsi="Times New Roman" w:cs="Times New Roman"/>
          <w:sz w:val="24"/>
        </w:rPr>
        <w:t xml:space="preserve"> </w:t>
      </w:r>
    </w:p>
    <w:p w:rsidR="00EE0979" w:rsidRDefault="00B022A0">
      <w:pPr>
        <w:ind w:right="100"/>
      </w:pPr>
      <w:r>
        <w:t xml:space="preserve"> Visto Expediente 2209/2023 de Incorporac</w:t>
      </w:r>
      <w:r>
        <w:t xml:space="preserve">ión de Créditos financiados con RTGG, por un importe total de 9.490.282,51€. </w:t>
      </w:r>
    </w:p>
    <w:p w:rsidR="00EE0979" w:rsidRDefault="00B022A0">
      <w:pPr>
        <w:tabs>
          <w:tab w:val="right" w:pos="9689"/>
        </w:tabs>
        <w:spacing w:after="48"/>
        <w:ind w:left="0" w:firstLine="0"/>
        <w:jc w:val="left"/>
      </w:pPr>
      <w:r>
        <w:rPr>
          <w:b/>
        </w:rPr>
        <w:t xml:space="preserve"> </w:t>
      </w:r>
      <w:r>
        <w:rPr>
          <w:b/>
        </w:rPr>
        <w:tab/>
      </w:r>
      <w:r>
        <w:t xml:space="preserve">Visto expediente 3304/2023 de Créditos extraordinarios Pleno de Marzo financiados con </w:t>
      </w:r>
    </w:p>
    <w:p w:rsidR="00EE0979" w:rsidRDefault="00B022A0">
      <w:pPr>
        <w:ind w:right="100"/>
      </w:pPr>
      <w:r>
        <w:t>RTGG, por un importe total de 1.859.520,87€.</w:t>
      </w:r>
      <w:r>
        <w:rPr>
          <w:rFonts w:ascii="Times New Roman" w:eastAsia="Times New Roman" w:hAnsi="Times New Roman" w:cs="Times New Roman"/>
          <w:sz w:val="24"/>
        </w:rPr>
        <w:t xml:space="preserve"> </w:t>
      </w:r>
    </w:p>
    <w:p w:rsidR="00EE0979" w:rsidRDefault="00B022A0">
      <w:pPr>
        <w:ind w:right="100"/>
      </w:pPr>
      <w:r>
        <w:t xml:space="preserve"> </w:t>
      </w:r>
      <w:r>
        <w:tab/>
      </w:r>
      <w:r>
        <w:t xml:space="preserve">Visto Expediente 3569/2023 de Incorporación de Créditos financiados con RTGG, por un importe total de 859.904,87€. </w:t>
      </w:r>
      <w:r>
        <w:tab/>
        <w:t xml:space="preserve"> </w:t>
      </w:r>
    </w:p>
    <w:p w:rsidR="00EE0979" w:rsidRDefault="00B022A0">
      <w:pPr>
        <w:ind w:right="100"/>
      </w:pPr>
      <w:r>
        <w:t xml:space="preserve"> Visto Expediente 4146/2023 de Incorporación de Créditos financiados con RTGG, por un importe total de 9.787,20€;  </w:t>
      </w:r>
    </w:p>
    <w:p w:rsidR="00EE0979" w:rsidRDefault="00B022A0">
      <w:pPr>
        <w:ind w:right="100"/>
      </w:pPr>
      <w:r>
        <w:t xml:space="preserve"> Visto Expediente 4029</w:t>
      </w:r>
      <w:r>
        <w:t xml:space="preserve">/2023 de Créditos Extraordinarios financiados con RTGG, por un importe total de 4.223.072,19€; queda un disponible de Remanente de Tesorería para gastos Generales (RTGG) de </w:t>
      </w:r>
      <w:r>
        <w:rPr>
          <w:b/>
        </w:rPr>
        <w:t>6.965.628,26€.</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r>
        <w:rPr>
          <w:b/>
        </w:rPr>
        <w:tab/>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114"/>
        <w:ind w:right="100"/>
      </w:pPr>
      <w:r>
        <w:rPr>
          <w:b/>
        </w:rPr>
        <w:t>QUINTO:</w:t>
      </w:r>
      <w:r>
        <w:t xml:space="preserve"> Que el expediente de modificación presupuestaria </w:t>
      </w:r>
      <w:r>
        <w:rPr>
          <w:b/>
        </w:rPr>
        <w:t>nº 4740/2023</w:t>
      </w:r>
      <w:r>
        <w:t xml:space="preserve"> de modificación presupuestaria por</w:t>
      </w:r>
      <w:r>
        <w:rPr>
          <w:b/>
        </w:rPr>
        <w:t xml:space="preserve"> Suplementos de Créditos </w:t>
      </w:r>
      <w:r>
        <w:t>financiado con Remanente de Tesorería para gastos generales, por una cantidad total de</w:t>
      </w:r>
      <w:r>
        <w:rPr>
          <w:b/>
        </w:rPr>
        <w:t xml:space="preserve"> 133.504,85 euros</w:t>
      </w:r>
      <w:r>
        <w:t xml:space="preserve">, de acuerdo al siguiente detalle:  </w:t>
      </w:r>
    </w:p>
    <w:p w:rsidR="00EE0979" w:rsidRDefault="00B022A0">
      <w:pPr>
        <w:spacing w:after="131" w:line="259" w:lineRule="auto"/>
        <w:ind w:left="14" w:firstLine="0"/>
        <w:jc w:val="left"/>
      </w:pPr>
      <w:r>
        <w:t xml:space="preserve"> </w:t>
      </w:r>
    </w:p>
    <w:p w:rsidR="00EE0979" w:rsidRDefault="00B022A0">
      <w:pPr>
        <w:tabs>
          <w:tab w:val="center" w:pos="4201"/>
          <w:tab w:val="center" w:pos="7796"/>
        </w:tabs>
        <w:spacing w:after="0" w:line="259" w:lineRule="auto"/>
        <w:ind w:left="0" w:firstLine="0"/>
        <w:jc w:val="left"/>
      </w:pPr>
      <w:r>
        <w:rPr>
          <w:sz w:val="20"/>
        </w:rPr>
        <w:t xml:space="preserve"> </w:t>
      </w:r>
      <w:r>
        <w:rPr>
          <w:sz w:val="20"/>
        </w:rPr>
        <w:tab/>
        <w:t xml:space="preserve">Estado de gastos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8489" w:type="dxa"/>
        <w:tblInd w:w="85" w:type="dxa"/>
        <w:tblCellMar>
          <w:top w:w="7" w:type="dxa"/>
          <w:left w:w="0" w:type="dxa"/>
          <w:bottom w:w="7" w:type="dxa"/>
          <w:right w:w="7" w:type="dxa"/>
        </w:tblCellMar>
        <w:tblLook w:val="04A0" w:firstRow="1" w:lastRow="0" w:firstColumn="1" w:lastColumn="0" w:noHBand="0" w:noVBand="1"/>
      </w:tblPr>
      <w:tblGrid>
        <w:gridCol w:w="1306"/>
        <w:gridCol w:w="4908"/>
        <w:gridCol w:w="718"/>
        <w:gridCol w:w="1558"/>
      </w:tblGrid>
      <w:tr w:rsidR="00EE0979">
        <w:trPr>
          <w:trHeight w:val="330"/>
        </w:trPr>
        <w:tc>
          <w:tcPr>
            <w:tcW w:w="6213"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2923" w:firstLine="0"/>
              <w:jc w:val="left"/>
            </w:pPr>
            <w:r>
              <w:rPr>
                <w:b/>
                <w:sz w:val="20"/>
              </w:rPr>
              <w:t>Proyecto de ga</w:t>
            </w:r>
            <w:r>
              <w:rPr>
                <w:b/>
                <w:sz w:val="20"/>
              </w:rPr>
              <w:t xml:space="preserve">sto P 23.3.36 </w:t>
            </w:r>
          </w:p>
        </w:tc>
        <w:tc>
          <w:tcPr>
            <w:tcW w:w="718" w:type="dxa"/>
            <w:tcBorders>
              <w:top w:val="single" w:sz="4" w:space="0" w:color="000000"/>
              <w:left w:val="nil"/>
              <w:bottom w:val="single" w:sz="4" w:space="0" w:color="000000"/>
              <w:right w:val="nil"/>
            </w:tcBorders>
            <w:shd w:val="clear" w:color="auto" w:fill="D9D9D9"/>
          </w:tcPr>
          <w:p w:rsidR="00EE0979" w:rsidRDefault="00EE0979">
            <w:pPr>
              <w:spacing w:after="160" w:line="259" w:lineRule="auto"/>
              <w:ind w:left="0" w:firstLine="0"/>
              <w:jc w:val="left"/>
            </w:pPr>
          </w:p>
        </w:tc>
        <w:tc>
          <w:tcPr>
            <w:tcW w:w="155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467"/>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4908"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20" w:firstLine="0"/>
              <w:jc w:val="center"/>
            </w:pPr>
            <w:r>
              <w:rPr>
                <w:b/>
                <w:sz w:val="20"/>
              </w:rPr>
              <w:t xml:space="preserve">DENOMINACIÓN </w:t>
            </w:r>
          </w:p>
        </w:tc>
        <w:tc>
          <w:tcPr>
            <w:tcW w:w="718"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0" w:firstLine="0"/>
              <w:jc w:val="center"/>
            </w:pPr>
            <w:r>
              <w:rPr>
                <w:b/>
                <w:sz w:val="20"/>
              </w:rPr>
              <w:t xml:space="preserve">IMPORTE </w:t>
            </w:r>
          </w:p>
        </w:tc>
      </w:tr>
      <w:tr w:rsidR="00EE0979">
        <w:trPr>
          <w:trHeight w:val="294"/>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pPr>
            <w:r>
              <w:rPr>
                <w:sz w:val="20"/>
              </w:rPr>
              <w:t xml:space="preserve">34100.61902 </w:t>
            </w:r>
          </w:p>
        </w:tc>
        <w:tc>
          <w:tcPr>
            <w:tcW w:w="4908" w:type="dxa"/>
            <w:tcBorders>
              <w:top w:val="single" w:sz="4" w:space="0" w:color="000000"/>
              <w:left w:val="single" w:sz="4" w:space="0" w:color="000000"/>
              <w:bottom w:val="single" w:sz="4" w:space="0" w:color="000000"/>
              <w:right w:val="nil"/>
            </w:tcBorders>
          </w:tcPr>
          <w:p w:rsidR="00EE0979" w:rsidRDefault="00B022A0">
            <w:pPr>
              <w:spacing w:after="0" w:line="259" w:lineRule="auto"/>
              <w:ind w:left="71" w:firstLine="0"/>
              <w:jc w:val="left"/>
            </w:pPr>
            <w:r>
              <w:rPr>
                <w:sz w:val="20"/>
              </w:rPr>
              <w:t xml:space="preserve">SKATE PARK CANDELARIA </w:t>
            </w:r>
          </w:p>
        </w:tc>
        <w:tc>
          <w:tcPr>
            <w:tcW w:w="718"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sz w:val="20"/>
              </w:rPr>
              <w:t xml:space="preserve">133.504,85 </w:t>
            </w:r>
          </w:p>
        </w:tc>
      </w:tr>
      <w:tr w:rsidR="00EE0979">
        <w:trPr>
          <w:trHeight w:val="293"/>
        </w:trPr>
        <w:tc>
          <w:tcPr>
            <w:tcW w:w="6213" w:type="dxa"/>
            <w:gridSpan w:val="2"/>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8"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55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41" w:line="259" w:lineRule="auto"/>
        <w:ind w:left="1322" w:firstLine="0"/>
        <w:jc w:val="left"/>
      </w:pPr>
      <w:r>
        <w:rPr>
          <w:b/>
          <w:sz w:val="20"/>
        </w:rPr>
        <w:t xml:space="preserve"> </w:t>
      </w:r>
      <w:r>
        <w:rPr>
          <w:sz w:val="20"/>
        </w:rPr>
        <w:t xml:space="preserve"> </w:t>
      </w:r>
      <w:r>
        <w:rPr>
          <w:sz w:val="20"/>
        </w:rPr>
        <w:tab/>
        <w:t xml:space="preserve"> </w:t>
      </w:r>
    </w:p>
    <w:p w:rsidR="00EE0979" w:rsidRDefault="00B022A0">
      <w:pPr>
        <w:tabs>
          <w:tab w:val="center" w:pos="4204"/>
          <w:tab w:val="center" w:pos="7796"/>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8489" w:type="dxa"/>
        <w:tblInd w:w="85" w:type="dxa"/>
        <w:tblCellMar>
          <w:top w:w="6" w:type="dxa"/>
          <w:left w:w="68" w:type="dxa"/>
          <w:bottom w:w="6" w:type="dxa"/>
          <w:right w:w="7" w:type="dxa"/>
        </w:tblCellMar>
        <w:tblLook w:val="04A0" w:firstRow="1" w:lastRow="0" w:firstColumn="1" w:lastColumn="0" w:noHBand="0" w:noVBand="1"/>
      </w:tblPr>
      <w:tblGrid>
        <w:gridCol w:w="1306"/>
        <w:gridCol w:w="5625"/>
        <w:gridCol w:w="1558"/>
      </w:tblGrid>
      <w:tr w:rsidR="00EE0979">
        <w:trPr>
          <w:trHeight w:val="468"/>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firstLine="0"/>
              <w:jc w:val="center"/>
            </w:pPr>
            <w:r>
              <w:rPr>
                <w:b/>
                <w:sz w:val="20"/>
              </w:rPr>
              <w:t xml:space="preserve">APLICACIÓN </w:t>
            </w:r>
          </w:p>
        </w:tc>
        <w:tc>
          <w:tcPr>
            <w:tcW w:w="562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6" w:firstLine="0"/>
              <w:jc w:val="center"/>
            </w:pPr>
            <w:r>
              <w:rPr>
                <w:b/>
                <w:sz w:val="20"/>
              </w:rPr>
              <w:t xml:space="preserve">DENOMINACIÓN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59" w:firstLine="0"/>
              <w:jc w:val="center"/>
            </w:pPr>
            <w:r>
              <w:rPr>
                <w:b/>
                <w:sz w:val="20"/>
              </w:rPr>
              <w:t xml:space="preserve">IMPORTE </w:t>
            </w:r>
          </w:p>
        </w:tc>
      </w:tr>
      <w:tr w:rsidR="00EE0979">
        <w:trPr>
          <w:trHeight w:val="469"/>
        </w:trPr>
        <w:tc>
          <w:tcPr>
            <w:tcW w:w="130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87000 </w:t>
            </w:r>
          </w:p>
        </w:tc>
        <w:tc>
          <w:tcPr>
            <w:tcW w:w="562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2" w:firstLine="0"/>
              <w:jc w:val="left"/>
            </w:pPr>
            <w:r>
              <w:rPr>
                <w:sz w:val="20"/>
              </w:rPr>
              <w:t>REMANENTE DE TESORERIA PARA GASTOS GENERA-</w:t>
            </w:r>
          </w:p>
          <w:p w:rsidR="00EE0979" w:rsidRDefault="00B022A0">
            <w:pPr>
              <w:spacing w:after="0" w:line="259" w:lineRule="auto"/>
              <w:ind w:left="2" w:firstLine="0"/>
              <w:jc w:val="left"/>
            </w:pPr>
            <w:r>
              <w:rPr>
                <w:sz w:val="20"/>
              </w:rPr>
              <w:t xml:space="preserve">LES  </w:t>
            </w:r>
          </w:p>
        </w:tc>
        <w:tc>
          <w:tcPr>
            <w:tcW w:w="1558"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63" w:firstLine="0"/>
              <w:jc w:val="right"/>
            </w:pPr>
            <w:r>
              <w:rPr>
                <w:sz w:val="20"/>
              </w:rPr>
              <w:t xml:space="preserve">133.504,85 </w:t>
            </w:r>
          </w:p>
        </w:tc>
      </w:tr>
      <w:tr w:rsidR="00EE0979">
        <w:trPr>
          <w:trHeight w:val="293"/>
        </w:trPr>
        <w:tc>
          <w:tcPr>
            <w:tcW w:w="130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b/>
                <w:sz w:val="20"/>
              </w:rPr>
              <w:t xml:space="preserve">  </w:t>
            </w:r>
          </w:p>
        </w:tc>
        <w:tc>
          <w:tcPr>
            <w:tcW w:w="5625"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6" w:firstLine="0"/>
              <w:jc w:val="right"/>
            </w:pPr>
            <w:r>
              <w:rPr>
                <w:b/>
                <w:sz w:val="20"/>
              </w:rPr>
              <w:t xml:space="preserve">TOTAL </w:t>
            </w:r>
          </w:p>
        </w:tc>
        <w:tc>
          <w:tcPr>
            <w:tcW w:w="1558"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86" w:line="259" w:lineRule="auto"/>
        <w:ind w:left="24" w:hanging="10"/>
        <w:jc w:val="left"/>
      </w:pPr>
      <w:r>
        <w:rPr>
          <w:sz w:val="20"/>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 xml:space="preserve">Este Concejal Delegado de Hacienda, PROPONE al Pleno la adopción del siguiente ACUERDO: </w:t>
      </w:r>
    </w:p>
    <w:p w:rsidR="00EE0979" w:rsidRDefault="00B022A0">
      <w:pPr>
        <w:spacing w:after="0" w:line="259" w:lineRule="auto"/>
        <w:ind w:left="14" w:firstLine="0"/>
        <w:jc w:val="left"/>
      </w:pPr>
      <w:r>
        <w:rPr>
          <w:b/>
        </w:rPr>
        <w:t xml:space="preserve"> </w:t>
      </w:r>
    </w:p>
    <w:p w:rsidR="00EE0979" w:rsidRDefault="00B022A0">
      <w:pPr>
        <w:ind w:right="100"/>
      </w:pPr>
      <w:r>
        <w:rPr>
          <w:b/>
        </w:rPr>
        <w:t xml:space="preserve">PRIMERO. - </w:t>
      </w:r>
      <w:r>
        <w:t xml:space="preserve">Aprobar expediente de modificación presupuestaria </w:t>
      </w:r>
      <w:r>
        <w:rPr>
          <w:b/>
        </w:rPr>
        <w:t>nº 4740/2023</w:t>
      </w:r>
      <w:r>
        <w:t xml:space="preserve"> de modificación presupuestaria por </w:t>
      </w:r>
      <w:r>
        <w:rPr>
          <w:b/>
        </w:rPr>
        <w:t>Suplementos de Créditos</w:t>
      </w:r>
      <w:r>
        <w:t xml:space="preserve"> financiado con Remanente de Tesorería para gastos generales, por una cantidad total </w:t>
      </w:r>
      <w:r>
        <w:rPr>
          <w:b/>
        </w:rPr>
        <w:t>133.504,85 euros</w:t>
      </w:r>
      <w:r>
        <w:t>, de acuerdo al siguiente detalle:</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35" w:line="228" w:lineRule="auto"/>
        <w:ind w:left="14" w:right="9614" w:firstLine="0"/>
        <w:jc w:val="left"/>
      </w:pPr>
      <w:r>
        <w:t xml:space="preserve"> </w:t>
      </w:r>
      <w:r>
        <w:rPr>
          <w:rFonts w:ascii="Times New Roman" w:eastAsia="Times New Roman" w:hAnsi="Times New Roman" w:cs="Times New Roman"/>
          <w:sz w:val="24"/>
        </w:rPr>
        <w:t xml:space="preserve"> </w:t>
      </w:r>
    </w:p>
    <w:p w:rsidR="00EE0979" w:rsidRDefault="00B022A0">
      <w:pPr>
        <w:tabs>
          <w:tab w:val="center" w:pos="4055"/>
          <w:tab w:val="center" w:pos="751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sz w:val="20"/>
        </w:rPr>
        <w:t xml:space="preserve">Estado de gastos </w:t>
      </w:r>
      <w:r>
        <w:rPr>
          <w:sz w:val="20"/>
        </w:rPr>
        <w:tab/>
        <w:t xml:space="preserve"> </w:t>
      </w:r>
    </w:p>
    <w:p w:rsidR="00EE0979" w:rsidRDefault="00B022A0">
      <w:pPr>
        <w:spacing w:after="86" w:line="259" w:lineRule="auto"/>
        <w:ind w:left="15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sz w:val="20"/>
        </w:rPr>
        <w:t xml:space="preserve"> </w:t>
      </w:r>
      <w:r>
        <w:rPr>
          <w:sz w:val="20"/>
        </w:rPr>
        <w:tab/>
        <w:t xml:space="preserve"> </w:t>
      </w:r>
    </w:p>
    <w:p w:rsidR="00EE0979" w:rsidRDefault="00B022A0">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2897" w:firstLine="0"/>
        <w:jc w:val="left"/>
      </w:pPr>
      <w:r>
        <w:rPr>
          <w:b/>
          <w:sz w:val="20"/>
        </w:rPr>
        <w:t xml:space="preserve">Proyecto de gasto P 23.3.36 </w:t>
      </w:r>
    </w:p>
    <w:tbl>
      <w:tblPr>
        <w:tblStyle w:val="TableGrid"/>
        <w:tblW w:w="8267" w:type="dxa"/>
        <w:tblInd w:w="85" w:type="dxa"/>
        <w:tblCellMar>
          <w:top w:w="2" w:type="dxa"/>
          <w:left w:w="0" w:type="dxa"/>
          <w:bottom w:w="9" w:type="dxa"/>
          <w:right w:w="8" w:type="dxa"/>
        </w:tblCellMar>
        <w:tblLook w:val="04A0" w:firstRow="1" w:lastRow="0" w:firstColumn="1" w:lastColumn="0" w:noHBand="0" w:noVBand="1"/>
      </w:tblPr>
      <w:tblGrid>
        <w:gridCol w:w="1350"/>
        <w:gridCol w:w="4525"/>
        <w:gridCol w:w="716"/>
        <w:gridCol w:w="1676"/>
      </w:tblGrid>
      <w:tr w:rsidR="00EE0979">
        <w:trPr>
          <w:trHeight w:val="464"/>
        </w:trPr>
        <w:tc>
          <w:tcPr>
            <w:tcW w:w="1350" w:type="dxa"/>
            <w:tcBorders>
              <w:top w:val="nil"/>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18" w:right="17" w:firstLine="0"/>
              <w:jc w:val="center"/>
            </w:pPr>
            <w:r>
              <w:rPr>
                <w:b/>
                <w:sz w:val="20"/>
              </w:rPr>
              <w:t xml:space="preserve">APLICACIÓN </w:t>
            </w:r>
          </w:p>
        </w:tc>
        <w:tc>
          <w:tcPr>
            <w:tcW w:w="4525" w:type="dxa"/>
            <w:tcBorders>
              <w:top w:val="nil"/>
              <w:left w:val="single" w:sz="4" w:space="0" w:color="000000"/>
              <w:bottom w:val="single" w:sz="4" w:space="0" w:color="000000"/>
              <w:right w:val="nil"/>
            </w:tcBorders>
            <w:shd w:val="clear" w:color="auto" w:fill="D9D9D9"/>
            <w:vAlign w:val="bottom"/>
          </w:tcPr>
          <w:p w:rsidR="00EE0979" w:rsidRDefault="00B022A0">
            <w:pPr>
              <w:spacing w:after="0" w:line="259" w:lineRule="auto"/>
              <w:ind w:left="723" w:firstLine="0"/>
              <w:jc w:val="center"/>
            </w:pPr>
            <w:r>
              <w:rPr>
                <w:b/>
                <w:sz w:val="20"/>
              </w:rPr>
              <w:t xml:space="preserve">DENOMINACIÓN </w:t>
            </w:r>
          </w:p>
        </w:tc>
        <w:tc>
          <w:tcPr>
            <w:tcW w:w="716" w:type="dxa"/>
            <w:tcBorders>
              <w:top w:val="nil"/>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676" w:type="dxa"/>
            <w:tcBorders>
              <w:top w:val="nil"/>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11" w:firstLine="0"/>
              <w:jc w:val="center"/>
            </w:pPr>
            <w:r>
              <w:rPr>
                <w:b/>
                <w:sz w:val="20"/>
              </w:rPr>
              <w:t xml:space="preserve">IMPORTE </w:t>
            </w:r>
          </w:p>
        </w:tc>
      </w:tr>
      <w:tr w:rsidR="00EE0979">
        <w:trPr>
          <w:trHeight w:val="294"/>
        </w:trPr>
        <w:tc>
          <w:tcPr>
            <w:tcW w:w="135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68" w:firstLine="0"/>
            </w:pPr>
            <w:r>
              <w:rPr>
                <w:sz w:val="20"/>
              </w:rPr>
              <w:t xml:space="preserve">34100.61902 </w:t>
            </w:r>
          </w:p>
        </w:tc>
        <w:tc>
          <w:tcPr>
            <w:tcW w:w="4525" w:type="dxa"/>
            <w:tcBorders>
              <w:top w:val="single" w:sz="4" w:space="0" w:color="000000"/>
              <w:left w:val="single" w:sz="4" w:space="0" w:color="000000"/>
              <w:bottom w:val="single" w:sz="4" w:space="0" w:color="000000"/>
              <w:right w:val="nil"/>
            </w:tcBorders>
          </w:tcPr>
          <w:p w:rsidR="00EE0979" w:rsidRDefault="00B022A0">
            <w:pPr>
              <w:spacing w:after="0" w:line="259" w:lineRule="auto"/>
              <w:ind w:left="72" w:firstLine="0"/>
              <w:jc w:val="left"/>
            </w:pPr>
            <w:r>
              <w:rPr>
                <w:sz w:val="20"/>
              </w:rPr>
              <w:t xml:space="preserve">SKATE PARK CANDELARIA </w:t>
            </w:r>
          </w:p>
        </w:tc>
        <w:tc>
          <w:tcPr>
            <w:tcW w:w="716"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sz w:val="20"/>
              </w:rPr>
              <w:t xml:space="preserve">133.504,85 </w:t>
            </w:r>
          </w:p>
        </w:tc>
      </w:tr>
      <w:tr w:rsidR="00EE0979">
        <w:trPr>
          <w:trHeight w:val="290"/>
        </w:trPr>
        <w:tc>
          <w:tcPr>
            <w:tcW w:w="5875" w:type="dxa"/>
            <w:gridSpan w:val="2"/>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16"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44" w:line="259" w:lineRule="auto"/>
        <w:ind w:left="1366" w:firstLine="0"/>
        <w:jc w:val="left"/>
      </w:pPr>
      <w:r>
        <w:rPr>
          <w:b/>
          <w:sz w:val="20"/>
        </w:rPr>
        <w:t xml:space="preserve"> </w:t>
      </w:r>
      <w:r>
        <w:rPr>
          <w:sz w:val="20"/>
        </w:rPr>
        <w:t xml:space="preserve"> </w:t>
      </w:r>
      <w:r>
        <w:rPr>
          <w:sz w:val="20"/>
        </w:rPr>
        <w:tab/>
        <w:t xml:space="preserve"> </w:t>
      </w:r>
    </w:p>
    <w:p w:rsidR="00EE0979" w:rsidRDefault="00B022A0">
      <w:pPr>
        <w:tabs>
          <w:tab w:val="center" w:pos="4057"/>
          <w:tab w:val="center" w:pos="7515"/>
        </w:tabs>
        <w:spacing w:after="0" w:line="259" w:lineRule="auto"/>
        <w:ind w:left="0" w:firstLine="0"/>
        <w:jc w:val="left"/>
      </w:pPr>
      <w:r>
        <w:rPr>
          <w:sz w:val="20"/>
        </w:rPr>
        <w:t xml:space="preserve"> </w:t>
      </w:r>
      <w:r>
        <w:rPr>
          <w:sz w:val="20"/>
        </w:rPr>
        <w:tab/>
        <w:t xml:space="preserve">Estado de Ingresos  </w:t>
      </w:r>
      <w:r>
        <w:rPr>
          <w:sz w:val="20"/>
        </w:rPr>
        <w:tab/>
        <w:t xml:space="preserve"> </w:t>
      </w:r>
    </w:p>
    <w:p w:rsidR="00EE0979" w:rsidRDefault="00B022A0">
      <w:pPr>
        <w:spacing w:after="0" w:line="259" w:lineRule="auto"/>
        <w:ind w:left="154" w:firstLine="0"/>
        <w:jc w:val="left"/>
      </w:pPr>
      <w:r>
        <w:rPr>
          <w:sz w:val="20"/>
        </w:rPr>
        <w:t xml:space="preserve"> </w:t>
      </w:r>
      <w:r>
        <w:rPr>
          <w:sz w:val="20"/>
        </w:rPr>
        <w:tab/>
        <w:t xml:space="preserve"> </w:t>
      </w:r>
      <w:r>
        <w:rPr>
          <w:sz w:val="20"/>
        </w:rPr>
        <w:tab/>
        <w:t xml:space="preserve"> </w:t>
      </w:r>
    </w:p>
    <w:tbl>
      <w:tblPr>
        <w:tblStyle w:val="TableGrid"/>
        <w:tblW w:w="8267" w:type="dxa"/>
        <w:tblInd w:w="85" w:type="dxa"/>
        <w:tblCellMar>
          <w:top w:w="6" w:type="dxa"/>
          <w:left w:w="68" w:type="dxa"/>
          <w:bottom w:w="4" w:type="dxa"/>
          <w:right w:w="8" w:type="dxa"/>
        </w:tblCellMar>
        <w:tblLook w:val="04A0" w:firstRow="1" w:lastRow="0" w:firstColumn="1" w:lastColumn="0" w:noHBand="0" w:noVBand="1"/>
      </w:tblPr>
      <w:tblGrid>
        <w:gridCol w:w="1350"/>
        <w:gridCol w:w="5241"/>
        <w:gridCol w:w="1676"/>
      </w:tblGrid>
      <w:tr w:rsidR="00EE0979">
        <w:trPr>
          <w:trHeight w:val="466"/>
        </w:trPr>
        <w:tc>
          <w:tcPr>
            <w:tcW w:w="1350"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right="17" w:firstLine="0"/>
              <w:jc w:val="center"/>
            </w:pPr>
            <w:r>
              <w:rPr>
                <w:b/>
                <w:sz w:val="20"/>
              </w:rPr>
              <w:t xml:space="preserve">APLICACIÓN </w:t>
            </w:r>
          </w:p>
        </w:tc>
        <w:tc>
          <w:tcPr>
            <w:tcW w:w="524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2" w:firstLine="0"/>
              <w:jc w:val="center"/>
            </w:pPr>
            <w:r>
              <w:rPr>
                <w:b/>
                <w:sz w:val="20"/>
              </w:rPr>
              <w:t xml:space="preserve">DENOMINACIÓN </w:t>
            </w:r>
          </w:p>
        </w:tc>
        <w:tc>
          <w:tcPr>
            <w:tcW w:w="167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58" w:firstLine="0"/>
              <w:jc w:val="center"/>
            </w:pPr>
            <w:r>
              <w:rPr>
                <w:b/>
                <w:sz w:val="20"/>
              </w:rPr>
              <w:t xml:space="preserve">IMPORTE </w:t>
            </w:r>
          </w:p>
        </w:tc>
      </w:tr>
      <w:tr w:rsidR="00EE0979">
        <w:trPr>
          <w:trHeight w:val="472"/>
        </w:trPr>
        <w:tc>
          <w:tcPr>
            <w:tcW w:w="1350"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sz w:val="20"/>
              </w:rPr>
              <w:t xml:space="preserve">87000 </w:t>
            </w:r>
          </w:p>
        </w:tc>
        <w:tc>
          <w:tcPr>
            <w:tcW w:w="5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 w:firstLine="0"/>
              <w:jc w:val="left"/>
            </w:pPr>
            <w:r>
              <w:rPr>
                <w:sz w:val="20"/>
              </w:rPr>
              <w:t xml:space="preserve">REMANENTE DE TESORERIA PARA GASTOS GENERALES  </w:t>
            </w:r>
          </w:p>
        </w:tc>
        <w:tc>
          <w:tcPr>
            <w:tcW w:w="167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63" w:firstLine="0"/>
              <w:jc w:val="right"/>
            </w:pPr>
            <w:r>
              <w:rPr>
                <w:sz w:val="20"/>
              </w:rPr>
              <w:t xml:space="preserve">133.504,85 </w:t>
            </w:r>
          </w:p>
        </w:tc>
      </w:tr>
      <w:tr w:rsidR="00EE0979">
        <w:trPr>
          <w:trHeight w:val="293"/>
        </w:trPr>
        <w:tc>
          <w:tcPr>
            <w:tcW w:w="135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b/>
                <w:sz w:val="18"/>
              </w:rPr>
              <w:t xml:space="preserve">  </w:t>
            </w:r>
          </w:p>
        </w:tc>
        <w:tc>
          <w:tcPr>
            <w:tcW w:w="5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 xml:space="preserve">TOTAL </w:t>
            </w: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36" w:line="259" w:lineRule="auto"/>
        <w:ind w:left="14" w:firstLine="0"/>
        <w:jc w:val="left"/>
      </w:pPr>
      <w:r>
        <w:rPr>
          <w:rFonts w:ascii="Times New Roman" w:eastAsia="Times New Roman" w:hAnsi="Times New Roman" w:cs="Times New Roman"/>
          <w:sz w:val="24"/>
        </w:rPr>
        <w:t xml:space="preserve"> </w:t>
      </w:r>
    </w:p>
    <w:p w:rsidR="00EE0979" w:rsidRDefault="00B022A0">
      <w:pPr>
        <w:spacing w:after="21"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r>
        <w:tab/>
        <w:t xml:space="preserve"> </w:t>
      </w:r>
    </w:p>
    <w:p w:rsidR="00EE0979" w:rsidRDefault="00B022A0">
      <w:pPr>
        <w:spacing w:after="4"/>
        <w:ind w:left="9" w:right="42" w:hanging="10"/>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El presente asunto al no estar dictaminado por la Comisión Informativa de Hacienda el pleno ratificó la urgencia y su inclusión en el orden del día por la unanimidad de los 18 concejales presentes.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VOTACIÓN </w:t>
      </w:r>
      <w:r>
        <w:rPr>
          <w:b/>
        </w:rPr>
        <w:t xml:space="preserve">EN EL PLENO DE 27 DE ABRIL DE 2023 </w:t>
      </w:r>
    </w:p>
    <w:p w:rsidR="00EE0979" w:rsidRDefault="00B022A0">
      <w:pPr>
        <w:spacing w:after="0" w:line="259" w:lineRule="auto"/>
        <w:ind w:left="1433" w:firstLine="0"/>
        <w:jc w:val="left"/>
      </w:pPr>
      <w:r>
        <w:rPr>
          <w:b/>
        </w:rPr>
        <w:t xml:space="preserve"> </w:t>
      </w:r>
    </w:p>
    <w:p w:rsidR="00EE0979" w:rsidRDefault="00B022A0">
      <w:pPr>
        <w:ind w:right="100"/>
      </w:pPr>
      <w:r>
        <w:t xml:space="preserve">Votos a favor: La unanimidad de los 18 concejales presentes. </w:t>
      </w:r>
    </w:p>
    <w:p w:rsidR="00EE0979" w:rsidRDefault="00B022A0">
      <w:pPr>
        <w:ind w:right="100"/>
      </w:pPr>
      <w:r>
        <w:t>11 concejales del Grupo Socialista: Doña María Concepción Brito Núñez, Doña Don Jorge Baute Delgado, Doña Olivia Concepción Pérez Díaz, Don José Francisco P</w:t>
      </w:r>
      <w:r>
        <w:t xml:space="preserve">into Ramos, Doña Hilaria Cecilia Otazo González, Don Airam Pérez Chinea, 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2"/>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1 de la concejal del Grupo Mi</w:t>
      </w:r>
      <w:r>
        <w:t xml:space="preserve">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PRIMERO. - Aprobar expediente de modificación presupuestaria nº 4740/2023</w:t>
      </w:r>
      <w:r>
        <w:rPr>
          <w:b/>
        </w:rPr>
        <w:t xml:space="preserve"> de modificación presupuestaria por Suplementos de Créditos financiado con Remanente de Tesorería para gastos generales, por una cantidad total 133.504,85 euros, de acuerdo al siguiente detalle:</w:t>
      </w:r>
      <w:r>
        <w:rPr>
          <w:rFonts w:ascii="Times New Roman" w:eastAsia="Times New Roman" w:hAnsi="Times New Roman" w:cs="Times New Roman"/>
          <w:sz w:val="24"/>
        </w:rPr>
        <w:t xml:space="preserve"> </w:t>
      </w:r>
    </w:p>
    <w:p w:rsidR="00EE0979" w:rsidRDefault="00B022A0">
      <w:pPr>
        <w:spacing w:after="15" w:line="259" w:lineRule="auto"/>
        <w:ind w:left="14" w:firstLine="0"/>
        <w:jc w:val="left"/>
      </w:pPr>
      <w:r>
        <w:rPr>
          <w:b/>
        </w:rPr>
        <w:t xml:space="preserve"> </w:t>
      </w:r>
    </w:p>
    <w:p w:rsidR="00EE0979" w:rsidRDefault="00B022A0">
      <w:pPr>
        <w:tabs>
          <w:tab w:val="center" w:pos="4055"/>
          <w:tab w:val="center" w:pos="7515"/>
        </w:tabs>
        <w:spacing w:after="0" w:line="259" w:lineRule="auto"/>
        <w:ind w:left="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b/>
          <w:sz w:val="20"/>
        </w:rPr>
        <w:t xml:space="preserve">Estado de gastos </w:t>
      </w:r>
      <w:r>
        <w:rPr>
          <w:b/>
          <w:sz w:val="20"/>
        </w:rPr>
        <w:tab/>
        <w:t xml:space="preserve"> </w:t>
      </w:r>
    </w:p>
    <w:p w:rsidR="00EE0979" w:rsidRDefault="00B022A0">
      <w:pPr>
        <w:spacing w:after="0" w:line="259" w:lineRule="auto"/>
        <w:ind w:left="15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b/>
          <w:sz w:val="20"/>
        </w:rPr>
        <w:t xml:space="preserve"> </w:t>
      </w:r>
      <w:r>
        <w:rPr>
          <w:b/>
          <w:sz w:val="20"/>
        </w:rPr>
        <w:tab/>
        <w:t xml:space="preserve"> </w:t>
      </w:r>
    </w:p>
    <w:tbl>
      <w:tblPr>
        <w:tblStyle w:val="TableGrid"/>
        <w:tblW w:w="8267" w:type="dxa"/>
        <w:tblInd w:w="85" w:type="dxa"/>
        <w:tblCellMar>
          <w:top w:w="7" w:type="dxa"/>
          <w:left w:w="14" w:type="dxa"/>
          <w:bottom w:w="9" w:type="dxa"/>
          <w:right w:w="8" w:type="dxa"/>
        </w:tblCellMar>
        <w:tblLook w:val="04A0" w:firstRow="1" w:lastRow="0" w:firstColumn="1" w:lastColumn="0" w:noHBand="0" w:noVBand="1"/>
      </w:tblPr>
      <w:tblGrid>
        <w:gridCol w:w="1350"/>
        <w:gridCol w:w="4511"/>
        <w:gridCol w:w="731"/>
        <w:gridCol w:w="1676"/>
      </w:tblGrid>
      <w:tr w:rsidR="00EE0979">
        <w:trPr>
          <w:trHeight w:val="329"/>
        </w:trPr>
        <w:tc>
          <w:tcPr>
            <w:tcW w:w="5861" w:type="dxa"/>
            <w:gridSpan w:val="2"/>
            <w:tcBorders>
              <w:top w:val="single" w:sz="4" w:space="0" w:color="000000"/>
              <w:left w:val="single" w:sz="4" w:space="0" w:color="000000"/>
              <w:bottom w:val="single" w:sz="4" w:space="0" w:color="000000"/>
              <w:right w:val="nil"/>
            </w:tcBorders>
            <w:shd w:val="clear" w:color="auto" w:fill="D9D9D9"/>
          </w:tcPr>
          <w:p w:rsidR="00EE0979" w:rsidRDefault="00B022A0">
            <w:pPr>
              <w:spacing w:after="0" w:line="259" w:lineRule="auto"/>
              <w:ind w:left="0" w:right="401" w:firstLine="0"/>
              <w:jc w:val="right"/>
            </w:pPr>
            <w:r>
              <w:rPr>
                <w:b/>
                <w:sz w:val="20"/>
              </w:rPr>
              <w:t xml:space="preserve">Proyecto de gasto P 23.3.36 </w:t>
            </w:r>
          </w:p>
        </w:tc>
        <w:tc>
          <w:tcPr>
            <w:tcW w:w="731" w:type="dxa"/>
            <w:tcBorders>
              <w:top w:val="single" w:sz="4" w:space="0" w:color="000000"/>
              <w:left w:val="nil"/>
              <w:bottom w:val="single" w:sz="4" w:space="0" w:color="000000"/>
              <w:right w:val="nil"/>
            </w:tcBorders>
            <w:shd w:val="clear" w:color="auto" w:fill="D9D9D9"/>
          </w:tcPr>
          <w:p w:rsidR="00EE0979" w:rsidRDefault="00EE0979">
            <w:pPr>
              <w:spacing w:after="160" w:line="259" w:lineRule="auto"/>
              <w:ind w:left="0" w:firstLine="0"/>
              <w:jc w:val="left"/>
            </w:pPr>
          </w:p>
        </w:tc>
        <w:tc>
          <w:tcPr>
            <w:tcW w:w="1676"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r>
      <w:tr w:rsidR="00EE0979">
        <w:trPr>
          <w:trHeight w:val="469"/>
        </w:trPr>
        <w:tc>
          <w:tcPr>
            <w:tcW w:w="1350"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4" w:right="17" w:firstLine="0"/>
              <w:jc w:val="center"/>
            </w:pPr>
            <w:r>
              <w:rPr>
                <w:b/>
                <w:sz w:val="20"/>
              </w:rPr>
              <w:t xml:space="preserve">APLICACIÓN </w:t>
            </w:r>
          </w:p>
        </w:tc>
        <w:tc>
          <w:tcPr>
            <w:tcW w:w="4511" w:type="dxa"/>
            <w:tcBorders>
              <w:top w:val="single" w:sz="4" w:space="0" w:color="000000"/>
              <w:left w:val="single" w:sz="4" w:space="0" w:color="000000"/>
              <w:bottom w:val="single" w:sz="4" w:space="0" w:color="000000"/>
              <w:right w:val="nil"/>
            </w:tcBorders>
            <w:shd w:val="clear" w:color="auto" w:fill="D9D9D9"/>
            <w:vAlign w:val="bottom"/>
          </w:tcPr>
          <w:p w:rsidR="00EE0979" w:rsidRDefault="00B022A0">
            <w:pPr>
              <w:spacing w:after="0" w:line="259" w:lineRule="auto"/>
              <w:ind w:left="723" w:firstLine="0"/>
              <w:jc w:val="center"/>
            </w:pPr>
            <w:r>
              <w:rPr>
                <w:b/>
                <w:sz w:val="20"/>
              </w:rPr>
              <w:t xml:space="preserve">DENOMINACIÓN </w:t>
            </w:r>
          </w:p>
        </w:tc>
        <w:tc>
          <w:tcPr>
            <w:tcW w:w="731" w:type="dxa"/>
            <w:tcBorders>
              <w:top w:val="single" w:sz="4" w:space="0" w:color="000000"/>
              <w:left w:val="nil"/>
              <w:bottom w:val="single" w:sz="4" w:space="0" w:color="000000"/>
              <w:right w:val="single" w:sz="4" w:space="0" w:color="000000"/>
            </w:tcBorders>
            <w:shd w:val="clear" w:color="auto" w:fill="D9D9D9"/>
          </w:tcPr>
          <w:p w:rsidR="00EE0979" w:rsidRDefault="00EE0979">
            <w:pPr>
              <w:spacing w:after="160" w:line="259" w:lineRule="auto"/>
              <w:ind w:left="0" w:firstLine="0"/>
              <w:jc w:val="left"/>
            </w:pPr>
          </w:p>
        </w:tc>
        <w:tc>
          <w:tcPr>
            <w:tcW w:w="167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4" w:firstLine="0"/>
              <w:jc w:val="center"/>
            </w:pPr>
            <w:r>
              <w:rPr>
                <w:b/>
                <w:sz w:val="20"/>
              </w:rPr>
              <w:t xml:space="preserve">IMPORTE </w:t>
            </w:r>
          </w:p>
        </w:tc>
      </w:tr>
      <w:tr w:rsidR="00EE0979">
        <w:trPr>
          <w:trHeight w:val="292"/>
        </w:trPr>
        <w:tc>
          <w:tcPr>
            <w:tcW w:w="135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54" w:firstLine="0"/>
            </w:pPr>
            <w:r>
              <w:rPr>
                <w:b/>
                <w:sz w:val="20"/>
              </w:rPr>
              <w:t xml:space="preserve">34100.61902 </w:t>
            </w:r>
          </w:p>
        </w:tc>
        <w:tc>
          <w:tcPr>
            <w:tcW w:w="4511" w:type="dxa"/>
            <w:tcBorders>
              <w:top w:val="single" w:sz="4" w:space="0" w:color="000000"/>
              <w:left w:val="single" w:sz="4" w:space="0" w:color="000000"/>
              <w:bottom w:val="single" w:sz="4" w:space="0" w:color="000000"/>
              <w:right w:val="nil"/>
            </w:tcBorders>
          </w:tcPr>
          <w:p w:rsidR="00EE0979" w:rsidRDefault="00B022A0">
            <w:pPr>
              <w:spacing w:after="0" w:line="259" w:lineRule="auto"/>
              <w:ind w:left="58" w:firstLine="0"/>
              <w:jc w:val="left"/>
            </w:pPr>
            <w:r>
              <w:rPr>
                <w:b/>
                <w:sz w:val="20"/>
              </w:rPr>
              <w:t xml:space="preserve">SKATE PARK CANDELARIA </w:t>
            </w:r>
          </w:p>
        </w:tc>
        <w:tc>
          <w:tcPr>
            <w:tcW w:w="731" w:type="dxa"/>
            <w:tcBorders>
              <w:top w:val="single" w:sz="4" w:space="0" w:color="000000"/>
              <w:left w:val="nil"/>
              <w:bottom w:val="single" w:sz="4" w:space="0" w:color="000000"/>
              <w:right w:val="single" w:sz="4" w:space="0" w:color="000000"/>
            </w:tcBorders>
          </w:tcPr>
          <w:p w:rsidR="00EE0979" w:rsidRDefault="00EE0979">
            <w:pPr>
              <w:spacing w:after="160" w:line="259" w:lineRule="auto"/>
              <w:ind w:left="0" w:firstLine="0"/>
              <w:jc w:val="left"/>
            </w:pP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 xml:space="preserve">133.504,85 </w:t>
            </w:r>
          </w:p>
        </w:tc>
      </w:tr>
      <w:tr w:rsidR="00EE0979">
        <w:trPr>
          <w:trHeight w:val="293"/>
        </w:trPr>
        <w:tc>
          <w:tcPr>
            <w:tcW w:w="5861" w:type="dxa"/>
            <w:gridSpan w:val="2"/>
            <w:tcBorders>
              <w:top w:val="single" w:sz="4" w:space="0" w:color="000000"/>
              <w:left w:val="single" w:sz="4" w:space="0" w:color="000000"/>
              <w:bottom w:val="single" w:sz="4" w:space="0" w:color="000000"/>
              <w:right w:val="nil"/>
            </w:tcBorders>
          </w:tcPr>
          <w:p w:rsidR="00EE0979" w:rsidRDefault="00EE0979">
            <w:pPr>
              <w:spacing w:after="160" w:line="259" w:lineRule="auto"/>
              <w:ind w:left="0" w:firstLine="0"/>
              <w:jc w:val="left"/>
            </w:pPr>
          </w:p>
        </w:tc>
        <w:tc>
          <w:tcPr>
            <w:tcW w:w="731" w:type="dxa"/>
            <w:tcBorders>
              <w:top w:val="single" w:sz="4" w:space="0" w:color="000000"/>
              <w:left w:val="nil"/>
              <w:bottom w:val="single" w:sz="4" w:space="0" w:color="000000"/>
              <w:right w:val="single" w:sz="4" w:space="0" w:color="000000"/>
            </w:tcBorders>
          </w:tcPr>
          <w:p w:rsidR="00EE0979" w:rsidRDefault="00B022A0">
            <w:pPr>
              <w:spacing w:after="0" w:line="259" w:lineRule="auto"/>
              <w:ind w:left="0" w:firstLine="0"/>
            </w:pPr>
            <w:r>
              <w:rPr>
                <w:b/>
                <w:sz w:val="20"/>
              </w:rPr>
              <w:t xml:space="preserve">TOTAL </w:t>
            </w: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42" w:line="259" w:lineRule="auto"/>
        <w:ind w:left="1366" w:firstLine="0"/>
        <w:jc w:val="left"/>
      </w:pPr>
      <w:r>
        <w:rPr>
          <w:b/>
          <w:sz w:val="20"/>
        </w:rPr>
        <w:t xml:space="preserve">  </w:t>
      </w:r>
      <w:r>
        <w:rPr>
          <w:b/>
          <w:sz w:val="20"/>
        </w:rPr>
        <w:tab/>
        <w:t xml:space="preserve"> </w:t>
      </w:r>
    </w:p>
    <w:p w:rsidR="00EE0979" w:rsidRDefault="00B022A0">
      <w:pPr>
        <w:tabs>
          <w:tab w:val="center" w:pos="4056"/>
          <w:tab w:val="center" w:pos="7515"/>
        </w:tabs>
        <w:spacing w:after="0" w:line="259" w:lineRule="auto"/>
        <w:ind w:left="0" w:firstLine="0"/>
        <w:jc w:val="left"/>
      </w:pPr>
      <w:r>
        <w:rPr>
          <w:b/>
          <w:sz w:val="20"/>
        </w:rPr>
        <w:t xml:space="preserve"> </w:t>
      </w:r>
      <w:r>
        <w:rPr>
          <w:b/>
          <w:sz w:val="20"/>
        </w:rPr>
        <w:tab/>
        <w:t xml:space="preserve">Estado de Ingresos  </w:t>
      </w:r>
      <w:r>
        <w:rPr>
          <w:b/>
          <w:sz w:val="20"/>
        </w:rPr>
        <w:tab/>
        <w:t xml:space="preserve"> </w:t>
      </w:r>
    </w:p>
    <w:p w:rsidR="00EE0979" w:rsidRDefault="00B022A0">
      <w:pPr>
        <w:spacing w:after="0" w:line="259" w:lineRule="auto"/>
        <w:ind w:left="154" w:firstLine="0"/>
        <w:jc w:val="left"/>
      </w:pPr>
      <w:r>
        <w:rPr>
          <w:b/>
          <w:sz w:val="20"/>
        </w:rPr>
        <w:t xml:space="preserve"> </w:t>
      </w:r>
      <w:r>
        <w:rPr>
          <w:b/>
          <w:sz w:val="20"/>
        </w:rPr>
        <w:tab/>
        <w:t xml:space="preserve"> </w:t>
      </w:r>
      <w:r>
        <w:rPr>
          <w:b/>
          <w:sz w:val="20"/>
        </w:rPr>
        <w:tab/>
        <w:t xml:space="preserve"> </w:t>
      </w:r>
    </w:p>
    <w:tbl>
      <w:tblPr>
        <w:tblStyle w:val="TableGrid"/>
        <w:tblW w:w="8267" w:type="dxa"/>
        <w:tblInd w:w="85" w:type="dxa"/>
        <w:tblCellMar>
          <w:top w:w="7" w:type="dxa"/>
          <w:left w:w="68" w:type="dxa"/>
          <w:bottom w:w="7" w:type="dxa"/>
          <w:right w:w="8" w:type="dxa"/>
        </w:tblCellMar>
        <w:tblLook w:val="04A0" w:firstRow="1" w:lastRow="0" w:firstColumn="1" w:lastColumn="0" w:noHBand="0" w:noVBand="1"/>
      </w:tblPr>
      <w:tblGrid>
        <w:gridCol w:w="1350"/>
        <w:gridCol w:w="5241"/>
        <w:gridCol w:w="1676"/>
      </w:tblGrid>
      <w:tr w:rsidR="00EE0979">
        <w:trPr>
          <w:trHeight w:val="467"/>
        </w:trPr>
        <w:tc>
          <w:tcPr>
            <w:tcW w:w="1350" w:type="dxa"/>
            <w:tcBorders>
              <w:top w:val="single" w:sz="4" w:space="0" w:color="000000"/>
              <w:left w:val="single" w:sz="4" w:space="0" w:color="000000"/>
              <w:bottom w:val="single" w:sz="4" w:space="0" w:color="000000"/>
              <w:right w:val="single" w:sz="4" w:space="0" w:color="000000"/>
            </w:tcBorders>
            <w:shd w:val="clear" w:color="auto" w:fill="D9D9D9"/>
          </w:tcPr>
          <w:p w:rsidR="00EE0979" w:rsidRDefault="00B022A0">
            <w:pPr>
              <w:spacing w:after="0" w:line="259" w:lineRule="auto"/>
              <w:ind w:left="0" w:right="17" w:firstLine="0"/>
              <w:jc w:val="center"/>
            </w:pPr>
            <w:r>
              <w:rPr>
                <w:b/>
                <w:sz w:val="20"/>
              </w:rPr>
              <w:t xml:space="preserve">APLICACIÓN </w:t>
            </w:r>
          </w:p>
        </w:tc>
        <w:tc>
          <w:tcPr>
            <w:tcW w:w="524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62" w:firstLine="0"/>
              <w:jc w:val="center"/>
            </w:pPr>
            <w:r>
              <w:rPr>
                <w:b/>
                <w:sz w:val="20"/>
              </w:rPr>
              <w:t xml:space="preserve">DENOMINACIÓN </w:t>
            </w:r>
          </w:p>
        </w:tc>
        <w:tc>
          <w:tcPr>
            <w:tcW w:w="167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E0979" w:rsidRDefault="00B022A0">
            <w:pPr>
              <w:spacing w:after="0" w:line="259" w:lineRule="auto"/>
              <w:ind w:left="0" w:right="58" w:firstLine="0"/>
              <w:jc w:val="center"/>
            </w:pPr>
            <w:r>
              <w:rPr>
                <w:b/>
                <w:sz w:val="20"/>
              </w:rPr>
              <w:t xml:space="preserve">IMPORTE </w:t>
            </w:r>
          </w:p>
        </w:tc>
      </w:tr>
      <w:tr w:rsidR="00EE0979">
        <w:trPr>
          <w:trHeight w:val="472"/>
        </w:trPr>
        <w:tc>
          <w:tcPr>
            <w:tcW w:w="1350"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firstLine="0"/>
              <w:jc w:val="left"/>
            </w:pPr>
            <w:r>
              <w:rPr>
                <w:b/>
                <w:sz w:val="20"/>
              </w:rPr>
              <w:t xml:space="preserve">87000 </w:t>
            </w:r>
          </w:p>
        </w:tc>
        <w:tc>
          <w:tcPr>
            <w:tcW w:w="5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4" w:firstLine="0"/>
              <w:jc w:val="left"/>
            </w:pPr>
            <w:r>
              <w:rPr>
                <w:b/>
                <w:sz w:val="20"/>
              </w:rPr>
              <w:t xml:space="preserve">REMANENTE DE TESORERIA PARA GASTOS GENERALES  </w:t>
            </w:r>
          </w:p>
        </w:tc>
        <w:tc>
          <w:tcPr>
            <w:tcW w:w="1676" w:type="dxa"/>
            <w:tcBorders>
              <w:top w:val="single" w:sz="4" w:space="0" w:color="000000"/>
              <w:left w:val="single" w:sz="4" w:space="0" w:color="000000"/>
              <w:bottom w:val="single" w:sz="4" w:space="0" w:color="000000"/>
              <w:right w:val="single" w:sz="4" w:space="0" w:color="000000"/>
            </w:tcBorders>
            <w:vAlign w:val="bottom"/>
          </w:tcPr>
          <w:p w:rsidR="00EE0979" w:rsidRDefault="00B022A0">
            <w:pPr>
              <w:spacing w:after="0" w:line="259" w:lineRule="auto"/>
              <w:ind w:left="0" w:right="63" w:firstLine="0"/>
              <w:jc w:val="right"/>
            </w:pPr>
            <w:r>
              <w:rPr>
                <w:b/>
                <w:sz w:val="20"/>
              </w:rPr>
              <w:t xml:space="preserve">133.504,85 </w:t>
            </w:r>
          </w:p>
        </w:tc>
      </w:tr>
      <w:tr w:rsidR="00EE0979">
        <w:trPr>
          <w:trHeight w:val="293"/>
        </w:trPr>
        <w:tc>
          <w:tcPr>
            <w:tcW w:w="1350"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firstLine="0"/>
              <w:jc w:val="left"/>
            </w:pPr>
            <w:r>
              <w:rPr>
                <w:rFonts w:ascii="Times New Roman" w:eastAsia="Times New Roman" w:hAnsi="Times New Roman" w:cs="Times New Roman"/>
                <w:b/>
                <w:sz w:val="18"/>
              </w:rPr>
              <w:t xml:space="preserve">  </w:t>
            </w:r>
          </w:p>
        </w:tc>
        <w:tc>
          <w:tcPr>
            <w:tcW w:w="5241"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 xml:space="preserve">TOTAL </w:t>
            </w:r>
          </w:p>
        </w:tc>
        <w:tc>
          <w:tcPr>
            <w:tcW w:w="1676" w:type="dxa"/>
            <w:tcBorders>
              <w:top w:val="single" w:sz="4" w:space="0" w:color="000000"/>
              <w:left w:val="single" w:sz="4" w:space="0" w:color="000000"/>
              <w:bottom w:val="single" w:sz="4" w:space="0" w:color="000000"/>
              <w:right w:val="single" w:sz="4" w:space="0" w:color="000000"/>
            </w:tcBorders>
          </w:tcPr>
          <w:p w:rsidR="00EE0979" w:rsidRDefault="00B022A0">
            <w:pPr>
              <w:spacing w:after="0" w:line="259" w:lineRule="auto"/>
              <w:ind w:left="0" w:right="63" w:firstLine="0"/>
              <w:jc w:val="right"/>
            </w:pPr>
            <w:r>
              <w:rPr>
                <w:b/>
                <w:sz w:val="20"/>
              </w:rPr>
              <w:t>133.504,85</w:t>
            </w:r>
            <w:r>
              <w:rPr>
                <w:rFonts w:ascii="Times New Roman" w:eastAsia="Times New Roman" w:hAnsi="Times New Roman" w:cs="Times New Roman"/>
                <w:sz w:val="24"/>
              </w:rPr>
              <w:t xml:space="preserve"> </w:t>
            </w:r>
          </w:p>
        </w:tc>
      </w:tr>
    </w:tbl>
    <w:p w:rsidR="00EE0979" w:rsidRDefault="00B022A0">
      <w:pPr>
        <w:spacing w:after="36" w:line="259" w:lineRule="auto"/>
        <w:ind w:left="14" w:firstLine="0"/>
        <w:jc w:val="left"/>
      </w:pPr>
      <w:r>
        <w:rPr>
          <w:rFonts w:ascii="Times New Roman" w:eastAsia="Times New Roman" w:hAnsi="Times New Roman" w:cs="Times New Roman"/>
          <w:b/>
          <w:sz w:val="24"/>
        </w:rPr>
        <w:t xml:space="preserve"> </w:t>
      </w:r>
    </w:p>
    <w:p w:rsidR="00EE0979" w:rsidRDefault="00B022A0">
      <w:pPr>
        <w:spacing w:after="16"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SEGUNDO. -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r>
        <w:rPr>
          <w:b/>
        </w:rPr>
        <w:tab/>
        <w:t xml:space="preserve"> </w:t>
      </w:r>
    </w:p>
    <w:p w:rsidR="00EE0979" w:rsidRDefault="00B022A0">
      <w:pPr>
        <w:spacing w:after="38"/>
        <w:ind w:right="99" w:hanging="10"/>
      </w:pPr>
      <w:r>
        <w:rPr>
          <w:b/>
        </w:rPr>
        <w:t xml:space="preserve">TERCERO. - El expediente se considerará definitivamente aprobado si durante el citado plazo no se hubiesen presentado reclamaciones, en caso contrario el Pleno dispondrá de un mes para resolverlas. El expediente definitivamente aprobado, será insertado en </w:t>
      </w:r>
      <w:r>
        <w:rPr>
          <w:b/>
        </w:rPr>
        <w:t xml:space="preserve">el boletín oficial de la provincia. </w:t>
      </w:r>
    </w:p>
    <w:p w:rsidR="00EE0979" w:rsidRDefault="00B022A0">
      <w:pPr>
        <w:spacing w:after="177" w:line="259" w:lineRule="auto"/>
        <w:ind w:left="14" w:firstLine="0"/>
        <w:jc w:val="left"/>
      </w:pPr>
      <w:r>
        <w:rPr>
          <w:b/>
          <w:color w:val="222222"/>
        </w:rPr>
        <w:t xml:space="preserve"> </w:t>
      </w:r>
    </w:p>
    <w:p w:rsidR="00EE0979" w:rsidRDefault="00B022A0">
      <w:pPr>
        <w:spacing w:after="0" w:line="425" w:lineRule="auto"/>
        <w:ind w:left="14" w:right="9614" w:firstLine="0"/>
        <w:jc w:val="left"/>
      </w:pPr>
      <w:r>
        <w:rPr>
          <w:b/>
          <w:color w:val="222222"/>
        </w:rPr>
        <w:t xml:space="preserve">     </w:t>
      </w:r>
    </w:p>
    <w:p w:rsidR="00EE0979" w:rsidRDefault="00B022A0">
      <w:pPr>
        <w:spacing w:after="151" w:line="259" w:lineRule="auto"/>
        <w:ind w:left="14" w:firstLine="0"/>
        <w:jc w:val="left"/>
      </w:pPr>
      <w:r>
        <w:rPr>
          <w:b/>
          <w:color w:val="222222"/>
        </w:rPr>
        <w:t xml:space="preserve"> </w:t>
      </w:r>
    </w:p>
    <w:p w:rsidR="00EE0979" w:rsidRDefault="00B022A0">
      <w:pPr>
        <w:spacing w:after="98" w:line="259" w:lineRule="auto"/>
        <w:ind w:left="14" w:firstLine="0"/>
        <w:jc w:val="left"/>
      </w:pPr>
      <w:r>
        <w:rPr>
          <w:b/>
          <w:sz w:val="24"/>
        </w:rPr>
        <w:t xml:space="preserve"> </w:t>
      </w:r>
    </w:p>
    <w:p w:rsidR="00EE0979" w:rsidRDefault="00B022A0">
      <w:pPr>
        <w:spacing w:after="0" w:line="259" w:lineRule="auto"/>
        <w:ind w:left="14" w:firstLine="0"/>
        <w:jc w:val="left"/>
      </w:pPr>
      <w:r>
        <w:rPr>
          <w:b/>
          <w:sz w:val="24"/>
        </w:rPr>
        <w:t xml:space="preserve"> </w:t>
      </w:r>
    </w:p>
    <w:p w:rsidR="00EE0979" w:rsidRDefault="00B022A0">
      <w:pPr>
        <w:spacing w:after="98" w:line="259" w:lineRule="auto"/>
        <w:ind w:left="14" w:firstLine="0"/>
        <w:jc w:val="left"/>
      </w:pPr>
      <w:r>
        <w:rPr>
          <w:b/>
          <w:sz w:val="24"/>
        </w:rPr>
        <w:t xml:space="preserve"> </w:t>
      </w:r>
    </w:p>
    <w:p w:rsidR="00EE0979" w:rsidRDefault="00B022A0">
      <w:pPr>
        <w:spacing w:after="107" w:line="259" w:lineRule="auto"/>
        <w:ind w:left="14" w:firstLine="0"/>
        <w:jc w:val="left"/>
      </w:pPr>
      <w:r>
        <w:rPr>
          <w:b/>
          <w:sz w:val="24"/>
        </w:rPr>
        <w:t xml:space="preserve"> </w:t>
      </w:r>
    </w:p>
    <w:p w:rsidR="00EE0979" w:rsidRDefault="00B022A0">
      <w:pPr>
        <w:spacing w:after="10" w:line="250" w:lineRule="auto"/>
        <w:ind w:left="9" w:right="102" w:hanging="10"/>
      </w:pPr>
      <w:r>
        <w:rPr>
          <w:b/>
          <w:sz w:val="24"/>
        </w:rPr>
        <w:t xml:space="preserve">URGENCIAS P2.- Expediente 1178/2021. </w:t>
      </w:r>
      <w:r>
        <w:rPr>
          <w:b/>
        </w:rPr>
        <w:t xml:space="preserve">– PRÓRROGA DEL CONTRATO BASADO PARA </w:t>
      </w:r>
    </w:p>
    <w:p w:rsidR="00EE0979" w:rsidRDefault="00B022A0">
      <w:pPr>
        <w:spacing w:after="133"/>
        <w:ind w:right="99" w:hanging="10"/>
      </w:pPr>
      <w:r>
        <w:rPr>
          <w:b/>
        </w:rPr>
        <w:t>EL SUMINISTRO DE ELECTRICIDAD EN ALTA Y BAJA TENSIÓN DESDE EL DÍA 6 DE MAYO DE 2023 HASTA EL DÍA 6 DE MAYO DE 2024 APLICÁNDOSE LOS PRECIOS REVISADOS CONFORME A LO ESTABLECIDO EN LA CLÁUSULA 16.3 DEL PLIEGO DE CLÁUSULAS ADMINISTRATIVAS.</w:t>
      </w:r>
      <w:r>
        <w:t xml:space="preserve"> </w:t>
      </w:r>
    </w:p>
    <w:p w:rsidR="00EE0979" w:rsidRDefault="00B022A0">
      <w:pPr>
        <w:spacing w:after="79" w:line="259" w:lineRule="auto"/>
        <w:ind w:left="14" w:firstLine="0"/>
        <w:jc w:val="left"/>
      </w:pPr>
      <w:r>
        <w:rPr>
          <w:b/>
          <w:sz w:val="24"/>
        </w:rPr>
        <w:t xml:space="preserve"> </w:t>
      </w:r>
    </w:p>
    <w:p w:rsidR="00EE0979" w:rsidRDefault="00B022A0">
      <w:pPr>
        <w:spacing w:after="131"/>
        <w:ind w:right="99" w:hanging="10"/>
      </w:pPr>
      <w:r>
        <w:rPr>
          <w:b/>
        </w:rPr>
        <w:t>Consta en el expe</w:t>
      </w:r>
      <w:r>
        <w:rPr>
          <w:b/>
        </w:rPr>
        <w:t xml:space="preserve">diente Informe Técnico emitido por Don Javier González Gómez, que desempeña el puesto de trabajo de Arquitecto Técnico adscrito en la Concejalía de Obras Públicas, Servicios Públicos, Transporte y Accesibilidad, de 21 de abril de 2023, del siguiente tenor </w:t>
      </w:r>
      <w:r>
        <w:rPr>
          <w:b/>
        </w:rPr>
        <w:t>literal:</w:t>
      </w:r>
      <w:r>
        <w:t xml:space="preserve"> </w:t>
      </w:r>
    </w:p>
    <w:p w:rsidR="00EE0979" w:rsidRDefault="00B022A0">
      <w:pPr>
        <w:spacing w:after="117" w:line="259" w:lineRule="auto"/>
        <w:ind w:left="14" w:firstLine="0"/>
        <w:jc w:val="left"/>
      </w:pPr>
      <w:r>
        <w:rPr>
          <w:b/>
          <w:sz w:val="24"/>
        </w:rPr>
        <w:t xml:space="preserve"> </w:t>
      </w:r>
    </w:p>
    <w:p w:rsidR="00EE0979" w:rsidRDefault="00B022A0">
      <w:pPr>
        <w:pStyle w:val="Ttulo1"/>
        <w:numPr>
          <w:ilvl w:val="0"/>
          <w:numId w:val="0"/>
        </w:numPr>
        <w:spacing w:after="95"/>
        <w:ind w:left="624" w:right="711"/>
      </w:pPr>
      <w:r>
        <w:t>“INFORME TÉCNICO</w:t>
      </w:r>
      <w:r>
        <w:rPr>
          <w:b w:val="0"/>
        </w:rPr>
        <w:t xml:space="preserve"> </w:t>
      </w:r>
    </w:p>
    <w:p w:rsidR="00EE0979" w:rsidRDefault="00B022A0">
      <w:pPr>
        <w:spacing w:after="114"/>
        <w:ind w:right="99" w:hanging="10"/>
      </w:pPr>
      <w:r>
        <w:rPr>
          <w:b/>
        </w:rPr>
        <w:t>Visto el expediente antedicho, el funcionario Don Javier González Gómez, que desempeña el puesto de trabajo de Arquitecto Técnico adscrito en la Concejalía de Obras Públicas, Servicios Públicos, Transporte y Accesibilidad emit</w:t>
      </w:r>
      <w:r>
        <w:rPr>
          <w:b/>
        </w:rPr>
        <w:t>e el siguiente informe:</w:t>
      </w:r>
      <w:r>
        <w:t xml:space="preserve"> </w:t>
      </w:r>
    </w:p>
    <w:p w:rsidR="00EE0979" w:rsidRDefault="00B022A0">
      <w:pPr>
        <w:spacing w:after="98" w:line="259" w:lineRule="auto"/>
        <w:ind w:left="14" w:firstLine="0"/>
        <w:jc w:val="left"/>
      </w:pPr>
      <w:r>
        <w:t xml:space="preserve">  </w:t>
      </w:r>
    </w:p>
    <w:p w:rsidR="00EE0979" w:rsidRDefault="00B022A0">
      <w:pPr>
        <w:pStyle w:val="Ttulo1"/>
        <w:numPr>
          <w:ilvl w:val="0"/>
          <w:numId w:val="0"/>
        </w:numPr>
        <w:spacing w:after="95"/>
        <w:ind w:left="624" w:right="708"/>
      </w:pPr>
      <w:r>
        <w:t xml:space="preserve">        Antecedentes de hecho</w:t>
      </w:r>
      <w:r>
        <w:rPr>
          <w:b w:val="0"/>
        </w:rPr>
        <w:t xml:space="preserve"> </w:t>
      </w:r>
    </w:p>
    <w:p w:rsidR="00EE0979" w:rsidRDefault="00B022A0">
      <w:pPr>
        <w:spacing w:after="111"/>
        <w:ind w:right="100"/>
      </w:pPr>
      <w:r>
        <w:t>Solicitado emisión de informe, tras la recepción de la relación de precios del contrato revisado por parte de ENDESA, con fecha 12 de abril de 2023 y número de registro 2023-E-RC-</w:t>
      </w:r>
      <w:r>
        <w:t xml:space="preserve">4338, informo de los siguiente. </w:t>
      </w:r>
    </w:p>
    <w:p w:rsidR="00EE0979" w:rsidRDefault="00B022A0">
      <w:pPr>
        <w:spacing w:after="106"/>
        <w:ind w:right="100"/>
      </w:pPr>
      <w:r>
        <w:t xml:space="preserve">Los precios revisados para la prórroga automática y componentes regulados de 2022, son los siguientes: </w:t>
      </w:r>
    </w:p>
    <w:p w:rsidR="00EE0979" w:rsidRDefault="00B022A0">
      <w:pPr>
        <w:spacing w:after="67" w:line="259" w:lineRule="auto"/>
        <w:ind w:left="0" w:right="1094" w:firstLine="0"/>
        <w:jc w:val="right"/>
      </w:pPr>
      <w:r>
        <w:rPr>
          <w:noProof/>
        </w:rPr>
        <w:drawing>
          <wp:inline distT="0" distB="0" distL="0" distR="0">
            <wp:extent cx="5401057" cy="2651760"/>
            <wp:effectExtent l="0" t="0" r="0" b="0"/>
            <wp:docPr id="25306" name="Picture 25306"/>
            <wp:cNvGraphicFramePr/>
            <a:graphic xmlns:a="http://schemas.openxmlformats.org/drawingml/2006/main">
              <a:graphicData uri="http://schemas.openxmlformats.org/drawingml/2006/picture">
                <pic:pic xmlns:pic="http://schemas.openxmlformats.org/drawingml/2006/picture">
                  <pic:nvPicPr>
                    <pic:cNvPr id="25306" name="Picture 25306"/>
                    <pic:cNvPicPr/>
                  </pic:nvPicPr>
                  <pic:blipFill>
                    <a:blip r:embed="rId46"/>
                    <a:stretch>
                      <a:fillRect/>
                    </a:stretch>
                  </pic:blipFill>
                  <pic:spPr>
                    <a:xfrm>
                      <a:off x="0" y="0"/>
                      <a:ext cx="5401057" cy="2651760"/>
                    </a:xfrm>
                    <a:prstGeom prst="rect">
                      <a:avLst/>
                    </a:prstGeom>
                  </pic:spPr>
                </pic:pic>
              </a:graphicData>
            </a:graphic>
          </wp:inline>
        </w:drawing>
      </w:r>
      <w:r>
        <w:t xml:space="preserve"> </w:t>
      </w:r>
    </w:p>
    <w:p w:rsidR="00EE0979" w:rsidRDefault="00B022A0">
      <w:pPr>
        <w:spacing w:after="0" w:line="259" w:lineRule="auto"/>
        <w:ind w:left="14" w:firstLine="0"/>
        <w:jc w:val="left"/>
      </w:pPr>
      <w:r>
        <w:rPr>
          <w:b/>
          <w:sz w:val="24"/>
        </w:rPr>
        <w:t xml:space="preserve"> </w:t>
      </w:r>
    </w:p>
    <w:p w:rsidR="00EE0979" w:rsidRDefault="00B022A0">
      <w:pPr>
        <w:spacing w:after="50" w:line="259" w:lineRule="auto"/>
        <w:ind w:left="0" w:right="1094" w:firstLine="0"/>
        <w:jc w:val="right"/>
      </w:pPr>
      <w:r>
        <w:rPr>
          <w:noProof/>
        </w:rPr>
        <w:drawing>
          <wp:inline distT="0" distB="0" distL="0" distR="0">
            <wp:extent cx="5401057" cy="2651760"/>
            <wp:effectExtent l="0" t="0" r="0" b="0"/>
            <wp:docPr id="25342" name="Picture 25342"/>
            <wp:cNvGraphicFramePr/>
            <a:graphic xmlns:a="http://schemas.openxmlformats.org/drawingml/2006/main">
              <a:graphicData uri="http://schemas.openxmlformats.org/drawingml/2006/picture">
                <pic:pic xmlns:pic="http://schemas.openxmlformats.org/drawingml/2006/picture">
                  <pic:nvPicPr>
                    <pic:cNvPr id="25342" name="Picture 25342"/>
                    <pic:cNvPicPr/>
                  </pic:nvPicPr>
                  <pic:blipFill>
                    <a:blip r:embed="rId46"/>
                    <a:stretch>
                      <a:fillRect/>
                    </a:stretch>
                  </pic:blipFill>
                  <pic:spPr>
                    <a:xfrm>
                      <a:off x="0" y="0"/>
                      <a:ext cx="5401057" cy="2651760"/>
                    </a:xfrm>
                    <a:prstGeom prst="rect">
                      <a:avLst/>
                    </a:prstGeom>
                  </pic:spPr>
                </pic:pic>
              </a:graphicData>
            </a:graphic>
          </wp:inline>
        </w:drawing>
      </w:r>
      <w:r>
        <w:t xml:space="preserve"> </w:t>
      </w:r>
    </w:p>
    <w:p w:rsidR="00EE0979" w:rsidRDefault="00B022A0">
      <w:pPr>
        <w:ind w:right="100"/>
      </w:pPr>
      <w:r>
        <w:t>Las variaciones aplicables por tarifa y tramo horario al precio ofertado inicialmente, según el acumulado en la</w:t>
      </w:r>
      <w:r>
        <w:t xml:space="preserve">s revisiones trimestrales aplicadas al acuerdo marco en las 12, 13, 14 y 15ª. </w:t>
      </w:r>
    </w:p>
    <w:p w:rsidR="00EE0979" w:rsidRDefault="00B022A0">
      <w:pPr>
        <w:spacing w:after="0" w:line="259" w:lineRule="auto"/>
        <w:ind w:left="40" w:firstLine="0"/>
        <w:jc w:val="left"/>
      </w:pPr>
      <w:r>
        <w:rPr>
          <w:rFonts w:ascii="Calibri" w:eastAsia="Calibri" w:hAnsi="Calibri" w:cs="Calibri"/>
          <w:noProof/>
        </w:rPr>
        <mc:AlternateContent>
          <mc:Choice Requires="wpg">
            <w:drawing>
              <wp:inline distT="0" distB="0" distL="0" distR="0">
                <wp:extent cx="5470237" cy="4545056"/>
                <wp:effectExtent l="0" t="0" r="0" b="0"/>
                <wp:docPr id="265798" name="Group 265798"/>
                <wp:cNvGraphicFramePr/>
                <a:graphic xmlns:a="http://schemas.openxmlformats.org/drawingml/2006/main">
                  <a:graphicData uri="http://schemas.microsoft.com/office/word/2010/wordprocessingGroup">
                    <wpg:wgp>
                      <wpg:cNvGrpSpPr/>
                      <wpg:grpSpPr>
                        <a:xfrm>
                          <a:off x="0" y="0"/>
                          <a:ext cx="5470237" cy="4545056"/>
                          <a:chOff x="0" y="0"/>
                          <a:chExt cx="5470237" cy="4545056"/>
                        </a:xfrm>
                      </wpg:grpSpPr>
                      <wps:wsp>
                        <wps:cNvPr id="25339" name="Rectangle 25339"/>
                        <wps:cNvSpPr/>
                        <wps:spPr>
                          <a:xfrm>
                            <a:off x="5431282" y="2063989"/>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340" name="Rectangle 25340"/>
                        <wps:cNvSpPr/>
                        <wps:spPr>
                          <a:xfrm>
                            <a:off x="5412994" y="4388724"/>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344" name="Picture 25344"/>
                          <pic:cNvPicPr/>
                        </pic:nvPicPr>
                        <pic:blipFill>
                          <a:blip r:embed="rId47"/>
                          <a:stretch>
                            <a:fillRect/>
                          </a:stretch>
                        </pic:blipFill>
                        <pic:spPr>
                          <a:xfrm>
                            <a:off x="1524" y="1525"/>
                            <a:ext cx="5401057" cy="2177796"/>
                          </a:xfrm>
                          <a:prstGeom prst="rect">
                            <a:avLst/>
                          </a:prstGeom>
                        </pic:spPr>
                      </pic:pic>
                      <wps:wsp>
                        <wps:cNvPr id="25345" name="Shape 25345"/>
                        <wps:cNvSpPr/>
                        <wps:spPr>
                          <a:xfrm>
                            <a:off x="0" y="0"/>
                            <a:ext cx="5404104" cy="2180845"/>
                          </a:xfrm>
                          <a:custGeom>
                            <a:avLst/>
                            <a:gdLst/>
                            <a:ahLst/>
                            <a:cxnLst/>
                            <a:rect l="0" t="0" r="0" b="0"/>
                            <a:pathLst>
                              <a:path w="5404104" h="2180845">
                                <a:moveTo>
                                  <a:pt x="0" y="2180845"/>
                                </a:moveTo>
                                <a:lnTo>
                                  <a:pt x="5404104" y="2180845"/>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47" name="Picture 25347"/>
                          <pic:cNvPicPr/>
                        </pic:nvPicPr>
                        <pic:blipFill>
                          <a:blip r:embed="rId48"/>
                          <a:stretch>
                            <a:fillRect/>
                          </a:stretch>
                        </pic:blipFill>
                        <pic:spPr>
                          <a:xfrm>
                            <a:off x="1524" y="2286000"/>
                            <a:ext cx="5394960" cy="2209800"/>
                          </a:xfrm>
                          <a:prstGeom prst="rect">
                            <a:avLst/>
                          </a:prstGeom>
                        </pic:spPr>
                      </pic:pic>
                      <wps:wsp>
                        <wps:cNvPr id="25348" name="Shape 25348"/>
                        <wps:cNvSpPr/>
                        <wps:spPr>
                          <a:xfrm>
                            <a:off x="0" y="2284476"/>
                            <a:ext cx="5398008" cy="2212848"/>
                          </a:xfrm>
                          <a:custGeom>
                            <a:avLst/>
                            <a:gdLst/>
                            <a:ahLst/>
                            <a:cxnLst/>
                            <a:rect l="0" t="0" r="0" b="0"/>
                            <a:pathLst>
                              <a:path w="5398008" h="2212848">
                                <a:moveTo>
                                  <a:pt x="0" y="2212848"/>
                                </a:moveTo>
                                <a:lnTo>
                                  <a:pt x="5398008" y="2212848"/>
                                </a:lnTo>
                                <a:lnTo>
                                  <a:pt x="539800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798" style="width:430.727pt;height:357.878pt;mso-position-horizontal-relative:char;mso-position-vertical-relative:line" coordsize="54702,45450">
                <v:rect id="Rectangle 25339" style="position:absolute;width:518;height:2079;left:54312;top:20639;" filled="f" stroked="f">
                  <v:textbox inset="0,0,0,0">
                    <w:txbxContent>
                      <w:p>
                        <w:pPr>
                          <w:spacing w:before="0" w:after="160" w:line="259" w:lineRule="auto"/>
                          <w:ind w:left="0" w:firstLine="0"/>
                          <w:jc w:val="left"/>
                        </w:pPr>
                        <w:r>
                          <w:rPr/>
                          <w:t xml:space="preserve"> </w:t>
                        </w:r>
                      </w:p>
                    </w:txbxContent>
                  </v:textbox>
                </v:rect>
                <v:rect id="Rectangle 25340" style="position:absolute;width:518;height:2079;left:54129;top:43887;" filled="f" stroked="f">
                  <v:textbox inset="0,0,0,0">
                    <w:txbxContent>
                      <w:p>
                        <w:pPr>
                          <w:spacing w:before="0" w:after="160" w:line="259" w:lineRule="auto"/>
                          <w:ind w:left="0" w:firstLine="0"/>
                          <w:jc w:val="left"/>
                        </w:pPr>
                        <w:r>
                          <w:rPr/>
                          <w:t xml:space="preserve"> </w:t>
                        </w:r>
                      </w:p>
                    </w:txbxContent>
                  </v:textbox>
                </v:rect>
                <v:shape id="Picture 25344" style="position:absolute;width:54010;height:21777;left:15;top:15;" filled="f">
                  <v:imagedata r:id="rId49"/>
                </v:shape>
                <v:shape id="Shape 25345" style="position:absolute;width:54041;height:21808;left:0;top:0;" coordsize="5404104,2180845" path="m0,2180845l5404104,2180845l5404104,0l0,0x">
                  <v:stroke weight="0.24pt" endcap="flat" joinstyle="round" on="true" color="#000000"/>
                  <v:fill on="false" color="#000000" opacity="0"/>
                </v:shape>
                <v:shape id="Picture 25347" style="position:absolute;width:53949;height:22098;left:15;top:22860;" filled="f">
                  <v:imagedata r:id="rId50"/>
                </v:shape>
                <v:shape id="Shape 25348" style="position:absolute;width:53980;height:22128;left:0;top:22844;" coordsize="5398008,2212848" path="m0,2212848l5398008,2212848l5398008,0l0,0x">
                  <v:stroke weight="0.24pt" endcap="flat" joinstyle="round" on="true" color="#000000"/>
                  <v:fill on="false" color="#000000" opacity="0"/>
                </v:shape>
              </v:group>
            </w:pict>
          </mc:Fallback>
        </mc:AlternateContent>
      </w:r>
    </w:p>
    <w:p w:rsidR="00EE0979" w:rsidRDefault="00B022A0">
      <w:pPr>
        <w:spacing w:after="128" w:line="259" w:lineRule="auto"/>
        <w:ind w:left="40" w:firstLine="0"/>
        <w:jc w:val="left"/>
      </w:pPr>
      <w:r>
        <w:rPr>
          <w:rFonts w:ascii="Calibri" w:eastAsia="Calibri" w:hAnsi="Calibri" w:cs="Calibri"/>
          <w:noProof/>
        </w:rPr>
        <mc:AlternateContent>
          <mc:Choice Requires="wpg">
            <w:drawing>
              <wp:inline distT="0" distB="0" distL="0" distR="0">
                <wp:extent cx="5470237" cy="4768449"/>
                <wp:effectExtent l="0" t="0" r="0" b="0"/>
                <wp:docPr id="265925" name="Group 265925"/>
                <wp:cNvGraphicFramePr/>
                <a:graphic xmlns:a="http://schemas.openxmlformats.org/drawingml/2006/main">
                  <a:graphicData uri="http://schemas.microsoft.com/office/word/2010/wordprocessingGroup">
                    <wpg:wgp>
                      <wpg:cNvGrpSpPr/>
                      <wpg:grpSpPr>
                        <a:xfrm>
                          <a:off x="0" y="0"/>
                          <a:ext cx="5470237" cy="4768449"/>
                          <a:chOff x="0" y="0"/>
                          <a:chExt cx="5470237" cy="4768449"/>
                        </a:xfrm>
                      </wpg:grpSpPr>
                      <wps:wsp>
                        <wps:cNvPr id="25367" name="Rectangle 25367"/>
                        <wps:cNvSpPr/>
                        <wps:spPr>
                          <a:xfrm>
                            <a:off x="5431282" y="2083546"/>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368" name="Rectangle 25368"/>
                        <wps:cNvSpPr/>
                        <wps:spPr>
                          <a:xfrm>
                            <a:off x="5431282" y="4407900"/>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369" name="Rectangle 25369"/>
                        <wps:cNvSpPr/>
                        <wps:spPr>
                          <a:xfrm>
                            <a:off x="3019679" y="4612116"/>
                            <a:ext cx="51809" cy="207922"/>
                          </a:xfrm>
                          <a:prstGeom prst="rect">
                            <a:avLst/>
                          </a:prstGeom>
                          <a:ln>
                            <a:noFill/>
                          </a:ln>
                        </wps:spPr>
                        <wps:txbx>
                          <w:txbxContent>
                            <w:p w:rsidR="00EE0979" w:rsidRDefault="00B022A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5384" name="Picture 25384"/>
                          <pic:cNvPicPr/>
                        </pic:nvPicPr>
                        <pic:blipFill>
                          <a:blip r:embed="rId51"/>
                          <a:stretch>
                            <a:fillRect/>
                          </a:stretch>
                        </pic:blipFill>
                        <pic:spPr>
                          <a:xfrm>
                            <a:off x="1524" y="1523"/>
                            <a:ext cx="5402581" cy="2194560"/>
                          </a:xfrm>
                          <a:prstGeom prst="rect">
                            <a:avLst/>
                          </a:prstGeom>
                        </pic:spPr>
                      </pic:pic>
                      <wps:wsp>
                        <wps:cNvPr id="25385" name="Shape 25385"/>
                        <wps:cNvSpPr/>
                        <wps:spPr>
                          <a:xfrm>
                            <a:off x="0" y="0"/>
                            <a:ext cx="5405628" cy="2197608"/>
                          </a:xfrm>
                          <a:custGeom>
                            <a:avLst/>
                            <a:gdLst/>
                            <a:ahLst/>
                            <a:cxnLst/>
                            <a:rect l="0" t="0" r="0" b="0"/>
                            <a:pathLst>
                              <a:path w="5405628" h="2197608">
                                <a:moveTo>
                                  <a:pt x="0" y="2197608"/>
                                </a:moveTo>
                                <a:lnTo>
                                  <a:pt x="5405628" y="219760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87" name="Picture 25387"/>
                          <pic:cNvPicPr/>
                        </pic:nvPicPr>
                        <pic:blipFill>
                          <a:blip r:embed="rId52"/>
                          <a:stretch>
                            <a:fillRect/>
                          </a:stretch>
                        </pic:blipFill>
                        <pic:spPr>
                          <a:xfrm>
                            <a:off x="1524" y="2305812"/>
                            <a:ext cx="5401057" cy="2202180"/>
                          </a:xfrm>
                          <a:prstGeom prst="rect">
                            <a:avLst/>
                          </a:prstGeom>
                        </pic:spPr>
                      </pic:pic>
                      <wps:wsp>
                        <wps:cNvPr id="25388" name="Shape 25388"/>
                        <wps:cNvSpPr/>
                        <wps:spPr>
                          <a:xfrm>
                            <a:off x="0" y="2304287"/>
                            <a:ext cx="5404104" cy="2205228"/>
                          </a:xfrm>
                          <a:custGeom>
                            <a:avLst/>
                            <a:gdLst/>
                            <a:ahLst/>
                            <a:cxnLst/>
                            <a:rect l="0" t="0" r="0" b="0"/>
                            <a:pathLst>
                              <a:path w="5404104" h="2205228">
                                <a:moveTo>
                                  <a:pt x="0" y="2205228"/>
                                </a:moveTo>
                                <a:lnTo>
                                  <a:pt x="5404104" y="2205228"/>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925" style="width:430.727pt;height:375.468pt;mso-position-horizontal-relative:char;mso-position-vertical-relative:line" coordsize="54702,47684">
                <v:rect id="Rectangle 25367" style="position:absolute;width:518;height:2079;left:54312;top:20835;" filled="f" stroked="f">
                  <v:textbox inset="0,0,0,0">
                    <w:txbxContent>
                      <w:p>
                        <w:pPr>
                          <w:spacing w:before="0" w:after="160" w:line="259" w:lineRule="auto"/>
                          <w:ind w:left="0" w:firstLine="0"/>
                          <w:jc w:val="left"/>
                        </w:pPr>
                        <w:r>
                          <w:rPr/>
                          <w:t xml:space="preserve"> </w:t>
                        </w:r>
                      </w:p>
                    </w:txbxContent>
                  </v:textbox>
                </v:rect>
                <v:rect id="Rectangle 25368" style="position:absolute;width:518;height:2079;left:54312;top:44079;" filled="f" stroked="f">
                  <v:textbox inset="0,0,0,0">
                    <w:txbxContent>
                      <w:p>
                        <w:pPr>
                          <w:spacing w:before="0" w:after="160" w:line="259" w:lineRule="auto"/>
                          <w:ind w:left="0" w:firstLine="0"/>
                          <w:jc w:val="left"/>
                        </w:pPr>
                        <w:r>
                          <w:rPr/>
                          <w:t xml:space="preserve"> </w:t>
                        </w:r>
                      </w:p>
                    </w:txbxContent>
                  </v:textbox>
                </v:rect>
                <v:rect id="Rectangle 25369" style="position:absolute;width:518;height:2079;left:30196;top:4612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5384" style="position:absolute;width:54025;height:21945;left:15;top:15;" filled="f">
                  <v:imagedata r:id="rId53"/>
                </v:shape>
                <v:shape id="Shape 25385" style="position:absolute;width:54056;height:21976;left:0;top:0;" coordsize="5405628,2197608" path="m0,2197608l5405628,2197608l5405628,0l0,0x">
                  <v:stroke weight="0.24pt" endcap="flat" joinstyle="round" on="true" color="#000000"/>
                  <v:fill on="false" color="#000000" opacity="0"/>
                </v:shape>
                <v:shape id="Picture 25387" style="position:absolute;width:54010;height:22021;left:15;top:23058;" filled="f">
                  <v:imagedata r:id="rId54"/>
                </v:shape>
                <v:shape id="Shape 25388" style="position:absolute;width:54041;height:22052;left:0;top:23042;" coordsize="5404104,2205228" path="m0,2205228l5404104,2205228l5404104,0l0,0x">
                  <v:stroke weight="0.24pt" endcap="flat" joinstyle="round" on="true" color="#000000"/>
                  <v:fill on="false" color="#000000" opacity="0"/>
                </v:shape>
              </v:group>
            </w:pict>
          </mc:Fallback>
        </mc:AlternateContent>
      </w:r>
    </w:p>
    <w:p w:rsidR="00EE0979" w:rsidRDefault="00B022A0">
      <w:pPr>
        <w:pStyle w:val="Ttulo1"/>
        <w:numPr>
          <w:ilvl w:val="0"/>
          <w:numId w:val="0"/>
        </w:numPr>
        <w:spacing w:after="95"/>
        <w:ind w:left="624" w:right="707"/>
      </w:pPr>
      <w:r>
        <w:t xml:space="preserve">Informe técnico </w:t>
      </w:r>
    </w:p>
    <w:p w:rsidR="00EE0979" w:rsidRDefault="00B022A0">
      <w:pPr>
        <w:ind w:right="100"/>
      </w:pPr>
      <w:r>
        <w:t xml:space="preserve">Convirtiéndose esas tarifas de los Coeficiente del Término de Energía de la Tarifa (CET), remitidos en la oferta inicial y revisadas en 2022, en aplicación de la metodología para el cálculo de los peajes de transporte y distribución de electricidad, de la </w:t>
      </w:r>
      <w:r>
        <w:t xml:space="preserve">Orden 3/2020 de la Comisión Nacional de los </w:t>
      </w:r>
    </w:p>
    <w:p w:rsidR="00EE0979" w:rsidRDefault="00B022A0">
      <w:pPr>
        <w:ind w:right="100"/>
      </w:pPr>
      <w:r>
        <w:t xml:space="preserve">Mercados y la Competencia en los Coeficiente del Término de Energía de la Tarifa (CET) siguientes: </w:t>
      </w:r>
    </w:p>
    <w:p w:rsidR="00EE0979" w:rsidRDefault="00B022A0">
      <w:pPr>
        <w:spacing w:after="50" w:line="259" w:lineRule="auto"/>
        <w:ind w:left="0" w:right="1094" w:firstLine="0"/>
        <w:jc w:val="right"/>
      </w:pPr>
      <w:r>
        <w:rPr>
          <w:noProof/>
        </w:rPr>
        <w:drawing>
          <wp:inline distT="0" distB="0" distL="0" distR="0">
            <wp:extent cx="5401057" cy="3032760"/>
            <wp:effectExtent l="0" t="0" r="0" b="0"/>
            <wp:docPr id="25421" name="Picture 25421"/>
            <wp:cNvGraphicFramePr/>
            <a:graphic xmlns:a="http://schemas.openxmlformats.org/drawingml/2006/main">
              <a:graphicData uri="http://schemas.openxmlformats.org/drawingml/2006/picture">
                <pic:pic xmlns:pic="http://schemas.openxmlformats.org/drawingml/2006/picture">
                  <pic:nvPicPr>
                    <pic:cNvPr id="25421" name="Picture 25421"/>
                    <pic:cNvPicPr/>
                  </pic:nvPicPr>
                  <pic:blipFill>
                    <a:blip r:embed="rId55"/>
                    <a:stretch>
                      <a:fillRect/>
                    </a:stretch>
                  </pic:blipFill>
                  <pic:spPr>
                    <a:xfrm>
                      <a:off x="0" y="0"/>
                      <a:ext cx="5401057" cy="3032760"/>
                    </a:xfrm>
                    <a:prstGeom prst="rect">
                      <a:avLst/>
                    </a:prstGeom>
                  </pic:spPr>
                </pic:pic>
              </a:graphicData>
            </a:graphic>
          </wp:inline>
        </w:drawing>
      </w:r>
      <w:r>
        <w:t xml:space="preserve"> </w:t>
      </w:r>
    </w:p>
    <w:p w:rsidR="00EE0979" w:rsidRDefault="00B022A0">
      <w:pPr>
        <w:spacing w:after="98" w:line="259" w:lineRule="auto"/>
        <w:ind w:left="14" w:firstLine="0"/>
        <w:jc w:val="left"/>
      </w:pPr>
      <w:r>
        <w:t xml:space="preserve"> </w:t>
      </w:r>
    </w:p>
    <w:p w:rsidR="00EE0979" w:rsidRDefault="00B022A0">
      <w:pPr>
        <w:spacing w:after="98" w:line="259" w:lineRule="auto"/>
        <w:ind w:left="0" w:right="36" w:firstLine="0"/>
        <w:jc w:val="center"/>
      </w:pPr>
      <w:r>
        <w:rPr>
          <w:b/>
        </w:rPr>
        <w:t xml:space="preserve"> </w:t>
      </w:r>
    </w:p>
    <w:p w:rsidR="00EE0979" w:rsidRDefault="00B022A0">
      <w:pPr>
        <w:pStyle w:val="Ttulo1"/>
        <w:numPr>
          <w:ilvl w:val="0"/>
          <w:numId w:val="0"/>
        </w:numPr>
        <w:spacing w:after="92"/>
        <w:ind w:left="624" w:right="706"/>
      </w:pPr>
      <w:r>
        <w:t xml:space="preserve">Conclusión </w:t>
      </w:r>
    </w:p>
    <w:p w:rsidR="00EE0979" w:rsidRDefault="00B022A0">
      <w:pPr>
        <w:spacing w:after="105"/>
        <w:ind w:right="100"/>
      </w:pPr>
      <w:r>
        <w:rPr>
          <w:b/>
        </w:rPr>
        <w:t xml:space="preserve">Dar traslado para su aprobación </w:t>
      </w:r>
      <w:r>
        <w:t xml:space="preserve">de los precios revisados, emitidos por la empresa adjudicataria ENDESA, conforme a lo establecido en la cláusula 16.3 del PCA. </w:t>
      </w:r>
    </w:p>
    <w:p w:rsidR="00EE0979" w:rsidRDefault="00B022A0">
      <w:pPr>
        <w:spacing w:after="47" w:line="259" w:lineRule="auto"/>
        <w:ind w:left="0" w:right="1094" w:firstLine="0"/>
        <w:jc w:val="right"/>
      </w:pPr>
      <w:r>
        <w:rPr>
          <w:noProof/>
        </w:rPr>
        <w:drawing>
          <wp:inline distT="0" distB="0" distL="0" distR="0">
            <wp:extent cx="5401057" cy="2895600"/>
            <wp:effectExtent l="0" t="0" r="0" b="0"/>
            <wp:docPr id="25423" name="Picture 25423"/>
            <wp:cNvGraphicFramePr/>
            <a:graphic xmlns:a="http://schemas.openxmlformats.org/drawingml/2006/main">
              <a:graphicData uri="http://schemas.openxmlformats.org/drawingml/2006/picture">
                <pic:pic xmlns:pic="http://schemas.openxmlformats.org/drawingml/2006/picture">
                  <pic:nvPicPr>
                    <pic:cNvPr id="25423" name="Picture 25423"/>
                    <pic:cNvPicPr/>
                  </pic:nvPicPr>
                  <pic:blipFill>
                    <a:blip r:embed="rId56"/>
                    <a:stretch>
                      <a:fillRect/>
                    </a:stretch>
                  </pic:blipFill>
                  <pic:spPr>
                    <a:xfrm>
                      <a:off x="0" y="0"/>
                      <a:ext cx="5401057" cy="2895600"/>
                    </a:xfrm>
                    <a:prstGeom prst="rect">
                      <a:avLst/>
                    </a:prstGeom>
                  </pic:spPr>
                </pic:pic>
              </a:graphicData>
            </a:graphic>
          </wp:inline>
        </w:drawing>
      </w:r>
      <w:r>
        <w:t xml:space="preserve"> </w:t>
      </w:r>
    </w:p>
    <w:p w:rsidR="00EE0979" w:rsidRDefault="00B022A0">
      <w:pPr>
        <w:spacing w:after="101" w:line="259" w:lineRule="auto"/>
        <w:ind w:left="14" w:firstLine="0"/>
        <w:jc w:val="left"/>
      </w:pPr>
      <w:r>
        <w:rPr>
          <w:b/>
        </w:rPr>
        <w:t xml:space="preserve"> </w:t>
      </w:r>
    </w:p>
    <w:p w:rsidR="00EE0979" w:rsidRDefault="00B022A0">
      <w:pPr>
        <w:spacing w:after="98"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111"/>
        <w:ind w:right="99" w:hanging="10"/>
      </w:pPr>
      <w:r>
        <w:rPr>
          <w:b/>
        </w:rPr>
        <w:t>Consta en el expediente Informe de Intervención emitido por Don Nicolás Rojo Garnica, que desempeña el puesto de trabaj</w:t>
      </w:r>
      <w:r>
        <w:rPr>
          <w:b/>
        </w:rPr>
        <w:t>o de Interventor Municipal, de 24 de abril de 2023, del siguiente tenor literal:</w:t>
      </w:r>
      <w:r>
        <w:t xml:space="preserve"> </w:t>
      </w:r>
    </w:p>
    <w:p w:rsidR="00EE0979" w:rsidRDefault="00B022A0">
      <w:pPr>
        <w:spacing w:after="139" w:line="259" w:lineRule="auto"/>
        <w:ind w:left="14" w:firstLine="0"/>
        <w:jc w:val="left"/>
      </w:pPr>
      <w:r>
        <w:rPr>
          <w:b/>
        </w:rPr>
        <w:t xml:space="preserve"> </w:t>
      </w:r>
    </w:p>
    <w:p w:rsidR="00EE0979" w:rsidRDefault="00B022A0">
      <w:pPr>
        <w:pStyle w:val="Ttulo1"/>
        <w:numPr>
          <w:ilvl w:val="0"/>
          <w:numId w:val="0"/>
        </w:numPr>
        <w:spacing w:after="820"/>
        <w:ind w:left="624" w:right="698"/>
      </w:pPr>
      <w:r>
        <w:t xml:space="preserve">“INFORME DE INTERVENCIÓN </w:t>
      </w:r>
    </w:p>
    <w:p w:rsidR="00EE0979" w:rsidRDefault="00B022A0">
      <w:pPr>
        <w:spacing w:after="816"/>
        <w:ind w:right="100"/>
      </w:pPr>
      <w:r>
        <w:rPr>
          <w:b/>
        </w:rPr>
        <w:t>PRIMERO.</w:t>
      </w:r>
      <w:r>
        <w:t xml:space="preserve"> </w:t>
      </w:r>
      <w:r>
        <w:t>Vista la prórroga del Contrato basado en el Acuerdo Marco para la contratación del suministro de electricidad en alta y baja tensión del Ayuntamiento de Candelaria (Lote 7) a través de la Central de Contratación de la FEMP, que el pleno municipal aprobó el</w:t>
      </w:r>
      <w:r>
        <w:t xml:space="preserve"> 25 de febrero de 2021, a favor de la empresa ENDESA ENERGÍA S.A.U., CIF: A81948077, por un plazo de duración del contrato de un año, de conformidad con lo establecido en la cláusula 21.2 del Pliego de Cláusulas Administrativas Particulares, que rige el “A</w:t>
      </w:r>
      <w:r>
        <w:t>cuerdo Marco para el suministro de electricidad de alta y baja tensión de la Central de Contratación de la FEMP” y lo dispuesto en la normativa sectorial, pudiendo celebrarse prórrogas por períodos de un año hasta un máximo de tres años.</w:t>
      </w:r>
      <w:r>
        <w:rPr>
          <w:rFonts w:ascii="Times New Roman" w:eastAsia="Times New Roman" w:hAnsi="Times New Roman" w:cs="Times New Roman"/>
          <w:sz w:val="24"/>
        </w:rPr>
        <w:t xml:space="preserve"> </w:t>
      </w:r>
    </w:p>
    <w:p w:rsidR="00EE0979" w:rsidRDefault="00B022A0">
      <w:pPr>
        <w:spacing w:after="0" w:line="259" w:lineRule="auto"/>
        <w:ind w:left="10" w:firstLine="0"/>
        <w:jc w:val="left"/>
      </w:pPr>
      <w:r>
        <w:t xml:space="preserve"> </w:t>
      </w:r>
    </w:p>
    <w:p w:rsidR="00EE0979" w:rsidRDefault="00B022A0">
      <w:pPr>
        <w:spacing w:after="467"/>
        <w:ind w:right="100"/>
      </w:pPr>
      <w:r>
        <w:rPr>
          <w:b/>
        </w:rPr>
        <w:t>SEGUNDO.</w:t>
      </w:r>
      <w:r>
        <w:t xml:space="preserve"> </w:t>
      </w:r>
      <w:r>
        <w:t xml:space="preserve">Se incorpora documento contable 2.23.0.00634 correspondiente a las cantidades comprometidas para el ejercicio 2023, por un importe total de 553.000 Euros, en las aplicaciones presupuestarias 920.00-221.00, por importe de 263.000 Euros y 165.000221.00, por </w:t>
      </w:r>
      <w:r>
        <w:t>importe de 290.000 Euros, del Presupuesto General del ejercicio 2023, aprobado y publicado definitivamente en BOP el 10 de abril de 2023.</w:t>
      </w:r>
      <w:r>
        <w:rPr>
          <w:rFonts w:ascii="Times New Roman" w:eastAsia="Times New Roman" w:hAnsi="Times New Roman" w:cs="Times New Roman"/>
          <w:sz w:val="24"/>
        </w:rPr>
        <w:t xml:space="preserve"> </w:t>
      </w:r>
    </w:p>
    <w:p w:rsidR="00EE0979" w:rsidRDefault="00B022A0">
      <w:pPr>
        <w:ind w:right="100"/>
      </w:pPr>
      <w:r>
        <w:t>Visto el Informe técnico que recoge las variaciones aplicables por tarifa y tramo  horario al precio ofertado inicial</w:t>
      </w:r>
      <w:r>
        <w:t xml:space="preserve">mente, según acumulado de las revisiones trimestrales aplicadas al Acuerdo Marco y convertidas según circular 3/2020 de la CNMC, se informa favorablemente el presente expediente de prórroga del contrato basado en el Acuerdo Marco de electricidad.” </w:t>
      </w:r>
    </w:p>
    <w:p w:rsidR="00EE0979" w:rsidRDefault="00B022A0">
      <w:pPr>
        <w:spacing w:after="211" w:line="259" w:lineRule="auto"/>
        <w:ind w:left="14" w:firstLine="0"/>
        <w:jc w:val="left"/>
      </w:pPr>
      <w:r>
        <w:t xml:space="preserve"> </w:t>
      </w:r>
    </w:p>
    <w:p w:rsidR="00EE0979" w:rsidRDefault="00B022A0">
      <w:pPr>
        <w:spacing w:after="116"/>
        <w:ind w:right="99" w:hanging="10"/>
      </w:pPr>
      <w:r>
        <w:rPr>
          <w:b/>
        </w:rPr>
        <w:t>Const</w:t>
      </w:r>
      <w:r>
        <w:rPr>
          <w:b/>
        </w:rPr>
        <w:t>a en el expediente Informe Jurídico emitido por Doña Mª del Pilar Chico Delgado, que desempeña el puesto de Técnico de Administración General, de 24 de abril de 2023, conformado por D. Octavio Manuel Fernández Hernández, Secretario General, y debidamente f</w:t>
      </w:r>
      <w:r>
        <w:rPr>
          <w:b/>
        </w:rPr>
        <w:t>iscalizado por D. Nicolás Rojo Garnica, Interventor Municipal, de 25 de abril de 2023, del siguiente tenor literal:</w:t>
      </w:r>
      <w:r>
        <w:t xml:space="preserve"> </w:t>
      </w:r>
    </w:p>
    <w:p w:rsidR="00EE0979" w:rsidRDefault="00B022A0">
      <w:pPr>
        <w:spacing w:after="105" w:line="259" w:lineRule="auto"/>
        <w:ind w:left="14" w:firstLine="0"/>
        <w:jc w:val="left"/>
      </w:pPr>
      <w:r>
        <w:t xml:space="preserve"> </w:t>
      </w:r>
    </w:p>
    <w:p w:rsidR="00EE0979" w:rsidRDefault="00B022A0">
      <w:pPr>
        <w:pStyle w:val="Ttulo1"/>
        <w:numPr>
          <w:ilvl w:val="0"/>
          <w:numId w:val="0"/>
        </w:numPr>
        <w:spacing w:after="95"/>
        <w:ind w:left="624" w:right="2423"/>
      </w:pPr>
      <w:r>
        <w:t xml:space="preserve">                             “INFORME                             </w:t>
      </w:r>
      <w:r>
        <w:rPr>
          <w:b w:val="0"/>
        </w:rPr>
        <w:t xml:space="preserve"> </w:t>
      </w:r>
    </w:p>
    <w:p w:rsidR="00EE0979" w:rsidRDefault="00B022A0">
      <w:pPr>
        <w:spacing w:after="6"/>
        <w:ind w:right="99" w:hanging="10"/>
      </w:pPr>
      <w:r>
        <w:rPr>
          <w:b/>
        </w:rPr>
        <w:t>Visto el expediente antedicho, la funcionaria Mª del Pilar Chico Delg</w:t>
      </w:r>
      <w:r>
        <w:rPr>
          <w:b/>
        </w:rPr>
        <w:t>ado, que desempeña el puesto de trabajo de técnico de adm.gral., conformado por el Secretario General, fiscalizado favorablemente por el Interventor Municipal, emite el siguiente informe:</w:t>
      </w: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0"/>
      </w:pPr>
      <w:r>
        <w:t xml:space="preserve">Antecedentes de hecho  </w:t>
      </w:r>
    </w:p>
    <w:p w:rsidR="00EE0979" w:rsidRDefault="00B022A0">
      <w:pPr>
        <w:spacing w:after="0" w:line="259" w:lineRule="auto"/>
        <w:ind w:left="0" w:right="36" w:firstLine="0"/>
        <w:jc w:val="center"/>
      </w:pPr>
      <w:r>
        <w:t xml:space="preserve"> </w:t>
      </w:r>
    </w:p>
    <w:p w:rsidR="00EE0979" w:rsidRDefault="00B022A0">
      <w:pPr>
        <w:ind w:right="100"/>
      </w:pPr>
      <w:r>
        <w:t xml:space="preserve"> </w:t>
      </w:r>
      <w:r>
        <w:rPr>
          <w:b/>
        </w:rPr>
        <w:t>PRIMERO.-</w:t>
      </w:r>
      <w:r>
        <w:t xml:space="preserve"> </w:t>
      </w:r>
      <w:r>
        <w:rPr>
          <w:color w:val="0E0A11"/>
        </w:rPr>
        <w:t xml:space="preserve"> </w:t>
      </w:r>
      <w:r>
        <w:rPr>
          <w:color w:val="0E0A11"/>
        </w:rPr>
        <w:t xml:space="preserve">El Ayuntamiento de Candelaria </w:t>
      </w:r>
      <w:r>
        <w:t>mediante Acuerdo de la Junta de Gobierno Local de fecha 11 de agosto de 2014 se adhirió a la Central de Contratación de la Federación Española de Municipios y Provincias, a fin de poder contratar los servicios y suministros qu</w:t>
      </w:r>
      <w:r>
        <w:t>e ofertare la citada Central, de conformidad con las condiciones y precios fijados en los correspondientes contratos o acuerdos marco que se suscriban entre dicha Central y las empresas adjudicatarias de los mismos.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SEGUNDO</w:t>
      </w:r>
      <w:r>
        <w:t>.- Con fecha 21 de mayo de 201</w:t>
      </w:r>
      <w:r>
        <w:t>9 la Central de Contratación de la Federación Española de Municipios y Provincias resultaron adjudicatarias las mercantiles IBERDROLA CLIENTES, S.A.U, ENDESA ENERGÍA, S.A.U. y GAS NATURAL COMERCIALIZADORA, S.A. para los Lotes 1 al 7. La formalización de lo</w:t>
      </w:r>
      <w:r>
        <w:t>s Acuerdos Marco se produjo el día 17 de junio de 2019, finalizando la vigencia ordinaria del mismo el próximo 17 de junio de 2021. Pudiendo prorrogarse anualmente, sin que la duración total del acuerdo marco, pueda exceder de 48 meses (4 años).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TERCERO</w:t>
      </w:r>
      <w:r>
        <w:rPr>
          <w:b/>
        </w:rPr>
        <w:t>.-</w:t>
      </w:r>
      <w:r>
        <w:t xml:space="preserve"> En fecha 04/03/2021 el Ayuntamiento de Candelaria envió el documento de invitación a través de la Plataforma tecnológica a las tres empresas adjudicatarias del lote 7 de dicho Acuerdo marco.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CUARTO.-</w:t>
      </w:r>
      <w:r>
        <w:t xml:space="preserve"> La adjudicación del contrato basado fue efectuada</w:t>
      </w:r>
      <w:r>
        <w:t xml:space="preserve"> por Acuerdo del Ayuntamiento Pleno de fecha 29 de abril de 2021 resultando adjudicataria la empresa  “ENDESA ENERGÍA,SAU”, con CIF nº A81948077, y siendo notificada con fecha 06/05/2021  y cuyo suministro finalizará el próximo</w:t>
      </w:r>
      <w:r>
        <w:rPr>
          <w:color w:val="FF0000"/>
        </w:rPr>
        <w:t xml:space="preserve">  </w:t>
      </w:r>
      <w:r>
        <w:t xml:space="preserve">06/05/2022.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QUINTO</w:t>
      </w:r>
      <w:r>
        <w:t>.- La</w:t>
      </w:r>
      <w:r>
        <w:t xml:space="preserve"> duración del contrato basado según lo dispuesto en la resolución adjudicación era de 1 año, prorrogable anualmente por cinco años.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SEXTO.- </w:t>
      </w:r>
      <w:r>
        <w:t>Que en fecha 27 de febrero de 2023, se comunicó a la adjudicataria preaviso con la voluntad inicial de prorrogar</w:t>
      </w:r>
      <w:r>
        <w:t xml:space="preserve"> el contrato basado a los efectos previstos en el artículo 29.2 de la LCSP, condicionada a la conformidad de la Entidad Local con la remisión por aquella de los precios del contrato basado revisados conforme a lo dispuesto en el art 16.3 del PCA y en el pl</w:t>
      </w:r>
      <w:r>
        <w:t xml:space="preserve">azo establecido.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SEPTIMO.-</w:t>
      </w:r>
      <w:r>
        <w:t xml:space="preserve"> Que con fecha 12 de abril de 2023, se presenta por la empresa adjudicataria los precios revisados.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OCTAVO.-</w:t>
      </w:r>
      <w:r>
        <w:t xml:space="preserve"> Que, recibidos los precios revisados por la adjudicataria, se emite informe técnico por el responsable designado </w:t>
      </w:r>
      <w:r>
        <w:t>en el contrato, de fecha 21 de abril de 2023, que se transcribe a continuación: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3"/>
        <w:ind w:left="624" w:right="713"/>
      </w:pPr>
      <w:r>
        <w:rPr>
          <w:b w:val="0"/>
          <w:i/>
        </w:rPr>
        <w:t>“</w:t>
      </w:r>
      <w:r>
        <w:t>INFORME TÉCNICO</w:t>
      </w:r>
      <w:r>
        <w:rPr>
          <w:b w:val="0"/>
        </w:rPr>
        <w:t xml:space="preserve"> </w:t>
      </w:r>
    </w:p>
    <w:p w:rsidR="00EE0979" w:rsidRDefault="00B022A0">
      <w:pPr>
        <w:spacing w:after="114"/>
        <w:ind w:right="99" w:hanging="10"/>
      </w:pPr>
      <w:r>
        <w:rPr>
          <w:b/>
        </w:rPr>
        <w:t>Visto el expediente antedicho, el funcionario Don Javier González Gómez, que desempeña el puesto de trabajo de Arquitecto Técnico adscrito en la Concejalía de Obras Públicas, Servicios Públicos, Transporte y Accesibilidad emite el siguiente informe:</w:t>
      </w:r>
      <w:r>
        <w:t xml:space="preserve"> </w:t>
      </w:r>
    </w:p>
    <w:p w:rsidR="00EE0979" w:rsidRDefault="00B022A0">
      <w:pPr>
        <w:spacing w:after="98" w:line="259" w:lineRule="auto"/>
        <w:ind w:left="14" w:firstLine="0"/>
        <w:jc w:val="left"/>
      </w:pPr>
      <w:r>
        <w:t xml:space="preserve">  </w:t>
      </w:r>
    </w:p>
    <w:p w:rsidR="00EE0979" w:rsidRDefault="00B022A0">
      <w:pPr>
        <w:pStyle w:val="Ttulo1"/>
        <w:numPr>
          <w:ilvl w:val="0"/>
          <w:numId w:val="0"/>
        </w:numPr>
        <w:spacing w:after="95"/>
        <w:ind w:left="624" w:right="710"/>
      </w:pPr>
      <w:r>
        <w:t>Antecedentes de hecho</w:t>
      </w:r>
      <w:r>
        <w:rPr>
          <w:b w:val="0"/>
        </w:rPr>
        <w:t xml:space="preserve"> </w:t>
      </w:r>
    </w:p>
    <w:p w:rsidR="00EE0979" w:rsidRDefault="00B022A0">
      <w:pPr>
        <w:spacing w:after="94"/>
        <w:ind w:right="100"/>
      </w:pPr>
      <w:r>
        <w:t xml:space="preserve">Solicitado emisión de informe, tras la recepción de la relación de precios del contrato revisado por parte de ENDESA, con fecha 12 de abril de 2023 y número de registro 2023-E-RC-4338, informo de los siguiente. </w:t>
      </w:r>
    </w:p>
    <w:p w:rsidR="00EE0979" w:rsidRDefault="00B022A0">
      <w:pPr>
        <w:spacing w:after="107"/>
        <w:ind w:right="100"/>
      </w:pPr>
      <w:r>
        <w:t>Los precios revisados</w:t>
      </w:r>
      <w:r>
        <w:t xml:space="preserve"> para la prorroga automática y componentes regulados de 2022, son los siguientes: </w:t>
      </w:r>
    </w:p>
    <w:p w:rsidR="00EE0979" w:rsidRDefault="00B022A0">
      <w:pPr>
        <w:spacing w:after="50" w:line="259" w:lineRule="auto"/>
        <w:ind w:left="0" w:right="1094" w:firstLine="0"/>
        <w:jc w:val="right"/>
      </w:pPr>
      <w:r>
        <w:rPr>
          <w:noProof/>
        </w:rPr>
        <w:drawing>
          <wp:inline distT="0" distB="0" distL="0" distR="0">
            <wp:extent cx="5401057" cy="2651760"/>
            <wp:effectExtent l="0" t="0" r="0" b="0"/>
            <wp:docPr id="25711" name="Picture 25711"/>
            <wp:cNvGraphicFramePr/>
            <a:graphic xmlns:a="http://schemas.openxmlformats.org/drawingml/2006/main">
              <a:graphicData uri="http://schemas.openxmlformats.org/drawingml/2006/picture">
                <pic:pic xmlns:pic="http://schemas.openxmlformats.org/drawingml/2006/picture">
                  <pic:nvPicPr>
                    <pic:cNvPr id="25711" name="Picture 25711"/>
                    <pic:cNvPicPr/>
                  </pic:nvPicPr>
                  <pic:blipFill>
                    <a:blip r:embed="rId53"/>
                    <a:stretch>
                      <a:fillRect/>
                    </a:stretch>
                  </pic:blipFill>
                  <pic:spPr>
                    <a:xfrm>
                      <a:off x="0" y="0"/>
                      <a:ext cx="5401057" cy="2651760"/>
                    </a:xfrm>
                    <a:prstGeom prst="rect">
                      <a:avLst/>
                    </a:prstGeom>
                  </pic:spPr>
                </pic:pic>
              </a:graphicData>
            </a:graphic>
          </wp:inline>
        </w:drawing>
      </w:r>
      <w:r>
        <w:t xml:space="preserve"> </w:t>
      </w:r>
    </w:p>
    <w:p w:rsidR="00EE0979" w:rsidRDefault="00B022A0">
      <w:pPr>
        <w:ind w:right="100"/>
      </w:pPr>
      <w:r>
        <w:t>Las variaciones aplicables por tarifa y tramo horario al precio ofertado inicialmente, según el acumulado en las revisiones trimestrales aplicadas al acuerdo marco en las</w:t>
      </w:r>
      <w:r>
        <w:t xml:space="preserve"> 12, 13, 14 y 15ª. </w:t>
      </w:r>
    </w:p>
    <w:p w:rsidR="00EE0979" w:rsidRDefault="00B022A0">
      <w:pPr>
        <w:spacing w:after="0" w:line="259" w:lineRule="auto"/>
        <w:ind w:left="40" w:firstLine="0"/>
        <w:jc w:val="left"/>
      </w:pPr>
      <w:r>
        <w:rPr>
          <w:rFonts w:ascii="Calibri" w:eastAsia="Calibri" w:hAnsi="Calibri" w:cs="Calibri"/>
          <w:noProof/>
        </w:rPr>
        <mc:AlternateContent>
          <mc:Choice Requires="wpg">
            <w:drawing>
              <wp:inline distT="0" distB="0" distL="0" distR="0">
                <wp:extent cx="5470237" cy="2220702"/>
                <wp:effectExtent l="0" t="0" r="0" b="0"/>
                <wp:docPr id="266498" name="Group 266498"/>
                <wp:cNvGraphicFramePr/>
                <a:graphic xmlns:a="http://schemas.openxmlformats.org/drawingml/2006/main">
                  <a:graphicData uri="http://schemas.microsoft.com/office/word/2010/wordprocessingGroup">
                    <wpg:wgp>
                      <wpg:cNvGrpSpPr/>
                      <wpg:grpSpPr>
                        <a:xfrm>
                          <a:off x="0" y="0"/>
                          <a:ext cx="5470237" cy="2220702"/>
                          <a:chOff x="0" y="0"/>
                          <a:chExt cx="5470237" cy="2220702"/>
                        </a:xfrm>
                      </wpg:grpSpPr>
                      <wps:wsp>
                        <wps:cNvPr id="25709" name="Rectangle 25709"/>
                        <wps:cNvSpPr/>
                        <wps:spPr>
                          <a:xfrm>
                            <a:off x="5431282" y="2064370"/>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713" name="Picture 25713"/>
                          <pic:cNvPicPr/>
                        </pic:nvPicPr>
                        <pic:blipFill>
                          <a:blip r:embed="rId54"/>
                          <a:stretch>
                            <a:fillRect/>
                          </a:stretch>
                        </pic:blipFill>
                        <pic:spPr>
                          <a:xfrm>
                            <a:off x="1524" y="1524"/>
                            <a:ext cx="5401057" cy="2177796"/>
                          </a:xfrm>
                          <a:prstGeom prst="rect">
                            <a:avLst/>
                          </a:prstGeom>
                        </pic:spPr>
                      </pic:pic>
                      <wps:wsp>
                        <wps:cNvPr id="25714" name="Shape 25714"/>
                        <wps:cNvSpPr/>
                        <wps:spPr>
                          <a:xfrm>
                            <a:off x="0" y="0"/>
                            <a:ext cx="5404104" cy="2180844"/>
                          </a:xfrm>
                          <a:custGeom>
                            <a:avLst/>
                            <a:gdLst/>
                            <a:ahLst/>
                            <a:cxnLst/>
                            <a:rect l="0" t="0" r="0" b="0"/>
                            <a:pathLst>
                              <a:path w="5404104" h="2180844">
                                <a:moveTo>
                                  <a:pt x="0" y="2180844"/>
                                </a:moveTo>
                                <a:lnTo>
                                  <a:pt x="5404104" y="2180844"/>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6498" style="width:430.727pt;height:174.858pt;mso-position-horizontal-relative:char;mso-position-vertical-relative:line" coordsize="54702,22207">
                <v:rect id="Rectangle 25709" style="position:absolute;width:518;height:2079;left:54312;top:20643;" filled="f" stroked="f">
                  <v:textbox inset="0,0,0,0">
                    <w:txbxContent>
                      <w:p>
                        <w:pPr>
                          <w:spacing w:before="0" w:after="160" w:line="259" w:lineRule="auto"/>
                          <w:ind w:left="0" w:firstLine="0"/>
                          <w:jc w:val="left"/>
                        </w:pPr>
                        <w:r>
                          <w:rPr/>
                          <w:t xml:space="preserve"> </w:t>
                        </w:r>
                      </w:p>
                    </w:txbxContent>
                  </v:textbox>
                </v:rect>
                <v:shape id="Picture 25713" style="position:absolute;width:54010;height:21777;left:15;top:15;" filled="f">
                  <v:imagedata r:id="rId49"/>
                </v:shape>
                <v:shape id="Shape 25714" style="position:absolute;width:54041;height:21808;left:0;top:0;" coordsize="5404104,2180844" path="m0,2180844l5404104,2180844l5404104,0l0,0x">
                  <v:stroke weight="0.24pt" endcap="flat" joinstyle="round" on="true" color="#000000"/>
                  <v:fill on="false" color="#000000" opacity="0"/>
                </v:shape>
              </v:group>
            </w:pict>
          </mc:Fallback>
        </mc:AlternateContent>
      </w:r>
    </w:p>
    <w:p w:rsidR="00EE0979" w:rsidRDefault="00B022A0">
      <w:pPr>
        <w:spacing w:after="128" w:line="259" w:lineRule="auto"/>
        <w:ind w:left="40" w:firstLine="0"/>
        <w:jc w:val="left"/>
      </w:pPr>
      <w:r>
        <w:rPr>
          <w:rFonts w:ascii="Calibri" w:eastAsia="Calibri" w:hAnsi="Calibri" w:cs="Calibri"/>
          <w:noProof/>
        </w:rPr>
        <mc:AlternateContent>
          <mc:Choice Requires="wpg">
            <w:drawing>
              <wp:inline distT="0" distB="0" distL="0" distR="0">
                <wp:extent cx="5470237" cy="7092930"/>
                <wp:effectExtent l="0" t="0" r="0" b="0"/>
                <wp:docPr id="266632" name="Group 266632"/>
                <wp:cNvGraphicFramePr/>
                <a:graphic xmlns:a="http://schemas.openxmlformats.org/drawingml/2006/main">
                  <a:graphicData uri="http://schemas.microsoft.com/office/word/2010/wordprocessingGroup">
                    <wpg:wgp>
                      <wpg:cNvGrpSpPr/>
                      <wpg:grpSpPr>
                        <a:xfrm>
                          <a:off x="0" y="0"/>
                          <a:ext cx="5470237" cy="7092930"/>
                          <a:chOff x="0" y="0"/>
                          <a:chExt cx="5470237" cy="7092930"/>
                        </a:xfrm>
                      </wpg:grpSpPr>
                      <wps:wsp>
                        <wps:cNvPr id="25733" name="Rectangle 25733"/>
                        <wps:cNvSpPr/>
                        <wps:spPr>
                          <a:xfrm>
                            <a:off x="5412994" y="2101835"/>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734" name="Rectangle 25734"/>
                        <wps:cNvSpPr/>
                        <wps:spPr>
                          <a:xfrm>
                            <a:off x="5431282" y="4407901"/>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735" name="Rectangle 25735"/>
                        <wps:cNvSpPr/>
                        <wps:spPr>
                          <a:xfrm>
                            <a:off x="5431282" y="6732382"/>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5736" name="Rectangle 25736"/>
                        <wps:cNvSpPr/>
                        <wps:spPr>
                          <a:xfrm>
                            <a:off x="3019679" y="6936598"/>
                            <a:ext cx="51809" cy="207922"/>
                          </a:xfrm>
                          <a:prstGeom prst="rect">
                            <a:avLst/>
                          </a:prstGeom>
                          <a:ln>
                            <a:noFill/>
                          </a:ln>
                        </wps:spPr>
                        <wps:txbx>
                          <w:txbxContent>
                            <w:p w:rsidR="00EE0979" w:rsidRDefault="00B022A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5745" name="Picture 25745"/>
                          <pic:cNvPicPr/>
                        </pic:nvPicPr>
                        <pic:blipFill>
                          <a:blip r:embed="rId48"/>
                          <a:stretch>
                            <a:fillRect/>
                          </a:stretch>
                        </pic:blipFill>
                        <pic:spPr>
                          <a:xfrm>
                            <a:off x="1524" y="1524"/>
                            <a:ext cx="5394960" cy="2209800"/>
                          </a:xfrm>
                          <a:prstGeom prst="rect">
                            <a:avLst/>
                          </a:prstGeom>
                        </pic:spPr>
                      </pic:pic>
                      <wps:wsp>
                        <wps:cNvPr id="25746" name="Shape 25746"/>
                        <wps:cNvSpPr/>
                        <wps:spPr>
                          <a:xfrm>
                            <a:off x="0" y="0"/>
                            <a:ext cx="5398008" cy="2212848"/>
                          </a:xfrm>
                          <a:custGeom>
                            <a:avLst/>
                            <a:gdLst/>
                            <a:ahLst/>
                            <a:cxnLst/>
                            <a:rect l="0" t="0" r="0" b="0"/>
                            <a:pathLst>
                              <a:path w="5398008" h="2212848">
                                <a:moveTo>
                                  <a:pt x="0" y="2212848"/>
                                </a:moveTo>
                                <a:lnTo>
                                  <a:pt x="5398008" y="2212848"/>
                                </a:lnTo>
                                <a:lnTo>
                                  <a:pt x="539800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748" name="Picture 25748"/>
                          <pic:cNvPicPr/>
                        </pic:nvPicPr>
                        <pic:blipFill>
                          <a:blip r:embed="rId51"/>
                          <a:stretch>
                            <a:fillRect/>
                          </a:stretch>
                        </pic:blipFill>
                        <pic:spPr>
                          <a:xfrm>
                            <a:off x="1524" y="2325624"/>
                            <a:ext cx="5402581" cy="2194560"/>
                          </a:xfrm>
                          <a:prstGeom prst="rect">
                            <a:avLst/>
                          </a:prstGeom>
                        </pic:spPr>
                      </pic:pic>
                      <wps:wsp>
                        <wps:cNvPr id="25749" name="Shape 25749"/>
                        <wps:cNvSpPr/>
                        <wps:spPr>
                          <a:xfrm>
                            <a:off x="0" y="2324100"/>
                            <a:ext cx="5405628" cy="2197608"/>
                          </a:xfrm>
                          <a:custGeom>
                            <a:avLst/>
                            <a:gdLst/>
                            <a:ahLst/>
                            <a:cxnLst/>
                            <a:rect l="0" t="0" r="0" b="0"/>
                            <a:pathLst>
                              <a:path w="5405628" h="2197608">
                                <a:moveTo>
                                  <a:pt x="0" y="2197608"/>
                                </a:moveTo>
                                <a:lnTo>
                                  <a:pt x="5405628" y="219760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751" name="Picture 25751"/>
                          <pic:cNvPicPr/>
                        </pic:nvPicPr>
                        <pic:blipFill>
                          <a:blip r:embed="rId52"/>
                          <a:stretch>
                            <a:fillRect/>
                          </a:stretch>
                        </pic:blipFill>
                        <pic:spPr>
                          <a:xfrm>
                            <a:off x="1524" y="4629913"/>
                            <a:ext cx="5401057" cy="2202180"/>
                          </a:xfrm>
                          <a:prstGeom prst="rect">
                            <a:avLst/>
                          </a:prstGeom>
                        </pic:spPr>
                      </pic:pic>
                      <wps:wsp>
                        <wps:cNvPr id="25752" name="Shape 25752"/>
                        <wps:cNvSpPr/>
                        <wps:spPr>
                          <a:xfrm>
                            <a:off x="0" y="4628388"/>
                            <a:ext cx="5404104" cy="2205228"/>
                          </a:xfrm>
                          <a:custGeom>
                            <a:avLst/>
                            <a:gdLst/>
                            <a:ahLst/>
                            <a:cxnLst/>
                            <a:rect l="0" t="0" r="0" b="0"/>
                            <a:pathLst>
                              <a:path w="5404104" h="2205228">
                                <a:moveTo>
                                  <a:pt x="0" y="2205228"/>
                                </a:moveTo>
                                <a:lnTo>
                                  <a:pt x="5404104" y="2205228"/>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6632" style="width:430.727pt;height:558.498pt;mso-position-horizontal-relative:char;mso-position-vertical-relative:line" coordsize="54702,70929">
                <v:rect id="Rectangle 25733" style="position:absolute;width:518;height:2079;left:54129;top:21018;" filled="f" stroked="f">
                  <v:textbox inset="0,0,0,0">
                    <w:txbxContent>
                      <w:p>
                        <w:pPr>
                          <w:spacing w:before="0" w:after="160" w:line="259" w:lineRule="auto"/>
                          <w:ind w:left="0" w:firstLine="0"/>
                          <w:jc w:val="left"/>
                        </w:pPr>
                        <w:r>
                          <w:rPr/>
                          <w:t xml:space="preserve"> </w:t>
                        </w:r>
                      </w:p>
                    </w:txbxContent>
                  </v:textbox>
                </v:rect>
                <v:rect id="Rectangle 25734" style="position:absolute;width:518;height:2079;left:54312;top:44079;" filled="f" stroked="f">
                  <v:textbox inset="0,0,0,0">
                    <w:txbxContent>
                      <w:p>
                        <w:pPr>
                          <w:spacing w:before="0" w:after="160" w:line="259" w:lineRule="auto"/>
                          <w:ind w:left="0" w:firstLine="0"/>
                          <w:jc w:val="left"/>
                        </w:pPr>
                        <w:r>
                          <w:rPr/>
                          <w:t xml:space="preserve"> </w:t>
                        </w:r>
                      </w:p>
                    </w:txbxContent>
                  </v:textbox>
                </v:rect>
                <v:rect id="Rectangle 25735" style="position:absolute;width:518;height:2079;left:54312;top:67323;" filled="f" stroked="f">
                  <v:textbox inset="0,0,0,0">
                    <w:txbxContent>
                      <w:p>
                        <w:pPr>
                          <w:spacing w:before="0" w:after="160" w:line="259" w:lineRule="auto"/>
                          <w:ind w:left="0" w:firstLine="0"/>
                          <w:jc w:val="left"/>
                        </w:pPr>
                        <w:r>
                          <w:rPr/>
                          <w:t xml:space="preserve"> </w:t>
                        </w:r>
                      </w:p>
                    </w:txbxContent>
                  </v:textbox>
                </v:rect>
                <v:rect id="Rectangle 25736" style="position:absolute;width:518;height:2079;left:30196;top:693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5745" style="position:absolute;width:53949;height:22098;left:15;top:15;" filled="f">
                  <v:imagedata r:id="rId50"/>
                </v:shape>
                <v:shape id="Shape 25746" style="position:absolute;width:53980;height:22128;left:0;top:0;" coordsize="5398008,2212848" path="m0,2212848l5398008,2212848l5398008,0l0,0x">
                  <v:stroke weight="0.24pt" endcap="flat" joinstyle="round" on="true" color="#000000"/>
                  <v:fill on="false" color="#000000" opacity="0"/>
                </v:shape>
                <v:shape id="Picture 25748" style="position:absolute;width:54025;height:21945;left:15;top:23256;" filled="f">
                  <v:imagedata r:id="rId53"/>
                </v:shape>
                <v:shape id="Shape 25749" style="position:absolute;width:54056;height:21976;left:0;top:23241;" coordsize="5405628,2197608" path="m0,2197608l5405628,2197608l5405628,0l0,0x">
                  <v:stroke weight="0.24pt" endcap="flat" joinstyle="round" on="true" color="#000000"/>
                  <v:fill on="false" color="#000000" opacity="0"/>
                </v:shape>
                <v:shape id="Picture 25751" style="position:absolute;width:54010;height:22021;left:15;top:46299;" filled="f">
                  <v:imagedata r:id="rId54"/>
                </v:shape>
                <v:shape id="Shape 25752" style="position:absolute;width:54041;height:22052;left:0;top:46283;" coordsize="5404104,2205228" path="m0,2205228l5404104,2205228l5404104,0l0,0x">
                  <v:stroke weight="0.24pt" endcap="flat" joinstyle="round" on="true" color="#000000"/>
                  <v:fill on="false" color="#000000" opacity="0"/>
                </v:shape>
              </v:group>
            </w:pict>
          </mc:Fallback>
        </mc:AlternateContent>
      </w:r>
    </w:p>
    <w:p w:rsidR="00EE0979" w:rsidRDefault="00B022A0">
      <w:pPr>
        <w:pStyle w:val="Ttulo1"/>
        <w:numPr>
          <w:ilvl w:val="0"/>
          <w:numId w:val="0"/>
        </w:numPr>
        <w:spacing w:after="95"/>
        <w:ind w:left="624" w:right="707"/>
      </w:pPr>
      <w:r>
        <w:t xml:space="preserve">Informe técnico </w:t>
      </w:r>
    </w:p>
    <w:p w:rsidR="00EE0979" w:rsidRDefault="00B022A0">
      <w:pPr>
        <w:spacing w:after="107"/>
        <w:ind w:right="100"/>
      </w:pPr>
      <w:r>
        <w:t xml:space="preserve">Convirtiéndose esas tarifas de los Coeficiente del Término de Energía de la Tarifa (CET), remitidos en la oferta inicial y revisadas en 2022, </w:t>
      </w:r>
      <w:r>
        <w:t>en aplicación de la metodología para el cálculo de los peajes de transporte y distribución de electricidad, de la Orden 3/2020 de la Comisión Nacional de los Mercados y la Competencia en los Coeficiente del Término de Energía de la Tarifa (CET) siguientes:</w:t>
      </w:r>
      <w:r>
        <w:t xml:space="preserve"> </w:t>
      </w:r>
    </w:p>
    <w:p w:rsidR="00EE0979" w:rsidRDefault="00B022A0">
      <w:pPr>
        <w:spacing w:after="50" w:line="259" w:lineRule="auto"/>
        <w:ind w:left="0" w:right="1094" w:firstLine="0"/>
        <w:jc w:val="right"/>
      </w:pPr>
      <w:r>
        <w:rPr>
          <w:noProof/>
        </w:rPr>
        <w:drawing>
          <wp:inline distT="0" distB="0" distL="0" distR="0">
            <wp:extent cx="5401057" cy="3032760"/>
            <wp:effectExtent l="0" t="0" r="0" b="0"/>
            <wp:docPr id="25783" name="Picture 25783"/>
            <wp:cNvGraphicFramePr/>
            <a:graphic xmlns:a="http://schemas.openxmlformats.org/drawingml/2006/main">
              <a:graphicData uri="http://schemas.openxmlformats.org/drawingml/2006/picture">
                <pic:pic xmlns:pic="http://schemas.openxmlformats.org/drawingml/2006/picture">
                  <pic:nvPicPr>
                    <pic:cNvPr id="25783" name="Picture 25783"/>
                    <pic:cNvPicPr/>
                  </pic:nvPicPr>
                  <pic:blipFill>
                    <a:blip r:embed="rId55"/>
                    <a:stretch>
                      <a:fillRect/>
                    </a:stretch>
                  </pic:blipFill>
                  <pic:spPr>
                    <a:xfrm>
                      <a:off x="0" y="0"/>
                      <a:ext cx="5401057" cy="3032760"/>
                    </a:xfrm>
                    <a:prstGeom prst="rect">
                      <a:avLst/>
                    </a:prstGeom>
                  </pic:spPr>
                </pic:pic>
              </a:graphicData>
            </a:graphic>
          </wp:inline>
        </w:drawing>
      </w:r>
      <w:r>
        <w:t xml:space="preserve">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98" w:line="259" w:lineRule="auto"/>
        <w:ind w:left="14" w:firstLine="0"/>
        <w:jc w:val="left"/>
      </w:pPr>
      <w:r>
        <w:t xml:space="preserve"> </w:t>
      </w:r>
    </w:p>
    <w:p w:rsidR="00EE0979" w:rsidRDefault="00B022A0">
      <w:pPr>
        <w:spacing w:after="10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100" w:line="259" w:lineRule="auto"/>
        <w:ind w:left="0" w:right="36" w:firstLine="0"/>
        <w:jc w:val="center"/>
      </w:pPr>
      <w:r>
        <w:rPr>
          <w:b/>
        </w:rPr>
        <w:t xml:space="preserve"> </w:t>
      </w:r>
    </w:p>
    <w:p w:rsidR="00EE0979" w:rsidRDefault="00B022A0">
      <w:pPr>
        <w:pStyle w:val="Ttulo1"/>
        <w:numPr>
          <w:ilvl w:val="0"/>
          <w:numId w:val="0"/>
        </w:numPr>
        <w:spacing w:after="92"/>
        <w:ind w:left="624" w:right="706"/>
      </w:pPr>
      <w:r>
        <w:t xml:space="preserve">Conclusión </w:t>
      </w:r>
    </w:p>
    <w:p w:rsidR="00EE0979" w:rsidRDefault="00B022A0">
      <w:pPr>
        <w:spacing w:after="109"/>
        <w:ind w:right="100"/>
      </w:pPr>
      <w:r>
        <w:rPr>
          <w:b/>
        </w:rPr>
        <w:t xml:space="preserve">Dar traslado para su aprobación </w:t>
      </w:r>
      <w:r>
        <w:t xml:space="preserve">de los precios revisados, emitidos por la empresa adjudicataria ENDESA, conforme a lo establecido en la cláusula 16.3 del PCA. </w:t>
      </w:r>
    </w:p>
    <w:p w:rsidR="00EE0979" w:rsidRDefault="00B022A0">
      <w:pPr>
        <w:spacing w:after="76" w:line="259" w:lineRule="auto"/>
        <w:ind w:left="0" w:right="1094" w:firstLine="0"/>
        <w:jc w:val="right"/>
      </w:pPr>
      <w:r>
        <w:rPr>
          <w:noProof/>
        </w:rPr>
        <w:drawing>
          <wp:inline distT="0" distB="0" distL="0" distR="0">
            <wp:extent cx="5401057" cy="2895600"/>
            <wp:effectExtent l="0" t="0" r="0" b="0"/>
            <wp:docPr id="25850" name="Picture 25850"/>
            <wp:cNvGraphicFramePr/>
            <a:graphic xmlns:a="http://schemas.openxmlformats.org/drawingml/2006/main">
              <a:graphicData uri="http://schemas.openxmlformats.org/drawingml/2006/picture">
                <pic:pic xmlns:pic="http://schemas.openxmlformats.org/drawingml/2006/picture">
                  <pic:nvPicPr>
                    <pic:cNvPr id="25850" name="Picture 25850"/>
                    <pic:cNvPicPr/>
                  </pic:nvPicPr>
                  <pic:blipFill>
                    <a:blip r:embed="rId56"/>
                    <a:stretch>
                      <a:fillRect/>
                    </a:stretch>
                  </pic:blipFill>
                  <pic:spPr>
                    <a:xfrm>
                      <a:off x="0" y="0"/>
                      <a:ext cx="5401057" cy="2895600"/>
                    </a:xfrm>
                    <a:prstGeom prst="rect">
                      <a:avLst/>
                    </a:prstGeom>
                  </pic:spPr>
                </pic:pic>
              </a:graphicData>
            </a:graphic>
          </wp:inline>
        </w:drawing>
      </w:r>
      <w:r>
        <w:t xml:space="preserve"> </w:t>
      </w:r>
    </w:p>
    <w:p w:rsidR="00EE0979" w:rsidRDefault="00B022A0">
      <w:pPr>
        <w:spacing w:after="109"/>
        <w:ind w:left="9" w:right="98" w:hanging="10"/>
      </w:pPr>
      <w:r>
        <w:rPr>
          <w:i/>
        </w:rPr>
        <w:t xml:space="preserve">”. </w:t>
      </w:r>
    </w:p>
    <w:p w:rsidR="00EE0979" w:rsidRDefault="00B022A0">
      <w:pPr>
        <w:spacing w:after="98" w:line="259" w:lineRule="auto"/>
        <w:ind w:left="14" w:firstLine="0"/>
        <w:jc w:val="left"/>
      </w:pPr>
      <w:r>
        <w:rPr>
          <w:i/>
        </w:rPr>
        <w:t xml:space="preserve"> </w:t>
      </w:r>
    </w:p>
    <w:p w:rsidR="00EE0979" w:rsidRDefault="00B022A0">
      <w:pPr>
        <w:spacing w:after="98" w:line="259" w:lineRule="auto"/>
        <w:ind w:left="14" w:firstLine="0"/>
        <w:jc w:val="left"/>
      </w:pPr>
      <w:r>
        <w:rPr>
          <w:b/>
        </w:rPr>
        <w:t xml:space="preserve"> </w:t>
      </w:r>
    </w:p>
    <w:p w:rsidR="00EE0979" w:rsidRDefault="00B022A0">
      <w:pPr>
        <w:spacing w:after="114"/>
        <w:ind w:right="99" w:hanging="10"/>
      </w:pPr>
      <w:r>
        <w:rPr>
          <w:b/>
        </w:rPr>
        <w:t xml:space="preserve">NOVENO.- </w:t>
      </w:r>
      <w:r>
        <w:rPr>
          <w:b/>
        </w:rPr>
        <w:t xml:space="preserve">Consta emitido informe favorable  por el Interventor municipal de fecha 24 de abril de 2023, que dice: </w:t>
      </w:r>
    </w:p>
    <w:p w:rsidR="00EE0979" w:rsidRDefault="00B022A0">
      <w:pPr>
        <w:spacing w:after="97" w:line="259" w:lineRule="auto"/>
        <w:ind w:left="14" w:firstLine="0"/>
        <w:jc w:val="left"/>
      </w:pPr>
      <w:r>
        <w:t xml:space="preserve"> </w:t>
      </w:r>
    </w:p>
    <w:p w:rsidR="00EE0979" w:rsidRDefault="00B022A0">
      <w:pPr>
        <w:pStyle w:val="Ttulo1"/>
        <w:numPr>
          <w:ilvl w:val="0"/>
          <w:numId w:val="0"/>
        </w:numPr>
        <w:spacing w:after="97"/>
        <w:ind w:left="624" w:right="710"/>
      </w:pPr>
      <w:r>
        <w:rPr>
          <w:b w:val="0"/>
        </w:rPr>
        <w:t>“</w:t>
      </w:r>
      <w:r>
        <w:t>INFORME DE INTEVRENCIÓN</w:t>
      </w:r>
      <w:r>
        <w:rPr>
          <w:b w:val="0"/>
        </w:rPr>
        <w:t xml:space="preserve"> </w:t>
      </w:r>
    </w:p>
    <w:p w:rsidR="00EE0979" w:rsidRDefault="00B022A0">
      <w:pPr>
        <w:spacing w:after="95" w:line="259" w:lineRule="auto"/>
        <w:ind w:left="14" w:firstLine="0"/>
        <w:jc w:val="left"/>
      </w:pPr>
      <w:r>
        <w:t xml:space="preserve">   </w:t>
      </w:r>
    </w:p>
    <w:p w:rsidR="00EE0979" w:rsidRDefault="00B022A0">
      <w:pPr>
        <w:spacing w:after="111"/>
        <w:ind w:right="100"/>
      </w:pPr>
      <w:r>
        <w:rPr>
          <w:b/>
        </w:rPr>
        <w:t>PRIMERO.</w:t>
      </w:r>
      <w:r>
        <w:t xml:space="preserve"> </w:t>
      </w:r>
      <w:r>
        <w:t>Vista la prórroga del Contrato basado en el Acuerdo Marco para la contratación del suministro de electricidad en alta y baja tensión del Ayuntamiento de Candelaria (Lote 7) a través de la Central de Contratación de la FEMP, que el pleno municipal aprobó el</w:t>
      </w:r>
      <w:r>
        <w:t xml:space="preserve"> 25 de febrero de 2021, a favor de la empresa ENDESA ENERGÍA S.A.U., CIF: A81948077, por un plazo de duración del contrato de un año, de conformidad con lo establecido en la cláusula 21.2 del Pliego de Cláusulas Administrativas Particulares, que rige el “A</w:t>
      </w:r>
      <w:r>
        <w:t xml:space="preserve">cuerdo Marco para el suministro de electricidad de alta y baja tensión de la Central de Contratación de la FEMP” y lo dispuesto en la normativa sectorial, pudiendo celebrarse prórrogas por períodos de un año hasta un máximo de tres años. </w:t>
      </w:r>
    </w:p>
    <w:p w:rsidR="00EE0979" w:rsidRDefault="00B022A0">
      <w:pPr>
        <w:spacing w:after="101" w:line="259" w:lineRule="auto"/>
        <w:ind w:left="14" w:firstLine="0"/>
        <w:jc w:val="left"/>
      </w:pPr>
      <w:r>
        <w:t xml:space="preserve"> </w:t>
      </w:r>
    </w:p>
    <w:p w:rsidR="00EE0979" w:rsidRDefault="00B022A0">
      <w:pPr>
        <w:spacing w:after="95" w:line="259" w:lineRule="auto"/>
        <w:ind w:left="14" w:firstLine="0"/>
        <w:jc w:val="left"/>
      </w:pPr>
      <w:r>
        <w:t xml:space="preserve"> </w:t>
      </w:r>
    </w:p>
    <w:p w:rsidR="00EE0979" w:rsidRDefault="00B022A0">
      <w:pPr>
        <w:spacing w:after="114"/>
        <w:ind w:right="100"/>
      </w:pPr>
      <w:r>
        <w:rPr>
          <w:b/>
        </w:rPr>
        <w:t>SEGUNDO.</w:t>
      </w:r>
      <w:r>
        <w:t xml:space="preserve"> Se i</w:t>
      </w:r>
      <w:r>
        <w:t>ncorpora documento contable 2.23.0.00634 correspondiente a las cantidades comprometidas para el ejercicio 2023, por un importe total de 553.000 Euros, en las aplicaciones presupuestarias 920.00-221.00, por importe de 263.000 Euros y 165.000-221.00, por imp</w:t>
      </w:r>
      <w:r>
        <w:t xml:space="preserve">orte de 290.000 Euros, del Presupuesto General del ejercicio 2023, aprobado y publicado definitivamente en BOP el 10 de abril de 2023. </w:t>
      </w:r>
    </w:p>
    <w:p w:rsidR="00EE0979" w:rsidRDefault="00B022A0">
      <w:pPr>
        <w:spacing w:after="98" w:line="259" w:lineRule="auto"/>
        <w:ind w:left="14" w:firstLine="0"/>
        <w:jc w:val="left"/>
      </w:pPr>
      <w:r>
        <w:t xml:space="preserve"> </w:t>
      </w:r>
    </w:p>
    <w:p w:rsidR="00EE0979" w:rsidRDefault="00B022A0">
      <w:pPr>
        <w:spacing w:after="112"/>
        <w:ind w:right="100"/>
      </w:pPr>
      <w:r>
        <w:t xml:space="preserve"> Visto el Informe técnico que recoge las variaciones aplicables por tarifa y tramo horario al precio ofertado inicialm</w:t>
      </w:r>
      <w:r>
        <w:t>ente, según acumulado de las revisiones trimestrales aplicadas al Acuerdo Marco y convertidas según circular 3/2020 de la CNMC, se informa favorablemente el presente expediente de prórroga del contrato basado en el Acuerdo Marco de electricidad.</w:t>
      </w:r>
      <w:r>
        <w:rPr>
          <w:i/>
        </w:rPr>
        <w:t>”</w:t>
      </w: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ind w:right="100"/>
      </w:pPr>
      <w:r>
        <w:rPr>
          <w:b/>
        </w:rPr>
        <w:t>DÉ</w:t>
      </w:r>
      <w:r>
        <w:rPr>
          <w:b/>
        </w:rPr>
        <w:t xml:space="preserve">CIMO.-  </w:t>
      </w:r>
      <w:r>
        <w:t xml:space="preserve">Visto que consta correo electrónico recibido de la FEMP en el que manifiestan que la revisión de precios presentada por la empresa adjudicataria se ajusta a los acumulados trimestrales aplicables conforme a la cláusula 16.3 del PCA y publicadas en </w:t>
      </w:r>
      <w:r>
        <w:t>la web de la FEMP.</w:t>
      </w:r>
      <w:r>
        <w:rPr>
          <w:b/>
        </w:rPr>
        <w:t xml:space="preserve"> </w:t>
      </w:r>
      <w:r>
        <w:rPr>
          <w:rFonts w:ascii="Times New Roman" w:eastAsia="Times New Roman" w:hAnsi="Times New Roman" w:cs="Times New Roman"/>
          <w:sz w:val="24"/>
        </w:rPr>
        <w:t xml:space="preserve"> </w:t>
      </w:r>
    </w:p>
    <w:p w:rsidR="00EE0979" w:rsidRDefault="00B022A0">
      <w:pPr>
        <w:spacing w:after="0" w:line="259" w:lineRule="auto"/>
        <w:ind w:left="0" w:right="36" w:firstLine="0"/>
        <w:jc w:val="center"/>
      </w:pPr>
      <w:r>
        <w:rPr>
          <w:b/>
        </w:rPr>
        <w:t xml:space="preserve"> </w:t>
      </w:r>
    </w:p>
    <w:p w:rsidR="00EE0979" w:rsidRDefault="00B022A0">
      <w:pPr>
        <w:spacing w:after="0" w:line="259" w:lineRule="auto"/>
        <w:ind w:left="2282" w:firstLine="0"/>
        <w:jc w:val="left"/>
      </w:pPr>
      <w:r>
        <w:rPr>
          <w:b/>
        </w:rPr>
        <w:t xml:space="preserve"> </w:t>
      </w:r>
    </w:p>
    <w:p w:rsidR="00EE0979" w:rsidRDefault="00B022A0">
      <w:pPr>
        <w:spacing w:after="9" w:line="249" w:lineRule="auto"/>
        <w:ind w:left="2292" w:right="94" w:hanging="10"/>
      </w:pPr>
      <w:r>
        <w:rPr>
          <w:b/>
          <w:u w:val="single" w:color="000000"/>
        </w:rPr>
        <w:t>FUNDAMENTOS DE DERECHO</w:t>
      </w:r>
      <w:r>
        <w:rPr>
          <w:b/>
        </w:rPr>
        <w:t xml:space="preserve">  </w:t>
      </w:r>
    </w:p>
    <w:p w:rsidR="00EE0979" w:rsidRDefault="00B022A0">
      <w:pPr>
        <w:spacing w:after="13" w:line="259" w:lineRule="auto"/>
        <w:ind w:left="14" w:firstLine="0"/>
        <w:jc w:val="left"/>
      </w:pPr>
      <w:r>
        <w:t xml:space="preserve"> </w:t>
      </w:r>
    </w:p>
    <w:p w:rsidR="00EE0979" w:rsidRDefault="00B022A0">
      <w:pPr>
        <w:ind w:right="100"/>
      </w:pPr>
      <w:r>
        <w:rPr>
          <w:b/>
        </w:rPr>
        <w:t>PRIMERO.</w:t>
      </w:r>
      <w:r>
        <w:t xml:space="preserve"> El Pliego de Cláusulas Administrativas (en adelante, “PCA”), prevé en su cláusula 21.2 la posibilidad de solicitar prórrogas en sus contratos basados:</w:t>
      </w:r>
      <w:r>
        <w:rPr>
          <w:rFonts w:ascii="Times New Roman" w:eastAsia="Times New Roman" w:hAnsi="Times New Roman" w:cs="Times New Roman"/>
          <w:sz w:val="24"/>
        </w:rPr>
        <w:t xml:space="preserve"> </w:t>
      </w:r>
    </w:p>
    <w:p w:rsidR="00EE0979" w:rsidRDefault="00B022A0">
      <w:pPr>
        <w:ind w:left="9" w:right="98" w:hanging="10"/>
      </w:pPr>
      <w:r>
        <w:rPr>
          <w:i/>
        </w:rPr>
        <w:t xml:space="preserve">“La duración ordinaria de los Contratos basados será de un año, tal y como dispone la normativa sectorial de aplicación, pudiendo celebrarse prórrogas por periodos de un año, hasta un máximo de cinco años. Todo ello sin perjuicio de las altas eventuales y </w:t>
      </w:r>
      <w:r>
        <w:rPr>
          <w:i/>
        </w:rPr>
        <w:t>de temporada que surjan durante la vigencia y al amparo del contrato basado, conforme a lo establecido en los Pliegos, en el Acuerdo marco y en la normativa de aplicación, y ajustándose a la proposición económica presentada sobre el porcentaje de increment</w:t>
      </w:r>
      <w:r>
        <w:rPr>
          <w:i/>
        </w:rPr>
        <w:t xml:space="preserve">o máximo sobre los precios de energía de las tarifas de acceso para el suministro definitivo. </w:t>
      </w:r>
    </w:p>
    <w:p w:rsidR="00EE0979" w:rsidRDefault="00B022A0">
      <w:pPr>
        <w:spacing w:after="0" w:line="259" w:lineRule="auto"/>
        <w:ind w:left="14" w:firstLine="0"/>
        <w:jc w:val="left"/>
      </w:pPr>
      <w:r>
        <w:rPr>
          <w:i/>
        </w:rPr>
        <w:t xml:space="preserve"> </w:t>
      </w:r>
    </w:p>
    <w:p w:rsidR="00EE0979" w:rsidRDefault="00B022A0">
      <w:pPr>
        <w:ind w:left="9" w:right="98" w:hanging="10"/>
      </w:pPr>
      <w:r>
        <w:rPr>
          <w:b/>
        </w:rPr>
        <w:t>SEGUNDO.</w:t>
      </w:r>
      <w:r>
        <w:t xml:space="preserve"> De conformidad con lo indicado en el Documento de invitación y en la cláusula 21.2 del PCA y con la intención de continuar prestando el suministro de </w:t>
      </w:r>
      <w:r>
        <w:t xml:space="preserve">electricidad en alta y baja tensión en el Ayuntamiento de Candelaria, </w:t>
      </w:r>
      <w:r>
        <w:rPr>
          <w:i/>
        </w:rPr>
        <w:t>la prórroga resultará de obligada aceptación por parte del adjudicatario (y siempre que haya un preaviso de 2 meses, porque así lo establece el artículo 29.2  de la LCSP) salvo que la En</w:t>
      </w:r>
      <w:r>
        <w:rPr>
          <w:i/>
        </w:rPr>
        <w:t>tidad Local disponga lo contrario en el Documento de invitación y salvo que se dé la causa de resolución prevista en el artículo 198.6 de la LCSP por haberse demorado la Entidad Local en el pago del precio más de 6 meses, siempre que dicho impago no se pro</w:t>
      </w:r>
      <w:r>
        <w:rPr>
          <w:i/>
        </w:rPr>
        <w:t>duzca por incumplimiento de la empresa contratista, cuestiones ambas, que no se han producido. Si la EELL no lleva a cabo ese preaviso con 2 meses de antelación a la finalización del contrato, la prórroga será por acuerdo entre partes (dejará de ser potest</w:t>
      </w:r>
      <w:r>
        <w:rPr>
          <w:i/>
        </w:rPr>
        <w:t xml:space="preserve">ad de la administración).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ind w:left="9" w:right="98" w:hanging="10"/>
      </w:pPr>
      <w:r>
        <w:rPr>
          <w:i/>
        </w:rPr>
        <w:t>Para la tramitación de la prórroga anual, los precios vigentes en el contrato basado serán objeto de revisión (</w:t>
      </w:r>
      <w:r>
        <w:t>Incluso en el caso de que no se produzca el preaviso de 2 meses por parte de la administración,)</w:t>
      </w:r>
      <w:r>
        <w:rPr>
          <w:i/>
        </w:rPr>
        <w:t xml:space="preserve">. En este sentido, </w:t>
      </w:r>
      <w:r>
        <w:rPr>
          <w:i/>
        </w:rPr>
        <w:t>la adjudicataria estará obligada a comunicar al responsable del contrato basado de la Entidad Local, con al menos cuarenta y cinco días de antelación a la finalización del contrato basado, los precios revisados conforme a lo establecido en la cláusula 16.3</w:t>
      </w:r>
      <w:r>
        <w:rPr>
          <w:i/>
        </w:rPr>
        <w:t xml:space="preserve"> del PCA, con la diferencia de que el primer reajuste de umbrales que se realice tomará los precios –Umbral (i-1)– ofertado originalmente por las empresas adjudicatarias para el contrato basado.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spacing w:after="0" w:line="259" w:lineRule="auto"/>
        <w:ind w:left="14" w:firstLine="0"/>
        <w:jc w:val="left"/>
      </w:pPr>
      <w:r>
        <w:rPr>
          <w:i/>
        </w:rPr>
        <w:t xml:space="preserve"> </w:t>
      </w:r>
    </w:p>
    <w:p w:rsidR="00EE0979" w:rsidRDefault="00B022A0">
      <w:pPr>
        <w:ind w:left="9" w:right="98" w:hanging="10"/>
      </w:pPr>
      <w:r>
        <w:rPr>
          <w:i/>
        </w:rPr>
        <w:t xml:space="preserve">En el plazo de quince días desde la recepción de los precios revisados, siempre con un mes de antelación a la finalización del contrato basado, la Entidad Local deberá comunicar su intención de prorrogar el contrato basado por un año más. </w:t>
      </w:r>
      <w:r>
        <w:rPr>
          <w:b/>
          <w:i/>
        </w:rPr>
        <w:t>En caso de que di</w:t>
      </w:r>
      <w:r>
        <w:rPr>
          <w:b/>
          <w:i/>
        </w:rPr>
        <w:t>cha comunicación sobre la conformidad con los precios revisados no se produzca por parte de la Administración</w:t>
      </w:r>
      <w:r>
        <w:rPr>
          <w:i/>
        </w:rPr>
        <w:t>, de conformidad con lo previsto en el artículo 29.2 de la LCSP según el cual: “En ningún caso podrá producirse la prórroga por el consentimiento t</w:t>
      </w:r>
      <w:r>
        <w:rPr>
          <w:i/>
        </w:rPr>
        <w:t xml:space="preserve">ácito de las partes”, </w:t>
      </w:r>
      <w:r>
        <w:rPr>
          <w:b/>
          <w:i/>
        </w:rPr>
        <w:t>la empresa procederá, en el plazo de los 5 días hábiles anteriores a la fecha de finalización del suministro indicada más arriba a realizar los trámites oportunos para dar de baja los puntos de suministro objeto del contrato basado</w:t>
      </w:r>
      <w:r>
        <w:rPr>
          <w:i/>
        </w:rPr>
        <w:t>. A</w:t>
      </w:r>
      <w:r>
        <w:rPr>
          <w:i/>
        </w:rPr>
        <w:t>l producirse la extinción del contrato, la empresa Distribuidora procederá a asignar estos suministros a la comercializadora de último recurso, en aplicación de la normativa vigente, R.D. 216/2014, que en el apartado d) del artículo 4 establece que los com</w:t>
      </w:r>
      <w:r>
        <w:rPr>
          <w:i/>
        </w:rPr>
        <w:t>ercializadores de referencia deberán atender las solicitudes de suministro de energía eléctrica y formalizar los correspondientes contratos con los consumidores, que sin cumplir los requisitos para la aplicación del precio voluntario para el pequeño consum</w:t>
      </w:r>
      <w:r>
        <w:rPr>
          <w:i/>
        </w:rPr>
        <w:t>idor, transitoriamente carecen de contrato en vigor con un comercializador libre, y les resulten de aplicación las correspondientes tarifas de último recurso de acuerdo con lo previsto en el</w:t>
      </w:r>
      <w:hyperlink r:id="rId57" w:anchor="I212">
        <w:r>
          <w:rPr>
            <w:i/>
          </w:rPr>
          <w:t xml:space="preserve"> </w:t>
        </w:r>
      </w:hyperlink>
      <w:hyperlink r:id="rId58" w:anchor="I212">
        <w:r>
          <w:rPr>
            <w:i/>
            <w:color w:val="0000FF"/>
            <w:u w:val="single" w:color="0000FF"/>
          </w:rPr>
          <w:t>artículo 17.3 de la Ley 24/2013, de 26 de diciembre</w:t>
        </w:r>
      </w:hyperlink>
      <w:hyperlink r:id="rId59" w:anchor="I212">
        <w:r>
          <w:rPr>
            <w:i/>
          </w:rPr>
          <w:t>.</w:t>
        </w:r>
      </w:hyperlink>
      <w:r>
        <w:t xml:space="preserve">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TERCERO.</w:t>
      </w:r>
      <w:r>
        <w:t xml:space="preserve"> Las condiciones que deberán regir esta prórroga serán las mismas que las del contrato basado y se mantendrán inalterables du</w:t>
      </w:r>
      <w:r>
        <w:t>rante toda la vigencia de la prórroga, tal y como se establece en el PCA, a excepción de la revisión de precios prevista en el mismo.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left="1152" w:right="100"/>
      </w:pPr>
      <w:r>
        <w:t xml:space="preserve">En virtud de lo anterior, se emite la siguiente,  </w:t>
      </w:r>
    </w:p>
    <w:p w:rsidR="00EE0979" w:rsidRDefault="00B022A0">
      <w:pPr>
        <w:spacing w:after="0" w:line="240" w:lineRule="auto"/>
        <w:ind w:left="14" w:right="8481" w:firstLine="0"/>
        <w:jc w:val="left"/>
      </w:pPr>
      <w:r>
        <w:t xml:space="preserve">  </w:t>
      </w:r>
    </w:p>
    <w:p w:rsidR="00EE0979" w:rsidRDefault="00B022A0">
      <w:pPr>
        <w:pStyle w:val="Ttulo1"/>
        <w:numPr>
          <w:ilvl w:val="0"/>
          <w:numId w:val="0"/>
        </w:numPr>
        <w:ind w:left="624" w:right="703"/>
      </w:pPr>
      <w:r>
        <w:t xml:space="preserve">PROPUESTA DE RESOLUCIÓN </w:t>
      </w:r>
    </w:p>
    <w:p w:rsidR="00EE0979" w:rsidRDefault="00B022A0">
      <w:pPr>
        <w:spacing w:after="0" w:line="259" w:lineRule="auto"/>
        <w:ind w:left="14" w:firstLine="0"/>
        <w:jc w:val="left"/>
      </w:pPr>
      <w:r>
        <w:t xml:space="preserve"> </w:t>
      </w:r>
    </w:p>
    <w:p w:rsidR="00EE0979" w:rsidRDefault="00B022A0">
      <w:pPr>
        <w:ind w:right="100"/>
      </w:pPr>
      <w:r>
        <w:rPr>
          <w:b/>
        </w:rPr>
        <w:t xml:space="preserve">PRIMERO. - </w:t>
      </w:r>
      <w:r>
        <w:t>Prorrogar el Contrato basado para el suministro de electricidad en alta y baja tensión desde el día 06/05/2023 hasta el 06/05/2024, aplicándose los precios revisados conforme a lo establecido en la cláusula 16.3 del PCA, figurando en el informe técnico del</w:t>
      </w:r>
      <w:r>
        <w:t xml:space="preserve"> responsable del contrato de fecha 21 de abril de 2023, y que se detallan a continuación: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0" w:right="1096" w:firstLine="0"/>
        <w:jc w:val="right"/>
      </w:pPr>
      <w:r>
        <w:rPr>
          <w:noProof/>
        </w:rPr>
        <w:drawing>
          <wp:inline distT="0" distB="0" distL="0" distR="0">
            <wp:extent cx="5401057" cy="2895600"/>
            <wp:effectExtent l="0" t="0" r="0" b="0"/>
            <wp:docPr id="26155" name="Picture 26155"/>
            <wp:cNvGraphicFramePr/>
            <a:graphic xmlns:a="http://schemas.openxmlformats.org/drawingml/2006/main">
              <a:graphicData uri="http://schemas.openxmlformats.org/drawingml/2006/picture">
                <pic:pic xmlns:pic="http://schemas.openxmlformats.org/drawingml/2006/picture">
                  <pic:nvPicPr>
                    <pic:cNvPr id="26155" name="Picture 26155"/>
                    <pic:cNvPicPr/>
                  </pic:nvPicPr>
                  <pic:blipFill>
                    <a:blip r:embed="rId56"/>
                    <a:stretch>
                      <a:fillRect/>
                    </a:stretch>
                  </pic:blipFill>
                  <pic:spPr>
                    <a:xfrm>
                      <a:off x="0" y="0"/>
                      <a:ext cx="5401057" cy="289560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line="482" w:lineRule="auto"/>
        <w:ind w:right="100"/>
      </w:pPr>
      <w:r>
        <w:rPr>
          <w:b/>
        </w:rPr>
        <w:t>SEGUNDO. -</w:t>
      </w:r>
      <w:r>
        <w:t xml:space="preserve">  Comunicar esta resolución a la empresa adjudicataria a través de la plataforma informática de la Central de Contratación, publicarla en el perfil </w:t>
      </w:r>
      <w:r>
        <w:t xml:space="preserve">del contratante de esta Entidad Local y notificarla conforme a lo establecido en la LCSP.” </w:t>
      </w:r>
      <w:r>
        <w:rPr>
          <w:rFonts w:ascii="Times New Roman" w:eastAsia="Times New Roman" w:hAnsi="Times New Roman" w:cs="Times New Roman"/>
          <w:sz w:val="24"/>
        </w:rPr>
        <w:t xml:space="preserve"> </w:t>
      </w:r>
    </w:p>
    <w:p w:rsidR="00EE0979" w:rsidRDefault="00B022A0">
      <w:pPr>
        <w:spacing w:after="192" w:line="259" w:lineRule="auto"/>
        <w:ind w:left="14" w:firstLine="0"/>
        <w:jc w:val="left"/>
      </w:pPr>
      <w:r>
        <w:rPr>
          <w:rFonts w:ascii="Times New Roman" w:eastAsia="Times New Roman" w:hAnsi="Times New Roman" w:cs="Times New Roman"/>
          <w:sz w:val="24"/>
        </w:rPr>
        <w:t xml:space="preserve"> </w:t>
      </w:r>
    </w:p>
    <w:p w:rsidR="00EE0979" w:rsidRDefault="00B022A0">
      <w:pPr>
        <w:spacing w:after="6"/>
        <w:ind w:right="99" w:hanging="10"/>
      </w:pPr>
      <w:r>
        <w:rPr>
          <w:b/>
        </w:rPr>
        <w:t xml:space="preserve">    Consta en el expediente propuesta de la Alcaldesa-Presidenta, de fecha 26 de abril de 2023, cuyo tenor literal es el siguiente: </w:t>
      </w:r>
    </w:p>
    <w:p w:rsidR="00EE0979" w:rsidRDefault="00B022A0">
      <w:pPr>
        <w:spacing w:after="13" w:line="259" w:lineRule="auto"/>
        <w:ind w:left="10" w:firstLine="0"/>
        <w:jc w:val="left"/>
      </w:pPr>
      <w:r>
        <w:t xml:space="preserve"> </w:t>
      </w:r>
    </w:p>
    <w:p w:rsidR="00EE0979" w:rsidRDefault="00B022A0">
      <w:pPr>
        <w:pStyle w:val="Ttulo1"/>
        <w:numPr>
          <w:ilvl w:val="0"/>
          <w:numId w:val="0"/>
        </w:numPr>
        <w:spacing w:after="97"/>
        <w:ind w:left="624" w:right="711"/>
      </w:pPr>
      <w:r>
        <w:t xml:space="preserve">“PROPUESTA </w:t>
      </w:r>
    </w:p>
    <w:p w:rsidR="00EE0979" w:rsidRDefault="00B022A0">
      <w:pPr>
        <w:spacing w:after="98" w:line="259" w:lineRule="auto"/>
        <w:ind w:left="0" w:right="36" w:firstLine="0"/>
        <w:jc w:val="center"/>
      </w:pPr>
      <w:r>
        <w:t xml:space="preserve"> </w:t>
      </w:r>
    </w:p>
    <w:p w:rsidR="00EE0979" w:rsidRDefault="00B022A0">
      <w:pPr>
        <w:spacing w:after="111"/>
        <w:ind w:right="100"/>
      </w:pPr>
      <w:r>
        <w:t xml:space="preserve"> </w:t>
      </w:r>
      <w:r>
        <w:t>La que suscribe, Alcaldesa-Presidenta del Ayuntamiento de la Villa de Candelaria, al amparo de lo dispuesto en el Reglamento de Organización, Funcionamiento y Régimen Jurídico de las Entidades Locales, así como en la Ley 7/1985, de 2 de abril, Reguladora d</w:t>
      </w:r>
      <w:r>
        <w:t xml:space="preserve">e las Bases de Régimen Local, tienen el honor de someter a la consideración del Ayuntamiento Pleno la siguiente propuesta: </w:t>
      </w:r>
    </w:p>
    <w:p w:rsidR="00EE0979" w:rsidRDefault="00B022A0">
      <w:pPr>
        <w:spacing w:after="107" w:line="259" w:lineRule="auto"/>
        <w:ind w:left="14" w:firstLine="0"/>
        <w:jc w:val="left"/>
      </w:pPr>
      <w:r>
        <w:t xml:space="preserve"> </w:t>
      </w:r>
    </w:p>
    <w:p w:rsidR="00EE0979" w:rsidRDefault="00B022A0">
      <w:pPr>
        <w:pStyle w:val="Ttulo1"/>
        <w:numPr>
          <w:ilvl w:val="0"/>
          <w:numId w:val="0"/>
        </w:numPr>
        <w:spacing w:after="93"/>
        <w:ind w:left="624" w:right="2421"/>
      </w:pPr>
      <w:r>
        <w:t xml:space="preserve">                                 “INFORME                             </w:t>
      </w:r>
      <w:r>
        <w:rPr>
          <w:b w:val="0"/>
        </w:rPr>
        <w:t xml:space="preserve"> </w:t>
      </w:r>
    </w:p>
    <w:p w:rsidR="00EE0979" w:rsidRDefault="00B022A0">
      <w:pPr>
        <w:spacing w:after="6"/>
        <w:ind w:right="99" w:hanging="10"/>
      </w:pPr>
      <w:r>
        <w:rPr>
          <w:b/>
        </w:rPr>
        <w:t>Visto el expediente antedicho, la funcionaria Mª del Pilar Chico Delgado, que desempeña el puesto de trabajo de técnico de adm.gral., conformado por el Secretario General, fiscalizado favorablemente por el Interventor Municipal, emite el siguiente informe:</w:t>
      </w: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10"/>
      </w:pPr>
      <w:r>
        <w:t xml:space="preserve">Antecedentes de hecho  </w:t>
      </w:r>
    </w:p>
    <w:p w:rsidR="00EE0979" w:rsidRDefault="00B022A0">
      <w:pPr>
        <w:spacing w:after="0" w:line="259" w:lineRule="auto"/>
        <w:ind w:left="0" w:right="36" w:firstLine="0"/>
        <w:jc w:val="center"/>
      </w:pPr>
      <w:r>
        <w:t xml:space="preserve"> </w:t>
      </w:r>
    </w:p>
    <w:p w:rsidR="00EE0979" w:rsidRDefault="00B022A0">
      <w:pPr>
        <w:ind w:right="100"/>
      </w:pPr>
      <w:r>
        <w:t xml:space="preserve"> </w:t>
      </w:r>
      <w:r>
        <w:rPr>
          <w:b/>
        </w:rPr>
        <w:t>PRIMERO.-</w:t>
      </w:r>
      <w:r>
        <w:t xml:space="preserve"> </w:t>
      </w:r>
      <w:r>
        <w:rPr>
          <w:color w:val="0E0A11"/>
        </w:rPr>
        <w:t xml:space="preserve"> El Ayuntamiento de Candelaria </w:t>
      </w:r>
      <w:r>
        <w:t xml:space="preserve">mediante Acuerdo de la Junta de Gobierno Local de fecha 11 de agosto de 2014 se adhirió a la Central de Contratación de la Federación Española de Municipios y Provincias, a fin de poder contratar los servicios y suministros que ofertare la citada Central, </w:t>
      </w:r>
      <w:r>
        <w:t>de conformidad con las condiciones y precios fijados en los correspondientes contratos o acuerdos marco que se suscriban entre dicha Central y las empresas adjudicatarias de los mismos.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SEGUNDO</w:t>
      </w:r>
      <w:r>
        <w:t>.- Con fecha 21 de mayo de 2019 la Central de Contratación d</w:t>
      </w:r>
      <w:r>
        <w:t>e la Federación Española de Municipios y Provincias resultaron adjudicatarias las mercantiles IBERDROLA CLIENTES, S.A.U, ENDESA ENERGÍA, S.A.U. y GAS NATURAL COMERCIALIZADORA, S.A. para los Lotes 1 al 7. La formalización de los Acuerdos Marco se produjo el</w:t>
      </w:r>
      <w:r>
        <w:t xml:space="preserve"> día 17 de junio de 2019, finalizando la vigencia ordinaria del mismo el próximo 17 de junio de 2021. Pudiendo prorrogarse anualmente, sin que la duración total del acuerdo marco, pueda exceder de 48 meses (4 años).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TERCERO.-</w:t>
      </w:r>
      <w:r>
        <w:t xml:space="preserve"> En fecha 04/03/2021 el Ayun</w:t>
      </w:r>
      <w:r>
        <w:t xml:space="preserve">tamiento de Candelaria envió el documento de invitación a través de la Plataforma tecnológica a las tres empresas adjudicatarias del lote 7 de dicho Acuerdo marco.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ind w:right="100"/>
      </w:pPr>
      <w:r>
        <w:rPr>
          <w:b/>
        </w:rPr>
        <w:t>CUARTO.-</w:t>
      </w:r>
      <w:r>
        <w:t xml:space="preserve"> La adjudicación del contrato basado fue efectuada por Acuerdo del Ayuntamiento </w:t>
      </w:r>
      <w:r>
        <w:t>Pleno de fecha 29 de abril de 2021 resultando adjudicataria la empresa  “ENDESA ENERGÍA,SAU”, con CIF nº A81948077, y siendo notificada con fecha 06/05/2021  y cuyo suministro finalizará el próximo</w:t>
      </w:r>
      <w:r>
        <w:rPr>
          <w:color w:val="FF0000"/>
        </w:rPr>
        <w:t xml:space="preserve">  </w:t>
      </w:r>
      <w:r>
        <w:t xml:space="preserve">06/05/2022.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QUINTO</w:t>
      </w:r>
      <w:r>
        <w:t xml:space="preserve">.- La duración del contrato basado </w:t>
      </w:r>
      <w:r>
        <w:t xml:space="preserve">según lo dispuesto en la resolución adjudicación era de 1 año, prorrogable anualmente por cinco años.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 xml:space="preserve">SEXTO.- </w:t>
      </w:r>
      <w:r>
        <w:t>Que en fecha 27 de febrero de 2023, se comunicó a la adjudicataria preaviso con la voluntad inicial de prorrogar el contrato basado a los efec</w:t>
      </w:r>
      <w:r>
        <w:t xml:space="preserve">tos previstos en el artículo 29.2 de la LCSP, condicionada a la conformidad de la Entidad Local con la remisión por aquella de los precios del contrato basado revisados conforme a lo dispuesto en el art 16.3 del PCA y en el plazo establecido.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SEPTIMO.</w:t>
      </w:r>
      <w:r>
        <w:rPr>
          <w:b/>
        </w:rPr>
        <w:t>-</w:t>
      </w:r>
      <w:r>
        <w:t xml:space="preserve"> Que con fecha 12 de abril de 2023, se presenta por la empresa adjudicataria los precios revisados.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OCTAVO.-</w:t>
      </w:r>
      <w:r>
        <w:t xml:space="preserve"> Que, recibidos los precios revisados por la adjudicataria, se emite informe técnico por el responsable designado en el contrato, de fecha 21 de</w:t>
      </w:r>
      <w:r>
        <w:t xml:space="preserve"> abril de 2023, que se transcribe a continuación: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5"/>
        <w:ind w:left="624" w:right="713"/>
      </w:pPr>
      <w:r>
        <w:rPr>
          <w:b w:val="0"/>
          <w:i/>
        </w:rPr>
        <w:t>“</w:t>
      </w:r>
      <w:r>
        <w:t>INFORME TÉCNICO</w:t>
      </w:r>
      <w:r>
        <w:rPr>
          <w:b w:val="0"/>
        </w:rPr>
        <w:t xml:space="preserve"> </w:t>
      </w:r>
    </w:p>
    <w:p w:rsidR="00EE0979" w:rsidRDefault="00B022A0">
      <w:pPr>
        <w:spacing w:after="114"/>
        <w:ind w:right="99" w:hanging="10"/>
      </w:pPr>
      <w:r>
        <w:rPr>
          <w:b/>
        </w:rPr>
        <w:t xml:space="preserve">Visto el expediente antedicho, el funcionario Don Javier González Gómez, que desempeña </w:t>
      </w:r>
      <w:r>
        <w:rPr>
          <w:b/>
        </w:rPr>
        <w:t>el puesto de trabajo de Arquitecto Técnico adscrito en la Concejalía de Obras Públicas, Servicios Públicos, Transporte y Accesibilidad emite el siguiente informe:</w:t>
      </w: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spacing w:after="97"/>
        <w:ind w:left="624" w:right="710"/>
      </w:pPr>
      <w:r>
        <w:t>Antecedentes de hecho</w:t>
      </w:r>
      <w:r>
        <w:rPr>
          <w:b w:val="0"/>
        </w:rPr>
        <w:t xml:space="preserve"> </w:t>
      </w:r>
    </w:p>
    <w:p w:rsidR="00EE0979" w:rsidRDefault="00B022A0">
      <w:pPr>
        <w:spacing w:after="114"/>
        <w:ind w:right="100"/>
      </w:pPr>
      <w:r>
        <w:t>Solicitado emisión de informe, tras la recepción de la relación de</w:t>
      </w:r>
      <w:r>
        <w:t xml:space="preserve"> precios del contrato revisado por parte de ENDESA, con fecha 12 de abril de 2023 y número de registro 2023-E-RC-4338, informo de los siguiente. </w:t>
      </w:r>
    </w:p>
    <w:p w:rsidR="00EE0979" w:rsidRDefault="00B022A0">
      <w:pPr>
        <w:spacing w:after="109"/>
        <w:ind w:right="100"/>
      </w:pPr>
      <w:r>
        <w:t xml:space="preserve">Los precios revisados para la prórroga automática y componentes regulados de 2022, son los siguientes: </w:t>
      </w:r>
    </w:p>
    <w:p w:rsidR="00EE0979" w:rsidRDefault="00B022A0">
      <w:pPr>
        <w:spacing w:after="50" w:line="259" w:lineRule="auto"/>
        <w:ind w:left="0" w:right="1094" w:firstLine="0"/>
        <w:jc w:val="right"/>
      </w:pPr>
      <w:r>
        <w:rPr>
          <w:noProof/>
        </w:rPr>
        <w:drawing>
          <wp:inline distT="0" distB="0" distL="0" distR="0">
            <wp:extent cx="5401057" cy="2650236"/>
            <wp:effectExtent l="0" t="0" r="0" b="0"/>
            <wp:docPr id="26327" name="Picture 26327"/>
            <wp:cNvGraphicFramePr/>
            <a:graphic xmlns:a="http://schemas.openxmlformats.org/drawingml/2006/main">
              <a:graphicData uri="http://schemas.openxmlformats.org/drawingml/2006/picture">
                <pic:pic xmlns:pic="http://schemas.openxmlformats.org/drawingml/2006/picture">
                  <pic:nvPicPr>
                    <pic:cNvPr id="26327" name="Picture 26327"/>
                    <pic:cNvPicPr/>
                  </pic:nvPicPr>
                  <pic:blipFill>
                    <a:blip r:embed="rId53"/>
                    <a:stretch>
                      <a:fillRect/>
                    </a:stretch>
                  </pic:blipFill>
                  <pic:spPr>
                    <a:xfrm>
                      <a:off x="0" y="0"/>
                      <a:ext cx="5401057" cy="2650236"/>
                    </a:xfrm>
                    <a:prstGeom prst="rect">
                      <a:avLst/>
                    </a:prstGeom>
                  </pic:spPr>
                </pic:pic>
              </a:graphicData>
            </a:graphic>
          </wp:inline>
        </w:drawing>
      </w:r>
      <w:r>
        <w:t xml:space="preserve"> </w:t>
      </w:r>
    </w:p>
    <w:p w:rsidR="00EE0979" w:rsidRDefault="00B022A0">
      <w:pPr>
        <w:ind w:right="100"/>
      </w:pPr>
      <w:r>
        <w:t>Las</w:t>
      </w:r>
      <w:r>
        <w:t xml:space="preserve"> variaciones aplicables por tarifa y tramo horario al precio ofertado inicialmente, según el acumulado en las revisiones trimestrales aplicadas al acuerdo marco en las 12, 13, 14 y 15ª. </w:t>
      </w:r>
    </w:p>
    <w:p w:rsidR="00EE0979" w:rsidRDefault="00B022A0">
      <w:pPr>
        <w:spacing w:after="0" w:line="259" w:lineRule="auto"/>
        <w:ind w:left="40" w:firstLine="0"/>
        <w:jc w:val="left"/>
      </w:pPr>
      <w:r>
        <w:rPr>
          <w:rFonts w:ascii="Calibri" w:eastAsia="Calibri" w:hAnsi="Calibri" w:cs="Calibri"/>
          <w:noProof/>
        </w:rPr>
        <mc:AlternateContent>
          <mc:Choice Requires="wpg">
            <w:drawing>
              <wp:inline distT="0" distB="0" distL="0" distR="0">
                <wp:extent cx="5470237" cy="2222226"/>
                <wp:effectExtent l="0" t="0" r="0" b="0"/>
                <wp:docPr id="269091" name="Group 269091"/>
                <wp:cNvGraphicFramePr/>
                <a:graphic xmlns:a="http://schemas.openxmlformats.org/drawingml/2006/main">
                  <a:graphicData uri="http://schemas.microsoft.com/office/word/2010/wordprocessingGroup">
                    <wpg:wgp>
                      <wpg:cNvGrpSpPr/>
                      <wpg:grpSpPr>
                        <a:xfrm>
                          <a:off x="0" y="0"/>
                          <a:ext cx="5470237" cy="2222226"/>
                          <a:chOff x="0" y="0"/>
                          <a:chExt cx="5470237" cy="2222226"/>
                        </a:xfrm>
                      </wpg:grpSpPr>
                      <wps:wsp>
                        <wps:cNvPr id="26325" name="Rectangle 26325"/>
                        <wps:cNvSpPr/>
                        <wps:spPr>
                          <a:xfrm>
                            <a:off x="5431282" y="2065894"/>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329" name="Picture 26329"/>
                          <pic:cNvPicPr/>
                        </pic:nvPicPr>
                        <pic:blipFill>
                          <a:blip r:embed="rId47"/>
                          <a:stretch>
                            <a:fillRect/>
                          </a:stretch>
                        </pic:blipFill>
                        <pic:spPr>
                          <a:xfrm>
                            <a:off x="1524" y="1524"/>
                            <a:ext cx="5401057" cy="2179320"/>
                          </a:xfrm>
                          <a:prstGeom prst="rect">
                            <a:avLst/>
                          </a:prstGeom>
                        </pic:spPr>
                      </pic:pic>
                      <wps:wsp>
                        <wps:cNvPr id="26330" name="Shape 26330"/>
                        <wps:cNvSpPr/>
                        <wps:spPr>
                          <a:xfrm>
                            <a:off x="0" y="0"/>
                            <a:ext cx="5404104" cy="2182368"/>
                          </a:xfrm>
                          <a:custGeom>
                            <a:avLst/>
                            <a:gdLst/>
                            <a:ahLst/>
                            <a:cxnLst/>
                            <a:rect l="0" t="0" r="0" b="0"/>
                            <a:pathLst>
                              <a:path w="5404104" h="2182368">
                                <a:moveTo>
                                  <a:pt x="0" y="2182368"/>
                                </a:moveTo>
                                <a:lnTo>
                                  <a:pt x="5404104" y="2182368"/>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9091" style="width:430.727pt;height:174.978pt;mso-position-horizontal-relative:char;mso-position-vertical-relative:line" coordsize="54702,22222">
                <v:rect id="Rectangle 26325" style="position:absolute;width:518;height:2079;left:54312;top:20658;" filled="f" stroked="f">
                  <v:textbox inset="0,0,0,0">
                    <w:txbxContent>
                      <w:p>
                        <w:pPr>
                          <w:spacing w:before="0" w:after="160" w:line="259" w:lineRule="auto"/>
                          <w:ind w:left="0" w:firstLine="0"/>
                          <w:jc w:val="left"/>
                        </w:pPr>
                        <w:r>
                          <w:rPr/>
                          <w:t xml:space="preserve"> </w:t>
                        </w:r>
                      </w:p>
                    </w:txbxContent>
                  </v:textbox>
                </v:rect>
                <v:shape id="Picture 26329" style="position:absolute;width:54010;height:21793;left:15;top:15;" filled="f">
                  <v:imagedata r:id="rId49"/>
                </v:shape>
                <v:shape id="Shape 26330" style="position:absolute;width:54041;height:21823;left:0;top:0;" coordsize="5404104,2182368" path="m0,2182368l5404104,2182368l5404104,0l0,0x">
                  <v:stroke weight="0.24pt" endcap="flat" joinstyle="round" on="true" color="#000000"/>
                  <v:fill on="false" color="#000000" opacity="0"/>
                </v:shape>
              </v:group>
            </w:pict>
          </mc:Fallback>
        </mc:AlternateContent>
      </w:r>
    </w:p>
    <w:p w:rsidR="00EE0979" w:rsidRDefault="00B022A0">
      <w:pPr>
        <w:spacing w:after="128" w:line="259" w:lineRule="auto"/>
        <w:ind w:left="40" w:firstLine="0"/>
        <w:jc w:val="left"/>
      </w:pPr>
      <w:r>
        <w:rPr>
          <w:rFonts w:ascii="Calibri" w:eastAsia="Calibri" w:hAnsi="Calibri" w:cs="Calibri"/>
          <w:noProof/>
        </w:rPr>
        <mc:AlternateContent>
          <mc:Choice Requires="wpg">
            <w:drawing>
              <wp:inline distT="0" distB="0" distL="0" distR="0">
                <wp:extent cx="5470237" cy="7092930"/>
                <wp:effectExtent l="0" t="0" r="0" b="0"/>
                <wp:docPr id="269528" name="Group 269528"/>
                <wp:cNvGraphicFramePr/>
                <a:graphic xmlns:a="http://schemas.openxmlformats.org/drawingml/2006/main">
                  <a:graphicData uri="http://schemas.microsoft.com/office/word/2010/wordprocessingGroup">
                    <wpg:wgp>
                      <wpg:cNvGrpSpPr/>
                      <wpg:grpSpPr>
                        <a:xfrm>
                          <a:off x="0" y="0"/>
                          <a:ext cx="5470237" cy="7092930"/>
                          <a:chOff x="0" y="0"/>
                          <a:chExt cx="5470237" cy="7092930"/>
                        </a:xfrm>
                      </wpg:grpSpPr>
                      <wps:wsp>
                        <wps:cNvPr id="26351" name="Rectangle 26351"/>
                        <wps:cNvSpPr/>
                        <wps:spPr>
                          <a:xfrm>
                            <a:off x="5412994" y="2101835"/>
                            <a:ext cx="51809" cy="207922"/>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6352" name="Rectangle 26352"/>
                        <wps:cNvSpPr/>
                        <wps:spPr>
                          <a:xfrm>
                            <a:off x="5431282" y="4407901"/>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6353" name="Rectangle 26353"/>
                        <wps:cNvSpPr/>
                        <wps:spPr>
                          <a:xfrm>
                            <a:off x="5431282" y="6732382"/>
                            <a:ext cx="51809" cy="207921"/>
                          </a:xfrm>
                          <a:prstGeom prst="rect">
                            <a:avLst/>
                          </a:prstGeom>
                          <a:ln>
                            <a:noFill/>
                          </a:ln>
                        </wps:spPr>
                        <wps:txbx>
                          <w:txbxContent>
                            <w:p w:rsidR="00EE0979" w:rsidRDefault="00B022A0">
                              <w:pPr>
                                <w:spacing w:after="160" w:line="259" w:lineRule="auto"/>
                                <w:ind w:left="0" w:firstLine="0"/>
                                <w:jc w:val="left"/>
                              </w:pPr>
                              <w:r>
                                <w:t xml:space="preserve"> </w:t>
                              </w:r>
                            </w:p>
                          </w:txbxContent>
                        </wps:txbx>
                        <wps:bodyPr horzOverflow="overflow" vert="horz" lIns="0" tIns="0" rIns="0" bIns="0" rtlCol="0">
                          <a:noAutofit/>
                        </wps:bodyPr>
                      </wps:wsp>
                      <wps:wsp>
                        <wps:cNvPr id="26354" name="Rectangle 26354"/>
                        <wps:cNvSpPr/>
                        <wps:spPr>
                          <a:xfrm>
                            <a:off x="3019679" y="6936598"/>
                            <a:ext cx="51809" cy="207922"/>
                          </a:xfrm>
                          <a:prstGeom prst="rect">
                            <a:avLst/>
                          </a:prstGeom>
                          <a:ln>
                            <a:noFill/>
                          </a:ln>
                        </wps:spPr>
                        <wps:txbx>
                          <w:txbxContent>
                            <w:p w:rsidR="00EE0979" w:rsidRDefault="00B022A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6365" name="Picture 26365"/>
                          <pic:cNvPicPr/>
                        </pic:nvPicPr>
                        <pic:blipFill>
                          <a:blip r:embed="rId48"/>
                          <a:stretch>
                            <a:fillRect/>
                          </a:stretch>
                        </pic:blipFill>
                        <pic:spPr>
                          <a:xfrm>
                            <a:off x="1524" y="1524"/>
                            <a:ext cx="5394960" cy="2209800"/>
                          </a:xfrm>
                          <a:prstGeom prst="rect">
                            <a:avLst/>
                          </a:prstGeom>
                        </pic:spPr>
                      </pic:pic>
                      <wps:wsp>
                        <wps:cNvPr id="26366" name="Shape 26366"/>
                        <wps:cNvSpPr/>
                        <wps:spPr>
                          <a:xfrm>
                            <a:off x="0" y="0"/>
                            <a:ext cx="5398008" cy="2212848"/>
                          </a:xfrm>
                          <a:custGeom>
                            <a:avLst/>
                            <a:gdLst/>
                            <a:ahLst/>
                            <a:cxnLst/>
                            <a:rect l="0" t="0" r="0" b="0"/>
                            <a:pathLst>
                              <a:path w="5398008" h="2212848">
                                <a:moveTo>
                                  <a:pt x="0" y="2212848"/>
                                </a:moveTo>
                                <a:lnTo>
                                  <a:pt x="5398008" y="2212848"/>
                                </a:lnTo>
                                <a:lnTo>
                                  <a:pt x="539800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68" name="Picture 26368"/>
                          <pic:cNvPicPr/>
                        </pic:nvPicPr>
                        <pic:blipFill>
                          <a:blip r:embed="rId51"/>
                          <a:stretch>
                            <a:fillRect/>
                          </a:stretch>
                        </pic:blipFill>
                        <pic:spPr>
                          <a:xfrm>
                            <a:off x="1524" y="2325624"/>
                            <a:ext cx="5402581" cy="2194560"/>
                          </a:xfrm>
                          <a:prstGeom prst="rect">
                            <a:avLst/>
                          </a:prstGeom>
                        </pic:spPr>
                      </pic:pic>
                      <wps:wsp>
                        <wps:cNvPr id="26369" name="Shape 26369"/>
                        <wps:cNvSpPr/>
                        <wps:spPr>
                          <a:xfrm>
                            <a:off x="0" y="2324100"/>
                            <a:ext cx="5405628" cy="2197608"/>
                          </a:xfrm>
                          <a:custGeom>
                            <a:avLst/>
                            <a:gdLst/>
                            <a:ahLst/>
                            <a:cxnLst/>
                            <a:rect l="0" t="0" r="0" b="0"/>
                            <a:pathLst>
                              <a:path w="5405628" h="2197608">
                                <a:moveTo>
                                  <a:pt x="0" y="2197608"/>
                                </a:moveTo>
                                <a:lnTo>
                                  <a:pt x="5405628" y="219760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71" name="Picture 26371"/>
                          <pic:cNvPicPr/>
                        </pic:nvPicPr>
                        <pic:blipFill>
                          <a:blip r:embed="rId52"/>
                          <a:stretch>
                            <a:fillRect/>
                          </a:stretch>
                        </pic:blipFill>
                        <pic:spPr>
                          <a:xfrm>
                            <a:off x="1524" y="4629913"/>
                            <a:ext cx="5401057" cy="2202180"/>
                          </a:xfrm>
                          <a:prstGeom prst="rect">
                            <a:avLst/>
                          </a:prstGeom>
                        </pic:spPr>
                      </pic:pic>
                      <wps:wsp>
                        <wps:cNvPr id="26372" name="Shape 26372"/>
                        <wps:cNvSpPr/>
                        <wps:spPr>
                          <a:xfrm>
                            <a:off x="0" y="4628388"/>
                            <a:ext cx="5404104" cy="2205228"/>
                          </a:xfrm>
                          <a:custGeom>
                            <a:avLst/>
                            <a:gdLst/>
                            <a:ahLst/>
                            <a:cxnLst/>
                            <a:rect l="0" t="0" r="0" b="0"/>
                            <a:pathLst>
                              <a:path w="5404104" h="2205228">
                                <a:moveTo>
                                  <a:pt x="0" y="2205228"/>
                                </a:moveTo>
                                <a:lnTo>
                                  <a:pt x="5404104" y="2205228"/>
                                </a:lnTo>
                                <a:lnTo>
                                  <a:pt x="54041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9528" style="width:430.727pt;height:558.498pt;mso-position-horizontal-relative:char;mso-position-vertical-relative:line" coordsize="54702,70929">
                <v:rect id="Rectangle 26351" style="position:absolute;width:518;height:2079;left:54129;top:21018;" filled="f" stroked="f">
                  <v:textbox inset="0,0,0,0">
                    <w:txbxContent>
                      <w:p>
                        <w:pPr>
                          <w:spacing w:before="0" w:after="160" w:line="259" w:lineRule="auto"/>
                          <w:ind w:left="0" w:firstLine="0"/>
                          <w:jc w:val="left"/>
                        </w:pPr>
                        <w:r>
                          <w:rPr/>
                          <w:t xml:space="preserve"> </w:t>
                        </w:r>
                      </w:p>
                    </w:txbxContent>
                  </v:textbox>
                </v:rect>
                <v:rect id="Rectangle 26352" style="position:absolute;width:518;height:2079;left:54312;top:44079;" filled="f" stroked="f">
                  <v:textbox inset="0,0,0,0">
                    <w:txbxContent>
                      <w:p>
                        <w:pPr>
                          <w:spacing w:before="0" w:after="160" w:line="259" w:lineRule="auto"/>
                          <w:ind w:left="0" w:firstLine="0"/>
                          <w:jc w:val="left"/>
                        </w:pPr>
                        <w:r>
                          <w:rPr/>
                          <w:t xml:space="preserve"> </w:t>
                        </w:r>
                      </w:p>
                    </w:txbxContent>
                  </v:textbox>
                </v:rect>
                <v:rect id="Rectangle 26353" style="position:absolute;width:518;height:2079;left:54312;top:67323;" filled="f" stroked="f">
                  <v:textbox inset="0,0,0,0">
                    <w:txbxContent>
                      <w:p>
                        <w:pPr>
                          <w:spacing w:before="0" w:after="160" w:line="259" w:lineRule="auto"/>
                          <w:ind w:left="0" w:firstLine="0"/>
                          <w:jc w:val="left"/>
                        </w:pPr>
                        <w:r>
                          <w:rPr/>
                          <w:t xml:space="preserve"> </w:t>
                        </w:r>
                      </w:p>
                    </w:txbxContent>
                  </v:textbox>
                </v:rect>
                <v:rect id="Rectangle 26354" style="position:absolute;width:518;height:2079;left:30196;top:693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6365" style="position:absolute;width:53949;height:22098;left:15;top:15;" filled="f">
                  <v:imagedata r:id="rId50"/>
                </v:shape>
                <v:shape id="Shape 26366" style="position:absolute;width:53980;height:22128;left:0;top:0;" coordsize="5398008,2212848" path="m0,2212848l5398008,2212848l5398008,0l0,0x">
                  <v:stroke weight="0.24pt" endcap="flat" joinstyle="round" on="true" color="#000000"/>
                  <v:fill on="false" color="#000000" opacity="0"/>
                </v:shape>
                <v:shape id="Picture 26368" style="position:absolute;width:54025;height:21945;left:15;top:23256;" filled="f">
                  <v:imagedata r:id="rId53"/>
                </v:shape>
                <v:shape id="Shape 26369" style="position:absolute;width:54056;height:21976;left:0;top:23241;" coordsize="5405628,2197608" path="m0,2197608l5405628,2197608l5405628,0l0,0x">
                  <v:stroke weight="0.24pt" endcap="flat" joinstyle="round" on="true" color="#000000"/>
                  <v:fill on="false" color="#000000" opacity="0"/>
                </v:shape>
                <v:shape id="Picture 26371" style="position:absolute;width:54010;height:22021;left:15;top:46299;" filled="f">
                  <v:imagedata r:id="rId54"/>
                </v:shape>
                <v:shape id="Shape 26372" style="position:absolute;width:54041;height:22052;left:0;top:46283;" coordsize="5404104,2205228" path="m0,2205228l5404104,2205228l5404104,0l0,0x">
                  <v:stroke weight="0.24pt" endcap="flat" joinstyle="round" on="true" color="#000000"/>
                  <v:fill on="false" color="#000000" opacity="0"/>
                </v:shape>
              </v:group>
            </w:pict>
          </mc:Fallback>
        </mc:AlternateContent>
      </w:r>
    </w:p>
    <w:p w:rsidR="00EE0979" w:rsidRDefault="00B022A0">
      <w:pPr>
        <w:pStyle w:val="Ttulo1"/>
        <w:numPr>
          <w:ilvl w:val="0"/>
          <w:numId w:val="0"/>
        </w:numPr>
        <w:spacing w:after="95"/>
        <w:ind w:left="624" w:right="707"/>
      </w:pPr>
      <w:r>
        <w:t xml:space="preserve">Informe técnico </w:t>
      </w:r>
    </w:p>
    <w:p w:rsidR="00EE0979" w:rsidRDefault="00B022A0">
      <w:pPr>
        <w:spacing w:after="107"/>
        <w:ind w:right="100"/>
      </w:pPr>
      <w:r>
        <w:t xml:space="preserve">Convirtiéndose esas tarifas de los Coeficiente del Término de Energía de la Tarifa (CET), remitidos en la oferta inicial y revisadas en 2022, en aplicación de la metodología para el cálculo de los peajes de transporte y distribución de electricidad, de la </w:t>
      </w:r>
      <w:r>
        <w:t xml:space="preserve">Orden 3/2020 de la Comisión Nacional de los Mercados y la Competencia en los Coeficiente del Término de Energía de la Tarifa (CET) siguientes: </w:t>
      </w:r>
    </w:p>
    <w:p w:rsidR="00EE0979" w:rsidRDefault="00B022A0">
      <w:pPr>
        <w:spacing w:after="50" w:line="259" w:lineRule="auto"/>
        <w:ind w:left="0" w:right="1094" w:firstLine="0"/>
        <w:jc w:val="right"/>
      </w:pPr>
      <w:r>
        <w:rPr>
          <w:noProof/>
        </w:rPr>
        <w:drawing>
          <wp:inline distT="0" distB="0" distL="0" distR="0">
            <wp:extent cx="5401057" cy="3032760"/>
            <wp:effectExtent l="0" t="0" r="0" b="0"/>
            <wp:docPr id="26410" name="Picture 26410"/>
            <wp:cNvGraphicFramePr/>
            <a:graphic xmlns:a="http://schemas.openxmlformats.org/drawingml/2006/main">
              <a:graphicData uri="http://schemas.openxmlformats.org/drawingml/2006/picture">
                <pic:pic xmlns:pic="http://schemas.openxmlformats.org/drawingml/2006/picture">
                  <pic:nvPicPr>
                    <pic:cNvPr id="26410" name="Picture 26410"/>
                    <pic:cNvPicPr/>
                  </pic:nvPicPr>
                  <pic:blipFill>
                    <a:blip r:embed="rId55"/>
                    <a:stretch>
                      <a:fillRect/>
                    </a:stretch>
                  </pic:blipFill>
                  <pic:spPr>
                    <a:xfrm>
                      <a:off x="0" y="0"/>
                      <a:ext cx="5401057" cy="3032760"/>
                    </a:xfrm>
                    <a:prstGeom prst="rect">
                      <a:avLst/>
                    </a:prstGeom>
                  </pic:spPr>
                </pic:pic>
              </a:graphicData>
            </a:graphic>
          </wp:inline>
        </w:drawing>
      </w:r>
      <w:r>
        <w:t xml:space="preserve"> </w:t>
      </w:r>
    </w:p>
    <w:p w:rsidR="00EE0979" w:rsidRDefault="00B022A0">
      <w:pPr>
        <w:spacing w:after="95" w:line="259" w:lineRule="auto"/>
        <w:ind w:left="14" w:firstLine="0"/>
        <w:jc w:val="left"/>
      </w:pPr>
      <w:r>
        <w:t xml:space="preserve"> </w:t>
      </w:r>
    </w:p>
    <w:p w:rsidR="00EE0979" w:rsidRDefault="00B022A0">
      <w:pPr>
        <w:spacing w:after="100" w:line="259" w:lineRule="auto"/>
        <w:ind w:left="0" w:right="36" w:firstLine="0"/>
        <w:jc w:val="center"/>
      </w:pPr>
      <w:r>
        <w:rPr>
          <w:b/>
        </w:rPr>
        <w:t xml:space="preserve"> </w:t>
      </w:r>
    </w:p>
    <w:p w:rsidR="00EE0979" w:rsidRDefault="00B022A0">
      <w:pPr>
        <w:pStyle w:val="Ttulo1"/>
        <w:numPr>
          <w:ilvl w:val="0"/>
          <w:numId w:val="0"/>
        </w:numPr>
        <w:spacing w:after="92"/>
        <w:ind w:left="624" w:right="706"/>
      </w:pPr>
      <w:r>
        <w:t xml:space="preserve">Conclusión </w:t>
      </w:r>
    </w:p>
    <w:p w:rsidR="00EE0979" w:rsidRDefault="00B022A0">
      <w:pPr>
        <w:spacing w:after="105"/>
        <w:ind w:right="100"/>
      </w:pPr>
      <w:r>
        <w:rPr>
          <w:b/>
        </w:rPr>
        <w:t xml:space="preserve">Dar traslado para su aprobación </w:t>
      </w:r>
      <w:r>
        <w:t xml:space="preserve">de los precios revisados, emitidos por la empresa adjudicataria ENDESA, conforme a lo establecido en la cláusula 16.3 del PCA. </w:t>
      </w:r>
    </w:p>
    <w:p w:rsidR="00EE0979" w:rsidRDefault="00B022A0">
      <w:pPr>
        <w:spacing w:line="331" w:lineRule="auto"/>
        <w:ind w:left="9" w:right="963" w:hanging="10"/>
      </w:pPr>
      <w:r>
        <w:rPr>
          <w:noProof/>
        </w:rPr>
        <w:drawing>
          <wp:inline distT="0" distB="0" distL="0" distR="0">
            <wp:extent cx="5401057" cy="2895600"/>
            <wp:effectExtent l="0" t="0" r="0" b="0"/>
            <wp:docPr id="26412" name="Picture 26412"/>
            <wp:cNvGraphicFramePr/>
            <a:graphic xmlns:a="http://schemas.openxmlformats.org/drawingml/2006/main">
              <a:graphicData uri="http://schemas.openxmlformats.org/drawingml/2006/picture">
                <pic:pic xmlns:pic="http://schemas.openxmlformats.org/drawingml/2006/picture">
                  <pic:nvPicPr>
                    <pic:cNvPr id="26412" name="Picture 26412"/>
                    <pic:cNvPicPr/>
                  </pic:nvPicPr>
                  <pic:blipFill>
                    <a:blip r:embed="rId56"/>
                    <a:stretch>
                      <a:fillRect/>
                    </a:stretch>
                  </pic:blipFill>
                  <pic:spPr>
                    <a:xfrm>
                      <a:off x="0" y="0"/>
                      <a:ext cx="5401057" cy="2895600"/>
                    </a:xfrm>
                    <a:prstGeom prst="rect">
                      <a:avLst/>
                    </a:prstGeom>
                  </pic:spPr>
                </pic:pic>
              </a:graphicData>
            </a:graphic>
          </wp:inline>
        </w:drawing>
      </w:r>
      <w:r>
        <w:t xml:space="preserve"> </w:t>
      </w:r>
      <w:r>
        <w:rPr>
          <w:i/>
        </w:rPr>
        <w:t xml:space="preserve">”. </w:t>
      </w:r>
    </w:p>
    <w:p w:rsidR="00EE0979" w:rsidRDefault="00B022A0">
      <w:pPr>
        <w:spacing w:after="100" w:line="259" w:lineRule="auto"/>
        <w:ind w:left="14" w:firstLine="0"/>
        <w:jc w:val="left"/>
      </w:pPr>
      <w:r>
        <w:rPr>
          <w:b/>
        </w:rPr>
        <w:t xml:space="preserve"> </w:t>
      </w:r>
    </w:p>
    <w:p w:rsidR="00EE0979" w:rsidRDefault="00B022A0">
      <w:pPr>
        <w:spacing w:after="112"/>
        <w:ind w:right="99" w:hanging="10"/>
      </w:pPr>
      <w:r>
        <w:rPr>
          <w:b/>
        </w:rPr>
        <w:t xml:space="preserve">NOVENO. - Consta emitido informe favorable por el Interventor municipal de fecha 24 de abril de 2023, que dice: </w:t>
      </w:r>
    </w:p>
    <w:p w:rsidR="00EE0979" w:rsidRDefault="00B022A0">
      <w:pPr>
        <w:spacing w:after="103" w:line="259" w:lineRule="auto"/>
        <w:ind w:left="14" w:firstLine="0"/>
        <w:jc w:val="left"/>
      </w:pPr>
      <w:r>
        <w:rPr>
          <w:b/>
        </w:rPr>
        <w:t xml:space="preserve"> </w:t>
      </w:r>
    </w:p>
    <w:p w:rsidR="00EE0979" w:rsidRDefault="00B022A0">
      <w:pPr>
        <w:spacing w:after="96" w:line="259" w:lineRule="auto"/>
        <w:ind w:left="14" w:firstLine="0"/>
        <w:jc w:val="left"/>
      </w:pPr>
      <w:r>
        <w:t xml:space="preserve"> </w:t>
      </w:r>
    </w:p>
    <w:p w:rsidR="00EE0979" w:rsidRDefault="00B022A0">
      <w:pPr>
        <w:pStyle w:val="Ttulo1"/>
        <w:numPr>
          <w:ilvl w:val="0"/>
          <w:numId w:val="0"/>
        </w:numPr>
        <w:spacing w:after="98"/>
        <w:ind w:left="624" w:right="710"/>
      </w:pPr>
      <w:r>
        <w:rPr>
          <w:b w:val="0"/>
        </w:rPr>
        <w:t>“</w:t>
      </w:r>
      <w:r>
        <w:t>IN</w:t>
      </w:r>
      <w:r>
        <w:t>FORME DE INTERVENCIÓN</w:t>
      </w:r>
      <w:r>
        <w:rPr>
          <w:b w:val="0"/>
        </w:rPr>
        <w:t xml:space="preserve"> </w:t>
      </w:r>
    </w:p>
    <w:p w:rsidR="00EE0979" w:rsidRDefault="00B022A0">
      <w:pPr>
        <w:spacing w:after="95" w:line="259" w:lineRule="auto"/>
        <w:ind w:left="14" w:firstLine="0"/>
        <w:jc w:val="left"/>
      </w:pPr>
      <w:r>
        <w:t xml:space="preserve">   </w:t>
      </w:r>
    </w:p>
    <w:p w:rsidR="00EE0979" w:rsidRDefault="00B022A0">
      <w:pPr>
        <w:spacing w:after="111"/>
        <w:ind w:right="100"/>
      </w:pPr>
      <w:r>
        <w:rPr>
          <w:b/>
        </w:rPr>
        <w:t>PRIMERO.</w:t>
      </w:r>
      <w:r>
        <w:t xml:space="preserve"> </w:t>
      </w:r>
      <w:r>
        <w:t>Vista la prórroga del Contrato basado en el Acuerdo Marco para la contratación del suministro de electricidad en alta y baja tensión del Ayuntamiento de Candelaria (Lote 7) a través de la Central de Contratación de la FEMP, que el pleno municipal aprobó el</w:t>
      </w:r>
      <w:r>
        <w:t xml:space="preserve"> 25 de febrero de 2021, a favor de la empresa ENDESA ENERGÍA S.A.U., CIF: A81948077, por un plazo de duración del contrato de un año, de conformidad con lo establecido en la cláusula 21.2 del Pliego de Cláusulas Administrativas Particulares, que rige el “A</w:t>
      </w:r>
      <w:r>
        <w:t xml:space="preserve">cuerdo Marco para el suministro de electricidad de alta y baja tensión de la Central de Contratación de la FEMP” y lo dispuesto en la normativa sectorial, pudiendo celebrarse prórrogas por períodos de un año hasta un máximo de tres años. </w:t>
      </w:r>
    </w:p>
    <w:p w:rsidR="00EE0979" w:rsidRDefault="00B022A0">
      <w:pPr>
        <w:spacing w:after="100" w:line="259" w:lineRule="auto"/>
        <w:ind w:left="14" w:firstLine="0"/>
        <w:jc w:val="left"/>
      </w:pPr>
      <w:r>
        <w:t xml:space="preserve"> </w:t>
      </w:r>
    </w:p>
    <w:p w:rsidR="00EE0979" w:rsidRDefault="00B022A0">
      <w:pPr>
        <w:spacing w:after="96" w:line="259" w:lineRule="auto"/>
        <w:ind w:left="14" w:firstLine="0"/>
        <w:jc w:val="left"/>
      </w:pPr>
      <w:r>
        <w:t xml:space="preserve"> </w:t>
      </w:r>
    </w:p>
    <w:p w:rsidR="00EE0979" w:rsidRDefault="00B022A0">
      <w:pPr>
        <w:spacing w:after="111"/>
        <w:ind w:right="100"/>
      </w:pPr>
      <w:r>
        <w:rPr>
          <w:b/>
        </w:rPr>
        <w:t>SEGUNDO.</w:t>
      </w:r>
      <w:r>
        <w:t xml:space="preserve"> </w:t>
      </w:r>
      <w:r>
        <w:t>Se incorpora documento contable 2.23.0.00634 correspondiente a las cantidades comprometidas para el ejercicio 2023, por un importe total de 553.000 Euros, en las aplicaciones presupuestarias 920.00-221.00, por importe de 263.000 Euros y 165.000-221.00, por</w:t>
      </w:r>
      <w:r>
        <w:t xml:space="preserve"> importe de 290.000 Euros, del Presupuesto General del ejercicio 2023, aprobado y publicado definitivamente en BOP el 10 de abril de 2023. </w:t>
      </w:r>
    </w:p>
    <w:p w:rsidR="00EE0979" w:rsidRDefault="00B022A0">
      <w:pPr>
        <w:spacing w:after="100" w:line="259" w:lineRule="auto"/>
        <w:ind w:left="14" w:firstLine="0"/>
        <w:jc w:val="left"/>
      </w:pPr>
      <w:r>
        <w:t xml:space="preserve"> </w:t>
      </w:r>
    </w:p>
    <w:p w:rsidR="00EE0979" w:rsidRDefault="00B022A0">
      <w:pPr>
        <w:spacing w:after="112"/>
        <w:ind w:right="100"/>
      </w:pPr>
      <w:r>
        <w:t xml:space="preserve"> Visto el Informe técnico que recoge las variaciones aplicables por tarifa y tramo horario al precio ofertado inic</w:t>
      </w:r>
      <w:r>
        <w:t>ialmente, según acumulado de las revisiones trimestrales aplicadas al Acuerdo Marco y convertidas según circular 3/2020 de la CNMC, se informa favorablemente el presente expediente de prórroga del contrato basado en el Acuerdo Marco de electricidad.</w:t>
      </w:r>
      <w:r>
        <w:rPr>
          <w:i/>
        </w:rPr>
        <w:t>”</w:t>
      </w: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0" w:right="38" w:firstLine="0"/>
        <w:jc w:val="center"/>
      </w:pPr>
      <w:r>
        <w:rPr>
          <w:rFonts w:ascii="Times New Roman" w:eastAsia="Times New Roman" w:hAnsi="Times New Roman" w:cs="Times New Roman"/>
          <w:b/>
          <w:sz w:val="24"/>
        </w:rPr>
        <w:t xml:space="preserve"> </w:t>
      </w:r>
    </w:p>
    <w:p w:rsidR="00EE0979" w:rsidRDefault="00B022A0">
      <w:pPr>
        <w:ind w:right="100"/>
      </w:pPr>
      <w:r>
        <w:rPr>
          <w:b/>
        </w:rPr>
        <w:t xml:space="preserve">DÉCIMO.-  </w:t>
      </w:r>
      <w:r>
        <w:t>Visto que consta correo electrónico recibido de la FEMP en el que manifiestan que la revisión de precios presentada por la empresa adjudicataria se ajusta a los acumulados trimestrales aplicables conforme a la cláusula 16.3 del PCA y publicadas</w:t>
      </w:r>
      <w:r>
        <w:t xml:space="preserve"> en la web de la FEMP.</w:t>
      </w:r>
      <w:r>
        <w:rPr>
          <w:b/>
        </w:rPr>
        <w:t xml:space="preserve"> </w:t>
      </w:r>
      <w:r>
        <w:rPr>
          <w:rFonts w:ascii="Times New Roman" w:eastAsia="Times New Roman" w:hAnsi="Times New Roman" w:cs="Times New Roman"/>
          <w:sz w:val="24"/>
        </w:rPr>
        <w:t xml:space="preserve"> </w:t>
      </w:r>
    </w:p>
    <w:p w:rsidR="00EE0979" w:rsidRDefault="00B022A0">
      <w:pPr>
        <w:spacing w:after="0" w:line="259" w:lineRule="auto"/>
        <w:ind w:left="0" w:right="36" w:firstLine="0"/>
        <w:jc w:val="center"/>
      </w:pPr>
      <w:r>
        <w:rPr>
          <w:b/>
        </w:rPr>
        <w:t xml:space="preserve"> </w:t>
      </w:r>
    </w:p>
    <w:p w:rsidR="00EE0979" w:rsidRDefault="00B022A0">
      <w:pPr>
        <w:spacing w:after="0" w:line="259" w:lineRule="auto"/>
        <w:ind w:left="2282" w:firstLine="0"/>
        <w:jc w:val="left"/>
      </w:pPr>
      <w:r>
        <w:rPr>
          <w:b/>
        </w:rPr>
        <w:t xml:space="preserve"> </w:t>
      </w:r>
    </w:p>
    <w:p w:rsidR="00EE0979" w:rsidRDefault="00B022A0">
      <w:pPr>
        <w:spacing w:after="9" w:line="249" w:lineRule="auto"/>
        <w:ind w:left="2292" w:right="94" w:hanging="10"/>
      </w:pPr>
      <w:r>
        <w:rPr>
          <w:b/>
          <w:u w:val="single" w:color="000000"/>
        </w:rPr>
        <w:t xml:space="preserve">    FUNDAMENTOS DE DERECHO</w:t>
      </w:r>
      <w:r>
        <w:rPr>
          <w:b/>
        </w:rPr>
        <w:t xml:space="preserve">  </w:t>
      </w:r>
    </w:p>
    <w:p w:rsidR="00EE0979" w:rsidRDefault="00B022A0">
      <w:pPr>
        <w:spacing w:after="0" w:line="259" w:lineRule="auto"/>
        <w:ind w:left="14" w:firstLine="0"/>
        <w:jc w:val="left"/>
      </w:pPr>
      <w:r>
        <w:t xml:space="preserve"> </w:t>
      </w:r>
    </w:p>
    <w:p w:rsidR="00EE0979" w:rsidRDefault="00B022A0">
      <w:pPr>
        <w:ind w:right="100"/>
      </w:pPr>
      <w:r>
        <w:rPr>
          <w:b/>
        </w:rPr>
        <w:t>PRIMERO.</w:t>
      </w:r>
      <w:r>
        <w:t xml:space="preserve"> El Pliego de Cláusulas Administrativas (en adelante, “PCA”), prevé en su cláusula 21.2 la posibilidad de solicitar prórrogas en sus contratos basados:</w:t>
      </w:r>
      <w:r>
        <w:rPr>
          <w:rFonts w:ascii="Times New Roman" w:eastAsia="Times New Roman" w:hAnsi="Times New Roman" w:cs="Times New Roman"/>
          <w:sz w:val="24"/>
        </w:rPr>
        <w:t xml:space="preserve"> </w:t>
      </w:r>
    </w:p>
    <w:p w:rsidR="00EE0979" w:rsidRDefault="00B022A0">
      <w:pPr>
        <w:ind w:left="9" w:right="98" w:hanging="10"/>
      </w:pPr>
      <w:r>
        <w:rPr>
          <w:i/>
        </w:rPr>
        <w:t xml:space="preserve">“La duración ordinaria de los Contratos basados será de un año, tal y como dispone la normativa sectorial de aplicación, pudiendo celebrarse prórrogas por periodos de un año, hasta un máximo de cinco años. Todo ello sin perjuicio de las altas eventuales y </w:t>
      </w:r>
      <w:r>
        <w:rPr>
          <w:i/>
        </w:rPr>
        <w:t>de temporada que surjan durante la vigencia y al amparo del contrato basado, conforme a lo establecido en los Pliegos, en el Acuerdo marco y en la normativa de aplicación, y ajustándose a la proposición económica presentada sobre el porcentaje de increment</w:t>
      </w:r>
      <w:r>
        <w:rPr>
          <w:i/>
        </w:rPr>
        <w:t xml:space="preserve">o máximo sobre los precios de energía de las tarifas de acceso para el suministro definitivo. </w:t>
      </w:r>
    </w:p>
    <w:p w:rsidR="00EE0979" w:rsidRDefault="00B022A0">
      <w:pPr>
        <w:spacing w:after="0" w:line="259" w:lineRule="auto"/>
        <w:ind w:left="14" w:firstLine="0"/>
        <w:jc w:val="left"/>
      </w:pPr>
      <w:r>
        <w:rPr>
          <w:i/>
        </w:rPr>
        <w:t xml:space="preserve"> </w:t>
      </w:r>
    </w:p>
    <w:p w:rsidR="00EE0979" w:rsidRDefault="00B022A0">
      <w:pPr>
        <w:ind w:left="9" w:right="98" w:hanging="10"/>
      </w:pPr>
      <w:r>
        <w:rPr>
          <w:b/>
        </w:rPr>
        <w:t>SEGUNDO.</w:t>
      </w:r>
      <w:r>
        <w:t xml:space="preserve"> De conformidad con lo indicado en el Documento de invitación y en la cláusula 21.2 del PCA y con la intención de continuar prestando el suministro de </w:t>
      </w:r>
      <w:r>
        <w:t xml:space="preserve">electricidad en alta y baja tensión en el Ayuntamiento de Candelaria, </w:t>
      </w:r>
      <w:r>
        <w:rPr>
          <w:i/>
        </w:rPr>
        <w:t>la prórroga resultará de obligada aceptación por parte del adjudicatario (y siempre que haya un preaviso de 2 meses, porque así lo establece el artículo 29.2  de la LCSP) salvo que la En</w:t>
      </w:r>
      <w:r>
        <w:rPr>
          <w:i/>
        </w:rPr>
        <w:t>tidad Local disponga lo contrario en el Documento de invitación y salvo que se dé la causa de resolución prevista en el artículo 198.6 de la LCSP por haberse demorado la Entidad Local en el pago del precio más de 6 meses, siempre que dicho impago no se pro</w:t>
      </w:r>
      <w:r>
        <w:rPr>
          <w:i/>
        </w:rPr>
        <w:t>duzca por incumplimiento de la empresa contratista, cuestiones ambas, que no se han producido. Si la EELL no lleva a cabo ese preaviso con 2 meses de antelación a la finalización del contrato, la prórroga será por acuerdo entre partes (dejará de ser potest</w:t>
      </w:r>
      <w:r>
        <w:rPr>
          <w:i/>
        </w:rPr>
        <w:t xml:space="preserve">ad de la administración).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ind w:left="9" w:right="98" w:hanging="10"/>
      </w:pPr>
      <w:r>
        <w:rPr>
          <w:i/>
        </w:rPr>
        <w:t>Para la tramitación de la prórroga anual, los precios vigentes en el contrato basado serán objeto de revisión (</w:t>
      </w:r>
      <w:r>
        <w:t>Incluso en el caso de que no se produzca el preaviso de 2 meses por parte de la administración,)</w:t>
      </w:r>
      <w:r>
        <w:rPr>
          <w:i/>
        </w:rPr>
        <w:t xml:space="preserve">. En este sentido, </w:t>
      </w:r>
      <w:r>
        <w:rPr>
          <w:i/>
        </w:rPr>
        <w:t>la adjudicataria estará obligada a comunicar al responsable del contrato basado de la Entidad Local, con al menos cuarenta y cinco días de antelación a la finalización del contrato basado, los precios revisados conforme a lo establecido en la cláusula 16.3</w:t>
      </w:r>
      <w:r>
        <w:rPr>
          <w:i/>
        </w:rPr>
        <w:t xml:space="preserve"> del PCA, con la diferencia de que el primer reajuste de umbrales que se realice tomará los precios –Umbral (i-1)– ofertado originalmente por las empresas adjudicatarias para el contrato basado.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i/>
        </w:rPr>
        <w:t xml:space="preserve"> </w:t>
      </w:r>
    </w:p>
    <w:p w:rsidR="00EE0979" w:rsidRDefault="00B022A0">
      <w:pPr>
        <w:spacing w:after="0" w:line="259" w:lineRule="auto"/>
        <w:ind w:left="14" w:firstLine="0"/>
        <w:jc w:val="left"/>
      </w:pPr>
      <w:r>
        <w:rPr>
          <w:i/>
        </w:rPr>
        <w:t xml:space="preserve"> </w:t>
      </w:r>
    </w:p>
    <w:p w:rsidR="00EE0979" w:rsidRDefault="00B022A0">
      <w:pPr>
        <w:ind w:left="9" w:right="98" w:hanging="10"/>
      </w:pPr>
      <w:r>
        <w:rPr>
          <w:i/>
        </w:rPr>
        <w:t>En el plazo de quince días desde la recepción de los pr</w:t>
      </w:r>
      <w:r>
        <w:rPr>
          <w:i/>
        </w:rPr>
        <w:t xml:space="preserve">ecios revisados, siempre con un mes de antelación a la finalización del contrato basado, la Entidad Local deberá comunicar su intención de prorrogar el contrato basado por un año más. </w:t>
      </w:r>
      <w:r>
        <w:rPr>
          <w:b/>
          <w:i/>
        </w:rPr>
        <w:t>En caso de que dicha comunicación sobre la conformidad con los precios r</w:t>
      </w:r>
      <w:r>
        <w:rPr>
          <w:b/>
          <w:i/>
        </w:rPr>
        <w:t>evisados no se produzca por parte de la Administración</w:t>
      </w:r>
      <w:r>
        <w:rPr>
          <w:i/>
        </w:rPr>
        <w:t xml:space="preserve">, de conformidad con lo previsto en el artículo 29.2 de la LCSP según el cual: “En ningún caso podrá producirse la prórroga por el consentimiento tácito de las partes”, </w:t>
      </w:r>
      <w:r>
        <w:rPr>
          <w:b/>
          <w:i/>
        </w:rPr>
        <w:t>la empresa procederá, en el plazo</w:t>
      </w:r>
      <w:r>
        <w:rPr>
          <w:b/>
          <w:i/>
        </w:rPr>
        <w:t xml:space="preserve"> de los 5 días hábiles anteriores a la fecha de finalización del suministro indicada más arriba a realizar los trámites oportunos para dar de baja los puntos de suministro objeto del contrato basado</w:t>
      </w:r>
      <w:r>
        <w:rPr>
          <w:i/>
        </w:rPr>
        <w:t>. Al producirse la extinción del contrato, la empresa Dist</w:t>
      </w:r>
      <w:r>
        <w:rPr>
          <w:i/>
        </w:rPr>
        <w:t>ribuidora procederá a asignar estos suministros a la comercializadora de último recurso, en aplicación de la normativa vigente, R.D. 216/2014, que en el apartado d) del artículo 4 establece que los comercializadores de referencia deberán atender las solici</w:t>
      </w:r>
      <w:r>
        <w:rPr>
          <w:i/>
        </w:rPr>
        <w:t>tudes de suministro de energía eléctrica y formalizar los correspondientes contratos con los consumidores, que sin cumplir los requisitos para la aplicación del precio voluntario para el pequeño consumidor, transitoriamente carecen de contrato en vigor con</w:t>
      </w:r>
      <w:r>
        <w:rPr>
          <w:i/>
        </w:rPr>
        <w:t xml:space="preserve"> un comercializador libre, y les resulten de aplicación las correspondientes tarifas de último recurso de acuerdo con lo previsto en el</w:t>
      </w:r>
      <w:hyperlink r:id="rId60" w:anchor="I212">
        <w:r>
          <w:rPr>
            <w:i/>
          </w:rPr>
          <w:t xml:space="preserve"> </w:t>
        </w:r>
      </w:hyperlink>
      <w:hyperlink r:id="rId61" w:anchor="I212">
        <w:r>
          <w:rPr>
            <w:i/>
            <w:color w:val="0000FF"/>
            <w:u w:val="single" w:color="0000FF"/>
          </w:rPr>
          <w:t>artículo 17.3 de la Ley 24/2013, de 26 de diciembre</w:t>
        </w:r>
      </w:hyperlink>
      <w:hyperlink r:id="rId62" w:anchor="I212">
        <w:r>
          <w:rPr>
            <w:i/>
          </w:rPr>
          <w:t>.</w:t>
        </w:r>
      </w:hyperlink>
      <w:r>
        <w:t xml:space="preserve">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ind w:right="100"/>
      </w:pPr>
      <w:r>
        <w:rPr>
          <w:b/>
        </w:rPr>
        <w:t>TERCERO.</w:t>
      </w:r>
      <w:r>
        <w:t xml:space="preserve"> Las condiciones que deberán regir esta prórroga serán las mismas que las del contrato basado y se mantendrán inalt</w:t>
      </w:r>
      <w:r>
        <w:t>erables durante toda la vigencia de la prórroga, tal y como se establece en el PCA, a excepción de la revisión de precios prevista en el mismo.</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left="1152" w:right="100"/>
      </w:pPr>
      <w:r>
        <w:t xml:space="preserve">En virtud de lo anterior, se emite la siguiente, </w:t>
      </w:r>
    </w:p>
    <w:p w:rsidR="00EE0979" w:rsidRDefault="00B022A0">
      <w:pPr>
        <w:spacing w:after="0" w:line="259" w:lineRule="auto"/>
        <w:ind w:left="1147" w:firstLine="0"/>
        <w:jc w:val="left"/>
      </w:pPr>
      <w:r>
        <w:t xml:space="preserve"> </w:t>
      </w:r>
    </w:p>
    <w:p w:rsidR="00EE0979" w:rsidRDefault="00B022A0">
      <w:pPr>
        <w:spacing w:after="0" w:line="259" w:lineRule="auto"/>
        <w:ind w:left="1147" w:firstLine="0"/>
        <w:jc w:val="left"/>
      </w:pPr>
      <w:r>
        <w:t xml:space="preserve"> </w:t>
      </w:r>
    </w:p>
    <w:p w:rsidR="00EE0979" w:rsidRDefault="00B022A0">
      <w:pPr>
        <w:spacing w:after="0" w:line="259" w:lineRule="auto"/>
        <w:ind w:left="1147" w:firstLine="0"/>
        <w:jc w:val="left"/>
      </w:pPr>
      <w:r>
        <w:t xml:space="preserve"> </w:t>
      </w:r>
    </w:p>
    <w:p w:rsidR="00EE0979" w:rsidRDefault="00B022A0">
      <w:pPr>
        <w:spacing w:after="0" w:line="259" w:lineRule="auto"/>
        <w:ind w:left="1147" w:firstLine="0"/>
        <w:jc w:val="left"/>
      </w:pPr>
      <w:r>
        <w:t xml:space="preserve">  </w:t>
      </w:r>
    </w:p>
    <w:p w:rsidR="00EE0979" w:rsidRDefault="00B022A0">
      <w:pPr>
        <w:spacing w:after="0" w:line="259" w:lineRule="auto"/>
        <w:ind w:left="14" w:firstLine="0"/>
        <w:jc w:val="left"/>
      </w:pPr>
      <w:r>
        <w:t xml:space="preserve"> </w:t>
      </w:r>
    </w:p>
    <w:p w:rsidR="00EE0979" w:rsidRDefault="00B022A0">
      <w:pPr>
        <w:pStyle w:val="Ttulo1"/>
        <w:numPr>
          <w:ilvl w:val="0"/>
          <w:numId w:val="0"/>
        </w:numPr>
        <w:ind w:left="624" w:right="703"/>
      </w:pPr>
      <w:r>
        <w:t xml:space="preserve">PROPUESTA DE RESOLUCIÓN </w:t>
      </w:r>
    </w:p>
    <w:p w:rsidR="00EE0979" w:rsidRDefault="00B022A0">
      <w:pPr>
        <w:spacing w:after="0" w:line="259" w:lineRule="auto"/>
        <w:ind w:left="14" w:firstLine="0"/>
        <w:jc w:val="left"/>
      </w:pPr>
      <w:r>
        <w:t xml:space="preserve"> </w:t>
      </w:r>
    </w:p>
    <w:p w:rsidR="00EE0979" w:rsidRDefault="00B022A0">
      <w:pPr>
        <w:ind w:right="100"/>
      </w:pPr>
      <w:r>
        <w:rPr>
          <w:b/>
        </w:rPr>
        <w:t xml:space="preserve">PRIMERO. - </w:t>
      </w:r>
      <w:r>
        <w:t>Prorrogar el Contrato basado para el suministro de electricidad en alta y baja tensión desde el día 06/05/2023 hasta el 06/05/2024, aplicándose los precios revisados conforme a lo establecido en la cláusula 16.3 del PCA, figurando en el informe técnico del</w:t>
      </w:r>
      <w:r>
        <w:t xml:space="preserve"> responsable del contrato de fecha 21 de abril de 2023, y que se detallan a continuación: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0" w:right="1096" w:firstLine="0"/>
        <w:jc w:val="right"/>
      </w:pPr>
      <w:r>
        <w:rPr>
          <w:noProof/>
        </w:rPr>
        <w:drawing>
          <wp:inline distT="0" distB="0" distL="0" distR="0">
            <wp:extent cx="5401057" cy="2895600"/>
            <wp:effectExtent l="0" t="0" r="0" b="0"/>
            <wp:docPr id="26714" name="Picture 26714"/>
            <wp:cNvGraphicFramePr/>
            <a:graphic xmlns:a="http://schemas.openxmlformats.org/drawingml/2006/main">
              <a:graphicData uri="http://schemas.openxmlformats.org/drawingml/2006/picture">
                <pic:pic xmlns:pic="http://schemas.openxmlformats.org/drawingml/2006/picture">
                  <pic:nvPicPr>
                    <pic:cNvPr id="26714" name="Picture 26714"/>
                    <pic:cNvPicPr/>
                  </pic:nvPicPr>
                  <pic:blipFill>
                    <a:blip r:embed="rId56"/>
                    <a:stretch>
                      <a:fillRect/>
                    </a:stretch>
                  </pic:blipFill>
                  <pic:spPr>
                    <a:xfrm>
                      <a:off x="0" y="0"/>
                      <a:ext cx="5401057" cy="289560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ind w:right="100"/>
      </w:pPr>
      <w:r>
        <w:rPr>
          <w:b/>
        </w:rPr>
        <w:t>SEGUNDO.-</w:t>
      </w:r>
      <w:r>
        <w:t xml:space="preserve">  Comunicar esta resolución a la empresa adjudicataria a través de la plataforma informática de la Central de Contratación, publicarla en el perfil d</w:t>
      </w:r>
      <w:r>
        <w:t xml:space="preserve">el contratante de esta Entidad Local y notificarla conforme a lo establecido en la LCSP. “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95" w:line="259" w:lineRule="auto"/>
        <w:ind w:left="722" w:firstLine="0"/>
        <w:jc w:val="left"/>
      </w:pPr>
      <w:r>
        <w:t xml:space="preserve"> </w:t>
      </w:r>
    </w:p>
    <w:p w:rsidR="00EE0979" w:rsidRDefault="00B022A0">
      <w:pPr>
        <w:tabs>
          <w:tab w:val="center" w:pos="722"/>
          <w:tab w:val="center" w:pos="5314"/>
        </w:tabs>
        <w:spacing w:after="121"/>
        <w:ind w:left="0" w:firstLine="0"/>
        <w:jc w:val="left"/>
      </w:pPr>
      <w:r>
        <w:rPr>
          <w:rFonts w:ascii="Calibri" w:eastAsia="Calibri" w:hAnsi="Calibri" w:cs="Calibri"/>
        </w:rPr>
        <w:tab/>
      </w:r>
      <w:r>
        <w:t xml:space="preserve"> </w:t>
      </w:r>
      <w:r>
        <w:tab/>
        <w:t xml:space="preserve">En virtud de lo expuesto se somete al </w:t>
      </w:r>
      <w:r>
        <w:rPr>
          <w:b/>
        </w:rPr>
        <w:t xml:space="preserve">Pleno </w:t>
      </w:r>
      <w:r>
        <w:t xml:space="preserve">la siguiente propuesta de acuerdo: </w:t>
      </w:r>
    </w:p>
    <w:p w:rsidR="00EE0979" w:rsidRDefault="00B022A0">
      <w:pPr>
        <w:spacing w:after="95" w:line="259" w:lineRule="auto"/>
        <w:ind w:left="14" w:firstLine="0"/>
        <w:jc w:val="left"/>
      </w:pPr>
      <w:r>
        <w:t xml:space="preserve"> </w:t>
      </w:r>
    </w:p>
    <w:p w:rsidR="00EE0979" w:rsidRDefault="00B022A0">
      <w:pPr>
        <w:pStyle w:val="Ttulo1"/>
        <w:numPr>
          <w:ilvl w:val="0"/>
          <w:numId w:val="0"/>
        </w:numPr>
        <w:spacing w:after="95"/>
        <w:ind w:left="624" w:right="712"/>
      </w:pPr>
      <w:r>
        <w:t xml:space="preserve">PROPUESTA DE ACUERDO </w:t>
      </w:r>
    </w:p>
    <w:p w:rsidR="00EE0979" w:rsidRDefault="00B022A0">
      <w:pPr>
        <w:ind w:right="100"/>
      </w:pPr>
      <w:r>
        <w:rPr>
          <w:b/>
        </w:rPr>
        <w:t xml:space="preserve">PRIMERO. - </w:t>
      </w:r>
      <w:r>
        <w:t>Prorrogar el Contrato basado para el sumi</w:t>
      </w:r>
      <w:r>
        <w:t xml:space="preserve">nistro de electricidad en alta y baja tensión desde el día 06/05/2023 hasta el 06/05/2024, aplicándose los precios revisados conforme a lo establecido en la cláusula 16.3 del PCA, figurando en el informe técnico del responsable del contrato de fecha 21 de </w:t>
      </w:r>
      <w:r>
        <w:t>abril de 2023, y que se detallan a continuación:</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0" w:right="1096" w:firstLine="0"/>
        <w:jc w:val="right"/>
      </w:pPr>
      <w:r>
        <w:rPr>
          <w:noProof/>
        </w:rPr>
        <w:drawing>
          <wp:inline distT="0" distB="0" distL="0" distR="0">
            <wp:extent cx="5401057" cy="2895600"/>
            <wp:effectExtent l="0" t="0" r="0" b="0"/>
            <wp:docPr id="26788" name="Picture 26788"/>
            <wp:cNvGraphicFramePr/>
            <a:graphic xmlns:a="http://schemas.openxmlformats.org/drawingml/2006/main">
              <a:graphicData uri="http://schemas.openxmlformats.org/drawingml/2006/picture">
                <pic:pic xmlns:pic="http://schemas.openxmlformats.org/drawingml/2006/picture">
                  <pic:nvPicPr>
                    <pic:cNvPr id="26788" name="Picture 26788"/>
                    <pic:cNvPicPr/>
                  </pic:nvPicPr>
                  <pic:blipFill>
                    <a:blip r:embed="rId56"/>
                    <a:stretch>
                      <a:fillRect/>
                    </a:stretch>
                  </pic:blipFill>
                  <pic:spPr>
                    <a:xfrm>
                      <a:off x="0" y="0"/>
                      <a:ext cx="5401057" cy="289560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109"/>
        <w:ind w:right="100"/>
      </w:pPr>
      <w:r>
        <w:rPr>
          <w:b/>
        </w:rPr>
        <w:t>SEGUNDO. -</w:t>
      </w:r>
      <w:r>
        <w:t xml:space="preserve">  </w:t>
      </w:r>
      <w:r>
        <w:t xml:space="preserve">Comunicar esta resolución a la empresa adjudicataria a través de la plataforma informática de la Central de Contratación, publicarla en el perfil del contratante de esta Entidad Local y notificarla conforme a lo establecido en la LCSP. </w:t>
      </w:r>
    </w:p>
    <w:p w:rsidR="00EE0979" w:rsidRDefault="00B022A0">
      <w:pPr>
        <w:spacing w:after="114" w:line="259" w:lineRule="auto"/>
        <w:ind w:left="0" w:right="36" w:firstLine="0"/>
        <w:jc w:val="center"/>
      </w:pPr>
      <w:r>
        <w:rPr>
          <w:b/>
        </w:rPr>
        <w:t xml:space="preserve"> </w:t>
      </w:r>
    </w:p>
    <w:p w:rsidR="00EE0979" w:rsidRDefault="00B022A0">
      <w:pPr>
        <w:spacing w:after="6"/>
        <w:ind w:right="99" w:hanging="10"/>
      </w:pPr>
      <w:r>
        <w:rPr>
          <w:rFonts w:ascii="Times New Roman" w:eastAsia="Times New Roman" w:hAnsi="Times New Roman" w:cs="Times New Roman"/>
          <w:b/>
          <w:sz w:val="24"/>
        </w:rPr>
        <w:t xml:space="preserve"> </w:t>
      </w:r>
      <w:r>
        <w:rPr>
          <w:b/>
        </w:rPr>
        <w:t>El presente asunto al no estar dictaminado por la Comisión Informativa de Hacienda el pleno ratificó la urgencia y su inclusión en el orden del día por la unanimidad de los 18 concejales presentes.</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VOTACIÓN EN EL PLENO DE 27 DE ABRIL DE 2023 </w:t>
      </w:r>
    </w:p>
    <w:p w:rsidR="00EE0979" w:rsidRDefault="00B022A0">
      <w:pPr>
        <w:spacing w:after="0" w:line="259" w:lineRule="auto"/>
        <w:ind w:left="1433" w:firstLine="0"/>
        <w:jc w:val="left"/>
      </w:pPr>
      <w:r>
        <w:rPr>
          <w:b/>
        </w:rPr>
        <w:t xml:space="preserve"> </w:t>
      </w:r>
    </w:p>
    <w:p w:rsidR="00EE0979" w:rsidRDefault="00B022A0">
      <w:pPr>
        <w:tabs>
          <w:tab w:val="center" w:pos="3718"/>
        </w:tabs>
        <w:ind w:left="0" w:firstLine="0"/>
        <w:jc w:val="left"/>
      </w:pPr>
      <w:r>
        <w:t xml:space="preserve"> </w:t>
      </w:r>
      <w:r>
        <w:tab/>
        <w:t xml:space="preserve">Votos </w:t>
      </w:r>
      <w:r>
        <w:t xml:space="preserve">a favor: La unanimidad de los 18 concejales presentes. </w:t>
      </w:r>
    </w:p>
    <w:p w:rsidR="00EE0979" w:rsidRDefault="00B022A0">
      <w:pPr>
        <w:spacing w:after="0" w:line="259" w:lineRule="auto"/>
        <w:ind w:left="14" w:firstLine="0"/>
        <w:jc w:val="left"/>
      </w:pPr>
      <w:r>
        <w:t xml:space="preserve"> </w:t>
      </w:r>
    </w:p>
    <w:p w:rsidR="00EE0979" w:rsidRDefault="00B022A0">
      <w:pPr>
        <w:ind w:right="100"/>
      </w:pPr>
      <w:r>
        <w:t>11 concejales del Grupo Socialista: Doña María Concepción Brito Núñez, Doña Don Jorge Baute Delgado, Doña Olivia Concepción Pérez Díaz, Don José Francisco Pinto Ramos, Doña Hilaria Cecilia Otazo Gon</w:t>
      </w:r>
      <w:r>
        <w:t xml:space="preserve">zález, Don Airam Pérez Chinea, Doña Margarita Eva Tendero Barroso, Don Manuel Alberto González Pestano, Doña María del Carmen Clemente Díaz,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3 concejales del Grupo Popular: Don And</w:t>
      </w:r>
      <w:r>
        <w:t xml:space="preserve">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 xml:space="preserve">2 de los concejales del Grupo Mixto (CC-PNC): Doña Ángela Cruz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1 de la concejal del Grupo Mixto (SSP): Doña Lourdes del Carmen Mondéja</w:t>
      </w:r>
      <w:r>
        <w:t xml:space="preserve">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   ACUERDO DEL PLENO DE 27 DE ABRIL DE 2023.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 xml:space="preserve">PRIMERO. - Prorrogar el contrato basado para el </w:t>
      </w:r>
      <w:r>
        <w:rPr>
          <w:b/>
        </w:rPr>
        <w:t>suministro de electricidad en alta y baja tensión desde el día 06/05/2023 hasta el 06/05/2024, aplicándose los precios revisados conforme a lo establecido en la cláusula 16.3 del PCA, figurando en el informe técnico del responsable del contrato de fecha 21</w:t>
      </w:r>
      <w:r>
        <w:rPr>
          <w:b/>
        </w:rPr>
        <w:t xml:space="preserve"> de abril de 2023, y que se detallan a continuación: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0" w:right="1096" w:firstLine="0"/>
        <w:jc w:val="right"/>
      </w:pPr>
      <w:r>
        <w:rPr>
          <w:noProof/>
        </w:rPr>
        <w:drawing>
          <wp:inline distT="0" distB="0" distL="0" distR="0">
            <wp:extent cx="5401057" cy="2895600"/>
            <wp:effectExtent l="0" t="0" r="0" b="0"/>
            <wp:docPr id="26857" name="Picture 26857"/>
            <wp:cNvGraphicFramePr/>
            <a:graphic xmlns:a="http://schemas.openxmlformats.org/drawingml/2006/main">
              <a:graphicData uri="http://schemas.openxmlformats.org/drawingml/2006/picture">
                <pic:pic xmlns:pic="http://schemas.openxmlformats.org/drawingml/2006/picture">
                  <pic:nvPicPr>
                    <pic:cNvPr id="26857" name="Picture 26857"/>
                    <pic:cNvPicPr/>
                  </pic:nvPicPr>
                  <pic:blipFill>
                    <a:blip r:embed="rId56"/>
                    <a:stretch>
                      <a:fillRect/>
                    </a:stretch>
                  </pic:blipFill>
                  <pic:spPr>
                    <a:xfrm>
                      <a:off x="0" y="0"/>
                      <a:ext cx="5401057" cy="2895600"/>
                    </a:xfrm>
                    <a:prstGeom prst="rect">
                      <a:avLst/>
                    </a:prstGeom>
                  </pic:spPr>
                </pic:pic>
              </a:graphicData>
            </a:graphic>
          </wp:inline>
        </w:drawing>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158"/>
        <w:ind w:right="99" w:hanging="10"/>
      </w:pPr>
      <w:r>
        <w:rPr>
          <w:b/>
        </w:rPr>
        <w:t>SEGUNDO. -  Comunicar esta resolución a la empresa adjudicataria a través de la plataforma informática de la Central de Contratación, publicarla en el perfil del contratante de esta Entidad Local</w:t>
      </w:r>
      <w:r>
        <w:rPr>
          <w:b/>
        </w:rPr>
        <w:t xml:space="preserve"> y notificarla conforme a lo establecido en la LCSP.</w:t>
      </w:r>
      <w:r>
        <w:t xml:space="preserve"> </w:t>
      </w:r>
    </w:p>
    <w:p w:rsidR="00EE0979" w:rsidRDefault="00B022A0">
      <w:pPr>
        <w:spacing w:after="0" w:line="426" w:lineRule="auto"/>
        <w:ind w:left="14" w:right="9614" w:firstLine="0"/>
        <w:jc w:val="left"/>
      </w:pPr>
      <w:r>
        <w:rPr>
          <w:b/>
          <w:color w:val="222222"/>
        </w:rPr>
        <w:t xml:space="preserve">      </w:t>
      </w:r>
    </w:p>
    <w:p w:rsidR="00EE0979" w:rsidRDefault="00B022A0">
      <w:pPr>
        <w:spacing w:after="0" w:line="426" w:lineRule="auto"/>
        <w:ind w:left="14" w:right="9614" w:firstLine="0"/>
        <w:jc w:val="left"/>
      </w:pPr>
      <w:r>
        <w:rPr>
          <w:b/>
          <w:color w:val="222222"/>
        </w:rPr>
        <w:t xml:space="preserve">   </w:t>
      </w:r>
    </w:p>
    <w:p w:rsidR="00EE0979" w:rsidRDefault="00B022A0">
      <w:pPr>
        <w:spacing w:after="0" w:line="259" w:lineRule="auto"/>
        <w:ind w:left="14" w:firstLine="0"/>
        <w:jc w:val="left"/>
      </w:pPr>
      <w:r>
        <w:t xml:space="preserve"> </w:t>
      </w:r>
    </w:p>
    <w:p w:rsidR="00EE0979" w:rsidRDefault="00B022A0">
      <w:pPr>
        <w:spacing w:after="91" w:line="250" w:lineRule="auto"/>
        <w:ind w:left="9" w:right="102" w:hanging="10"/>
      </w:pPr>
      <w:r>
        <w:t xml:space="preserve">  </w:t>
      </w:r>
      <w:r>
        <w:rPr>
          <w:b/>
          <w:sz w:val="24"/>
        </w:rPr>
        <w:t>URGENCIAS P3.- Expediente 99/2023. Concesión de ayudas al programa de incentivos a proyectos piloto de comunidades energéticas (Programa CE Implementa) en el marco del PRTR.</w:t>
      </w:r>
      <w:r>
        <w:t xml:space="preserve"> </w:t>
      </w:r>
    </w:p>
    <w:p w:rsidR="00EE0979" w:rsidRDefault="00B022A0">
      <w:pPr>
        <w:spacing w:after="98" w:line="259" w:lineRule="auto"/>
        <w:ind w:left="14" w:firstLine="0"/>
        <w:jc w:val="left"/>
      </w:pPr>
      <w:r>
        <w:rPr>
          <w:b/>
        </w:rPr>
        <w:t xml:space="preserve"> </w:t>
      </w:r>
    </w:p>
    <w:p w:rsidR="00EE0979" w:rsidRDefault="00B022A0">
      <w:pPr>
        <w:spacing w:after="116"/>
        <w:ind w:right="99" w:hanging="10"/>
      </w:pPr>
      <w:r>
        <w:rPr>
          <w:b/>
        </w:rPr>
        <w:t>Consta en el expediente Informe Técnico emitido por Doña María Cristina Díaz Rodríguez, Agente de Empleo y Desarrollo Local, de 20 de abril de 2023, del siguiente tenor literal:</w:t>
      </w:r>
      <w:r>
        <w:t xml:space="preserve"> </w:t>
      </w:r>
    </w:p>
    <w:p w:rsidR="00EE0979" w:rsidRDefault="00B022A0">
      <w:pPr>
        <w:spacing w:after="257" w:line="259" w:lineRule="auto"/>
        <w:ind w:left="14" w:firstLine="0"/>
        <w:jc w:val="left"/>
      </w:pPr>
      <w:r>
        <w:t xml:space="preserve"> </w:t>
      </w:r>
    </w:p>
    <w:p w:rsidR="00EE0979" w:rsidRDefault="00B022A0">
      <w:pPr>
        <w:pStyle w:val="Ttulo1"/>
        <w:numPr>
          <w:ilvl w:val="0"/>
          <w:numId w:val="0"/>
        </w:numPr>
        <w:spacing w:after="431"/>
        <w:ind w:left="624" w:right="855"/>
      </w:pPr>
      <w:r>
        <w:t>“INFORME TÉCNICO</w:t>
      </w:r>
      <w:r>
        <w:rPr>
          <w:rFonts w:ascii="Times New Roman" w:eastAsia="Times New Roman" w:hAnsi="Times New Roman" w:cs="Times New Roman"/>
          <w:b w:val="0"/>
          <w:sz w:val="24"/>
        </w:rPr>
        <w:t xml:space="preserve"> </w:t>
      </w:r>
    </w:p>
    <w:p w:rsidR="00EE0979" w:rsidRDefault="00B022A0">
      <w:pPr>
        <w:spacing w:after="449"/>
        <w:ind w:right="99" w:hanging="10"/>
      </w:pPr>
      <w:r>
        <w:rPr>
          <w:b/>
        </w:rPr>
        <w:t>Visto el expediente antedicho, Doña María Cristina Díaz R</w:t>
      </w:r>
      <w:r>
        <w:rPr>
          <w:b/>
        </w:rPr>
        <w:t>odríguez, que desempeña el puesto de trabajo de Técnica de la Agencia de Empleo y Desarrollo Local emite el siguiente informe:</w:t>
      </w:r>
      <w:r>
        <w:rPr>
          <w:rFonts w:ascii="Times New Roman" w:eastAsia="Times New Roman" w:hAnsi="Times New Roman" w:cs="Times New Roman"/>
          <w:sz w:val="24"/>
        </w:rPr>
        <w:t xml:space="preserve"> </w:t>
      </w:r>
    </w:p>
    <w:p w:rsidR="00EE0979" w:rsidRDefault="00B022A0">
      <w:pPr>
        <w:ind w:right="100"/>
      </w:pPr>
      <w:r>
        <w:t>Primero.- Con fecha 2 de marzo de 2023 y registro de entrada núm. 2023-E-RE-1268  se presenta por parte de la empresa Energy Res</w:t>
      </w:r>
      <w:r>
        <w:t xml:space="preserve">arch &amp; Intelligence Solutions, S.L. provista de NIF núm. </w:t>
      </w:r>
    </w:p>
    <w:p w:rsidR="00EE0979" w:rsidRDefault="00B022A0">
      <w:pPr>
        <w:ind w:right="100"/>
      </w:pPr>
      <w:r>
        <w:t xml:space="preserve">B.02857480 a través de su representante D. Ricardo Luis Guerrero Lemus con NIF. núm. **3583**M, los siguientes documentos: </w:t>
      </w:r>
    </w:p>
    <w:p w:rsidR="00EE0979" w:rsidRDefault="00B022A0">
      <w:pPr>
        <w:spacing w:after="0" w:line="259" w:lineRule="auto"/>
        <w:ind w:left="14" w:firstLine="0"/>
        <w:jc w:val="left"/>
      </w:pPr>
      <w:r>
        <w:t xml:space="preserve"> </w:t>
      </w:r>
    </w:p>
    <w:p w:rsidR="00EE0979" w:rsidRDefault="00B022A0">
      <w:pPr>
        <w:spacing w:after="30"/>
        <w:ind w:left="456" w:right="100"/>
      </w:pPr>
      <w:r>
        <w:t xml:space="preserve">1º.- SG-S1 Solicitud genérica firmada electrónicamente el 2 de marzo de </w:t>
      </w:r>
      <w:r>
        <w:t xml:space="preserve">2023 con el siguiente tenor literal:  </w:t>
      </w:r>
    </w:p>
    <w:p w:rsidR="00EE0979" w:rsidRDefault="00B022A0">
      <w:pPr>
        <w:ind w:right="100"/>
      </w:pPr>
      <w:r>
        <w:t xml:space="preserve">“Expone: Habiéndose publicado en el Boletín Oficial de la Provincia de Santa Cruz de  </w:t>
      </w:r>
    </w:p>
    <w:p w:rsidR="00EE0979" w:rsidRDefault="00B022A0">
      <w:pPr>
        <w:ind w:right="100"/>
      </w:pPr>
      <w:r>
        <w:t xml:space="preserve">Tenerife (nº 24) el viernes 14 de febrero de 2023 el Anuncio del Ayuntamiento de la  </w:t>
      </w:r>
    </w:p>
    <w:p w:rsidR="00EE0979" w:rsidRDefault="00B022A0">
      <w:pPr>
        <w:ind w:left="737" w:right="100"/>
      </w:pPr>
      <w:r>
        <w:t xml:space="preserve">Villa de Candelaria el Acuerdo del Pleno de </w:t>
      </w:r>
      <w:r>
        <w:t xml:space="preserve">aprobación inicial de la Comunidad Energética de Candelaria, y una vez teniendo conocimiento del contenido del expediente. </w:t>
      </w:r>
    </w:p>
    <w:p w:rsidR="00EE0979" w:rsidRDefault="00B022A0">
      <w:pPr>
        <w:spacing w:after="524"/>
        <w:ind w:left="737" w:right="100"/>
      </w:pPr>
      <w:r>
        <w:t>Solicita: que se considere la modificación de los Estatutos y Reglamento de dicha asociación de acuerdo con las propuestas que se ad</w:t>
      </w:r>
      <w:r>
        <w:t>juntan, las cuales se estima que permitirán cumplir de forma más adecuada los fines de la misma. También se solicita, si se considera a bien por parte del Ayuntamiento de la Villa de Candelaria, la incorporación de nuestra empresa denominada "Energy Resear</w:t>
      </w:r>
      <w:r>
        <w:t>ch &amp; Intelligence Solutions, S.L.U.", reconocida como empresa spin-off de la Universidad de La Laguna por Acuerdo de su Consejo Social de fecha 8 de abril de 2021 (el cual se adjunta) como miembro de dicha asociación, dado que, como recoge el punto Segundo</w:t>
      </w:r>
      <w:r>
        <w:t xml:space="preserve"> del acuerdo plenario, se trata de una pyme que desarrolla proyectos de energías renovables y eficiencia energética que son propiedad de la empresa y cuya finalidad primordial es proporcionar beneficios medioambientales, económicos y sociales en lugar de g</w:t>
      </w:r>
      <w:r>
        <w:t xml:space="preserve">anancias financieras.” </w:t>
      </w:r>
    </w:p>
    <w:p w:rsidR="00EE0979" w:rsidRDefault="00B022A0">
      <w:pPr>
        <w:spacing w:after="29"/>
        <w:ind w:left="456" w:right="100"/>
      </w:pPr>
      <w:r>
        <w:t xml:space="preserve">2º.- Documento denominado “Reglamento de Régimen Interno de la Asociación “      “” de 12 páginas de extensión que obra en el expediente </w:t>
      </w:r>
    </w:p>
    <w:p w:rsidR="00EE0979" w:rsidRDefault="00B022A0">
      <w:pPr>
        <w:ind w:left="441" w:right="100" w:hanging="427"/>
      </w:pPr>
      <w:r>
        <w:t xml:space="preserve">       3º.- </w:t>
      </w:r>
      <w:r>
        <w:t xml:space="preserve">Documento denominado “Estatutos de la Asociación “     “”  documento de 25   páginas  que obra en el expediente </w:t>
      </w:r>
    </w:p>
    <w:p w:rsidR="00EE0979" w:rsidRDefault="00B022A0">
      <w:pPr>
        <w:ind w:left="456" w:right="100"/>
      </w:pPr>
      <w:r>
        <w:t xml:space="preserve">4º.- Certificado expedido con fecha 12 de abril de 2021 por Dña. Patricia Galván Rodríguez, Secretaria del Consejo Social de la Universidad de </w:t>
      </w:r>
      <w:r>
        <w:t xml:space="preserve">La Laguna, del siguiente tenor literal:  “Que el Pleno del Consejo Social de la Universidad de La Laguna, en sesión ordinaria celebrada el día ocho de abril del 2021, y en el segundo punto del orden del día, adoptó el siguiente Acuerdo:  </w:t>
      </w:r>
    </w:p>
    <w:p w:rsidR="00EE0979" w:rsidRDefault="00B022A0">
      <w:pPr>
        <w:spacing w:after="0" w:line="259" w:lineRule="auto"/>
        <w:ind w:left="859" w:firstLine="0"/>
        <w:jc w:val="left"/>
      </w:pPr>
      <w:r>
        <w:t xml:space="preserve"> </w:t>
      </w:r>
    </w:p>
    <w:p w:rsidR="00EE0979" w:rsidRDefault="00B022A0">
      <w:pPr>
        <w:ind w:left="864" w:right="100"/>
      </w:pPr>
      <w:r>
        <w:t>Aprobar, en cum</w:t>
      </w:r>
      <w:r>
        <w:t xml:space="preserve">plimiento del artículo 5.h del Reglamento de Organización y Funcionamiento del Consejo Social, aprobado mediante Decreto 215/2017, de 16 de octubre, la creación de la SPIN-OFF de la Universidad de La Laguna “Energy Reseach &amp; Intelligent Solutions SLU” </w:t>
      </w:r>
    </w:p>
    <w:p w:rsidR="00EE0979" w:rsidRDefault="00B022A0">
      <w:pPr>
        <w:spacing w:after="0" w:line="259" w:lineRule="auto"/>
        <w:ind w:left="859" w:firstLine="0"/>
        <w:jc w:val="left"/>
      </w:pPr>
      <w:r>
        <w:t xml:space="preserve"> </w:t>
      </w:r>
    </w:p>
    <w:p w:rsidR="00EE0979" w:rsidRDefault="00B022A0">
      <w:pPr>
        <w:spacing w:after="484"/>
        <w:ind w:left="864" w:right="100"/>
      </w:pPr>
      <w:r>
        <w:t xml:space="preserve"> </w:t>
      </w:r>
      <w:r>
        <w:t>Lo que expido, con anterioridad a la aprobación del Acta correspondiente, de conformidad con lo dispuesto en el artículo 19.5 de la Ley 40/2015, de 1 de octubre, de Régimen Jurídico del Sector Público, con el Vº Bº de la Sra. Presidenta, en la ciudad de Sa</w:t>
      </w:r>
      <w:r>
        <w:t xml:space="preserve">nta Cruz de Tenerife en la fecha señalada en el pie de firma electrónica.” </w:t>
      </w:r>
    </w:p>
    <w:p w:rsidR="00EE0979" w:rsidRDefault="00B022A0">
      <w:pPr>
        <w:ind w:right="100"/>
      </w:pPr>
      <w:r>
        <w:t>Segundo.-  Con fecha 11 de abril de 2023 y registro de entrada núm. 2023-E-RE-2993 a las 13:44 hr se presenta, por parte de la Entidad Pública Empresarial  Gestión de Empresas y Se</w:t>
      </w:r>
      <w:r>
        <w:t xml:space="preserve">rvicios Públicos Ayuntamiento de Candelaria con código de unidad orgánica LA0011450 y NIF. núm. Q3800489A a través de su representante Dña. María Concepción Brito Núñez provista de NIF. núm. **8473**K, los siguientes documentos: </w:t>
      </w:r>
    </w:p>
    <w:p w:rsidR="00EE0979" w:rsidRDefault="00B022A0">
      <w:pPr>
        <w:spacing w:after="9" w:line="259" w:lineRule="auto"/>
        <w:ind w:left="14" w:firstLine="0"/>
        <w:jc w:val="left"/>
      </w:pPr>
      <w:r>
        <w:t xml:space="preserve"> </w:t>
      </w:r>
    </w:p>
    <w:p w:rsidR="00EE0979" w:rsidRDefault="00B022A0">
      <w:pPr>
        <w:ind w:left="864" w:right="100"/>
      </w:pPr>
      <w:r>
        <w:t xml:space="preserve">1º.- Minuta de Registro </w:t>
      </w:r>
      <w:r>
        <w:t xml:space="preserve">de Salida de la Entidad Pública Empresarial de Candelaria con fecha 11 de abril de 2023 con núm. de registro 2023-S-RE-55  </w:t>
      </w:r>
    </w:p>
    <w:p w:rsidR="00EE0979" w:rsidRDefault="00B022A0">
      <w:pPr>
        <w:ind w:left="864" w:right="100"/>
      </w:pPr>
      <w:r>
        <w:t xml:space="preserve">2º.- SG-S1 Solicitud genérica firmada electrónicamente el 11 de abril de 2023 del siguiente tenor literal:  </w:t>
      </w:r>
    </w:p>
    <w:p w:rsidR="00EE0979" w:rsidRDefault="00B022A0">
      <w:pPr>
        <w:spacing w:after="0" w:line="259" w:lineRule="auto"/>
        <w:ind w:left="859" w:firstLine="0"/>
        <w:jc w:val="left"/>
      </w:pPr>
      <w:r>
        <w:t xml:space="preserve"> </w:t>
      </w:r>
    </w:p>
    <w:p w:rsidR="00EE0979" w:rsidRDefault="00B022A0">
      <w:pPr>
        <w:ind w:left="864" w:right="100"/>
      </w:pPr>
      <w:r>
        <w:t>“Expone: Dña. María C</w:t>
      </w:r>
      <w:r>
        <w:t xml:space="preserve">oncepción Brito Núñez, en representación de la entidad “GESTIÓN DE EMPRESAS Y SERVICIOS PÚBLICOS DEL AYUNTAMIENTO DE CANDELARIA” con CIF Q3800489A, con domicilio a efectos de notificaciones en Avenida de la Constitución, nº 7, 38530, Candelaria, provincia </w:t>
      </w:r>
      <w:r>
        <w:t xml:space="preserve">de Santa Cruz de Tenerife EXPONE:  </w:t>
      </w:r>
    </w:p>
    <w:p w:rsidR="00EE0979" w:rsidRDefault="00B022A0">
      <w:pPr>
        <w:spacing w:after="9" w:line="259" w:lineRule="auto"/>
        <w:ind w:left="859" w:firstLine="0"/>
        <w:jc w:val="left"/>
      </w:pPr>
      <w:r>
        <w:t xml:space="preserve"> </w:t>
      </w:r>
    </w:p>
    <w:p w:rsidR="00EE0979" w:rsidRDefault="00B022A0">
      <w:pPr>
        <w:spacing w:after="25"/>
        <w:ind w:left="864" w:right="100"/>
      </w:pPr>
      <w:r>
        <w:t xml:space="preserve">1.Haber tenido conocimiento de la tramitación desde el Ayuntamiento de Candelaria de una Comunidad de Energía Renovable en Candelaria, que se encuentra en periodo de exposición pública y abierto el mismo plazo para solicitar adhesiones a la misma.  </w:t>
      </w:r>
    </w:p>
    <w:p w:rsidR="00EE0979" w:rsidRDefault="00B022A0">
      <w:pPr>
        <w:ind w:left="864" w:right="100"/>
      </w:pPr>
      <w:r>
        <w:t>2.A la</w:t>
      </w:r>
      <w:r>
        <w:t xml:space="preserve"> vista de sus objetivos: desarrollar proyectos de energía renovable, de eficiencia energética y/o movilidad sostenible y de sus fines, primordialmente proporcionar beneficios medioambientales, económicos o sociales a sus socios o miembros, o a las zonas lo</w:t>
      </w:r>
      <w:r>
        <w:t xml:space="preserve">cales donde operen, en lugar de ganancias financieras. </w:t>
      </w:r>
    </w:p>
    <w:p w:rsidR="00EE0979" w:rsidRDefault="00B022A0">
      <w:pPr>
        <w:spacing w:after="9" w:line="259" w:lineRule="auto"/>
        <w:ind w:left="859" w:firstLine="0"/>
        <w:jc w:val="left"/>
      </w:pPr>
      <w:r>
        <w:t xml:space="preserve"> </w:t>
      </w:r>
    </w:p>
    <w:p w:rsidR="00EE0979" w:rsidRDefault="00B022A0">
      <w:pPr>
        <w:ind w:left="864" w:right="100"/>
      </w:pPr>
      <w:r>
        <w:t xml:space="preserve">Solicita: Sea admitida esta solicitud de adhesión para formar parte de dicha  </w:t>
      </w:r>
    </w:p>
    <w:p w:rsidR="00EE0979" w:rsidRDefault="00B022A0">
      <w:pPr>
        <w:spacing w:after="478"/>
        <w:ind w:left="864" w:right="100"/>
      </w:pPr>
      <w:r>
        <w:t>Asociación de Comunidad de Energía Renovable de Candelaria o Comunidad Energética de Candelaria y se remita dicho docum</w:t>
      </w:r>
      <w:r>
        <w:t xml:space="preserve">ento a Alcaldía.” </w:t>
      </w:r>
    </w:p>
    <w:p w:rsidR="00EE0979" w:rsidRDefault="00B022A0">
      <w:pPr>
        <w:ind w:left="864" w:right="100"/>
      </w:pPr>
      <w:r>
        <w:t xml:space="preserve">3º.- Solicitud de adhesión a la futura Asociación de Comunidad Energética de Candelaria firmada electrónicamente por su representante con fecha 11 de abril de 2023. </w:t>
      </w:r>
    </w:p>
    <w:p w:rsidR="00EE0979" w:rsidRDefault="00B022A0">
      <w:pPr>
        <w:spacing w:after="0" w:line="259" w:lineRule="auto"/>
        <w:ind w:left="864" w:firstLine="0"/>
        <w:jc w:val="left"/>
      </w:pPr>
      <w:r>
        <w:t xml:space="preserve">  </w:t>
      </w:r>
    </w:p>
    <w:p w:rsidR="00EE0979" w:rsidRDefault="00B022A0">
      <w:pPr>
        <w:ind w:right="100"/>
      </w:pPr>
      <w:r>
        <w:t>Tercero.- Con fecha 11 de abril de 2023 y registro de entrada núm. 2</w:t>
      </w:r>
      <w:r>
        <w:t>023-E-RE-2994 a las 13:52 hr se presenta, por parte de la entidad Viviendas y Servicios Municipales de Candelaria S.L. con código de unidad orgánica LA0011451 y NIF núm. B38904868 a través de su representante Dña. María Concepción Brito Núñez provista de N</w:t>
      </w:r>
      <w:r>
        <w:t xml:space="preserve">IF. núm. **8473**K, los siguientes documentos: </w:t>
      </w:r>
    </w:p>
    <w:p w:rsidR="00EE0979" w:rsidRDefault="00B022A0">
      <w:pPr>
        <w:spacing w:after="11" w:line="259" w:lineRule="auto"/>
        <w:ind w:left="14" w:firstLine="0"/>
        <w:jc w:val="left"/>
      </w:pPr>
      <w:r>
        <w:t xml:space="preserve"> </w:t>
      </w:r>
    </w:p>
    <w:p w:rsidR="00EE0979" w:rsidRDefault="00B022A0">
      <w:pPr>
        <w:ind w:left="864" w:right="100"/>
      </w:pPr>
      <w:r>
        <w:t xml:space="preserve">1º.- Minuta de Registro de Salida de la entidad Viviendas y Servicios Municipales de Candelaria SL, con fecha 11 de abril de 2023 con núm. de registro 2023-S-RC-14 a las 12:08 hr </w:t>
      </w:r>
    </w:p>
    <w:p w:rsidR="00EE0979" w:rsidRDefault="00B022A0">
      <w:pPr>
        <w:ind w:left="864" w:right="100"/>
      </w:pPr>
      <w:r>
        <w:t>2º.- SG-S1 Solicitud genér</w:t>
      </w:r>
      <w:r>
        <w:t xml:space="preserve">ica firmada electrónicamente el 11 de abril de 2023 del siguiente tenor literal: </w:t>
      </w:r>
    </w:p>
    <w:p w:rsidR="00EE0979" w:rsidRDefault="00B022A0">
      <w:pPr>
        <w:ind w:left="864" w:right="100"/>
      </w:pPr>
      <w:r>
        <w:t>“Expone: Dña. María Concepción Brito Núñez, en representación de la entidad “E.I. VIVIENDAS Y SERVICIOS MUNICIPALES DE CANDELARIA S.L.” con CIF B 38904868, con domicilio a efectos de notificaciones en Avenida de la Constitución, nº 7, 38530, Candelaria, pr</w:t>
      </w:r>
      <w:r>
        <w:t xml:space="preserve">ovincia de Santa Cruz de Tenerife EXPONE: </w:t>
      </w:r>
    </w:p>
    <w:p w:rsidR="00EE0979" w:rsidRDefault="00B022A0">
      <w:pPr>
        <w:spacing w:after="11" w:line="259" w:lineRule="auto"/>
        <w:ind w:left="859" w:firstLine="0"/>
        <w:jc w:val="left"/>
      </w:pPr>
      <w:r>
        <w:t xml:space="preserve">  </w:t>
      </w:r>
    </w:p>
    <w:p w:rsidR="00EE0979" w:rsidRDefault="00B022A0">
      <w:pPr>
        <w:numPr>
          <w:ilvl w:val="0"/>
          <w:numId w:val="78"/>
        </w:numPr>
        <w:spacing w:after="25"/>
        <w:ind w:right="100"/>
      </w:pPr>
      <w:r>
        <w:t>Haber tenido conocimiento de la tramitación desde el Ayuntamiento de Candelaria de una Comunidad de Energía Renovable en Candelaria, que se encuentra en periodo de exposición pública y abierto el mismo plazo pa</w:t>
      </w:r>
      <w:r>
        <w:t xml:space="preserve">ra solicitar adhesiones a la misma.  </w:t>
      </w:r>
    </w:p>
    <w:p w:rsidR="00EE0979" w:rsidRDefault="00B022A0">
      <w:pPr>
        <w:numPr>
          <w:ilvl w:val="0"/>
          <w:numId w:val="78"/>
        </w:numPr>
        <w:ind w:right="100"/>
      </w:pPr>
      <w:r>
        <w:t xml:space="preserve">A la vista de sus objetivos: desarrollar proyectos de energía renovable, de eficiencia energética y/o movilidad sostenible y de sus fines, primordialmente proporcionar beneficios medioambientales, económicos o </w:t>
      </w:r>
      <w:r>
        <w:t xml:space="preserve">sociales a sus socios o miembros, o a las zonas locales donde operen, en lugar de ganancias financieras. </w:t>
      </w:r>
    </w:p>
    <w:p w:rsidR="00EE0979" w:rsidRDefault="00B022A0">
      <w:pPr>
        <w:spacing w:after="9" w:line="259" w:lineRule="auto"/>
        <w:ind w:left="859" w:firstLine="0"/>
        <w:jc w:val="left"/>
      </w:pPr>
      <w:r>
        <w:t xml:space="preserve"> </w:t>
      </w:r>
    </w:p>
    <w:p w:rsidR="00EE0979" w:rsidRDefault="00B022A0">
      <w:pPr>
        <w:ind w:left="864" w:right="100"/>
      </w:pPr>
      <w:r>
        <w:t xml:space="preserve">Solicita: Sea admitida esta solicitud de adhesión para formar parte de dicha  </w:t>
      </w:r>
    </w:p>
    <w:p w:rsidR="00EE0979" w:rsidRDefault="00B022A0">
      <w:pPr>
        <w:spacing w:after="481"/>
        <w:ind w:left="864" w:right="100"/>
      </w:pPr>
      <w:r>
        <w:t>Asociación de Comunidad de Energía Renovable de Candelaria o Comunida</w:t>
      </w:r>
      <w:r>
        <w:t xml:space="preserve">d Energética de Candelaria y se remita a Alcaldía.” </w:t>
      </w:r>
    </w:p>
    <w:p w:rsidR="00EE0979" w:rsidRDefault="00B022A0">
      <w:pPr>
        <w:spacing w:after="484"/>
        <w:ind w:left="864" w:right="100"/>
      </w:pPr>
      <w:r>
        <w:t xml:space="preserve">3º.- Solicitud de adhesión a la futura Asociación de Comunidad Energética de Candelaria firmada electrónicamente por la persona representante con fecha 11 de abril del 2023.  </w:t>
      </w:r>
    </w:p>
    <w:p w:rsidR="00EE0979" w:rsidRDefault="00B022A0">
      <w:pPr>
        <w:ind w:right="100"/>
      </w:pPr>
      <w:r>
        <w:t>Cuarto.- Con fecha 11 de ab</w:t>
      </w:r>
      <w:r>
        <w:t>ril de 2023  y registro de entrada núm. 2023-E-RE-2995 a las 15:22 horas se presenta los siguientes documentos, por parte de la entidad  Fundación Canaria Candesol, con código de unidad orgánica LA0011523 y NIF núm. G38975819 a través de su representante D</w:t>
      </w:r>
      <w:r>
        <w:t xml:space="preserve">ña. Patricia Álvarez Rodríguez provista de NIF. núm. **7828**D: </w:t>
      </w:r>
    </w:p>
    <w:p w:rsidR="00EE0979" w:rsidRDefault="00B022A0">
      <w:pPr>
        <w:spacing w:after="11" w:line="259" w:lineRule="auto"/>
        <w:ind w:left="14" w:firstLine="0"/>
        <w:jc w:val="left"/>
      </w:pPr>
      <w:r>
        <w:t xml:space="preserve"> </w:t>
      </w:r>
    </w:p>
    <w:p w:rsidR="00EE0979" w:rsidRDefault="00B022A0">
      <w:pPr>
        <w:ind w:left="864" w:right="100"/>
      </w:pPr>
      <w:r>
        <w:t xml:space="preserve">1º.- SG-S1 Solicitud genérica firmada electrónicamente el 11 de abril de 2023 del siguiente tenor literal: </w:t>
      </w:r>
    </w:p>
    <w:p w:rsidR="00EE0979" w:rsidRDefault="00B022A0">
      <w:pPr>
        <w:spacing w:after="32"/>
        <w:ind w:left="864" w:right="100"/>
      </w:pPr>
      <w:r>
        <w:t>“Expone: Que, en relación a la tramitación desde el Ayuntamiento de Candelaria de</w:t>
      </w:r>
      <w:r>
        <w:t xml:space="preserve"> una comunidad de energía renovable de Candelaria, se solicita la adhesión para formar parte de dicha asociación </w:t>
      </w:r>
    </w:p>
    <w:p w:rsidR="00EE0979" w:rsidRDefault="00B022A0">
      <w:pPr>
        <w:ind w:left="864" w:right="100"/>
      </w:pPr>
      <w:r>
        <w:t xml:space="preserve">Solicita: Aportar y dar trámite ante Alcaldía” </w:t>
      </w:r>
    </w:p>
    <w:p w:rsidR="00EE0979" w:rsidRDefault="00B022A0">
      <w:pPr>
        <w:ind w:left="864" w:right="100"/>
      </w:pPr>
      <w:r>
        <w:t xml:space="preserve">2º.- Solicitud de adhesión a la futura Asociación de Comunidad Energética de  </w:t>
      </w:r>
    </w:p>
    <w:p w:rsidR="00EE0979" w:rsidRDefault="00B022A0">
      <w:pPr>
        <w:ind w:left="864" w:right="100"/>
      </w:pPr>
      <w:r>
        <w:t>Candelaria firm</w:t>
      </w:r>
      <w:r>
        <w:t xml:space="preserve">ada electrónicamente por la Presidenta de la Fundación, Dña. María Concepción Brito Núñez con fecha 11 de abril del 2023. </w:t>
      </w:r>
    </w:p>
    <w:p w:rsidR="00EE0979" w:rsidRDefault="00B022A0">
      <w:pPr>
        <w:ind w:right="100"/>
      </w:pPr>
      <w:r>
        <w:t xml:space="preserve">Quinto.- Que a fecha de la firma del presente Informe técnico y desde el 24 de febrero de 2023 hasta el día de hoy, no constan en el </w:t>
      </w:r>
      <w:r>
        <w:t xml:space="preserve">Registro de Entrada de la Agencia de Empleo y Desarrollo Local otras solicitudes de adhesión por parte de otras personas jurídicas ni físicas ni tampoco constan otras alegaciones distintas a las enumeradas anteriormente una vez revisado el citado Registro </w:t>
      </w:r>
      <w:r>
        <w:t xml:space="preserve">de Entrada de AEDL. </w:t>
      </w:r>
    </w:p>
    <w:p w:rsidR="00EE0979" w:rsidRDefault="00B022A0">
      <w:pPr>
        <w:spacing w:after="11" w:line="259" w:lineRule="auto"/>
        <w:ind w:left="14" w:firstLine="0"/>
        <w:jc w:val="left"/>
      </w:pPr>
      <w:r>
        <w:t xml:space="preserve"> </w:t>
      </w:r>
    </w:p>
    <w:p w:rsidR="00EE0979" w:rsidRDefault="00B022A0">
      <w:pPr>
        <w:ind w:right="100"/>
      </w:pPr>
      <w:r>
        <w:t>Desconozco si se han presentado adhesiones o alegaciones por parte de otras personas físicas y/o jurídicas interesadas en este procedimiento y se hubieran derivado a los registros de entrada de otras Concejalías o de otras Áreas muni</w:t>
      </w:r>
      <w:r>
        <w:t xml:space="preserve">cipales por error u omisión inintencionado. </w:t>
      </w:r>
    </w:p>
    <w:p w:rsidR="00EE0979" w:rsidRDefault="00B022A0">
      <w:pPr>
        <w:ind w:right="100"/>
      </w:pPr>
      <w:r>
        <w:t>Asimismo, desconozco si se han presentado adhesiones o alegaciones por parte de otras personas físicas y/o jurídicas interesadas en este procedimiento y aún, habiéndose derivado al Registro de Entrada de la Agen</w:t>
      </w:r>
      <w:r>
        <w:t xml:space="preserve">cia de Empleo y Desarrollo Local se hubieran incorporado u asignado a otros expedientes por error inintencionado.” </w:t>
      </w:r>
    </w:p>
    <w:p w:rsidR="00EE0979" w:rsidRDefault="00B022A0">
      <w:pPr>
        <w:spacing w:after="211" w:line="259" w:lineRule="auto"/>
        <w:ind w:left="14" w:firstLine="0"/>
        <w:jc w:val="left"/>
      </w:pPr>
      <w:r>
        <w:t xml:space="preserve"> </w:t>
      </w:r>
    </w:p>
    <w:p w:rsidR="00EE0979" w:rsidRDefault="00B022A0">
      <w:pPr>
        <w:spacing w:after="208" w:line="259" w:lineRule="auto"/>
        <w:ind w:left="14" w:firstLine="0"/>
        <w:jc w:val="left"/>
      </w:pPr>
      <w:r>
        <w:t xml:space="preserve"> </w:t>
      </w:r>
    </w:p>
    <w:p w:rsidR="00EE0979" w:rsidRDefault="00B022A0">
      <w:pPr>
        <w:spacing w:after="112"/>
        <w:ind w:right="99" w:hanging="10"/>
      </w:pPr>
      <w:r>
        <w:rPr>
          <w:b/>
        </w:rPr>
        <w:t>Consta en el expediente Informe Jurídico emitido por Don Octavio Manuel Fernández Hernández, que desempeña el puesto de trabajo de Secretario General, de 26 de abril de 2023, del siguiente tenor literal:</w:t>
      </w:r>
      <w:r>
        <w:t xml:space="preserve"> </w:t>
      </w:r>
    </w:p>
    <w:p w:rsidR="00EE0979" w:rsidRDefault="00B022A0">
      <w:pPr>
        <w:spacing w:after="106" w:line="259" w:lineRule="auto"/>
        <w:ind w:left="14" w:firstLine="0"/>
        <w:jc w:val="left"/>
      </w:pPr>
      <w:r>
        <w:rPr>
          <w:b/>
        </w:rPr>
        <w:t xml:space="preserve"> </w:t>
      </w:r>
    </w:p>
    <w:p w:rsidR="00EE0979" w:rsidRDefault="00B022A0">
      <w:pPr>
        <w:spacing w:after="109"/>
        <w:ind w:left="1913" w:right="99" w:hanging="10"/>
      </w:pPr>
      <w:r>
        <w:rPr>
          <w:b/>
        </w:rPr>
        <w:t xml:space="preserve"> “INFORME JURÍDICO DE SECRETARÍA GENERAL         </w:t>
      </w:r>
      <w:r>
        <w:rPr>
          <w:b/>
        </w:rPr>
        <w:t xml:space="preserve">                   </w:t>
      </w:r>
      <w:r>
        <w:t xml:space="preserve"> </w:t>
      </w:r>
    </w:p>
    <w:p w:rsidR="00EE0979" w:rsidRDefault="00B022A0">
      <w:pPr>
        <w:spacing w:after="111"/>
        <w:ind w:left="2292" w:right="99" w:hanging="10"/>
      </w:pPr>
      <w:r>
        <w:t xml:space="preserve"> </w:t>
      </w:r>
      <w:r>
        <w:rPr>
          <w:b/>
        </w:rPr>
        <w:t>ANTECEDENTES DE HECHO</w:t>
      </w:r>
      <w:r>
        <w:t xml:space="preserve"> </w:t>
      </w:r>
    </w:p>
    <w:p w:rsidR="00EE0979" w:rsidRDefault="00B022A0">
      <w:pPr>
        <w:spacing w:after="128"/>
        <w:ind w:right="99" w:hanging="10"/>
      </w:pPr>
      <w:r>
        <w:t xml:space="preserve">  </w:t>
      </w:r>
      <w:r>
        <w:rPr>
          <w:b/>
        </w:rPr>
        <w:t>PRIMERO.- Vista la Orden TED/1446/2021, de 22 de diciembre, por la que se aprueban las bases reguladoras para la concesión de ayudas del programa de incentivos a proyectos piloto singulares de comunidades ener</w:t>
      </w:r>
      <w:r>
        <w:rPr>
          <w:b/>
        </w:rPr>
        <w:t>géticas (Programa CE Implementa), en el marco del Plan de Recuperación, Transformación y Resiliencia (BOE 24 de diciembre de 2021) que en sus definiciones establece la definición de Comunidad energética de la que pueden formar parte las entidades locales a</w:t>
      </w:r>
      <w:r>
        <w:rPr>
          <w:b/>
        </w:rPr>
        <w:t>demás de la participación abierta y la participación voluntaria.</w:t>
      </w:r>
      <w:r>
        <w:t xml:space="preserve"> </w:t>
      </w:r>
    </w:p>
    <w:p w:rsidR="00EE0979" w:rsidRDefault="00B022A0">
      <w:pPr>
        <w:spacing w:after="6"/>
        <w:ind w:left="1157" w:right="99" w:hanging="10"/>
      </w:pPr>
      <w:r>
        <w:rPr>
          <w:b/>
        </w:rPr>
        <w:t xml:space="preserve">Artículo 2. </w:t>
      </w:r>
      <w:r>
        <w:rPr>
          <w:b/>
          <w:i/>
        </w:rPr>
        <w:t>Definiciones</w:t>
      </w:r>
      <w:r>
        <w:rPr>
          <w:i/>
        </w:rPr>
        <w:t>.</w:t>
      </w:r>
      <w:r>
        <w:rPr>
          <w:sz w:val="24"/>
        </w:rPr>
        <w:t xml:space="preserve"> </w:t>
      </w:r>
    </w:p>
    <w:p w:rsidR="00EE0979" w:rsidRDefault="00B022A0">
      <w:pPr>
        <w:spacing w:after="3" w:line="259" w:lineRule="auto"/>
        <w:ind w:left="14" w:firstLine="0"/>
        <w:jc w:val="left"/>
      </w:pPr>
      <w:r>
        <w:rPr>
          <w:sz w:val="20"/>
        </w:rPr>
        <w:t xml:space="preserve"> </w:t>
      </w:r>
    </w:p>
    <w:p w:rsidR="00EE0979" w:rsidRDefault="00B022A0">
      <w:pPr>
        <w:numPr>
          <w:ilvl w:val="0"/>
          <w:numId w:val="79"/>
        </w:numPr>
        <w:ind w:right="98" w:hanging="10"/>
      </w:pPr>
      <w:r>
        <w:rPr>
          <w:b/>
          <w:i/>
          <w:u w:val="single" w:color="000000"/>
        </w:rPr>
        <w:t>Comunidad energética</w:t>
      </w:r>
      <w:r>
        <w:rPr>
          <w:i/>
        </w:rPr>
        <w:t>: persona jurídica basada en la participación abierta y voluntaria, efectivamente controlada por socios o miembros que sean personas físicas,</w:t>
      </w:r>
      <w:r>
        <w:rPr>
          <w:i/>
        </w:rPr>
        <w:t xml:space="preserve"> pymes o </w:t>
      </w:r>
      <w:r>
        <w:rPr>
          <w:i/>
          <w:u w:val="single" w:color="000000"/>
        </w:rPr>
        <w:t>entidades locales</w:t>
      </w:r>
      <w:r>
        <w:rPr>
          <w:i/>
        </w:rPr>
        <w:t xml:space="preserve">, que desarrolle proyectos de energías renovables, eficiencia energética y/o movilidad sostenible que sean propiedad de dicha persona jurídica y cuya finalidad primordial sea proporcionar beneficios medioambientales, económicos o </w:t>
      </w:r>
      <w:r>
        <w:rPr>
          <w:i/>
        </w:rPr>
        <w:t>sociales a sus socios o miembros o a las zonas locales donde operan, en lugar de ganancias financieras.</w:t>
      </w:r>
      <w:r>
        <w:rPr>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79"/>
        </w:numPr>
        <w:ind w:right="98" w:hanging="10"/>
      </w:pPr>
      <w:r>
        <w:rPr>
          <w:b/>
          <w:i/>
          <w:u w:val="single" w:color="000000"/>
        </w:rPr>
        <w:t>Participación abierta</w:t>
      </w:r>
      <w:r>
        <w:rPr>
          <w:i/>
        </w:rPr>
        <w:t>: el derecho de que cualquier persona física o jurídica de naturaleza pública, privada o público-</w:t>
      </w:r>
      <w:r>
        <w:rPr>
          <w:i/>
        </w:rPr>
        <w:t>privada que quiera utilizar los servicios de la comunidad energética y que desee aceptar las responsabilidades de la afiliación a la misma, y pueda ser socia o miembro sin estar sujeta a condiciones injustificadas o discriminatorias.</w:t>
      </w:r>
      <w:r>
        <w:rPr>
          <w:sz w:val="24"/>
        </w:rPr>
        <w:t xml:space="preserve"> </w:t>
      </w:r>
    </w:p>
    <w:p w:rsidR="00EE0979" w:rsidRDefault="00B022A0">
      <w:pPr>
        <w:spacing w:after="98" w:line="259" w:lineRule="auto"/>
        <w:ind w:left="14" w:firstLine="0"/>
        <w:jc w:val="left"/>
      </w:pPr>
      <w:r>
        <w:rPr>
          <w:i/>
        </w:rPr>
        <w:t xml:space="preserve"> </w:t>
      </w:r>
    </w:p>
    <w:p w:rsidR="00EE0979" w:rsidRDefault="00B022A0">
      <w:pPr>
        <w:numPr>
          <w:ilvl w:val="0"/>
          <w:numId w:val="79"/>
        </w:numPr>
        <w:ind w:right="98" w:hanging="10"/>
      </w:pPr>
      <w:r>
        <w:rPr>
          <w:b/>
          <w:i/>
          <w:u w:val="single" w:color="000000"/>
        </w:rPr>
        <w:t>Participación volun</w:t>
      </w:r>
      <w:r>
        <w:rPr>
          <w:b/>
          <w:i/>
          <w:u w:val="single" w:color="000000"/>
        </w:rPr>
        <w:t>taria</w:t>
      </w:r>
      <w:r>
        <w:rPr>
          <w:i/>
        </w:rPr>
        <w:t>: el derecho de que cualquier miembro o socio a abandonar la comunidad energética, así como retirar su inversión, dentro de unos límites temporales razonables para limitar el potencial impacto en la sostenibilidad financiera de la misma.</w:t>
      </w:r>
      <w:r>
        <w:t xml:space="preserve"> </w:t>
      </w:r>
    </w:p>
    <w:p w:rsidR="00EE0979" w:rsidRDefault="00B022A0">
      <w:pPr>
        <w:spacing w:after="100" w:line="259" w:lineRule="auto"/>
        <w:ind w:left="1147" w:firstLine="0"/>
        <w:jc w:val="left"/>
      </w:pPr>
      <w:r>
        <w:rPr>
          <w:b/>
        </w:rPr>
        <w:t xml:space="preserve"> </w:t>
      </w:r>
    </w:p>
    <w:p w:rsidR="00EE0979" w:rsidRDefault="00B022A0">
      <w:pPr>
        <w:spacing w:after="112"/>
        <w:ind w:left="9" w:right="99" w:firstLine="1133"/>
      </w:pPr>
      <w:r>
        <w:rPr>
          <w:b/>
        </w:rPr>
        <w:t>SEGUNDO. -</w:t>
      </w:r>
      <w:r>
        <w:t xml:space="preserve"> </w:t>
      </w:r>
      <w:r>
        <w:rPr>
          <w:b/>
        </w:rPr>
        <w:t>Visto el extracto de la Resolución de 27 de octubre de 2022, del Consejo de Administración del E.P.E Instituto para la Diversificación y Ahorro de la Energía (IDAE), M.P., por la que se establece la Cuarta Convocatoria del Programa de incentivos a Proyect</w:t>
      </w:r>
      <w:r>
        <w:rPr>
          <w:b/>
        </w:rPr>
        <w:t>os piloto singulares de Comunidades Energéticas (PROGRAMA CE IMPLEMENTA), en el marco del Plan de Recuperación, Transformación y Resiliencia (BOE 8 de noviembre de 2022).</w:t>
      </w:r>
      <w:r>
        <w:t xml:space="preserve"> </w:t>
      </w:r>
    </w:p>
    <w:p w:rsidR="00EE0979" w:rsidRDefault="00B022A0">
      <w:pPr>
        <w:spacing w:after="111"/>
        <w:ind w:left="9" w:right="99" w:firstLine="1133"/>
      </w:pPr>
      <w:r>
        <w:rPr>
          <w:b/>
        </w:rPr>
        <w:t>TERCERO.- Vista la Resolución de la Presidenta de la E.P.E. Instituto para la Divers</w:t>
      </w:r>
      <w:r>
        <w:rPr>
          <w:b/>
        </w:rPr>
        <w:t>ificación y Ahorro de la Energía (IDAE), M.P., por la que se da traslado y comunica a la Base de Datos Nacional de Subvenciones (BDNS) la Resolución de 27 de octubre de 2022 del Consejo de Administración de E.P.E. Instituto para la Diversificación y Ahorro</w:t>
      </w:r>
      <w:r>
        <w:rPr>
          <w:b/>
        </w:rPr>
        <w:t xml:space="preserve"> de la Energía (IDAE), M.P., por la que se establece la cuarta convocatoria del programa de incentivos a proyectos piloto singulares de comunidades energéticas (Programa CE IMPLEMENTA), en el marco del Plan de Recuperación, Transformación y Resiliencia. </w:t>
      </w:r>
    </w:p>
    <w:p w:rsidR="00EE0979" w:rsidRDefault="00B022A0">
      <w:pPr>
        <w:spacing w:after="98" w:line="259" w:lineRule="auto"/>
        <w:ind w:left="1147" w:firstLine="0"/>
        <w:jc w:val="left"/>
      </w:pPr>
      <w:r>
        <w:rPr>
          <w:b/>
        </w:rPr>
        <w:t xml:space="preserve"> </w:t>
      </w:r>
    </w:p>
    <w:p w:rsidR="00EE0979" w:rsidRDefault="00B022A0">
      <w:pPr>
        <w:spacing w:after="6"/>
        <w:ind w:left="1157" w:right="99" w:hanging="10"/>
      </w:pPr>
      <w:r>
        <w:rPr>
          <w:b/>
        </w:rPr>
        <w:t xml:space="preserve">CUARTO. - Vista la documentación relativa a la constitución de una Comunidad </w:t>
      </w:r>
    </w:p>
    <w:p w:rsidR="00EE0979" w:rsidRDefault="00B022A0">
      <w:pPr>
        <w:spacing w:after="114"/>
        <w:ind w:right="99" w:hanging="10"/>
      </w:pPr>
      <w:r>
        <w:rPr>
          <w:b/>
        </w:rPr>
        <w:t>energética cuyo promotor es el Ayuntamiento de Candelaria para concurrir a las líneas de subvenciones que se expresan en los puntos anteriores y que viene constituida por la sig</w:t>
      </w:r>
      <w:r>
        <w:rPr>
          <w:b/>
        </w:rPr>
        <w:t xml:space="preserve">uiente documentación: </w:t>
      </w:r>
    </w:p>
    <w:p w:rsidR="00EE0979" w:rsidRDefault="00B022A0">
      <w:pPr>
        <w:spacing w:after="109"/>
        <w:ind w:left="1152" w:right="100"/>
      </w:pPr>
      <w:r>
        <w:t xml:space="preserve">1.- Acta Fundacional cuyo promotor es el Ayuntamiento de Candelaria. </w:t>
      </w:r>
    </w:p>
    <w:p w:rsidR="00EE0979" w:rsidRDefault="00B022A0">
      <w:pPr>
        <w:spacing w:after="111"/>
        <w:ind w:left="1152" w:right="100"/>
      </w:pPr>
      <w:r>
        <w:t xml:space="preserve">2.- Estatutos de la Asociación para una Comunidad Energética en Candelaria. </w:t>
      </w:r>
    </w:p>
    <w:p w:rsidR="00EE0979" w:rsidRDefault="00B022A0">
      <w:pPr>
        <w:spacing w:after="109"/>
        <w:ind w:left="1152" w:right="100"/>
      </w:pPr>
      <w:r>
        <w:t xml:space="preserve">3.- Reglamento de régimen interno de la Asociación. </w:t>
      </w:r>
    </w:p>
    <w:p w:rsidR="00EE0979" w:rsidRDefault="00B022A0">
      <w:pPr>
        <w:spacing w:after="111"/>
        <w:ind w:left="1152" w:right="100"/>
      </w:pPr>
      <w:r>
        <w:t xml:space="preserve">4.- </w:t>
      </w:r>
      <w:r>
        <w:t xml:space="preserve">Solicitud de adhesión a la Asociación. </w:t>
      </w:r>
    </w:p>
    <w:p w:rsidR="00EE0979" w:rsidRDefault="00B022A0">
      <w:pPr>
        <w:tabs>
          <w:tab w:val="center" w:pos="1356"/>
          <w:tab w:val="center" w:pos="2011"/>
          <w:tab w:val="center" w:pos="2545"/>
          <w:tab w:val="center" w:pos="3429"/>
          <w:tab w:val="center" w:pos="4352"/>
          <w:tab w:val="center" w:pos="4941"/>
          <w:tab w:val="center" w:pos="6005"/>
          <w:tab w:val="center" w:pos="7111"/>
          <w:tab w:val="center" w:pos="7735"/>
          <w:tab w:val="center" w:pos="8627"/>
          <w:tab w:val="right" w:pos="9689"/>
        </w:tabs>
        <w:ind w:left="0" w:firstLine="0"/>
        <w:jc w:val="left"/>
      </w:pPr>
      <w:r>
        <w:rPr>
          <w:rFonts w:ascii="Calibri" w:eastAsia="Calibri" w:hAnsi="Calibri" w:cs="Calibri"/>
        </w:rPr>
        <w:tab/>
      </w:r>
      <w:r>
        <w:t xml:space="preserve">Que </w:t>
      </w:r>
      <w:r>
        <w:tab/>
        <w:t xml:space="preserve">en </w:t>
      </w:r>
      <w:r>
        <w:tab/>
        <w:t xml:space="preserve">la </w:t>
      </w:r>
      <w:r>
        <w:tab/>
        <w:t xml:space="preserve">redacción </w:t>
      </w:r>
      <w:r>
        <w:tab/>
        <w:t xml:space="preserve">de </w:t>
      </w:r>
      <w:r>
        <w:tab/>
        <w:t xml:space="preserve">los </w:t>
      </w:r>
      <w:r>
        <w:tab/>
        <w:t xml:space="preserve">documentos </w:t>
      </w:r>
      <w:r>
        <w:tab/>
        <w:t xml:space="preserve">que </w:t>
      </w:r>
      <w:r>
        <w:tab/>
        <w:t xml:space="preserve">se </w:t>
      </w:r>
      <w:r>
        <w:tab/>
        <w:t xml:space="preserve">expresan </w:t>
      </w:r>
      <w:r>
        <w:tab/>
        <w:t xml:space="preserve">el  </w:t>
      </w:r>
    </w:p>
    <w:p w:rsidR="00EE0979" w:rsidRDefault="00B022A0">
      <w:pPr>
        <w:spacing w:after="172"/>
        <w:ind w:right="100"/>
      </w:pPr>
      <w:r>
        <w:t>Ayuntamiento ha contado con la colaboración y asesoramiento del Catedrático de Fisica Aplicada de la Universidad de La Laguna, Don Ricardo Luis Ge</w:t>
      </w:r>
      <w:r>
        <w:t xml:space="preserve">rrrero Lemus. </w:t>
      </w:r>
    </w:p>
    <w:p w:rsidR="00EE0979" w:rsidRDefault="00B022A0">
      <w:pPr>
        <w:spacing w:after="6"/>
        <w:ind w:left="1157" w:right="99" w:hanging="10"/>
      </w:pPr>
      <w:r>
        <w:rPr>
          <w:b/>
        </w:rPr>
        <w:t>QUINTO. - Visto el informe técnico elaborado por la Agente de Empleo y Desarro-</w:t>
      </w:r>
    </w:p>
    <w:p w:rsidR="00EE0979" w:rsidRDefault="00B022A0">
      <w:pPr>
        <w:spacing w:after="174"/>
        <w:ind w:right="99" w:hanging="10"/>
      </w:pPr>
      <w:r>
        <w:rPr>
          <w:b/>
        </w:rPr>
        <w:t xml:space="preserve">llo local de fecha que transcrito literalmente dice: </w:t>
      </w:r>
    </w:p>
    <w:p w:rsidR="00EE0979" w:rsidRDefault="00B022A0">
      <w:pPr>
        <w:ind w:right="100"/>
      </w:pPr>
      <w:r>
        <w:t xml:space="preserve">Primero. - Con fecha 2 de marzo de 2023 y registro de entrada núm. 2023-E-RE-1268 se presenta por parte de </w:t>
      </w:r>
      <w:r>
        <w:t xml:space="preserve">la empresa Energy Resarch &amp; Intelligence Solutions, S.L. provista de NIF núm. </w:t>
      </w:r>
    </w:p>
    <w:p w:rsidR="00EE0979" w:rsidRDefault="00B022A0">
      <w:pPr>
        <w:spacing w:after="111"/>
        <w:ind w:right="100"/>
      </w:pPr>
      <w:r>
        <w:t xml:space="preserve">B.02857480 a través de su representante D. Ricardo Luis Guerrero Lemus con NIF. núm. **3583**M, los siguientes documentos: </w:t>
      </w:r>
    </w:p>
    <w:p w:rsidR="00EE0979" w:rsidRDefault="00B022A0">
      <w:pPr>
        <w:spacing w:after="111"/>
        <w:ind w:right="100"/>
      </w:pPr>
      <w:r>
        <w:t>1º.- SG-S1 Solicitud genérica firmada electrónicament</w:t>
      </w:r>
      <w:r>
        <w:t>e el 2 de marzo de 2023 con el siguiente tenor literal:  “Expone: Habiéndose publicado en el Boletín Oficial de la Provincia de Santa Cruz de Tenerife (nº 24) el viernes 14 de febrero de 2023 el Anuncio del Ayuntamiento de la Villa de Candelaria el Acuerdo</w:t>
      </w:r>
      <w:r>
        <w:t xml:space="preserve"> del Pleno de aprobación inicial de la Comunidad Energética de Candelaria, y una vez teniendo conocimiento del contenido del expediente. </w:t>
      </w:r>
    </w:p>
    <w:p w:rsidR="00EE0979" w:rsidRDefault="00B022A0">
      <w:pPr>
        <w:spacing w:after="106"/>
        <w:ind w:right="100"/>
      </w:pPr>
      <w:r>
        <w:t>Solicita: que se considere la modificación de los Estatutos y Reglamento de dicha asociación de acuerdo con las propue</w:t>
      </w:r>
      <w:r>
        <w:t xml:space="preserve">stas que se adjuntan, las cuales se estima que permitirán cumplir de forma más adecuada los fines de la misma. También se solicita, si se considera a bien por parte del Ayuntamiento de la Villa de Candelaria, la incorporación de nuestra empresa denominada </w:t>
      </w:r>
      <w:r>
        <w:t>"Energy Research &amp; Intelligence Solutions, S.L.U.", reconocida como empresa spin-off de la Universidad de La Laguna por Acuerdo de su Consejo Social de fecha 8 de abril de 2021 (el cual se adjunta) como miembro de dicha asociación, dado que, como recoge el</w:t>
      </w:r>
      <w:r>
        <w:t xml:space="preserve"> punto Segundo del acuerdo plenario, se trata de una pyme que desarrolla proyectos de energías renovables y eficiencia energética que son propiedad de la empresa y cuya finalidad primordial es proporcionar beneficios medioambientales, económicos y sociales</w:t>
      </w:r>
      <w:r>
        <w:t xml:space="preserve"> en lugar de ganancias financieras.” </w:t>
      </w:r>
    </w:p>
    <w:p w:rsidR="00EE0979" w:rsidRDefault="00B022A0">
      <w:pPr>
        <w:spacing w:after="138" w:line="259" w:lineRule="auto"/>
        <w:ind w:left="298" w:firstLine="0"/>
        <w:jc w:val="left"/>
      </w:pPr>
      <w:r>
        <w:t xml:space="preserve"> </w:t>
      </w:r>
    </w:p>
    <w:p w:rsidR="00EE0979" w:rsidRDefault="00B022A0">
      <w:pPr>
        <w:spacing w:after="148"/>
        <w:ind w:left="303" w:right="100"/>
      </w:pPr>
      <w:r>
        <w:t xml:space="preserve">2º.- Documento denominado “Reglamento de Régimen Interno de la Asociación “      “” de 12 páginas de extensión que obra en el expediente </w:t>
      </w:r>
    </w:p>
    <w:p w:rsidR="00EE0979" w:rsidRDefault="00B022A0">
      <w:pPr>
        <w:spacing w:after="111"/>
        <w:ind w:left="303" w:right="100"/>
      </w:pPr>
      <w:r>
        <w:t xml:space="preserve">3º.- Documento denominado “Estatutos de la Asociación “     </w:t>
      </w:r>
      <w:r>
        <w:t xml:space="preserve">“”  documento de 25 páginas que obra en el expediente </w:t>
      </w:r>
    </w:p>
    <w:p w:rsidR="00EE0979" w:rsidRDefault="00B022A0">
      <w:pPr>
        <w:spacing w:after="118"/>
        <w:ind w:left="303" w:right="100"/>
      </w:pPr>
      <w:r>
        <w:t xml:space="preserve">4º.- Certificado expedido con fecha 12 de abril de 2021 por Dña. Patricia Galván Rodríguez, Secretaria del Consejo Social de la Universidad de La Laguna, del siguiente tenor literal:  </w:t>
      </w:r>
    </w:p>
    <w:p w:rsidR="00EE0979" w:rsidRDefault="00B022A0">
      <w:pPr>
        <w:spacing w:after="114"/>
        <w:ind w:left="14" w:right="100" w:firstLine="708"/>
      </w:pPr>
      <w:r>
        <w:t>“Que el Pleno de</w:t>
      </w:r>
      <w:r>
        <w:t xml:space="preserve">l Consejo Social de la Universidad de La Laguna, en sesión ordinaria celebrada el día ocho de abril del 2021, y en el segundo punto del orden del día, adoptó el siguiente  </w:t>
      </w:r>
    </w:p>
    <w:p w:rsidR="00EE0979" w:rsidRDefault="00B022A0">
      <w:pPr>
        <w:spacing w:after="109"/>
        <w:ind w:left="727" w:right="100"/>
      </w:pPr>
      <w:r>
        <w:t>Acuerdo: Aprobar, en cumplimiento del artículo 5.h del Reglamento de Organización y</w:t>
      </w:r>
      <w:r>
        <w:t xml:space="preserve"> Funcionamiento del Consejo Social, aprobado mediante Decreto 215/2017, de 16 de octubre, la creación de la SPIN-OFF de la Universidad de La Laguna “Energy Reseach &amp; Intelligent Solutions SLU” </w:t>
      </w:r>
    </w:p>
    <w:p w:rsidR="00EE0979" w:rsidRDefault="00B022A0">
      <w:pPr>
        <w:spacing w:after="111"/>
        <w:ind w:left="727" w:right="100"/>
      </w:pPr>
      <w:r>
        <w:t xml:space="preserve"> Lo que expido, con anterioridad a la aprobación del Acta corr</w:t>
      </w:r>
      <w:r>
        <w:t xml:space="preserve">espondiente, de conformidad con lo dispuesto en el artículo 19.5 de la Ley 40/2015, de 1 de octubre, de Régimen Jurídico del Sector Público, con el Vº Bº de la Sra. Presidenta, en la ciudad de Santa Cruz de Tenerife en la fecha señalada en el pie de firma </w:t>
      </w:r>
      <w:r>
        <w:t xml:space="preserve">electrónica.” </w:t>
      </w:r>
    </w:p>
    <w:p w:rsidR="00EE0979" w:rsidRDefault="00B022A0">
      <w:pPr>
        <w:spacing w:after="98" w:line="259" w:lineRule="auto"/>
        <w:ind w:left="14" w:firstLine="0"/>
        <w:jc w:val="left"/>
      </w:pPr>
      <w:r>
        <w:t xml:space="preserve"> </w:t>
      </w:r>
    </w:p>
    <w:p w:rsidR="00EE0979" w:rsidRDefault="00B022A0">
      <w:pPr>
        <w:spacing w:after="111"/>
        <w:ind w:right="100"/>
      </w:pPr>
      <w:r>
        <w:t>Segundo. -  Con fecha 11 de abril de 2023 y registro de entrada núm. 2023-E-RE-2993 a las 13:44 hr se presenta, por parte de la Entidad Pública Empresarial Gestión de Empresas y Servicios Públicos Ayuntamiento de Candelaria con código de u</w:t>
      </w:r>
      <w:r>
        <w:t xml:space="preserve">nidad orgánica LA0011450 y NIF. núm. Q3800489A a través de su representante Dña. María Concepción Brito Núñez provista de NIF. núm. **8473**K, los siguientes documentos: </w:t>
      </w:r>
    </w:p>
    <w:p w:rsidR="00EE0979" w:rsidRDefault="00B022A0">
      <w:pPr>
        <w:spacing w:after="100" w:line="259" w:lineRule="auto"/>
        <w:ind w:left="14" w:firstLine="0"/>
        <w:jc w:val="left"/>
      </w:pPr>
      <w:r>
        <w:t xml:space="preserve"> </w:t>
      </w:r>
    </w:p>
    <w:p w:rsidR="00EE0979" w:rsidRDefault="00B022A0">
      <w:pPr>
        <w:spacing w:after="114"/>
        <w:ind w:left="727" w:right="100"/>
      </w:pPr>
      <w:r>
        <w:t>1º.- Minuta de Registro de Salida de la Entidad Pública Empresarial de Candelaria c</w:t>
      </w:r>
      <w:r>
        <w:t xml:space="preserve">on fecha 11 de abril de 2023 con núm. de registro 2023-S-RE-55  </w:t>
      </w:r>
    </w:p>
    <w:p w:rsidR="00EE0979" w:rsidRDefault="00B022A0">
      <w:pPr>
        <w:spacing w:after="114"/>
        <w:ind w:left="727" w:right="100"/>
      </w:pPr>
      <w:r>
        <w:t xml:space="preserve">2º.- SG-S1 Solicitud genérica firmada electrónicamente el 11 de abril de 2023 del siguiente tenor literal:  </w:t>
      </w:r>
    </w:p>
    <w:p w:rsidR="00EE0979" w:rsidRDefault="00B022A0">
      <w:pPr>
        <w:spacing w:after="26"/>
        <w:ind w:left="727" w:right="100"/>
      </w:pPr>
      <w:r>
        <w:t>“Expone: Dña. María Concepción Brito Núñez, en representación de la entidad “GESTI</w:t>
      </w:r>
      <w:r>
        <w:t xml:space="preserve">ÓN </w:t>
      </w:r>
    </w:p>
    <w:p w:rsidR="00EE0979" w:rsidRDefault="00B022A0">
      <w:pPr>
        <w:ind w:left="727" w:right="100"/>
      </w:pPr>
      <w:r>
        <w:t xml:space="preserve">DE EMPRESAS Y SERVICIOS PÚBLICOS DEL AYUNTAMIENTO DE CANDELARIA” con </w:t>
      </w:r>
    </w:p>
    <w:p w:rsidR="00EE0979" w:rsidRDefault="00B022A0">
      <w:pPr>
        <w:spacing w:after="114"/>
        <w:ind w:left="727" w:right="100"/>
      </w:pPr>
      <w:r>
        <w:t xml:space="preserve">CIF Q3800489A, con domicilio a efectos de notificaciones en Avenida de la Constitución, nº 7, 38530, Candelaria, provincia de Santa Cruz de Tenerife EXPONE: 1.Haber tenido conocimiento de la tramitación desde el Ayuntamiento de Candelaria de una Comunidad </w:t>
      </w:r>
      <w:r>
        <w:t>de Energía Renovable en Candelaria, que se encuentra en periodo de exposición pública y abierto el mismo plazo para solicitar adhesiones a la misma. 2.A la vista de sus objetivos: desarrollar proyectos de energía renovable, de eficiencia energética y/o mov</w:t>
      </w:r>
      <w:r>
        <w:t xml:space="preserve">ilidad sostenible y de sus fines, primordialmente proporcionar beneficios medioambientales, económicos o sociales a sus socios o miembros, o a las zonas locales donde operen, en lugar de ganancias financieras. </w:t>
      </w:r>
    </w:p>
    <w:p w:rsidR="00EE0979" w:rsidRDefault="00B022A0">
      <w:pPr>
        <w:spacing w:after="109"/>
        <w:ind w:left="727" w:right="100"/>
      </w:pPr>
      <w:r>
        <w:t>Solicita: Sea admitida esta solicitud de adhe</w:t>
      </w:r>
      <w:r>
        <w:t xml:space="preserve">sión para formar parte de dicha Asociación de Comunidad de Energía Renovable de Candelaria o Comunidad Energética de Candelaria y se remita dicho documento a Alcaldía.” </w:t>
      </w:r>
    </w:p>
    <w:p w:rsidR="00EE0979" w:rsidRDefault="00B022A0">
      <w:pPr>
        <w:spacing w:after="100" w:line="259" w:lineRule="auto"/>
        <w:ind w:left="722" w:firstLine="0"/>
        <w:jc w:val="left"/>
      </w:pPr>
      <w:r>
        <w:t xml:space="preserve"> </w:t>
      </w:r>
    </w:p>
    <w:p w:rsidR="00EE0979" w:rsidRDefault="00B022A0">
      <w:pPr>
        <w:spacing w:after="112"/>
        <w:ind w:left="727" w:right="100"/>
      </w:pPr>
      <w:r>
        <w:t>3º.- Solicitud de adhesión a la futura Asociación de Comunidad Energética de Candela</w:t>
      </w:r>
      <w:r>
        <w:t xml:space="preserve">ria firmada electrónicamente por su representante con fecha 11 de abril de 2023. </w:t>
      </w:r>
    </w:p>
    <w:p w:rsidR="00EE0979" w:rsidRDefault="00B022A0">
      <w:pPr>
        <w:spacing w:after="111"/>
        <w:ind w:left="727" w:right="100"/>
      </w:pPr>
      <w:r>
        <w:t xml:space="preserve"> Tercero. - Con fecha 11 de abril de 2023 y registro de entrada núm. 2023-E-RE-2994 a las 13:52 hr se presenta, por parte de la entidad Viviendas y Servicios Municipales de C</w:t>
      </w:r>
      <w:r>
        <w:t xml:space="preserve">andelaria S.L. con código de unidad orgánica LA0011451 y NIF núm. B38904868 a través de su representante Dña. María Concepción Brito Núñez provista de NIF. núm. **8473**K, los siguientes documentos: </w:t>
      </w:r>
    </w:p>
    <w:p w:rsidR="00EE0979" w:rsidRDefault="00B022A0">
      <w:pPr>
        <w:spacing w:after="100" w:line="259" w:lineRule="auto"/>
        <w:ind w:left="14" w:firstLine="0"/>
        <w:jc w:val="left"/>
      </w:pPr>
      <w:r>
        <w:t xml:space="preserve"> </w:t>
      </w:r>
    </w:p>
    <w:p w:rsidR="00EE0979" w:rsidRDefault="00B022A0">
      <w:pPr>
        <w:spacing w:after="111"/>
        <w:ind w:left="727" w:right="100"/>
      </w:pPr>
      <w:r>
        <w:t>1º.- Minuta de Registro de Salida de la entidad Vivien</w:t>
      </w:r>
      <w:r>
        <w:t xml:space="preserve">das y Servicios Municipales de Candelaria SL, con fecha 11 de abril de 2023 con núm. de registro 2023-S-RC-14 a las 12:08 hr </w:t>
      </w:r>
    </w:p>
    <w:p w:rsidR="00EE0979" w:rsidRDefault="00B022A0">
      <w:pPr>
        <w:spacing w:after="114"/>
        <w:ind w:left="727" w:right="100"/>
      </w:pPr>
      <w:r>
        <w:t xml:space="preserve">2º.- SG-S1 Solicitud genérica firmada electrónicamente el 11 de abril de 2023 del siguiente tenor literal: </w:t>
      </w:r>
    </w:p>
    <w:p w:rsidR="00EE0979" w:rsidRDefault="00B022A0">
      <w:pPr>
        <w:spacing w:after="111"/>
        <w:ind w:left="727" w:right="100"/>
      </w:pPr>
      <w:r>
        <w:t>“Expone: Dña. María Co</w:t>
      </w:r>
      <w:r>
        <w:t xml:space="preserve">ncepción Brito Núñez, en representación de la entidad “E.I. VIVIENDAS Y SERVICIOS MUNICIPALES DE CANDELARIA S.L.” con CIF B 38904868, con domicilio a efectos de notificaciones en Avenida de la Constitución, nº 7, 38530, Candelaria, provincia de Santa Cruz </w:t>
      </w:r>
      <w:r>
        <w:t>de Tenerife EXPONE: 1. Haber tenido conocimiento de la tramitación desde el Ayuntamiento de Candelaria de una Comunidad de Energía Renovable en Candelaria, que se encuentra en periodo de exposición pública y abierto el mismo plazo para solicitar adhesiones</w:t>
      </w:r>
      <w:r>
        <w:t xml:space="preserve"> a la misma. 2. A la vista de sus objetivos: desarrollar proyectos de energía renovable, de eficiencia energética y/o movilidad sostenible y de sus fines, primordialmente proporcionar beneficios medioambientales, económicos o sociales a sus socios o miembr</w:t>
      </w:r>
      <w:r>
        <w:t xml:space="preserve">os, o a las zonas locales donde operen, en lugar de ganancias financieras. </w:t>
      </w:r>
    </w:p>
    <w:p w:rsidR="00EE0979" w:rsidRDefault="00B022A0">
      <w:pPr>
        <w:spacing w:after="111"/>
        <w:ind w:left="727" w:right="100"/>
      </w:pPr>
      <w:r>
        <w:t>Solicita: Sea admitida esta solicitud de adhesión para formar parte de dicha Asociación de Comunidad de Energía Renovable de Candelaria o Comunidad Energética de Candelaria y se re</w:t>
      </w:r>
      <w:r>
        <w:t xml:space="preserve">mita a Alcaldía.” </w:t>
      </w:r>
    </w:p>
    <w:p w:rsidR="00EE0979" w:rsidRDefault="00B022A0">
      <w:pPr>
        <w:spacing w:after="98" w:line="259" w:lineRule="auto"/>
        <w:ind w:left="722" w:firstLine="0"/>
        <w:jc w:val="left"/>
      </w:pPr>
      <w:r>
        <w:t xml:space="preserve"> </w:t>
      </w:r>
    </w:p>
    <w:p w:rsidR="00EE0979" w:rsidRDefault="00B022A0">
      <w:pPr>
        <w:spacing w:after="114"/>
        <w:ind w:left="727" w:right="100"/>
      </w:pPr>
      <w:r>
        <w:t xml:space="preserve">3º.- Solicitud de adhesión a la futura Asociación de Comunidad Energética de Candelaria firmada electrónicamente por la persona representante con fecha 11 de abril del 2023.  </w:t>
      </w:r>
    </w:p>
    <w:p w:rsidR="00EE0979" w:rsidRDefault="00B022A0">
      <w:pPr>
        <w:spacing w:after="98" w:line="259" w:lineRule="auto"/>
        <w:ind w:left="722" w:firstLine="0"/>
        <w:jc w:val="left"/>
      </w:pPr>
      <w:r>
        <w:t xml:space="preserve"> </w:t>
      </w:r>
    </w:p>
    <w:p w:rsidR="00EE0979" w:rsidRDefault="00B022A0">
      <w:pPr>
        <w:spacing w:after="93"/>
        <w:ind w:right="100"/>
      </w:pPr>
      <w:r>
        <w:t>Cuarto. - Con fecha 11 de abril de 2023 y registro de ent</w:t>
      </w:r>
      <w:r>
        <w:t xml:space="preserve">rada núm. 2023-E-RE-2995 a las 15:22 horas se presenta los siguientes documentos, por parte de la entidad Fundación Canaria Candesol, con código de unidad orgánica LA0011523 y NIF núm. G38975819 a través de su representante Dña. Patricia Álvarez Rodríguez </w:t>
      </w:r>
      <w:r>
        <w:t xml:space="preserve">provista de NIF. núm. **7828**D: </w:t>
      </w:r>
    </w:p>
    <w:p w:rsidR="00EE0979" w:rsidRDefault="00B022A0">
      <w:pPr>
        <w:spacing w:after="98" w:line="259" w:lineRule="auto"/>
        <w:ind w:left="14" w:firstLine="0"/>
        <w:jc w:val="left"/>
      </w:pPr>
      <w:r>
        <w:t xml:space="preserve"> </w:t>
      </w:r>
    </w:p>
    <w:p w:rsidR="00EE0979" w:rsidRDefault="00B022A0">
      <w:pPr>
        <w:spacing w:after="142"/>
        <w:ind w:left="727" w:right="100"/>
      </w:pPr>
      <w:r>
        <w:t xml:space="preserve">1º.- SG-S1 Solicitud genérica firmada electrónicamente el 11 de abril de 2023 del siguiente tenor literal: </w:t>
      </w:r>
    </w:p>
    <w:p w:rsidR="00EE0979" w:rsidRDefault="00B022A0">
      <w:pPr>
        <w:spacing w:after="150"/>
        <w:ind w:left="727" w:right="100"/>
      </w:pPr>
      <w:r>
        <w:t xml:space="preserve">“Expone: Que, en relación a la tramitación desde el Ayuntamiento de Candelaria de una comunidad de energía renovable de Candelaria, se solicita la adhesión para formar parte de dicha asociación </w:t>
      </w:r>
    </w:p>
    <w:p w:rsidR="00EE0979" w:rsidRDefault="00B022A0">
      <w:pPr>
        <w:spacing w:after="111"/>
        <w:ind w:left="727" w:right="100"/>
      </w:pPr>
      <w:r>
        <w:t xml:space="preserve">Solicita: Aportar y dar trámite ante Alcaldía” </w:t>
      </w:r>
    </w:p>
    <w:p w:rsidR="00EE0979" w:rsidRDefault="00B022A0">
      <w:pPr>
        <w:spacing w:after="114"/>
        <w:ind w:left="727" w:right="100"/>
      </w:pPr>
      <w:r>
        <w:t>2º.- Solicitu</w:t>
      </w:r>
      <w:r>
        <w:t xml:space="preserve">d de adhesión a la futura Asociación de Comunidad Energética de Candelaria firmada electrónicamente por la Presidenta de la Fundación, Dña. María Concepción Brito Núñez con fecha 11 de abril del 2023. </w:t>
      </w:r>
    </w:p>
    <w:p w:rsidR="00EE0979" w:rsidRDefault="00B022A0">
      <w:pPr>
        <w:spacing w:after="114"/>
        <w:ind w:left="14" w:right="100" w:firstLine="708"/>
      </w:pPr>
      <w:r>
        <w:t>Quinto. - Que a fecha de la firma del presente Informe</w:t>
      </w:r>
      <w:r>
        <w:t xml:space="preserve"> técnico y desde el 24 de febrero de 2023 hasta el día de hoy, no constan en el Registro de Entrada de la Agencia de Empleo y Desarrollo Local otras solicitudes de adhesión por parte de otras personas jurídicas ni físicas ni tampoco constan otras alegacion</w:t>
      </w:r>
      <w:r>
        <w:t xml:space="preserve">es distintas a las enumeradas anteriormente una vez revisado el citado Registro de Entrada de AEDL. </w:t>
      </w:r>
    </w:p>
    <w:p w:rsidR="00EE0979" w:rsidRDefault="00B022A0">
      <w:pPr>
        <w:spacing w:after="111"/>
        <w:ind w:right="100"/>
      </w:pPr>
      <w:r>
        <w:t xml:space="preserve">Desconozco si se han presentado adhesiones o alegaciones por parte de otras personas físicas y/o jurídicas interesadas en este procedimiento y se hubieran </w:t>
      </w:r>
      <w:r>
        <w:t xml:space="preserve">derivado a los registros de entrada de otras Concejalías o de otras Áreas municipales por error u omisión inintencionado. </w:t>
      </w:r>
    </w:p>
    <w:p w:rsidR="00EE0979" w:rsidRDefault="00B022A0">
      <w:pPr>
        <w:spacing w:after="171"/>
        <w:ind w:right="100"/>
      </w:pPr>
      <w:r>
        <w:t>Asimismo, desconozco si se han presentado adhesiones o alegaciones por parte de otras personas físicas y/o jurídicas interesadas en e</w:t>
      </w:r>
      <w:r>
        <w:t xml:space="preserve">ste procedimiento y aún, habiéndose derivado al Registro de Entrada de la Agencia de Empleo y Desarrollo Local se hubieran incorporado u asignado a otros expedientes por error inintencionado. </w:t>
      </w:r>
    </w:p>
    <w:p w:rsidR="00EE0979" w:rsidRDefault="00B022A0">
      <w:pPr>
        <w:spacing w:after="158" w:line="259" w:lineRule="auto"/>
        <w:ind w:left="14" w:firstLine="0"/>
        <w:jc w:val="left"/>
      </w:pPr>
      <w:r>
        <w:rPr>
          <w:b/>
        </w:rPr>
        <w:t xml:space="preserve"> </w:t>
      </w:r>
    </w:p>
    <w:p w:rsidR="00EE0979" w:rsidRDefault="00B022A0">
      <w:pPr>
        <w:spacing w:after="6" w:line="408" w:lineRule="auto"/>
        <w:ind w:left="1147" w:right="3158" w:firstLine="994"/>
      </w:pPr>
      <w:r>
        <w:rPr>
          <w:b/>
        </w:rPr>
        <w:t xml:space="preserve">FUNDAMENTOS DE DERECHO PRIMERO. - Competencia. </w:t>
      </w:r>
    </w:p>
    <w:p w:rsidR="00EE0979" w:rsidRDefault="00B022A0">
      <w:pPr>
        <w:spacing w:after="0" w:line="259" w:lineRule="auto"/>
        <w:ind w:left="10" w:right="100" w:hanging="10"/>
        <w:jc w:val="right"/>
      </w:pPr>
      <w:r>
        <w:rPr>
          <w:b/>
        </w:rPr>
        <w:t>Es de aplicac</w:t>
      </w:r>
      <w:r>
        <w:rPr>
          <w:b/>
        </w:rPr>
        <w:t xml:space="preserve">ión el artículo 11 de la Ley 7/2015, de 1 de abril, de los municipios </w:t>
      </w:r>
    </w:p>
    <w:p w:rsidR="00EE0979" w:rsidRDefault="00B022A0">
      <w:pPr>
        <w:spacing w:after="152"/>
        <w:ind w:left="9" w:right="98" w:hanging="10"/>
      </w:pPr>
      <w:r>
        <w:rPr>
          <w:b/>
        </w:rPr>
        <w:t>de Canarias que establece entre las atribuciones de los municipios las siguientes:</w:t>
      </w:r>
      <w:r>
        <w:t xml:space="preserve"> </w:t>
      </w:r>
      <w:r>
        <w:rPr>
          <w:i/>
        </w:rPr>
        <w:t>g) Fomento y promoción del desarrollo económico y social municipal en el marco de la planificación autonómica.</w:t>
      </w:r>
      <w:r>
        <w:t xml:space="preserve"> </w:t>
      </w:r>
      <w:r>
        <w:rPr>
          <w:i/>
        </w:rPr>
        <w:t>j) Medio ambiente.</w:t>
      </w:r>
      <w:r>
        <w:rPr>
          <w:rFonts w:ascii="Times New Roman" w:eastAsia="Times New Roman" w:hAnsi="Times New Roman" w:cs="Times New Roman"/>
          <w:sz w:val="24"/>
        </w:rPr>
        <w:t xml:space="preserve"> </w:t>
      </w:r>
    </w:p>
    <w:p w:rsidR="00EE0979" w:rsidRDefault="00B022A0">
      <w:pPr>
        <w:spacing w:after="0" w:line="259" w:lineRule="auto"/>
        <w:ind w:left="10" w:right="100" w:hanging="10"/>
        <w:jc w:val="right"/>
      </w:pPr>
      <w:r>
        <w:rPr>
          <w:b/>
        </w:rPr>
        <w:t xml:space="preserve">Es de aplicación el artículo 25.2 b) de la Ley de Bases del Régimen local que </w:t>
      </w:r>
    </w:p>
    <w:p w:rsidR="00EE0979" w:rsidRDefault="00B022A0">
      <w:pPr>
        <w:spacing w:after="111"/>
        <w:ind w:right="99" w:hanging="10"/>
      </w:pPr>
      <w:r>
        <w:rPr>
          <w:b/>
        </w:rPr>
        <w:t>establece la atribución de</w:t>
      </w:r>
      <w:r>
        <w:t xml:space="preserve">: </w:t>
      </w:r>
      <w:r>
        <w:rPr>
          <w:i/>
        </w:rPr>
        <w:t xml:space="preserve">b) Medio ambiente </w:t>
      </w:r>
      <w:r>
        <w:rPr>
          <w:i/>
        </w:rPr>
        <w:t>urbano.</w:t>
      </w:r>
      <w:r>
        <w:t xml:space="preserve"> </w:t>
      </w:r>
    </w:p>
    <w:p w:rsidR="00EE0979" w:rsidRDefault="00B022A0">
      <w:pPr>
        <w:spacing w:after="3" w:line="259" w:lineRule="auto"/>
        <w:ind w:left="10" w:right="111" w:hanging="10"/>
        <w:jc w:val="right"/>
      </w:pPr>
      <w:r>
        <w:t xml:space="preserve">En el artículo 2 de la Orden TED/1446/2021, de 22 de diciembre, por la que se aprueban </w:t>
      </w:r>
    </w:p>
    <w:p w:rsidR="00EE0979" w:rsidRDefault="00B022A0">
      <w:pPr>
        <w:spacing w:after="114"/>
        <w:ind w:right="100"/>
      </w:pPr>
      <w:r>
        <w:t>las bases reguladoras para la concesión de ayudas del programa de incentivos a proyectos piloto singulares de comunidades energéticas (Programa CE Implementa),</w:t>
      </w:r>
      <w:r>
        <w:t xml:space="preserve"> en el marco del Plan de Recuperación, Transformación y Resiliencia (BOE 24 de diciembre de 2021) se establece el amparo normativo para la participación de las entidades locales en las comunidades energéticas en los siguientes términos: </w:t>
      </w:r>
    </w:p>
    <w:p w:rsidR="00EE0979" w:rsidRDefault="00B022A0">
      <w:pPr>
        <w:spacing w:after="2" w:line="234" w:lineRule="auto"/>
        <w:ind w:left="9" w:right="98" w:hanging="10"/>
      </w:pPr>
      <w:r>
        <w:rPr>
          <w:b/>
          <w:i/>
          <w:u w:val="single" w:color="000000"/>
        </w:rPr>
        <w:t>1. Comunidad energ</w:t>
      </w:r>
      <w:r>
        <w:rPr>
          <w:b/>
          <w:i/>
          <w:u w:val="single" w:color="000000"/>
        </w:rPr>
        <w:t>ética</w:t>
      </w:r>
      <w:r>
        <w:rPr>
          <w:i/>
          <w:u w:val="single" w:color="000000"/>
        </w:rPr>
        <w:t>: persona jurídica</w:t>
      </w:r>
      <w:r>
        <w:rPr>
          <w:i/>
        </w:rPr>
        <w:t xml:space="preserve"> basada en la participación abierta y voluntaria, efectivamente controlada por socios o miembros que sean personas físicas, pymes o </w:t>
      </w:r>
      <w:r>
        <w:rPr>
          <w:b/>
          <w:i/>
          <w:u w:val="single" w:color="000000"/>
        </w:rPr>
        <w:t>entidades locales</w:t>
      </w:r>
      <w:r>
        <w:rPr>
          <w:i/>
        </w:rPr>
        <w:t xml:space="preserve">, </w:t>
      </w:r>
      <w:r>
        <w:rPr>
          <w:i/>
          <w:u w:val="single" w:color="000000"/>
        </w:rPr>
        <w:t>que desarrolle proyectos de energías renovables, eficiencia energética y/o movilid</w:t>
      </w:r>
      <w:r>
        <w:rPr>
          <w:i/>
          <w:u w:val="single" w:color="000000"/>
        </w:rPr>
        <w:t>ad sostenible</w:t>
      </w:r>
      <w:r>
        <w:rPr>
          <w:i/>
        </w:rPr>
        <w:t xml:space="preserve"> </w:t>
      </w:r>
      <w:r>
        <w:rPr>
          <w:i/>
          <w:u w:val="single" w:color="000000"/>
        </w:rPr>
        <w:t>que sean propiedad de dicha persona jurídica y cuya finalidad primordial sea proporcionar beneficios medioambientales, económicos o sociales a sus socios o miembros o a las zonas locales</w:t>
      </w:r>
      <w:r>
        <w:rPr>
          <w:i/>
        </w:rPr>
        <w:t xml:space="preserve"> </w:t>
      </w:r>
      <w:r>
        <w:rPr>
          <w:i/>
          <w:u w:val="single" w:color="000000"/>
        </w:rPr>
        <w:t>donde operan, en lugar de ganancias financieras.</w:t>
      </w:r>
      <w:r>
        <w:rPr>
          <w:sz w:val="24"/>
        </w:rPr>
        <w:t xml:space="preserve"> </w:t>
      </w:r>
    </w:p>
    <w:p w:rsidR="00EE0979" w:rsidRDefault="00B022A0">
      <w:pPr>
        <w:spacing w:after="98" w:line="259" w:lineRule="auto"/>
        <w:ind w:left="1147" w:firstLine="0"/>
        <w:jc w:val="left"/>
      </w:pPr>
      <w:r>
        <w:rPr>
          <w:b/>
        </w:rPr>
        <w:t xml:space="preserve"> </w:t>
      </w:r>
    </w:p>
    <w:p w:rsidR="00EE0979" w:rsidRDefault="00B022A0">
      <w:pPr>
        <w:spacing w:after="113"/>
        <w:ind w:left="1157" w:right="99" w:hanging="10"/>
      </w:pPr>
      <w:r>
        <w:rPr>
          <w:b/>
        </w:rPr>
        <w:t xml:space="preserve">Es de aplicación el artículo 6 de la Ley del Sector Eléctrico que establece: </w:t>
      </w:r>
    </w:p>
    <w:p w:rsidR="00EE0979" w:rsidRDefault="00B022A0">
      <w:pPr>
        <w:spacing w:after="112"/>
        <w:ind w:left="9" w:right="98" w:hanging="10"/>
      </w:pPr>
      <w:r>
        <w:rPr>
          <w:b/>
          <w:i/>
        </w:rPr>
        <w:t>j) Las comunidades de energías renovables, que son entidades jurídicas basadas en la participación abierta y voluntaria, autónomas</w:t>
      </w:r>
      <w:r>
        <w:rPr>
          <w:i/>
        </w:rPr>
        <w:t xml:space="preserve"> y efectivamente controladas por socios o miembr</w:t>
      </w:r>
      <w:r>
        <w:rPr>
          <w:i/>
        </w:rPr>
        <w:t xml:space="preserve">os que están situados en las proximidades de los proyectos de energías renovables que sean propiedad de dichas entidades jurídicas y que estas hayan desarrollado, </w:t>
      </w:r>
      <w:r>
        <w:rPr>
          <w:i/>
          <w:u w:val="single" w:color="000000"/>
        </w:rPr>
        <w:t>cuyos socios o</w:t>
      </w:r>
      <w:r>
        <w:rPr>
          <w:i/>
        </w:rPr>
        <w:t xml:space="preserve"> </w:t>
      </w:r>
      <w:r>
        <w:rPr>
          <w:i/>
          <w:u w:val="single" w:color="000000"/>
          <w:shd w:val="clear" w:color="auto" w:fill="FFFFFF"/>
        </w:rPr>
        <w:t xml:space="preserve">miembros sean personas físicas, pymes </w:t>
      </w:r>
      <w:r>
        <w:rPr>
          <w:b/>
          <w:i/>
          <w:u w:val="single" w:color="000000"/>
          <w:shd w:val="clear" w:color="auto" w:fill="FFFFFF"/>
        </w:rPr>
        <w:t>o autoridades locales, incluidos los mun</w:t>
      </w:r>
      <w:r>
        <w:rPr>
          <w:b/>
          <w:i/>
          <w:u w:val="single" w:color="000000"/>
          <w:shd w:val="clear" w:color="auto" w:fill="FFFFFF"/>
        </w:rPr>
        <w:t>icipios</w:t>
      </w:r>
      <w:r>
        <w:rPr>
          <w:i/>
          <w:u w:val="single" w:color="000000"/>
          <w:shd w:val="clear" w:color="auto" w:fill="FFFFFF"/>
        </w:rPr>
        <w:t xml:space="preserve"> y cuya</w:t>
      </w:r>
      <w:r>
        <w:rPr>
          <w:i/>
        </w:rPr>
        <w:t xml:space="preserve"> </w:t>
      </w:r>
      <w:r>
        <w:rPr>
          <w:i/>
          <w:u w:val="single" w:color="000000"/>
        </w:rPr>
        <w:t>finalidad primordial sea proporcionar beneficios medioambientales, económicos o sociales a sus</w:t>
      </w:r>
      <w:r>
        <w:rPr>
          <w:i/>
        </w:rPr>
        <w:t xml:space="preserve"> </w:t>
      </w:r>
      <w:r>
        <w:rPr>
          <w:i/>
          <w:u w:val="single" w:color="000000"/>
        </w:rPr>
        <w:t>socios o miembros o a las zonas locales donde operan, en lugar de ganancias financieras</w:t>
      </w:r>
      <w:r>
        <w:t xml:space="preserve"> </w:t>
      </w:r>
    </w:p>
    <w:p w:rsidR="00EE0979" w:rsidRDefault="00B022A0">
      <w:pPr>
        <w:spacing w:after="98" w:line="259" w:lineRule="auto"/>
        <w:ind w:left="374" w:firstLine="0"/>
        <w:jc w:val="left"/>
      </w:pPr>
      <w:r>
        <w:rPr>
          <w:b/>
        </w:rPr>
        <w:t xml:space="preserve"> </w:t>
      </w:r>
    </w:p>
    <w:p w:rsidR="00EE0979" w:rsidRDefault="00B022A0">
      <w:pPr>
        <w:spacing w:after="111"/>
        <w:ind w:left="1157" w:right="99" w:hanging="10"/>
      </w:pPr>
      <w:r>
        <w:rPr>
          <w:b/>
        </w:rPr>
        <w:t xml:space="preserve">SEGUNDO. - Procedimiento. </w:t>
      </w:r>
    </w:p>
    <w:p w:rsidR="00EE0979" w:rsidRDefault="00B022A0">
      <w:pPr>
        <w:spacing w:after="174"/>
        <w:ind w:left="14" w:right="100" w:firstLine="360"/>
      </w:pPr>
      <w:r>
        <w:t>Es de aplicación el artículo 49 de la Ley de Bases del Régimen local (LBRL) que establece el procedimiento de aprobación de los reglamentos y ordenanzas ya que estamos ante la creación de una persona jurídica cuyo régimen de funcionamiento requiere a la ap</w:t>
      </w:r>
      <w:r>
        <w:t xml:space="preserve">robación de un reglamento interno de funcionamiento y por tanto por analogía y para cumplir con  el derecho de información pública y participación ciudadana le aplicamos el procedimiento administrativo local de aprobación  de las disposiciones de carácter </w:t>
      </w:r>
      <w:r>
        <w:t xml:space="preserve">general, o sea, de los reglamentos. </w:t>
      </w:r>
    </w:p>
    <w:p w:rsidR="00EE0979" w:rsidRDefault="00B022A0">
      <w:pPr>
        <w:spacing w:line="408" w:lineRule="auto"/>
        <w:ind w:left="384" w:right="1191" w:hanging="10"/>
      </w:pPr>
      <w:r>
        <w:rPr>
          <w:i/>
        </w:rPr>
        <w:t xml:space="preserve">La aprobación de las Ordenanzas locales se ajustará al siguiente procedimiento: a) Aprobación inicial por el Pleno. </w:t>
      </w:r>
    </w:p>
    <w:p w:rsidR="00EE0979" w:rsidRDefault="00B022A0">
      <w:pPr>
        <w:numPr>
          <w:ilvl w:val="0"/>
          <w:numId w:val="80"/>
        </w:numPr>
        <w:spacing w:after="9" w:line="249" w:lineRule="auto"/>
        <w:ind w:right="99" w:hanging="257"/>
      </w:pPr>
      <w:r>
        <w:rPr>
          <w:i/>
        </w:rPr>
        <w:t xml:space="preserve">Información pública y audiencia a los interesados por el plazo mínimo de treinta días para la </w:t>
      </w:r>
    </w:p>
    <w:p w:rsidR="00EE0979" w:rsidRDefault="00B022A0">
      <w:pPr>
        <w:spacing w:after="169"/>
        <w:ind w:left="9" w:right="98" w:hanging="10"/>
      </w:pPr>
      <w:r>
        <w:rPr>
          <w:i/>
        </w:rPr>
        <w:t>present</w:t>
      </w:r>
      <w:r>
        <w:rPr>
          <w:i/>
        </w:rPr>
        <w:t xml:space="preserve">ación de reclamaciones y sugerencias. </w:t>
      </w:r>
    </w:p>
    <w:p w:rsidR="00EE0979" w:rsidRDefault="00B022A0">
      <w:pPr>
        <w:numPr>
          <w:ilvl w:val="0"/>
          <w:numId w:val="80"/>
        </w:numPr>
        <w:ind w:right="99" w:hanging="257"/>
      </w:pPr>
      <w:r>
        <w:rPr>
          <w:i/>
        </w:rPr>
        <w:t>Resolución de todas las reclamaciones y sugerencias presentadas dentro del plazo y apro-</w:t>
      </w:r>
    </w:p>
    <w:p w:rsidR="00EE0979" w:rsidRDefault="00B022A0">
      <w:pPr>
        <w:spacing w:after="169"/>
        <w:ind w:left="9" w:right="98" w:hanging="10"/>
      </w:pPr>
      <w:r>
        <w:rPr>
          <w:i/>
        </w:rPr>
        <w:t xml:space="preserve">bación definitiva por el Pleno. </w:t>
      </w:r>
    </w:p>
    <w:p w:rsidR="00EE0979" w:rsidRDefault="00B022A0">
      <w:pPr>
        <w:spacing w:after="169"/>
        <w:ind w:left="-1" w:right="98" w:firstLine="360"/>
      </w:pPr>
      <w:r>
        <w:rPr>
          <w:i/>
        </w:rPr>
        <w:t>En el caso de que no se hubiera presentado ninguna reclamación o sugerencia, se entenderá defin</w:t>
      </w:r>
      <w:r>
        <w:rPr>
          <w:i/>
        </w:rPr>
        <w:t xml:space="preserve">itivamente adoptado el acuerdo hasta entonces provisional. </w:t>
      </w:r>
    </w:p>
    <w:p w:rsidR="00EE0979" w:rsidRDefault="00B022A0">
      <w:pPr>
        <w:spacing w:after="109"/>
        <w:ind w:right="99" w:hanging="10"/>
      </w:pPr>
      <w:r>
        <w:rPr>
          <w:b/>
        </w:rPr>
        <w:t xml:space="preserve">Como hemos expuesto consta que se han presentado las siguientes alegaciones: </w:t>
      </w:r>
    </w:p>
    <w:p w:rsidR="00EE0979" w:rsidRDefault="00B022A0">
      <w:pPr>
        <w:spacing w:after="110"/>
        <w:ind w:right="99" w:hanging="10"/>
      </w:pPr>
      <w:r>
        <w:rPr>
          <w:b/>
          <w:u w:val="single" w:color="000000"/>
        </w:rPr>
        <w:t>1º.- Instancia firmada electrónicamente el 2 de marzo de 2023 con el siguiente tenor literal</w:t>
      </w:r>
      <w:r>
        <w:rPr>
          <w:b/>
        </w:rPr>
        <w:t xml:space="preserve"> </w:t>
      </w:r>
      <w:r>
        <w:rPr>
          <w:b/>
          <w:u w:val="single" w:color="000000"/>
        </w:rPr>
        <w:t xml:space="preserve">por Don Ricardo Guerrero </w:t>
      </w:r>
      <w:r>
        <w:rPr>
          <w:b/>
          <w:u w:val="single" w:color="000000"/>
        </w:rPr>
        <w:t>Lemus</w:t>
      </w:r>
      <w:r>
        <w:rPr>
          <w:b/>
        </w:rPr>
        <w:t xml:space="preserve"> en la que propone la incorporación de la empresa “Energy Research &amp; Intelligence Solutions S.L.U. “empresa reconocida por Acuerdo del Consejo Social de la Universidad de La Laguna. </w:t>
      </w:r>
      <w:r>
        <w:t xml:space="preserve"> </w:t>
      </w:r>
    </w:p>
    <w:p w:rsidR="00EE0979" w:rsidRDefault="00B022A0">
      <w:pPr>
        <w:spacing w:after="111"/>
        <w:ind w:right="99" w:hanging="10"/>
      </w:pPr>
      <w:r>
        <w:rPr>
          <w:b/>
        </w:rPr>
        <w:t>Además, también plantea la modificación de los Estatutos y Reglamen</w:t>
      </w:r>
      <w:r>
        <w:rPr>
          <w:b/>
        </w:rPr>
        <w:t xml:space="preserve">tos de la Asociación para, entre otras cosas, incorporar el lenguaje no sexista. </w:t>
      </w:r>
    </w:p>
    <w:p w:rsidR="00EE0979" w:rsidRDefault="00B022A0">
      <w:pPr>
        <w:spacing w:after="98" w:line="259" w:lineRule="auto"/>
        <w:ind w:left="14" w:firstLine="0"/>
        <w:jc w:val="left"/>
      </w:pPr>
      <w:r>
        <w:rPr>
          <w:b/>
        </w:rPr>
        <w:t xml:space="preserve"> </w:t>
      </w:r>
    </w:p>
    <w:p w:rsidR="00EE0979" w:rsidRDefault="00B022A0">
      <w:pPr>
        <w:spacing w:after="100" w:line="259" w:lineRule="auto"/>
        <w:ind w:left="14" w:firstLine="0"/>
        <w:jc w:val="left"/>
      </w:pPr>
      <w:r>
        <w:rPr>
          <w:b/>
        </w:rPr>
        <w:t xml:space="preserve"> </w:t>
      </w:r>
    </w:p>
    <w:p w:rsidR="00EE0979" w:rsidRDefault="00B022A0">
      <w:pPr>
        <w:spacing w:after="110" w:line="249" w:lineRule="auto"/>
        <w:ind w:left="9" w:right="94" w:hanging="10"/>
      </w:pPr>
      <w:r>
        <w:rPr>
          <w:b/>
          <w:u w:val="single" w:color="000000"/>
        </w:rPr>
        <w:t>2º.- Instancia firmada electrónicamente y registrada el 11 de abril de 2023 en la que la</w:t>
      </w:r>
      <w:r>
        <w:rPr>
          <w:b/>
        </w:rPr>
        <w:t xml:space="preserve"> </w:t>
      </w:r>
      <w:r>
        <w:rPr>
          <w:b/>
          <w:u w:val="single" w:color="000000"/>
        </w:rPr>
        <w:t>Presidenta de la Entidad Pública Empresarial de Gestión de Empresas y Servicios Públicos</w:t>
      </w:r>
      <w:r>
        <w:rPr>
          <w:b/>
        </w:rPr>
        <w:t xml:space="preserve"> </w:t>
      </w:r>
      <w:r>
        <w:rPr>
          <w:b/>
          <w:u w:val="single" w:color="000000"/>
        </w:rPr>
        <w:t>del Ayuntamiento de Candelaria</w:t>
      </w:r>
      <w:r>
        <w:rPr>
          <w:b/>
        </w:rPr>
        <w:t xml:space="preserve"> solicita la adhesión a la Comunidad Energética de Candelaria.</w:t>
      </w:r>
      <w:r>
        <w:t xml:space="preserve"> </w:t>
      </w:r>
    </w:p>
    <w:p w:rsidR="00EE0979" w:rsidRDefault="00B022A0">
      <w:pPr>
        <w:spacing w:after="112" w:line="249" w:lineRule="auto"/>
        <w:ind w:left="9" w:right="94" w:hanging="10"/>
      </w:pPr>
      <w:r>
        <w:rPr>
          <w:b/>
          <w:u w:val="single" w:color="000000"/>
        </w:rPr>
        <w:t>3º.- Instancia firmada electrónicamente y registrada el 11 de abril de 20</w:t>
      </w:r>
      <w:r>
        <w:rPr>
          <w:b/>
          <w:u w:val="single" w:color="000000"/>
        </w:rPr>
        <w:t>23 en la que la</w:t>
      </w:r>
      <w:r>
        <w:rPr>
          <w:b/>
        </w:rPr>
        <w:t xml:space="preserve"> </w:t>
      </w:r>
      <w:r>
        <w:rPr>
          <w:b/>
          <w:u w:val="single" w:color="000000"/>
        </w:rPr>
        <w:t>Presidenta de la empresa pública de Viviendas y Servicios Municipales de Candelaria</w:t>
      </w:r>
      <w:r>
        <w:rPr>
          <w:b/>
        </w:rPr>
        <w:t xml:space="preserve"> solicita la adhesión a la Comunidad Energética de Candelaria.</w:t>
      </w:r>
      <w:r>
        <w:t xml:space="preserve"> </w:t>
      </w:r>
    </w:p>
    <w:p w:rsidR="00EE0979" w:rsidRDefault="00B022A0">
      <w:pPr>
        <w:spacing w:after="114"/>
        <w:ind w:right="99" w:hanging="10"/>
      </w:pPr>
      <w:r>
        <w:rPr>
          <w:b/>
        </w:rPr>
        <w:t>4.- Instancia firmada electrónicamente y registrada el 11 de abril de 2023 en la que la Presi</w:t>
      </w:r>
      <w:r>
        <w:rPr>
          <w:b/>
        </w:rPr>
        <w:t xml:space="preserve">denta de la Fundación Candelaria Solidaria (CANDESOL) solicita a la adhesión a la Comunidad Energética de Candelaria. </w:t>
      </w:r>
    </w:p>
    <w:p w:rsidR="00EE0979" w:rsidRDefault="00B022A0">
      <w:pPr>
        <w:spacing w:after="95" w:line="259" w:lineRule="auto"/>
        <w:ind w:left="14" w:firstLine="0"/>
        <w:jc w:val="left"/>
      </w:pPr>
      <w:r>
        <w:t xml:space="preserve"> </w:t>
      </w:r>
    </w:p>
    <w:p w:rsidR="00EE0979" w:rsidRDefault="00B022A0">
      <w:pPr>
        <w:spacing w:after="111"/>
        <w:ind w:left="2292" w:right="99" w:hanging="10"/>
      </w:pPr>
      <w:r>
        <w:rPr>
          <w:b/>
        </w:rPr>
        <w:t xml:space="preserve">PROPUESTA DE ACUERDO AL PLENO </w:t>
      </w:r>
    </w:p>
    <w:p w:rsidR="00EE0979" w:rsidRDefault="00B022A0">
      <w:pPr>
        <w:spacing w:after="0" w:line="259" w:lineRule="auto"/>
        <w:ind w:left="10" w:right="100" w:hanging="10"/>
        <w:jc w:val="right"/>
      </w:pPr>
      <w:r>
        <w:rPr>
          <w:b/>
        </w:rPr>
        <w:t xml:space="preserve">PRIMERO. - Aprobar las adhesiones a la Comunidad Energética de Candelaria </w:t>
      </w:r>
    </w:p>
    <w:p w:rsidR="00EE0979" w:rsidRDefault="00B022A0">
      <w:pPr>
        <w:spacing w:after="114"/>
        <w:ind w:right="99" w:hanging="10"/>
      </w:pPr>
      <w:r>
        <w:rPr>
          <w:b/>
        </w:rPr>
        <w:t>realizadas durante el período</w:t>
      </w:r>
      <w:r>
        <w:rPr>
          <w:b/>
        </w:rPr>
        <w:t xml:space="preserve"> de información pública y que son las siguientes, además de la administración promotora: </w:t>
      </w:r>
    </w:p>
    <w:p w:rsidR="00EE0979" w:rsidRDefault="00B022A0">
      <w:pPr>
        <w:spacing w:after="146"/>
        <w:ind w:right="100"/>
      </w:pPr>
      <w:r>
        <w:t xml:space="preserve">1.- El Ayuntamiento de Candelaria como Administración Pública promotora. </w:t>
      </w:r>
    </w:p>
    <w:p w:rsidR="00EE0979" w:rsidRDefault="00B022A0">
      <w:pPr>
        <w:spacing w:after="112"/>
        <w:ind w:right="100"/>
      </w:pPr>
      <w:r>
        <w:t>2.- Don Ricardo Guerrero Lemus en la que propone la incorporación de la empresa “Energy Rese</w:t>
      </w:r>
      <w:r>
        <w:t xml:space="preserve">arch &amp; Intelligence Solutions S.L.U” empresa reconocida por Acuerdo del Consejo Social de la Universidad de La Laguna de 8 de abril de 2021. </w:t>
      </w:r>
    </w:p>
    <w:p w:rsidR="00EE0979" w:rsidRDefault="00B022A0">
      <w:pPr>
        <w:spacing w:after="109"/>
        <w:ind w:right="100"/>
      </w:pPr>
      <w:r>
        <w:t xml:space="preserve">3.- Entidad Pública empresarial de Servicios Públicos del Ayuntamiento de Candelaria (EPELCAN) </w:t>
      </w:r>
    </w:p>
    <w:p w:rsidR="00EE0979" w:rsidRDefault="00B022A0">
      <w:pPr>
        <w:spacing w:after="109"/>
        <w:ind w:right="100"/>
      </w:pPr>
      <w:r>
        <w:t xml:space="preserve">4.- </w:t>
      </w:r>
      <w:r>
        <w:t xml:space="preserve">Empresa pública de Viviendas y Servicios Municipales. </w:t>
      </w:r>
    </w:p>
    <w:p w:rsidR="00EE0979" w:rsidRDefault="00B022A0">
      <w:pPr>
        <w:spacing w:after="111"/>
        <w:ind w:right="100"/>
      </w:pPr>
      <w:r>
        <w:t xml:space="preserve">5.- Fundación Candelaria Solidaria (Candesol). </w:t>
      </w:r>
    </w:p>
    <w:p w:rsidR="00EE0979" w:rsidRDefault="00B022A0">
      <w:pPr>
        <w:spacing w:after="95" w:line="259" w:lineRule="auto"/>
        <w:ind w:left="14" w:firstLine="0"/>
        <w:jc w:val="left"/>
      </w:pPr>
      <w:r>
        <w:t xml:space="preserve"> </w:t>
      </w:r>
    </w:p>
    <w:p w:rsidR="00EE0979" w:rsidRDefault="00B022A0">
      <w:pPr>
        <w:spacing w:after="111"/>
        <w:ind w:left="9" w:right="99" w:firstLine="708"/>
      </w:pPr>
      <w:r>
        <w:rPr>
          <w:b/>
        </w:rPr>
        <w:t>SEGUNDO.- Aprobar de forma definitiva según los documentos incorporados al expediente por instancia de 2 de marzo de 2023 que se estima y que modifican</w:t>
      </w:r>
      <w:r>
        <w:rPr>
          <w:b/>
        </w:rPr>
        <w:t xml:space="preserve"> los inicialmente aprobados del acta fundacional, los Estatutos, el Reglamento de régimen interno de la Asociación y la solicitud de la Asociación para la constitución de la Asociación promovida por el Ayuntamiento de Candelaria de “Comunidad energética de</w:t>
      </w:r>
      <w:r>
        <w:rPr>
          <w:b/>
        </w:rPr>
        <w:t xml:space="preserve"> Candelaria” o “Comunidad de energías renovables de Candelaria” en virtud de la Orden TED/1446/2021, de 22 de diciembre, por la que se aprueban las bases reguladoras para la concesión de ayudas del programa de incentivos a proyectos piloto singulares de co</w:t>
      </w:r>
      <w:r>
        <w:rPr>
          <w:b/>
        </w:rPr>
        <w:t>munidades energéticas (Programa CE Implementa), en el marco del Plan de Recuperación, Transformación y Resiliencia (BOE 24 de diciembre de 2021) y demás normativa concordante y el resto de subvenciones y ayudas que regulan los proyectos de Comunidades Ener</w:t>
      </w:r>
      <w:r>
        <w:rPr>
          <w:b/>
        </w:rPr>
        <w:t xml:space="preserve">géticas. </w:t>
      </w:r>
    </w:p>
    <w:p w:rsidR="00EE0979" w:rsidRDefault="00B022A0">
      <w:pPr>
        <w:spacing w:after="0" w:line="259" w:lineRule="auto"/>
        <w:ind w:left="10" w:right="100" w:hanging="10"/>
        <w:jc w:val="right"/>
      </w:pPr>
      <w:r>
        <w:rPr>
          <w:b/>
        </w:rPr>
        <w:t xml:space="preserve">Tercero. - Publicar el presente acuerdo en el Boletín Oficial de la Provincia y así </w:t>
      </w:r>
    </w:p>
    <w:p w:rsidR="00EE0979" w:rsidRDefault="00B022A0">
      <w:pPr>
        <w:spacing w:after="109"/>
        <w:ind w:right="99" w:hanging="10"/>
      </w:pPr>
      <w:r>
        <w:rPr>
          <w:b/>
        </w:rPr>
        <w:t xml:space="preserve">como el Anexo de los documentos que obran en el expediente de: </w:t>
      </w:r>
    </w:p>
    <w:p w:rsidR="00EE0979" w:rsidRDefault="00B022A0">
      <w:pPr>
        <w:spacing w:after="109"/>
        <w:ind w:left="9" w:right="99" w:firstLine="1133"/>
      </w:pPr>
      <w:r>
        <w:rPr>
          <w:b/>
        </w:rPr>
        <w:t>Acta fundacional, los Estatutos, el Reglamento de régimen interno de la Asociación y la solicitud</w:t>
      </w:r>
      <w:r>
        <w:rPr>
          <w:b/>
        </w:rPr>
        <w:t xml:space="preserve"> de la Asociación.” </w:t>
      </w:r>
    </w:p>
    <w:p w:rsidR="00EE0979" w:rsidRDefault="00B022A0">
      <w:pPr>
        <w:spacing w:after="98"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6"/>
        <w:ind w:right="99" w:hanging="10"/>
      </w:pPr>
      <w:r>
        <w:rPr>
          <w:b/>
        </w:rPr>
        <w:t>Consta en el expediente propuesta de la Concejala delegada, Dª Hilaria Cecilia Otazo González, de fecha 26 de abril de 2023, que transcrito literalmente dice:</w:t>
      </w:r>
      <w:r>
        <w:rPr>
          <w:rFonts w:ascii="Times New Roman" w:eastAsia="Times New Roman" w:hAnsi="Times New Roman" w:cs="Times New Roman"/>
          <w:sz w:val="24"/>
        </w:rPr>
        <w:t xml:space="preserve"> </w:t>
      </w:r>
    </w:p>
    <w:p w:rsidR="00EE0979" w:rsidRDefault="00B022A0">
      <w:pPr>
        <w:spacing w:after="136" w:line="259" w:lineRule="auto"/>
        <w:ind w:left="14" w:firstLine="0"/>
        <w:jc w:val="left"/>
      </w:pPr>
      <w:r>
        <w:rPr>
          <w:b/>
        </w:rPr>
        <w:t xml:space="preserve"> </w:t>
      </w:r>
    </w:p>
    <w:p w:rsidR="00EE0979" w:rsidRDefault="00B022A0">
      <w:pPr>
        <w:pStyle w:val="Ttulo1"/>
        <w:numPr>
          <w:ilvl w:val="0"/>
          <w:numId w:val="0"/>
        </w:numPr>
        <w:spacing w:after="95"/>
        <w:ind w:left="624" w:right="711"/>
      </w:pPr>
      <w:r>
        <w:t xml:space="preserve">“PROPUESTA AL PLENO </w:t>
      </w:r>
    </w:p>
    <w:p w:rsidR="00EE0979" w:rsidRDefault="00B022A0">
      <w:pPr>
        <w:spacing w:after="117"/>
        <w:ind w:left="9" w:right="99" w:firstLine="1133"/>
      </w:pPr>
      <w:r>
        <w:rPr>
          <w:b/>
        </w:rPr>
        <w:t xml:space="preserve">Consta en el expediente informe del Secretario General de fecha 26 de abril de 2023 que transcrito literalmente dice: </w:t>
      </w:r>
    </w:p>
    <w:p w:rsidR="00EE0979" w:rsidRDefault="00B022A0">
      <w:pPr>
        <w:ind w:left="1157" w:right="98" w:hanging="10"/>
      </w:pPr>
      <w:r>
        <w:rPr>
          <w:i/>
        </w:rPr>
        <w:t xml:space="preserve">PRIMERO.- Vista la Orden TED/1446/2021, de 22 de diciembre, por la que se aprueban </w:t>
      </w:r>
    </w:p>
    <w:p w:rsidR="00EE0979" w:rsidRDefault="00B022A0">
      <w:pPr>
        <w:spacing w:after="128"/>
        <w:ind w:left="9" w:right="98" w:hanging="10"/>
      </w:pPr>
      <w:r>
        <w:rPr>
          <w:i/>
        </w:rPr>
        <w:t>las bases reguladoras para la concesión de ayudas del</w:t>
      </w:r>
      <w:r>
        <w:rPr>
          <w:i/>
        </w:rPr>
        <w:t xml:space="preserve"> programa de incentivos a proyectos piloto singulares de comunidades energéticas (Programa CE Implementa), en el marco del Plan de Recuperación, Transformación y Resiliencia (BOE 24 de diciembre de 2021) que en sus definiciones establece la definición de C</w:t>
      </w:r>
      <w:r>
        <w:rPr>
          <w:i/>
        </w:rPr>
        <w:t xml:space="preserve">omunidad energética de la que pueden formar parte las entidades locales además de la participación abierta y la participación voluntaria. </w:t>
      </w:r>
    </w:p>
    <w:p w:rsidR="00EE0979" w:rsidRDefault="00B022A0">
      <w:pPr>
        <w:ind w:left="1157" w:right="98" w:hanging="10"/>
      </w:pPr>
      <w:r>
        <w:rPr>
          <w:i/>
        </w:rPr>
        <w:t>Artículo 2. Definiciones.</w:t>
      </w:r>
      <w:r>
        <w:rPr>
          <w:sz w:val="24"/>
        </w:rPr>
        <w:t xml:space="preserve"> </w:t>
      </w:r>
    </w:p>
    <w:p w:rsidR="00EE0979" w:rsidRDefault="00B022A0">
      <w:pPr>
        <w:spacing w:after="2" w:line="259" w:lineRule="auto"/>
        <w:ind w:left="14" w:firstLine="0"/>
        <w:jc w:val="left"/>
      </w:pPr>
      <w:r>
        <w:rPr>
          <w:i/>
          <w:sz w:val="20"/>
        </w:rPr>
        <w:t xml:space="preserve"> </w:t>
      </w:r>
    </w:p>
    <w:p w:rsidR="00EE0979" w:rsidRDefault="00B022A0">
      <w:pPr>
        <w:numPr>
          <w:ilvl w:val="0"/>
          <w:numId w:val="81"/>
        </w:numPr>
        <w:ind w:right="98" w:hanging="10"/>
      </w:pPr>
      <w:r>
        <w:rPr>
          <w:i/>
          <w:u w:val="single" w:color="000000"/>
        </w:rPr>
        <w:t>Comunidad energética</w:t>
      </w:r>
      <w:r>
        <w:rPr>
          <w:i/>
        </w:rPr>
        <w:t xml:space="preserve">: persona jurídica basada en la participación abierta y voluntaria, </w:t>
      </w:r>
      <w:r>
        <w:rPr>
          <w:i/>
        </w:rPr>
        <w:t xml:space="preserve">efectivamente controlada por socios o miembros que sean personas físicas, pymes o </w:t>
      </w:r>
      <w:r>
        <w:rPr>
          <w:i/>
          <w:u w:val="single" w:color="000000"/>
        </w:rPr>
        <w:t>entidades locales</w:t>
      </w:r>
      <w:r>
        <w:rPr>
          <w:i/>
        </w:rPr>
        <w:t>, que desarrolle proyectos de energías renovables, eficiencia energética y/o movilidad sostenible que sean propiedad de dicha persona jurídica y cuya finalid</w:t>
      </w:r>
      <w:r>
        <w:rPr>
          <w:i/>
        </w:rPr>
        <w:t>ad primordial sea proporcionar beneficios medioambientales, económicos o sociales a sus socios o miembros o a las zonas locales donde operan, en lugar de ganancias financieras.</w:t>
      </w:r>
      <w:r>
        <w:rPr>
          <w:sz w:val="24"/>
        </w:rPr>
        <w:t xml:space="preserve"> </w:t>
      </w:r>
    </w:p>
    <w:p w:rsidR="00EE0979" w:rsidRDefault="00B022A0">
      <w:pPr>
        <w:spacing w:after="0" w:line="259" w:lineRule="auto"/>
        <w:ind w:left="14" w:firstLine="0"/>
        <w:jc w:val="left"/>
      </w:pPr>
      <w:r>
        <w:rPr>
          <w:i/>
        </w:rPr>
        <w:t xml:space="preserve"> </w:t>
      </w:r>
    </w:p>
    <w:p w:rsidR="00EE0979" w:rsidRDefault="00B022A0">
      <w:pPr>
        <w:numPr>
          <w:ilvl w:val="0"/>
          <w:numId w:val="81"/>
        </w:numPr>
        <w:ind w:right="98" w:hanging="10"/>
      </w:pPr>
      <w:r>
        <w:rPr>
          <w:i/>
          <w:u w:val="single" w:color="000000"/>
        </w:rPr>
        <w:t>Participación abierta</w:t>
      </w:r>
      <w:r>
        <w:rPr>
          <w:i/>
        </w:rPr>
        <w:t>: el derecho de que cualquier persona física o jurídica de naturaleza pública, privada o público-privada que quiera utilizar los servicios de la comunidad energética y que desee aceptar las responsabilidades de la afiliación a la misma, y pueda ser socia o</w:t>
      </w:r>
      <w:r>
        <w:rPr>
          <w:i/>
        </w:rPr>
        <w:t xml:space="preserve"> miembro sin estar sujeta a condiciones injustificadas o discriminatorias.</w:t>
      </w:r>
      <w:r>
        <w:rPr>
          <w:sz w:val="24"/>
        </w:rPr>
        <w:t xml:space="preserve"> </w:t>
      </w:r>
    </w:p>
    <w:p w:rsidR="00EE0979" w:rsidRDefault="00B022A0">
      <w:pPr>
        <w:spacing w:after="98" w:line="259" w:lineRule="auto"/>
        <w:ind w:left="14" w:firstLine="0"/>
        <w:jc w:val="left"/>
      </w:pPr>
      <w:r>
        <w:rPr>
          <w:i/>
        </w:rPr>
        <w:t xml:space="preserve"> </w:t>
      </w:r>
    </w:p>
    <w:p w:rsidR="00EE0979" w:rsidRDefault="00B022A0">
      <w:pPr>
        <w:numPr>
          <w:ilvl w:val="0"/>
          <w:numId w:val="81"/>
        </w:numPr>
        <w:spacing w:after="112"/>
        <w:ind w:right="98" w:hanging="10"/>
      </w:pPr>
      <w:r>
        <w:rPr>
          <w:i/>
          <w:u w:val="single" w:color="000000"/>
        </w:rPr>
        <w:t>Participación voluntaria</w:t>
      </w:r>
      <w:r>
        <w:rPr>
          <w:i/>
        </w:rPr>
        <w:t>: el derecho de que cualquier miembro o socio a abandonar la comunidad energética, así como retirar su inversión, dentro de unos límites temporales razonables para limitar el potencial impacto en la sostenibilidad financiera de la misma.</w:t>
      </w:r>
      <w:r>
        <w:t xml:space="preserve"> </w:t>
      </w:r>
    </w:p>
    <w:p w:rsidR="00EE0979" w:rsidRDefault="00B022A0">
      <w:pPr>
        <w:spacing w:after="101" w:line="259" w:lineRule="auto"/>
        <w:ind w:left="1147" w:firstLine="0"/>
        <w:jc w:val="left"/>
      </w:pPr>
      <w:r>
        <w:rPr>
          <w:i/>
        </w:rPr>
        <w:t xml:space="preserve"> </w:t>
      </w:r>
    </w:p>
    <w:p w:rsidR="00EE0979" w:rsidRDefault="00B022A0">
      <w:pPr>
        <w:ind w:left="1157" w:right="98" w:hanging="10"/>
      </w:pPr>
      <w:r>
        <w:rPr>
          <w:i/>
        </w:rPr>
        <w:t>SEGUNDO. - Vist</w:t>
      </w:r>
      <w:r>
        <w:rPr>
          <w:i/>
        </w:rPr>
        <w:t xml:space="preserve">o el extracto de la Resolución de 27 de octubre de 2022, del Consejo </w:t>
      </w:r>
    </w:p>
    <w:p w:rsidR="00EE0979" w:rsidRDefault="00B022A0">
      <w:pPr>
        <w:spacing w:after="111"/>
        <w:ind w:left="9" w:right="98" w:hanging="10"/>
      </w:pPr>
      <w:r>
        <w:rPr>
          <w:i/>
        </w:rPr>
        <w:t>de Administración del E.P.E Instituto para la Diversificación y Ahorro de la Energía (IDAE), M.P., por la que se establece la Cuarta Convocatoria del Programa de incentivos a Proyectos p</w:t>
      </w:r>
      <w:r>
        <w:rPr>
          <w:i/>
        </w:rPr>
        <w:t xml:space="preserve">iloto singulares de Comunidades Energéticas (PROGRAMA CE IMPLEMENTA), en el marco del Plan de Recuperación, Transformación y Resiliencia (BOE 8 de noviembre de 2022). </w:t>
      </w:r>
    </w:p>
    <w:p w:rsidR="00EE0979" w:rsidRDefault="00B022A0">
      <w:pPr>
        <w:spacing w:after="98" w:line="259" w:lineRule="auto"/>
        <w:ind w:left="1147" w:firstLine="0"/>
        <w:jc w:val="left"/>
      </w:pPr>
      <w:r>
        <w:rPr>
          <w:i/>
        </w:rPr>
        <w:t xml:space="preserve"> </w:t>
      </w:r>
    </w:p>
    <w:p w:rsidR="00EE0979" w:rsidRDefault="00B022A0">
      <w:pPr>
        <w:spacing w:after="111"/>
        <w:ind w:left="-1" w:right="98" w:firstLine="1133"/>
      </w:pPr>
      <w:r>
        <w:rPr>
          <w:i/>
        </w:rPr>
        <w:t>TERCERO.- Vista la Resolución de la Presidenta de la E.P.E. Instituto para la Diversif</w:t>
      </w:r>
      <w:r>
        <w:rPr>
          <w:i/>
        </w:rPr>
        <w:t>icación y Ahorro de la Energía (IDAE), M.P., por la que se da traslado y comunica a la Base de Datos Nacional de Subvenciones (BDNS) la Resolución de 27 de octubre de 2022 del Consejo de Administración de E.P.E. Instituto para la Diversificación y Ahorro d</w:t>
      </w:r>
      <w:r>
        <w:rPr>
          <w:i/>
        </w:rPr>
        <w:t xml:space="preserve">e la Energía (IDAE), M.P., por la que se establece la cuarta convocatoria del programa de incentivos a proyectos piloto singulares de comunidades energéticas (Programa CE IMPLEMENTA), en el marco del Plan de Recuperación, Transformación y Resiliencia. </w:t>
      </w:r>
    </w:p>
    <w:p w:rsidR="00EE0979" w:rsidRDefault="00B022A0">
      <w:pPr>
        <w:spacing w:after="0" w:line="259" w:lineRule="auto"/>
        <w:ind w:left="1147" w:firstLine="0"/>
        <w:jc w:val="left"/>
      </w:pPr>
      <w:r>
        <w:rPr>
          <w:i/>
        </w:rPr>
        <w:t xml:space="preserve"> </w:t>
      </w:r>
    </w:p>
    <w:p w:rsidR="00EE0979" w:rsidRDefault="00B022A0">
      <w:pPr>
        <w:ind w:left="1157" w:right="98" w:hanging="10"/>
      </w:pPr>
      <w:r>
        <w:rPr>
          <w:i/>
        </w:rPr>
        <w:t>C</w:t>
      </w:r>
      <w:r>
        <w:rPr>
          <w:i/>
        </w:rPr>
        <w:t xml:space="preserve">UARTO. - Vista la documentación relativa a la constitución de una Comunidad </w:t>
      </w:r>
    </w:p>
    <w:p w:rsidR="00EE0979" w:rsidRDefault="00B022A0">
      <w:pPr>
        <w:spacing w:after="114"/>
        <w:ind w:left="9" w:right="98" w:hanging="10"/>
      </w:pPr>
      <w:r>
        <w:rPr>
          <w:i/>
        </w:rPr>
        <w:t>energética cuyo promotor es el Ayuntamiento de Candelaria para concurrir a las línea de subvenciones que se expresan en los puntos anteriores y que viene constituida por la siguie</w:t>
      </w:r>
      <w:r>
        <w:rPr>
          <w:i/>
        </w:rPr>
        <w:t xml:space="preserve">nte documentación: </w:t>
      </w:r>
    </w:p>
    <w:p w:rsidR="00EE0979" w:rsidRDefault="00B022A0">
      <w:pPr>
        <w:spacing w:after="109"/>
        <w:ind w:left="1157" w:right="98" w:hanging="10"/>
      </w:pPr>
      <w:r>
        <w:rPr>
          <w:i/>
        </w:rPr>
        <w:t xml:space="preserve">1.- Acta Fundacional cuyo promotor es el Ayuntamiento de Candelaria. </w:t>
      </w:r>
    </w:p>
    <w:p w:rsidR="00EE0979" w:rsidRDefault="00B022A0">
      <w:pPr>
        <w:spacing w:after="112"/>
        <w:ind w:left="1157" w:right="98" w:hanging="10"/>
      </w:pPr>
      <w:r>
        <w:rPr>
          <w:i/>
        </w:rPr>
        <w:t xml:space="preserve">2.- Estatutos de la Asociación para una Comunidad Energética en Candelaria. </w:t>
      </w:r>
    </w:p>
    <w:p w:rsidR="00EE0979" w:rsidRDefault="00B022A0">
      <w:pPr>
        <w:spacing w:after="109"/>
        <w:ind w:left="1157" w:right="98" w:hanging="10"/>
      </w:pPr>
      <w:r>
        <w:rPr>
          <w:i/>
        </w:rPr>
        <w:t xml:space="preserve">3.- Reglamento de régimen interno de la Asociación. </w:t>
      </w:r>
    </w:p>
    <w:p w:rsidR="00EE0979" w:rsidRDefault="00B022A0">
      <w:pPr>
        <w:spacing w:after="111"/>
        <w:ind w:left="1157" w:right="98" w:hanging="10"/>
      </w:pPr>
      <w:r>
        <w:rPr>
          <w:i/>
        </w:rPr>
        <w:t xml:space="preserve">4.- </w:t>
      </w:r>
      <w:r>
        <w:rPr>
          <w:i/>
        </w:rPr>
        <w:t xml:space="preserve">Solicitud de adhesión a la Asociación. </w:t>
      </w:r>
    </w:p>
    <w:p w:rsidR="00EE0979" w:rsidRDefault="00B022A0">
      <w:pPr>
        <w:tabs>
          <w:tab w:val="center" w:pos="1356"/>
          <w:tab w:val="center" w:pos="2011"/>
          <w:tab w:val="center" w:pos="2545"/>
          <w:tab w:val="center" w:pos="3429"/>
          <w:tab w:val="center" w:pos="4352"/>
          <w:tab w:val="center" w:pos="4941"/>
          <w:tab w:val="center" w:pos="6005"/>
          <w:tab w:val="center" w:pos="7112"/>
          <w:tab w:val="center" w:pos="7736"/>
          <w:tab w:val="center" w:pos="8628"/>
          <w:tab w:val="right" w:pos="9689"/>
        </w:tabs>
        <w:ind w:left="0" w:firstLine="0"/>
        <w:jc w:val="left"/>
      </w:pPr>
      <w:r>
        <w:rPr>
          <w:rFonts w:ascii="Calibri" w:eastAsia="Calibri" w:hAnsi="Calibri" w:cs="Calibri"/>
        </w:rPr>
        <w:tab/>
      </w:r>
      <w:r>
        <w:rPr>
          <w:i/>
        </w:rPr>
        <w:t xml:space="preserve">Que </w:t>
      </w:r>
      <w:r>
        <w:rPr>
          <w:i/>
        </w:rPr>
        <w:tab/>
        <w:t xml:space="preserve">en </w:t>
      </w:r>
      <w:r>
        <w:rPr>
          <w:i/>
        </w:rPr>
        <w:tab/>
        <w:t xml:space="preserve">la </w:t>
      </w:r>
      <w:r>
        <w:rPr>
          <w:i/>
        </w:rPr>
        <w:tab/>
        <w:t xml:space="preserve">redacción </w:t>
      </w:r>
      <w:r>
        <w:rPr>
          <w:i/>
        </w:rPr>
        <w:tab/>
        <w:t xml:space="preserve">de </w:t>
      </w:r>
      <w:r>
        <w:rPr>
          <w:i/>
        </w:rPr>
        <w:tab/>
        <w:t xml:space="preserve">los </w:t>
      </w:r>
      <w:r>
        <w:rPr>
          <w:i/>
        </w:rPr>
        <w:tab/>
        <w:t xml:space="preserve">documentos </w:t>
      </w:r>
      <w:r>
        <w:rPr>
          <w:i/>
        </w:rPr>
        <w:tab/>
        <w:t xml:space="preserve">que </w:t>
      </w:r>
      <w:r>
        <w:rPr>
          <w:i/>
        </w:rPr>
        <w:tab/>
        <w:t xml:space="preserve">se </w:t>
      </w:r>
      <w:r>
        <w:rPr>
          <w:i/>
        </w:rPr>
        <w:tab/>
        <w:t xml:space="preserve">expresan </w:t>
      </w:r>
      <w:r>
        <w:rPr>
          <w:i/>
        </w:rPr>
        <w:tab/>
        <w:t xml:space="preserve">el  </w:t>
      </w:r>
    </w:p>
    <w:p w:rsidR="00EE0979" w:rsidRDefault="00B022A0">
      <w:pPr>
        <w:spacing w:after="174"/>
        <w:ind w:left="9" w:right="98" w:hanging="10"/>
      </w:pPr>
      <w:r>
        <w:rPr>
          <w:i/>
        </w:rPr>
        <w:t>Ayuntamiento ha contado con la colaboración y asesoramiento del Catedrático de Fisica Aplicada de la Universidad de La Laguna, Don Ricardo Luis Ge</w:t>
      </w:r>
      <w:r>
        <w:rPr>
          <w:i/>
        </w:rPr>
        <w:t xml:space="preserve">rrrero Lemus. </w:t>
      </w:r>
    </w:p>
    <w:p w:rsidR="00EE0979" w:rsidRDefault="00B022A0">
      <w:pPr>
        <w:ind w:left="1157" w:right="98" w:hanging="10"/>
      </w:pPr>
      <w:r>
        <w:rPr>
          <w:i/>
        </w:rPr>
        <w:t xml:space="preserve">QUINTO. - Visto el informe técnico elaborado por la Agente de Empleo y Desarrollo </w:t>
      </w:r>
    </w:p>
    <w:p w:rsidR="00EE0979" w:rsidRDefault="00B022A0">
      <w:pPr>
        <w:spacing w:after="171"/>
        <w:ind w:left="9" w:right="98" w:hanging="10"/>
      </w:pPr>
      <w:r>
        <w:rPr>
          <w:i/>
        </w:rPr>
        <w:t xml:space="preserve">local de fecha que transcrito literalmente dice: </w:t>
      </w:r>
    </w:p>
    <w:p w:rsidR="00EE0979" w:rsidRDefault="00B022A0">
      <w:pPr>
        <w:ind w:left="9" w:right="98" w:hanging="10"/>
      </w:pPr>
      <w:r>
        <w:rPr>
          <w:i/>
        </w:rPr>
        <w:t xml:space="preserve">Primero. - Con fecha 2 de marzo de 2023 y registro de entrada núm. 2023-E-RE-1268  se presenta por parte de </w:t>
      </w:r>
      <w:r>
        <w:rPr>
          <w:i/>
        </w:rPr>
        <w:t xml:space="preserve">la empresa Energy Resarch &amp; Intelligence Solutions, S.L. provista de NIF núm. </w:t>
      </w:r>
    </w:p>
    <w:p w:rsidR="00EE0979" w:rsidRDefault="00B022A0">
      <w:pPr>
        <w:spacing w:after="112"/>
        <w:ind w:left="9" w:right="98" w:hanging="10"/>
      </w:pPr>
      <w:r>
        <w:rPr>
          <w:i/>
        </w:rPr>
        <w:t xml:space="preserve">B.02857480 a través de su representante D. Ricardo Luis Guerrero Lemus con NIF. núm. **3583**M, los siguientes documentos: </w:t>
      </w:r>
    </w:p>
    <w:p w:rsidR="00EE0979" w:rsidRDefault="00B022A0">
      <w:pPr>
        <w:spacing w:after="141"/>
        <w:ind w:left="9" w:right="98" w:hanging="10"/>
      </w:pPr>
      <w:r>
        <w:rPr>
          <w:i/>
        </w:rPr>
        <w:t>1º.- SG-</w:t>
      </w:r>
      <w:r>
        <w:rPr>
          <w:i/>
        </w:rPr>
        <w:t xml:space="preserve">S1 Solicitud genérica firmada electrónicamente el 2 de marzo de 2023 con el siguiente tenor literal:  </w:t>
      </w:r>
    </w:p>
    <w:p w:rsidR="00EE0979" w:rsidRDefault="00B022A0">
      <w:pPr>
        <w:spacing w:after="114"/>
        <w:ind w:left="9" w:right="98" w:hanging="10"/>
      </w:pPr>
      <w:r>
        <w:rPr>
          <w:i/>
        </w:rPr>
        <w:t>“Expone: Habiéndose publicado en el Boletín Oficial de la Provincia de Santa Cruz de Tenerife (nº 24) el viernes 14 de febrero de 2023 el Anuncio del Ayu</w:t>
      </w:r>
      <w:r>
        <w:rPr>
          <w:i/>
        </w:rPr>
        <w:t xml:space="preserve">ntamiento de la Villa de Candelaria el Acuerdo del Pleno de aprobación inicial de la Comunidad Energética de Candelaria, y una vez teniendo conocimiento del contenido del expediente. </w:t>
      </w:r>
    </w:p>
    <w:p w:rsidR="00EE0979" w:rsidRDefault="00B022A0">
      <w:pPr>
        <w:spacing w:after="113"/>
        <w:ind w:left="9" w:right="98" w:hanging="10"/>
      </w:pPr>
      <w:r>
        <w:rPr>
          <w:i/>
        </w:rPr>
        <w:t>Solicita: que se considere la modificación de los Estatutos y Reglamento</w:t>
      </w:r>
      <w:r>
        <w:rPr>
          <w:i/>
        </w:rPr>
        <w:t xml:space="preserve"> de dicha asociación de acuerdo con las propuestas que se adjuntan, las cuales se estima que permitirán cumplir de forma más adecuada los fines de la misma. También se solicita, si se considera a bien por parte del Ayuntamiento de la Villa de Candelaria, l</w:t>
      </w:r>
      <w:r>
        <w:rPr>
          <w:i/>
        </w:rPr>
        <w:t>a incorporación de nuestra empresa denominada "Energy Research &amp; Intelligence Solutions, S.L.U.", reconocida como empresa spin-off de la Universidad de La Laguna por Acuerdo de su Consejo Social de fecha 8 de abril de 2021 (el cual se adjunta) como miembro</w:t>
      </w:r>
      <w:r>
        <w:rPr>
          <w:i/>
        </w:rPr>
        <w:t xml:space="preserve"> de dicha asociación, dado que, como recoge el punto Segundo del acuerdo plenario, se trata de una pyme que desarrolla proyectos de energías renovables y eficiencia energética que son propiedad de la empresa y cuya finalidad primordial es proporcionar bene</w:t>
      </w:r>
      <w:r>
        <w:rPr>
          <w:i/>
        </w:rPr>
        <w:t xml:space="preserve">ficios medioambientales, económicos y sociales en lugar de ganancias financieras.” </w:t>
      </w:r>
    </w:p>
    <w:p w:rsidR="00EE0979" w:rsidRDefault="00B022A0">
      <w:pPr>
        <w:spacing w:after="135" w:line="259" w:lineRule="auto"/>
        <w:ind w:left="298" w:firstLine="0"/>
        <w:jc w:val="left"/>
      </w:pPr>
      <w:r>
        <w:rPr>
          <w:i/>
        </w:rPr>
        <w:t xml:space="preserve"> </w:t>
      </w:r>
    </w:p>
    <w:p w:rsidR="00EE0979" w:rsidRDefault="00B022A0">
      <w:pPr>
        <w:spacing w:after="149"/>
        <w:ind w:left="308" w:right="98" w:hanging="10"/>
      </w:pPr>
      <w:r>
        <w:rPr>
          <w:i/>
        </w:rPr>
        <w:t xml:space="preserve">2º.- Documento denominado “Reglamento de Régimen Interno de la Asociación “      “” de 12 páginas de extensión que obra en el expediente </w:t>
      </w:r>
    </w:p>
    <w:p w:rsidR="00EE0979" w:rsidRDefault="00B022A0">
      <w:pPr>
        <w:spacing w:after="114"/>
        <w:ind w:left="308" w:right="98" w:hanging="10"/>
      </w:pPr>
      <w:r>
        <w:rPr>
          <w:i/>
        </w:rPr>
        <w:t>3º.- Documento denominado “Estat</w:t>
      </w:r>
      <w:r>
        <w:rPr>
          <w:i/>
        </w:rPr>
        <w:t xml:space="preserve">utos de la Asociación “     “”  documento de 25 páginas que obra en el expediente </w:t>
      </w:r>
    </w:p>
    <w:p w:rsidR="00EE0979" w:rsidRDefault="00B022A0">
      <w:pPr>
        <w:spacing w:after="114"/>
        <w:ind w:left="308" w:right="98" w:hanging="10"/>
      </w:pPr>
      <w:r>
        <w:rPr>
          <w:i/>
        </w:rPr>
        <w:t>4º.- Certificado expedido con fecha 12 de abril de 2021 por Dña. Patricia Galván Rodríguez, Secretaria del Consejo Social de la Universidad de La Laguna, del siguiente tenor</w:t>
      </w:r>
      <w:r>
        <w:rPr>
          <w:i/>
        </w:rPr>
        <w:t xml:space="preserve"> literal:  </w:t>
      </w:r>
    </w:p>
    <w:p w:rsidR="00EE0979" w:rsidRDefault="00B022A0">
      <w:pPr>
        <w:spacing w:after="109" w:line="249" w:lineRule="auto"/>
        <w:ind w:left="10" w:right="100" w:hanging="10"/>
        <w:jc w:val="right"/>
      </w:pPr>
      <w:r>
        <w:rPr>
          <w:i/>
        </w:rPr>
        <w:t xml:space="preserve">“Que el Pleno del Consejo Social de la Universidad de La Laguna, en sesión ordinaria celebrada el día ocho de abril del 2021, y en el segundo punto del orden del día, adoptó el siguiente  </w:t>
      </w:r>
    </w:p>
    <w:p w:rsidR="00EE0979" w:rsidRDefault="00B022A0">
      <w:pPr>
        <w:spacing w:after="109"/>
        <w:ind w:left="732" w:right="98" w:hanging="10"/>
      </w:pPr>
      <w:r>
        <w:rPr>
          <w:i/>
        </w:rPr>
        <w:t xml:space="preserve">Acuerdo: Aprobar, en cumplimiento del artículo 5.h del </w:t>
      </w:r>
      <w:r>
        <w:rPr>
          <w:i/>
        </w:rPr>
        <w:t xml:space="preserve">Reglamento de Organización y Funcionamiento del Consejo Social, aprobado mediante Decreto 215/2017, de 16 de octubre, la creación de la SPIN-OFF de la Universidad de La Laguna “Energy Reseach &amp; Intelligent Solutions SLU” </w:t>
      </w:r>
    </w:p>
    <w:p w:rsidR="00EE0979" w:rsidRDefault="00B022A0">
      <w:pPr>
        <w:spacing w:after="110"/>
        <w:ind w:left="732" w:right="98" w:hanging="10"/>
      </w:pPr>
      <w:r>
        <w:rPr>
          <w:i/>
        </w:rPr>
        <w:t xml:space="preserve"> Lo que expido, con anterioridad a</w:t>
      </w:r>
      <w:r>
        <w:rPr>
          <w:i/>
        </w:rPr>
        <w:t xml:space="preserve"> la aprobación del Acta correspondiente, de conformidad con lo dispuesto en el artículo 19.5 de la Ley 40/2015, de 1 de octubre, de Régimen Jurídico del Sector Público, con el Vº Bº de la Sra. Presidenta, en la ciudad de Santa Cruz de Tenerife en la fecha </w:t>
      </w:r>
      <w:r>
        <w:rPr>
          <w:i/>
        </w:rPr>
        <w:t xml:space="preserve">señalada en el pie de firma electrónica.” </w:t>
      </w:r>
    </w:p>
    <w:p w:rsidR="00EE0979" w:rsidRDefault="00B022A0">
      <w:pPr>
        <w:spacing w:after="98" w:line="259" w:lineRule="auto"/>
        <w:ind w:left="14" w:firstLine="0"/>
        <w:jc w:val="left"/>
      </w:pPr>
      <w:r>
        <w:rPr>
          <w:i/>
        </w:rPr>
        <w:t xml:space="preserve"> </w:t>
      </w:r>
    </w:p>
    <w:p w:rsidR="00EE0979" w:rsidRDefault="00B022A0">
      <w:pPr>
        <w:spacing w:after="111"/>
        <w:ind w:left="9" w:right="98" w:hanging="10"/>
      </w:pPr>
      <w:r>
        <w:rPr>
          <w:i/>
        </w:rPr>
        <w:t>Segundo. -  Con fecha 11 de abril de 2023 y registro de entrada núm. 2023-E-RE-</w:t>
      </w:r>
      <w:r>
        <w:rPr>
          <w:i/>
        </w:rPr>
        <w:t>2993 a las 13:44 hr se presenta, por parte de la Entidad Pública Empresarial Gestión de Empresas y Servicios Públicos Ayuntamiento de Candelaria con código de unidad orgánica LA0011450 y NIF. núm. Q3800489A a través de su representante Dña. María Concepció</w:t>
      </w:r>
      <w:r>
        <w:rPr>
          <w:i/>
        </w:rPr>
        <w:t xml:space="preserve">n Brito Núñez provista de NIF. núm. **8473**K, los siguientes documentos: </w:t>
      </w:r>
    </w:p>
    <w:p w:rsidR="00EE0979" w:rsidRDefault="00B022A0">
      <w:pPr>
        <w:spacing w:after="100" w:line="259" w:lineRule="auto"/>
        <w:ind w:left="14" w:firstLine="0"/>
        <w:jc w:val="left"/>
      </w:pPr>
      <w:r>
        <w:rPr>
          <w:i/>
        </w:rPr>
        <w:t xml:space="preserve"> </w:t>
      </w:r>
    </w:p>
    <w:p w:rsidR="00EE0979" w:rsidRDefault="00B022A0">
      <w:pPr>
        <w:spacing w:after="114"/>
        <w:ind w:left="732" w:right="98" w:hanging="10"/>
      </w:pPr>
      <w:r>
        <w:rPr>
          <w:i/>
        </w:rPr>
        <w:t xml:space="preserve">1º.- Minuta de Registro de Salida de la Entidad Pública Empresarial de Candelaria con fecha 11 de abril de 2023 con núm. de registro 2023-S-RE-55  </w:t>
      </w:r>
    </w:p>
    <w:p w:rsidR="00EE0979" w:rsidRDefault="00B022A0">
      <w:pPr>
        <w:spacing w:after="112"/>
        <w:ind w:left="732" w:right="98" w:hanging="10"/>
      </w:pPr>
      <w:r>
        <w:rPr>
          <w:i/>
        </w:rPr>
        <w:t>2º.- SG-S1 Solicitud genérica f</w:t>
      </w:r>
      <w:r>
        <w:rPr>
          <w:i/>
        </w:rPr>
        <w:t xml:space="preserve">irmada electrónicamente el 11 de abril de 2023 del siguiente tenor literal:  </w:t>
      </w:r>
    </w:p>
    <w:p w:rsidR="00EE0979" w:rsidRDefault="00B022A0">
      <w:pPr>
        <w:ind w:left="732" w:right="98" w:hanging="10"/>
      </w:pPr>
      <w:r>
        <w:rPr>
          <w:i/>
        </w:rPr>
        <w:t xml:space="preserve">“Expone: Dña. María Concepción Brito Núñez, en representación de la entidad “GESTIÓN </w:t>
      </w:r>
    </w:p>
    <w:p w:rsidR="00EE0979" w:rsidRDefault="00B022A0">
      <w:pPr>
        <w:ind w:left="732" w:right="98" w:hanging="10"/>
      </w:pPr>
      <w:r>
        <w:rPr>
          <w:i/>
        </w:rPr>
        <w:t xml:space="preserve">DE EMPRESAS Y SERVICIOS PÚBLICOS DEL AYUNTAMIENTO DE CANDELARIA” con </w:t>
      </w:r>
    </w:p>
    <w:p w:rsidR="00EE0979" w:rsidRDefault="00B022A0">
      <w:pPr>
        <w:spacing w:after="114"/>
        <w:ind w:left="732" w:right="98" w:hanging="10"/>
      </w:pPr>
      <w:r>
        <w:rPr>
          <w:i/>
        </w:rPr>
        <w:t xml:space="preserve">CIF Q3800489A, con domicilio a efectos de notificaciones en Avenida de la Constitución, nº 7, 38530, Candelaria, provincia de Santa Cruz de Tenerife EXPONE: 1.Haber tenido conocimiento de la tramitación desde el Ayuntamiento de Candelaria de una Comunidad </w:t>
      </w:r>
      <w:r>
        <w:rPr>
          <w:i/>
        </w:rPr>
        <w:t>de Energía Renovable en Candelaria, que se encuentra en periodo de exposición pública y abierto el mismo plazo para solicitar adhesiones a la misma. 2.A la vista de sus objetivos: desarrollar proyectos de energía renovable, de eficiencia energética y/o mov</w:t>
      </w:r>
      <w:r>
        <w:rPr>
          <w:i/>
        </w:rPr>
        <w:t xml:space="preserve">ilidad sostenible y de sus fines, primordialmente proporcionar beneficios medioambientales, económicos o sociales a sus socios o miembros, o a las zonas locales donde operen, en lugar de ganancias financieras. </w:t>
      </w:r>
    </w:p>
    <w:p w:rsidR="00EE0979" w:rsidRDefault="00B022A0">
      <w:pPr>
        <w:spacing w:after="109"/>
        <w:ind w:left="732" w:right="98" w:hanging="10"/>
      </w:pPr>
      <w:r>
        <w:rPr>
          <w:i/>
        </w:rPr>
        <w:t>Solicita: Sea admitida esta solicitud de adhe</w:t>
      </w:r>
      <w:r>
        <w:rPr>
          <w:i/>
        </w:rPr>
        <w:t xml:space="preserve">sión para formar parte de dicha Asociación de Comunidad de Energía Renovable de Candelaria o Comunidad Energética de Candelaria y se remita dicho documento a Alcaldía.” </w:t>
      </w:r>
    </w:p>
    <w:p w:rsidR="00EE0979" w:rsidRDefault="00B022A0">
      <w:pPr>
        <w:spacing w:after="100" w:line="259" w:lineRule="auto"/>
        <w:ind w:left="722" w:firstLine="0"/>
        <w:jc w:val="left"/>
      </w:pPr>
      <w:r>
        <w:rPr>
          <w:i/>
        </w:rPr>
        <w:t xml:space="preserve"> </w:t>
      </w:r>
    </w:p>
    <w:p w:rsidR="00EE0979" w:rsidRDefault="00B022A0">
      <w:pPr>
        <w:spacing w:after="112"/>
        <w:ind w:left="732" w:right="98" w:hanging="10"/>
      </w:pPr>
      <w:r>
        <w:rPr>
          <w:i/>
        </w:rPr>
        <w:t>3º.- Solicitud de adhesión a la futura Asociación de Comunidad Energética de Candela</w:t>
      </w:r>
      <w:r>
        <w:rPr>
          <w:i/>
        </w:rPr>
        <w:t xml:space="preserve">ria firmada electrónicamente por su representante con fecha 11 de abril de 2023. </w:t>
      </w:r>
    </w:p>
    <w:p w:rsidR="00EE0979" w:rsidRDefault="00B022A0">
      <w:pPr>
        <w:ind w:left="732" w:right="98" w:hanging="10"/>
      </w:pPr>
      <w:r>
        <w:rPr>
          <w:i/>
        </w:rPr>
        <w:t xml:space="preserve"> Tercero. - Con fecha 11 de abril de 2023 y registro de entrada núm. 2023-E-RE-2994 a las 13:52 hr se presenta, por parte de la entidad Viviendas y Servicios Municipales de C</w:t>
      </w:r>
      <w:r>
        <w:rPr>
          <w:i/>
        </w:rPr>
        <w:t xml:space="preserve">andelaria S.L. con código de unidad orgánica LA0011451 y NIF núm. B38904868 a través de su representante Dña. María Concepción Brito Núñez provista de NIF. núm. **8473**K, los siguientes documentos: </w:t>
      </w:r>
    </w:p>
    <w:p w:rsidR="00EE0979" w:rsidRDefault="00B022A0">
      <w:pPr>
        <w:spacing w:after="100" w:line="259" w:lineRule="auto"/>
        <w:ind w:left="14" w:firstLine="0"/>
        <w:jc w:val="left"/>
      </w:pPr>
      <w:r>
        <w:rPr>
          <w:i/>
        </w:rPr>
        <w:t xml:space="preserve"> </w:t>
      </w:r>
    </w:p>
    <w:p w:rsidR="00EE0979" w:rsidRDefault="00B022A0">
      <w:pPr>
        <w:spacing w:after="114"/>
        <w:ind w:left="732" w:right="98" w:hanging="10"/>
      </w:pPr>
      <w:r>
        <w:rPr>
          <w:i/>
        </w:rPr>
        <w:t>1º.- Minuta de Registro de Salida de la entidad Vivien</w:t>
      </w:r>
      <w:r>
        <w:rPr>
          <w:i/>
        </w:rPr>
        <w:t xml:space="preserve">das y Servicios Municipales de Candelaria SL, con fecha 11 de abril de 2023 con núm. de registro 2023-S-RC-14 a las 12:08 hr </w:t>
      </w:r>
    </w:p>
    <w:p w:rsidR="00EE0979" w:rsidRDefault="00B022A0">
      <w:pPr>
        <w:spacing w:after="115"/>
        <w:ind w:left="732" w:right="98" w:hanging="10"/>
      </w:pPr>
      <w:r>
        <w:rPr>
          <w:i/>
        </w:rPr>
        <w:t xml:space="preserve">2º.- SG-S1 Solicitud genérica firmada electrónicamente el 11 de abril de 2023 del siguiente tenor literal: </w:t>
      </w:r>
    </w:p>
    <w:p w:rsidR="00EE0979" w:rsidRDefault="00B022A0">
      <w:pPr>
        <w:spacing w:after="111"/>
        <w:ind w:left="732" w:right="98" w:hanging="10"/>
      </w:pPr>
      <w:r>
        <w:rPr>
          <w:i/>
        </w:rPr>
        <w:t>“Expone: Dña. María Concepción Brito Núñez, en representación de la entidad “E.I. VIVIENDAS Y SERVICIOS MUNICIPALES DE CANDELARIA S.L.” con CIF B 38904868, con domicilio a efectos de notificaciones en Avenida de la Constitución, nº 7, 38530, Candelaria, pr</w:t>
      </w:r>
      <w:r>
        <w:rPr>
          <w:i/>
        </w:rPr>
        <w:t>ovincia de Santa Cruz de Tenerife EXPONE: 1. Haber tenido conocimiento de la tramitación desde el Ayuntamiento de Candelaria de una Comunidad de Energía Renovable en Candelaria, que se encuentra en periodo de exposición pública y abierto el mismo plazo par</w:t>
      </w:r>
      <w:r>
        <w:rPr>
          <w:i/>
        </w:rPr>
        <w:t>a solicitar adhesiones a la misma. 2. A la vista de sus objetivos: desarrollar proyectos de energía renovable, de eficiencia energética y/o movilidad sostenible y de sus fines, primordialmente proporcionar beneficios medioambientales, económicos o sociales</w:t>
      </w:r>
      <w:r>
        <w:rPr>
          <w:i/>
        </w:rPr>
        <w:t xml:space="preserve"> a sus socios o miembros, o a las zonas locales donde operen, en lugar de ganancias financieras. </w:t>
      </w:r>
    </w:p>
    <w:p w:rsidR="00EE0979" w:rsidRDefault="00B022A0">
      <w:pPr>
        <w:spacing w:after="109"/>
        <w:ind w:left="732" w:right="98" w:hanging="10"/>
      </w:pPr>
      <w:r>
        <w:rPr>
          <w:i/>
        </w:rPr>
        <w:t>Solicita: Sea admitida esta solicitud de adhesión para formar parte de dicha Asociación de Comunidad de Energía Renovable de Candelaria o Comunidad Energética</w:t>
      </w:r>
      <w:r>
        <w:rPr>
          <w:i/>
        </w:rPr>
        <w:t xml:space="preserve"> de Candelaria y se remita a Alcaldía.” </w:t>
      </w:r>
    </w:p>
    <w:p w:rsidR="00EE0979" w:rsidRDefault="00B022A0">
      <w:pPr>
        <w:spacing w:after="100" w:line="259" w:lineRule="auto"/>
        <w:ind w:left="722" w:firstLine="0"/>
        <w:jc w:val="left"/>
      </w:pPr>
      <w:r>
        <w:rPr>
          <w:i/>
        </w:rPr>
        <w:t xml:space="preserve"> </w:t>
      </w:r>
    </w:p>
    <w:p w:rsidR="00EE0979" w:rsidRDefault="00B022A0">
      <w:pPr>
        <w:spacing w:after="114"/>
        <w:ind w:left="732" w:right="98" w:hanging="10"/>
      </w:pPr>
      <w:r>
        <w:rPr>
          <w:i/>
        </w:rPr>
        <w:t xml:space="preserve">3º.- Solicitud de adhesión a la futura Asociación de Comunidad Energética de Candelaria firmada electrónicamente por la persona representante con fecha 11 de abril del 2023.  </w:t>
      </w:r>
    </w:p>
    <w:p w:rsidR="00EE0979" w:rsidRDefault="00B022A0">
      <w:pPr>
        <w:spacing w:after="98" w:line="259" w:lineRule="auto"/>
        <w:ind w:left="722" w:firstLine="0"/>
        <w:jc w:val="left"/>
      </w:pPr>
      <w:r>
        <w:rPr>
          <w:i/>
        </w:rPr>
        <w:t xml:space="preserve"> </w:t>
      </w:r>
    </w:p>
    <w:p w:rsidR="00EE0979" w:rsidRDefault="00B022A0">
      <w:pPr>
        <w:spacing w:after="114"/>
        <w:ind w:left="9" w:right="98" w:hanging="10"/>
      </w:pPr>
      <w:r>
        <w:rPr>
          <w:i/>
        </w:rPr>
        <w:t xml:space="preserve">Cuarto. - Con fecha 11 de abril de </w:t>
      </w:r>
      <w:r>
        <w:rPr>
          <w:i/>
        </w:rPr>
        <w:t>2023 y registro de entrada núm. 2023-E-RE-2995 a las 15:22 horas se presenta los siguientes documentos, por parte de la entidad  Fundación Canaria Candesol, con código de unidad orgánica LA0011523 y NIF núm. G38975819 a través de su representante Dña. Patr</w:t>
      </w:r>
      <w:r>
        <w:rPr>
          <w:i/>
        </w:rPr>
        <w:t xml:space="preserve">icia Álvarez Rodríguez provista de NIF. núm. **7828**D: </w:t>
      </w:r>
    </w:p>
    <w:p w:rsidR="00EE0979" w:rsidRDefault="00B022A0">
      <w:pPr>
        <w:spacing w:after="98" w:line="259" w:lineRule="auto"/>
        <w:ind w:left="14" w:firstLine="0"/>
        <w:jc w:val="left"/>
      </w:pPr>
      <w:r>
        <w:rPr>
          <w:i/>
        </w:rPr>
        <w:t xml:space="preserve"> </w:t>
      </w:r>
    </w:p>
    <w:p w:rsidR="00EE0979" w:rsidRDefault="00B022A0">
      <w:pPr>
        <w:spacing w:after="114"/>
        <w:ind w:left="732" w:right="98" w:hanging="10"/>
      </w:pPr>
      <w:r>
        <w:rPr>
          <w:i/>
        </w:rPr>
        <w:t xml:space="preserve">1º.- SG-S1 Solicitud genérica firmada electrónicamente el 11 de abril de 2023 del siguiente tenor literal: </w:t>
      </w:r>
    </w:p>
    <w:p w:rsidR="00EE0979" w:rsidRDefault="00B022A0">
      <w:pPr>
        <w:spacing w:after="132"/>
        <w:ind w:left="732" w:right="98" w:hanging="10"/>
      </w:pPr>
      <w:r>
        <w:rPr>
          <w:i/>
        </w:rPr>
        <w:t>“Expone: Que, en relación a la tramitación desde el Ayuntamiento de Candelaria de una com</w:t>
      </w:r>
      <w:r>
        <w:rPr>
          <w:i/>
        </w:rPr>
        <w:t xml:space="preserve">unidad de energía renovable de Candelaria, se solicita la adhesión para formar parte de dicha asociación </w:t>
      </w:r>
    </w:p>
    <w:p w:rsidR="00EE0979" w:rsidRDefault="00B022A0">
      <w:pPr>
        <w:spacing w:after="112"/>
        <w:ind w:left="732" w:right="98" w:hanging="10"/>
      </w:pPr>
      <w:r>
        <w:rPr>
          <w:i/>
        </w:rPr>
        <w:t xml:space="preserve">Solicita: Aportar y dar trámite ante Alcaldía” </w:t>
      </w:r>
    </w:p>
    <w:p w:rsidR="00EE0979" w:rsidRDefault="00B022A0">
      <w:pPr>
        <w:spacing w:after="114"/>
        <w:ind w:left="732" w:right="98" w:hanging="10"/>
      </w:pPr>
      <w:r>
        <w:rPr>
          <w:i/>
        </w:rPr>
        <w:t xml:space="preserve">2º.- </w:t>
      </w:r>
      <w:r>
        <w:rPr>
          <w:i/>
        </w:rPr>
        <w:t xml:space="preserve">Solicitud de adhesión a la futura Asociación de Comunidad Energética de Candelaria firmada electrónicamente por la Presidenta de la Fundación, Dña. María Concepción Brito Núñez con fecha 11 de abril del 2023. </w:t>
      </w:r>
    </w:p>
    <w:p w:rsidR="00EE0979" w:rsidRDefault="00B022A0">
      <w:pPr>
        <w:spacing w:after="93"/>
        <w:ind w:left="-1" w:right="98" w:firstLine="708"/>
      </w:pPr>
      <w:r>
        <w:rPr>
          <w:i/>
        </w:rPr>
        <w:t>Quinto. - Que a fecha de la firma del presente</w:t>
      </w:r>
      <w:r>
        <w:rPr>
          <w:i/>
        </w:rPr>
        <w:t xml:space="preserve"> Informe técnico y desde el 24 de febrero de 2023 hasta el día de hoy, no constan en el Registro de Entrada de la Agencia de Empleo y Desarrollo Local otras solicitudes de adhesión por parte de otras personas jurídicas ni físicas ni tampoco constan otras a</w:t>
      </w:r>
      <w:r>
        <w:rPr>
          <w:i/>
        </w:rPr>
        <w:t xml:space="preserve">legaciones distintas a las enumeradas anteriormente una vez revisado el citado Registro de Entrada de AEDL. </w:t>
      </w:r>
    </w:p>
    <w:p w:rsidR="00EE0979" w:rsidRDefault="00B022A0">
      <w:pPr>
        <w:spacing w:after="114"/>
        <w:ind w:left="9" w:right="98" w:hanging="10"/>
      </w:pPr>
      <w:r>
        <w:rPr>
          <w:i/>
        </w:rPr>
        <w:t>Desconozco si se han presentado adhesiones o alegaciones por parte de otras personas físicas y/o jurídicas interesadas en este procedimiento y se h</w:t>
      </w:r>
      <w:r>
        <w:rPr>
          <w:i/>
        </w:rPr>
        <w:t xml:space="preserve">ubieran derivado a los registros de entrada de otras Concejalías o de otras Áreas municipales por error u omisión inintencionado. </w:t>
      </w:r>
    </w:p>
    <w:p w:rsidR="00EE0979" w:rsidRDefault="00B022A0">
      <w:pPr>
        <w:spacing w:after="174"/>
        <w:ind w:left="9" w:right="98" w:hanging="10"/>
      </w:pPr>
      <w:r>
        <w:rPr>
          <w:i/>
        </w:rPr>
        <w:t>Asimismo, desconozco si se han presentado adhesiones o alegaciones por parte de otras personas físicas y/o jurídicas interesa</w:t>
      </w:r>
      <w:r>
        <w:rPr>
          <w:i/>
        </w:rPr>
        <w:t xml:space="preserve">das en este procedimiento y aún, habiéndose derivado al Registro de Entrada de la Agencia de Empleo y Desarrollo Local se hubieran incorporado u asignado a otros expedientes por error inintencionado. </w:t>
      </w:r>
    </w:p>
    <w:p w:rsidR="00EE0979" w:rsidRDefault="00B022A0">
      <w:pPr>
        <w:spacing w:after="158" w:line="259" w:lineRule="auto"/>
        <w:ind w:left="3416" w:firstLine="0"/>
        <w:jc w:val="left"/>
      </w:pPr>
      <w:r>
        <w:rPr>
          <w:i/>
        </w:rPr>
        <w:t xml:space="preserve"> </w:t>
      </w:r>
    </w:p>
    <w:p w:rsidR="00EE0979" w:rsidRDefault="00B022A0">
      <w:pPr>
        <w:spacing w:after="158" w:line="259" w:lineRule="auto"/>
        <w:ind w:left="368" w:firstLine="0"/>
        <w:jc w:val="center"/>
      </w:pPr>
      <w:r>
        <w:rPr>
          <w:i/>
        </w:rPr>
        <w:t xml:space="preserve">FUNDAMENTOS DE DERECHO </w:t>
      </w:r>
    </w:p>
    <w:p w:rsidR="00EE0979" w:rsidRDefault="00B022A0">
      <w:pPr>
        <w:spacing w:after="171"/>
        <w:ind w:left="1157" w:right="98" w:hanging="10"/>
      </w:pPr>
      <w:r>
        <w:rPr>
          <w:i/>
        </w:rPr>
        <w:t xml:space="preserve">PRIMERO. - Competencia. </w:t>
      </w:r>
    </w:p>
    <w:p w:rsidR="00EE0979" w:rsidRDefault="00B022A0">
      <w:pPr>
        <w:spacing w:after="154"/>
        <w:ind w:left="-1" w:right="98" w:firstLine="1133"/>
      </w:pPr>
      <w:r>
        <w:rPr>
          <w:i/>
        </w:rPr>
        <w:t>Es d</w:t>
      </w:r>
      <w:r>
        <w:rPr>
          <w:i/>
        </w:rPr>
        <w:t>e aplicación el artículo 11 de la Ley 7/2015, de 1 de abril, de los municipios de Canarias que establece entre las atribuciones de los municipios las siguientes: g) Fomento y promoción del desarrollo económico y social municipal en el marco de la planifica</w:t>
      </w:r>
      <w:r>
        <w:rPr>
          <w:i/>
        </w:rPr>
        <w:t>ción autonómica. j) Medio ambiente.</w:t>
      </w:r>
      <w:r>
        <w:rPr>
          <w:rFonts w:ascii="Times New Roman" w:eastAsia="Times New Roman" w:hAnsi="Times New Roman" w:cs="Times New Roman"/>
          <w:sz w:val="24"/>
        </w:rPr>
        <w:t xml:space="preserve"> </w:t>
      </w:r>
    </w:p>
    <w:p w:rsidR="00EE0979" w:rsidRDefault="00B022A0">
      <w:pPr>
        <w:ind w:left="1157" w:right="98" w:hanging="10"/>
      </w:pPr>
      <w:r>
        <w:rPr>
          <w:i/>
        </w:rPr>
        <w:t xml:space="preserve">Es de aplicación el artículo 25.2 b) de la Ley de Bases del Régimen local que establece </w:t>
      </w:r>
    </w:p>
    <w:p w:rsidR="00EE0979" w:rsidRDefault="00B022A0">
      <w:pPr>
        <w:spacing w:after="109"/>
        <w:ind w:left="9" w:right="98" w:hanging="10"/>
      </w:pPr>
      <w:r>
        <w:rPr>
          <w:i/>
        </w:rPr>
        <w:t>la atribución de: b) Medio ambiente urbano.</w:t>
      </w:r>
      <w:r>
        <w:t xml:space="preserve"> </w:t>
      </w:r>
    </w:p>
    <w:p w:rsidR="00EE0979" w:rsidRDefault="00B022A0">
      <w:pPr>
        <w:ind w:left="1157" w:right="98" w:hanging="10"/>
      </w:pPr>
      <w:r>
        <w:rPr>
          <w:i/>
        </w:rPr>
        <w:t xml:space="preserve">En el artículo 2 de la Orden TED/1446/2021, de 22 de diciembre, por la que se aprueban </w:t>
      </w:r>
    </w:p>
    <w:p w:rsidR="00EE0979" w:rsidRDefault="00B022A0">
      <w:pPr>
        <w:spacing w:after="114"/>
        <w:ind w:left="9" w:right="98" w:hanging="10"/>
      </w:pPr>
      <w:r>
        <w:rPr>
          <w:i/>
        </w:rPr>
        <w:t>las bases reguladoras para la concesión de ayudas del programa de incentivos a proyectos piloto singulares de comunidades energéticas (Programa CE Implementa), en el ma</w:t>
      </w:r>
      <w:r>
        <w:rPr>
          <w:i/>
        </w:rPr>
        <w:t xml:space="preserve">rco del Plan de Recuperación, Transformación y Resiliencia (BOE 24 de diciembre de 2021) se establece el amparo normativo para la participación de las entidades locales en las comunidades energéticas en los siguientes términos: </w:t>
      </w:r>
    </w:p>
    <w:p w:rsidR="00EE0979" w:rsidRDefault="00B022A0">
      <w:pPr>
        <w:spacing w:after="2" w:line="234" w:lineRule="auto"/>
        <w:ind w:left="9" w:right="98" w:hanging="10"/>
      </w:pPr>
      <w:r>
        <w:rPr>
          <w:i/>
          <w:u w:val="single" w:color="000000"/>
        </w:rPr>
        <w:t>1. Comunidad energética: pe</w:t>
      </w:r>
      <w:r>
        <w:rPr>
          <w:i/>
          <w:u w:val="single" w:color="000000"/>
        </w:rPr>
        <w:t>rsona jurídica</w:t>
      </w:r>
      <w:r>
        <w:rPr>
          <w:i/>
        </w:rPr>
        <w:t xml:space="preserve"> basada en la participación abierta y voluntaria, efectivamente controlada por socios o miembros que sean personas físicas, pymes o </w:t>
      </w:r>
      <w:r>
        <w:rPr>
          <w:i/>
          <w:u w:val="single" w:color="000000"/>
        </w:rPr>
        <w:t>entidades locales</w:t>
      </w:r>
      <w:r>
        <w:rPr>
          <w:i/>
        </w:rPr>
        <w:t xml:space="preserve">, </w:t>
      </w:r>
      <w:r>
        <w:rPr>
          <w:i/>
          <w:u w:val="single" w:color="000000"/>
        </w:rPr>
        <w:t>que desarrolle proyectos de energías renovables, eficiencia energética y/o movilidad sosten</w:t>
      </w:r>
      <w:r>
        <w:rPr>
          <w:i/>
          <w:u w:val="single" w:color="000000"/>
        </w:rPr>
        <w:t>ible</w:t>
      </w:r>
      <w:r>
        <w:rPr>
          <w:i/>
        </w:rPr>
        <w:t xml:space="preserve"> </w:t>
      </w:r>
      <w:r>
        <w:rPr>
          <w:i/>
          <w:u w:val="single" w:color="000000"/>
        </w:rPr>
        <w:t>que sean propiedad de dicha persona jurídica y cuya finalidad primordial sea proporcionar beneficios medioambientales, económicos o sociales a sus socios o miembros o a las zonas locales</w:t>
      </w:r>
      <w:r>
        <w:rPr>
          <w:i/>
        </w:rPr>
        <w:t xml:space="preserve"> </w:t>
      </w:r>
      <w:r>
        <w:rPr>
          <w:i/>
          <w:u w:val="single" w:color="000000"/>
        </w:rPr>
        <w:t>donde operan, en lugar de ganancias financieras.</w:t>
      </w:r>
      <w:r>
        <w:rPr>
          <w:sz w:val="24"/>
        </w:rPr>
        <w:t xml:space="preserve"> </w:t>
      </w:r>
    </w:p>
    <w:p w:rsidR="00EE0979" w:rsidRDefault="00B022A0">
      <w:pPr>
        <w:spacing w:after="98" w:line="259" w:lineRule="auto"/>
        <w:ind w:left="1147" w:firstLine="0"/>
        <w:jc w:val="left"/>
      </w:pPr>
      <w:r>
        <w:rPr>
          <w:i/>
        </w:rPr>
        <w:t xml:space="preserve"> </w:t>
      </w:r>
    </w:p>
    <w:p w:rsidR="00EE0979" w:rsidRDefault="00B022A0">
      <w:pPr>
        <w:spacing w:after="111"/>
        <w:ind w:left="1157" w:right="98" w:hanging="10"/>
      </w:pPr>
      <w:r>
        <w:rPr>
          <w:i/>
        </w:rPr>
        <w:t>Es de aplica</w:t>
      </w:r>
      <w:r>
        <w:rPr>
          <w:i/>
        </w:rPr>
        <w:t xml:space="preserve">ción el artículo 6 de la Ley del Sector Eléctrico que establece: </w:t>
      </w:r>
    </w:p>
    <w:p w:rsidR="00EE0979" w:rsidRDefault="00B022A0">
      <w:pPr>
        <w:spacing w:after="114"/>
        <w:ind w:left="9" w:right="98" w:hanging="10"/>
      </w:pPr>
      <w:r>
        <w:rPr>
          <w:i/>
        </w:rPr>
        <w:t>j) Las comunidades de energías renovables, que son entidades jurídicas basadas en la participación abierta y voluntaria, autónomas y efectivamente controladas por socios o miembros que están</w:t>
      </w:r>
      <w:r>
        <w:rPr>
          <w:i/>
        </w:rPr>
        <w:t xml:space="preserve"> situados en las proximidades de los proyectos de energías renovables que sean propiedad de dichas entidades jurídicas y que estas hayan desarrollado, </w:t>
      </w:r>
      <w:r>
        <w:rPr>
          <w:i/>
          <w:u w:val="single" w:color="000000"/>
        </w:rPr>
        <w:t>cuyos socios o miembros</w:t>
      </w:r>
      <w:r>
        <w:rPr>
          <w:i/>
        </w:rPr>
        <w:t xml:space="preserve"> </w:t>
      </w:r>
      <w:r>
        <w:rPr>
          <w:i/>
          <w:u w:val="single" w:color="000000"/>
        </w:rPr>
        <w:t>sean personas físicas, pymes o autoridades locales, incluidos los municipios y cu</w:t>
      </w:r>
      <w:r>
        <w:rPr>
          <w:i/>
          <w:u w:val="single" w:color="000000"/>
        </w:rPr>
        <w:t>ya finalidad</w:t>
      </w:r>
      <w:r>
        <w:rPr>
          <w:i/>
        </w:rPr>
        <w:t xml:space="preserve"> </w:t>
      </w:r>
      <w:r>
        <w:rPr>
          <w:i/>
          <w:u w:val="single" w:color="000000"/>
        </w:rPr>
        <w:t>primordial sea proporcionar beneficios medioambientales, económicos o sociales a sus socios o</w:t>
      </w:r>
      <w:r>
        <w:rPr>
          <w:i/>
        </w:rPr>
        <w:t xml:space="preserve"> </w:t>
      </w:r>
      <w:r>
        <w:rPr>
          <w:i/>
          <w:u w:val="single" w:color="000000"/>
        </w:rPr>
        <w:t>miembros o a las zonas locales donde operan, en lugar de ganancias financieras</w:t>
      </w:r>
      <w:r>
        <w:t xml:space="preserve"> </w:t>
      </w:r>
    </w:p>
    <w:p w:rsidR="00EE0979" w:rsidRDefault="00B022A0">
      <w:pPr>
        <w:spacing w:after="98" w:line="259" w:lineRule="auto"/>
        <w:ind w:left="374" w:firstLine="0"/>
        <w:jc w:val="left"/>
      </w:pPr>
      <w:r>
        <w:rPr>
          <w:i/>
        </w:rPr>
        <w:t xml:space="preserve"> </w:t>
      </w:r>
    </w:p>
    <w:p w:rsidR="00EE0979" w:rsidRDefault="00B022A0">
      <w:pPr>
        <w:spacing w:after="111"/>
        <w:ind w:left="1157" w:right="98" w:hanging="10"/>
      </w:pPr>
      <w:r>
        <w:rPr>
          <w:i/>
        </w:rPr>
        <w:t xml:space="preserve">SEGUNDO. - Procedimiento. </w:t>
      </w:r>
    </w:p>
    <w:p w:rsidR="00EE0979" w:rsidRDefault="00B022A0">
      <w:pPr>
        <w:spacing w:after="170" w:line="249" w:lineRule="auto"/>
        <w:ind w:left="10" w:right="100" w:hanging="10"/>
        <w:jc w:val="right"/>
      </w:pPr>
      <w:r>
        <w:rPr>
          <w:i/>
        </w:rPr>
        <w:t>Es de aplicación el artículo 49 de la Ley de Bases del Régimen local (LBRL) que establece el procedimiento de aprobación de los reglamentos y ordenanzas ya que estamos ante la creación de una persona jurídica cuyo régimen de funcionamiento requiere a la ap</w:t>
      </w:r>
      <w:r>
        <w:rPr>
          <w:i/>
        </w:rPr>
        <w:t xml:space="preserve">robación de un reglamento interno de funcionamiento y por tanto por analogía y para cumplir con  el derecho de información pública y participación ciudadana le aplicamos el procedimiento administrativo local de aprobación  de las disposiciones de carácter </w:t>
      </w:r>
      <w:r>
        <w:rPr>
          <w:i/>
        </w:rPr>
        <w:t xml:space="preserve">general, o sea, de los reglamentos. </w:t>
      </w:r>
    </w:p>
    <w:p w:rsidR="00EE0979" w:rsidRDefault="00B022A0">
      <w:pPr>
        <w:spacing w:line="411" w:lineRule="auto"/>
        <w:ind w:left="384" w:right="1191" w:hanging="10"/>
      </w:pPr>
      <w:r>
        <w:rPr>
          <w:i/>
        </w:rPr>
        <w:t xml:space="preserve">La aprobación de las Ordenanzas locales se ajustará al siguiente procedimiento: a) Aprobación inicial por el Pleno. </w:t>
      </w:r>
    </w:p>
    <w:p w:rsidR="00EE0979" w:rsidRDefault="00B022A0">
      <w:pPr>
        <w:numPr>
          <w:ilvl w:val="0"/>
          <w:numId w:val="82"/>
        </w:numPr>
        <w:spacing w:after="9" w:line="249" w:lineRule="auto"/>
        <w:ind w:right="99" w:hanging="257"/>
      </w:pPr>
      <w:r>
        <w:rPr>
          <w:i/>
        </w:rPr>
        <w:t xml:space="preserve">Información pública y audiencia a los interesados por el plazo mínimo de treinta días para la </w:t>
      </w:r>
    </w:p>
    <w:p w:rsidR="00EE0979" w:rsidRDefault="00B022A0">
      <w:pPr>
        <w:spacing w:after="169"/>
        <w:ind w:left="9" w:right="98" w:hanging="10"/>
      </w:pPr>
      <w:r>
        <w:rPr>
          <w:i/>
        </w:rPr>
        <w:t xml:space="preserve">presentación de reclamaciones y sugerencias. </w:t>
      </w:r>
    </w:p>
    <w:p w:rsidR="00EE0979" w:rsidRDefault="00B022A0">
      <w:pPr>
        <w:numPr>
          <w:ilvl w:val="0"/>
          <w:numId w:val="82"/>
        </w:numPr>
        <w:ind w:right="99" w:hanging="257"/>
      </w:pPr>
      <w:r>
        <w:rPr>
          <w:i/>
        </w:rPr>
        <w:t>Resolución de todas las reclamaciones y sugerencias presentadas dentro del plazo y apro-</w:t>
      </w:r>
    </w:p>
    <w:p w:rsidR="00EE0979" w:rsidRDefault="00B022A0">
      <w:pPr>
        <w:spacing w:after="171"/>
        <w:ind w:left="9" w:right="98" w:hanging="10"/>
      </w:pPr>
      <w:r>
        <w:rPr>
          <w:i/>
        </w:rPr>
        <w:t xml:space="preserve">bación definitiva por el Pleno. </w:t>
      </w:r>
    </w:p>
    <w:p w:rsidR="00EE0979" w:rsidRDefault="00B022A0">
      <w:pPr>
        <w:spacing w:after="174"/>
        <w:ind w:left="-1" w:right="98" w:firstLine="360"/>
      </w:pPr>
      <w:r>
        <w:rPr>
          <w:i/>
        </w:rPr>
        <w:t>En el caso de que no se hubiera presentado ninguna reclamación o sugerencia, se entender</w:t>
      </w:r>
      <w:r>
        <w:rPr>
          <w:i/>
        </w:rPr>
        <w:t xml:space="preserve">á definitivamente adoptado el acuerdo hasta entonces provisional. </w:t>
      </w:r>
    </w:p>
    <w:p w:rsidR="00EE0979" w:rsidRDefault="00B022A0">
      <w:pPr>
        <w:spacing w:after="109"/>
        <w:ind w:left="9" w:right="98" w:hanging="10"/>
      </w:pPr>
      <w:r>
        <w:rPr>
          <w:i/>
        </w:rPr>
        <w:t xml:space="preserve">Como hemos expuesto consta que se han presentado las siguientes alegaciones: </w:t>
      </w:r>
    </w:p>
    <w:p w:rsidR="00EE0979" w:rsidRDefault="00B022A0">
      <w:pPr>
        <w:spacing w:after="30" w:line="234" w:lineRule="auto"/>
        <w:ind w:left="9" w:right="98" w:hanging="10"/>
      </w:pPr>
      <w:r>
        <w:rPr>
          <w:i/>
          <w:u w:val="single" w:color="000000"/>
        </w:rPr>
        <w:t>1º.- Instancia firmada electrónicamente el 2 de marzo de 2023 con el siguiente tenor literal por Don</w:t>
      </w:r>
      <w:r>
        <w:rPr>
          <w:i/>
        </w:rPr>
        <w:t xml:space="preserve"> </w:t>
      </w:r>
    </w:p>
    <w:p w:rsidR="00EE0979" w:rsidRDefault="00B022A0">
      <w:pPr>
        <w:spacing w:after="113"/>
        <w:ind w:left="9" w:right="98" w:hanging="10"/>
      </w:pPr>
      <w:r>
        <w:rPr>
          <w:i/>
          <w:u w:val="single" w:color="000000"/>
        </w:rPr>
        <w:t>Ricardo G</w:t>
      </w:r>
      <w:r>
        <w:rPr>
          <w:i/>
          <w:u w:val="single" w:color="000000"/>
        </w:rPr>
        <w:t>uerrero Lemus</w:t>
      </w:r>
      <w:r>
        <w:rPr>
          <w:i/>
        </w:rPr>
        <w:t xml:space="preserve"> en la que propone la incorporación de la empresa “Energy Research &amp; Intelligence Solutions S.L.U. “  empresa reconocida por Acuerdo del Consejo Social de la Universidad de La Laguna. </w:t>
      </w:r>
      <w:r>
        <w:t xml:space="preserve"> </w:t>
      </w:r>
    </w:p>
    <w:p w:rsidR="00EE0979" w:rsidRDefault="00B022A0">
      <w:pPr>
        <w:spacing w:after="112"/>
        <w:ind w:left="9" w:right="98" w:hanging="10"/>
      </w:pPr>
      <w:r>
        <w:rPr>
          <w:i/>
        </w:rPr>
        <w:t xml:space="preserve">Además, también plantea la modificación de los Estatutos </w:t>
      </w:r>
      <w:r>
        <w:rPr>
          <w:i/>
        </w:rPr>
        <w:t xml:space="preserve">y Reglamentos de la Asociación para, entre otras cosas, incorporar el lenguaje no sexista. </w:t>
      </w:r>
    </w:p>
    <w:p w:rsidR="00EE0979" w:rsidRDefault="00B022A0">
      <w:pPr>
        <w:spacing w:after="100" w:line="259" w:lineRule="auto"/>
        <w:ind w:left="14" w:firstLine="0"/>
        <w:jc w:val="left"/>
      </w:pPr>
      <w:r>
        <w:rPr>
          <w:i/>
        </w:rPr>
        <w:t xml:space="preserve"> </w:t>
      </w:r>
    </w:p>
    <w:p w:rsidR="00EE0979" w:rsidRDefault="00B022A0">
      <w:pPr>
        <w:spacing w:after="124" w:line="234" w:lineRule="auto"/>
        <w:ind w:left="9" w:right="98" w:hanging="10"/>
      </w:pPr>
      <w:r>
        <w:rPr>
          <w:i/>
          <w:u w:val="single" w:color="000000"/>
        </w:rPr>
        <w:t>2º.- Instancia firmada electrónicamente y registrada el 11 de abril de 2023 en la que la Presidenta</w:t>
      </w:r>
      <w:r>
        <w:rPr>
          <w:i/>
        </w:rPr>
        <w:t xml:space="preserve"> </w:t>
      </w:r>
      <w:r>
        <w:rPr>
          <w:i/>
          <w:u w:val="single" w:color="000000"/>
        </w:rPr>
        <w:t>de la Entidad Pública Empresarial de Gestión de Empresas y Servicios Públicos del Ayuntamiento</w:t>
      </w:r>
      <w:r>
        <w:rPr>
          <w:i/>
        </w:rPr>
        <w:t xml:space="preserve"> </w:t>
      </w:r>
      <w:r>
        <w:rPr>
          <w:i/>
          <w:u w:val="single" w:color="000000"/>
        </w:rPr>
        <w:t>de Candelaria</w:t>
      </w:r>
      <w:r>
        <w:rPr>
          <w:i/>
        </w:rPr>
        <w:t xml:space="preserve"> solicita la adhesión a la Comunidad Energética de Candelaria.</w:t>
      </w:r>
      <w:r>
        <w:t xml:space="preserve"> </w:t>
      </w:r>
    </w:p>
    <w:p w:rsidR="00EE0979" w:rsidRDefault="00B022A0">
      <w:pPr>
        <w:spacing w:after="98" w:line="259" w:lineRule="auto"/>
        <w:ind w:left="14" w:firstLine="0"/>
        <w:jc w:val="left"/>
      </w:pPr>
      <w:r>
        <w:rPr>
          <w:i/>
        </w:rPr>
        <w:t xml:space="preserve"> </w:t>
      </w:r>
    </w:p>
    <w:p w:rsidR="00EE0979" w:rsidRDefault="00B022A0">
      <w:pPr>
        <w:spacing w:after="126" w:line="234" w:lineRule="auto"/>
        <w:ind w:left="9" w:right="98" w:hanging="10"/>
      </w:pPr>
      <w:r>
        <w:rPr>
          <w:i/>
          <w:u w:val="single" w:color="000000"/>
        </w:rPr>
        <w:t xml:space="preserve">3º.- Instancia firmada electrónicamente y registrada el 11 de abril de 2023 en la </w:t>
      </w:r>
      <w:r>
        <w:rPr>
          <w:i/>
          <w:u w:val="single" w:color="000000"/>
        </w:rPr>
        <w:t>que la Presidenta</w:t>
      </w:r>
      <w:r>
        <w:rPr>
          <w:i/>
        </w:rPr>
        <w:t xml:space="preserve"> </w:t>
      </w:r>
      <w:r>
        <w:rPr>
          <w:i/>
          <w:u w:val="single" w:color="000000"/>
        </w:rPr>
        <w:t>de la empresa pública de Viviendas y Servicios Municipales de Candelaria</w:t>
      </w:r>
      <w:r>
        <w:rPr>
          <w:i/>
        </w:rPr>
        <w:t xml:space="preserve"> solicita la adhesión a la Comunidad Energética de Candelaria.</w:t>
      </w:r>
      <w:r>
        <w:t xml:space="preserve"> </w:t>
      </w:r>
    </w:p>
    <w:p w:rsidR="00EE0979" w:rsidRDefault="00B022A0">
      <w:pPr>
        <w:spacing w:after="98" w:line="259" w:lineRule="auto"/>
        <w:ind w:left="14" w:firstLine="0"/>
        <w:jc w:val="left"/>
      </w:pPr>
      <w:r>
        <w:rPr>
          <w:i/>
        </w:rPr>
        <w:t xml:space="preserve"> </w:t>
      </w:r>
    </w:p>
    <w:p w:rsidR="00EE0979" w:rsidRDefault="00B022A0">
      <w:pPr>
        <w:spacing w:after="111"/>
        <w:ind w:left="9" w:right="98" w:hanging="10"/>
      </w:pPr>
      <w:r>
        <w:rPr>
          <w:i/>
        </w:rPr>
        <w:t>4.- Instancia firmada electrónicamente y registrada el 11 de abril de 2023 en la que la Presidenta d</w:t>
      </w:r>
      <w:r>
        <w:rPr>
          <w:i/>
        </w:rPr>
        <w:t xml:space="preserve">e la Fundación Candelaria Solidaria (CANDESOL) solicita al adhesión a la Comunidad Energética de Candelaria. </w:t>
      </w:r>
    </w:p>
    <w:p w:rsidR="00EE0979" w:rsidRDefault="00B022A0">
      <w:pPr>
        <w:spacing w:after="100" w:line="259" w:lineRule="auto"/>
        <w:ind w:left="14" w:firstLine="0"/>
        <w:jc w:val="left"/>
      </w:pPr>
      <w:r>
        <w:rPr>
          <w:i/>
        </w:rPr>
        <w:t xml:space="preserve"> </w:t>
      </w:r>
    </w:p>
    <w:p w:rsidR="00EE0979" w:rsidRDefault="00B022A0">
      <w:pPr>
        <w:spacing w:after="109"/>
        <w:ind w:left="2292" w:right="98" w:hanging="10"/>
      </w:pPr>
      <w:r>
        <w:rPr>
          <w:i/>
        </w:rPr>
        <w:t xml:space="preserve">PROPUESTA DE ACUERDO AL PLENO </w:t>
      </w:r>
    </w:p>
    <w:p w:rsidR="00EE0979" w:rsidRDefault="00B022A0">
      <w:pPr>
        <w:spacing w:after="9" w:line="249" w:lineRule="auto"/>
        <w:ind w:left="10" w:right="100" w:hanging="10"/>
        <w:jc w:val="right"/>
      </w:pPr>
      <w:r>
        <w:rPr>
          <w:i/>
        </w:rPr>
        <w:t xml:space="preserve">PRIMERO. - Aprobar las adhesiones a la Comunidad Energética de Candelaria </w:t>
      </w:r>
    </w:p>
    <w:p w:rsidR="00EE0979" w:rsidRDefault="00B022A0">
      <w:pPr>
        <w:spacing w:after="112"/>
        <w:ind w:left="9" w:right="98" w:hanging="10"/>
      </w:pPr>
      <w:r>
        <w:rPr>
          <w:i/>
        </w:rPr>
        <w:t>realizadas durante el período de infor</w:t>
      </w:r>
      <w:r>
        <w:rPr>
          <w:i/>
        </w:rPr>
        <w:t xml:space="preserve">mación pública y que son las siguientes, además de la administración promotora: </w:t>
      </w:r>
    </w:p>
    <w:p w:rsidR="00EE0979" w:rsidRDefault="00B022A0">
      <w:pPr>
        <w:ind w:left="9" w:right="98" w:hanging="10"/>
      </w:pPr>
      <w:r>
        <w:rPr>
          <w:i/>
        </w:rPr>
        <w:t xml:space="preserve">1.- El Ayuntamiento de Candelaria como Administración Pública promotora. </w:t>
      </w:r>
    </w:p>
    <w:p w:rsidR="00EE0979" w:rsidRDefault="00B022A0">
      <w:pPr>
        <w:ind w:left="9" w:right="98" w:hanging="10"/>
      </w:pPr>
      <w:r>
        <w:rPr>
          <w:i/>
        </w:rPr>
        <w:t xml:space="preserve">2.- Don Ricardo Guerrero Lemus en la que propone la incorporación de la empresa “Energy </w:t>
      </w:r>
    </w:p>
    <w:p w:rsidR="00EE0979" w:rsidRDefault="00B022A0">
      <w:pPr>
        <w:spacing w:after="112"/>
        <w:ind w:left="9" w:right="98" w:hanging="10"/>
      </w:pPr>
      <w:r>
        <w:rPr>
          <w:i/>
        </w:rPr>
        <w:t xml:space="preserve">Research &amp; Intelligence Solutions S.L.U” empresa reconocida por Acuerdo del Consejo Social de la Universidad de La Laguna de 8 de abril de 2021. </w:t>
      </w:r>
    </w:p>
    <w:p w:rsidR="00EE0979" w:rsidRDefault="00B022A0">
      <w:pPr>
        <w:spacing w:after="111"/>
        <w:ind w:left="9" w:right="98" w:hanging="10"/>
      </w:pPr>
      <w:r>
        <w:rPr>
          <w:i/>
        </w:rPr>
        <w:t xml:space="preserve">3.- Entidad Pública empresarial de Servicios Públicos del Ayuntamiento de Candelaria (EPELCAN) </w:t>
      </w:r>
    </w:p>
    <w:p w:rsidR="00EE0979" w:rsidRDefault="00B022A0">
      <w:pPr>
        <w:spacing w:after="109"/>
        <w:ind w:left="9" w:right="98" w:hanging="10"/>
      </w:pPr>
      <w:r>
        <w:rPr>
          <w:i/>
        </w:rPr>
        <w:t>4.- Empresa pú</w:t>
      </w:r>
      <w:r>
        <w:rPr>
          <w:i/>
        </w:rPr>
        <w:t xml:space="preserve">blica de Viviendas y Servicios Municipales. </w:t>
      </w:r>
    </w:p>
    <w:p w:rsidR="00EE0979" w:rsidRDefault="00B022A0">
      <w:pPr>
        <w:spacing w:after="112"/>
        <w:ind w:left="9" w:right="98" w:hanging="10"/>
      </w:pPr>
      <w:r>
        <w:rPr>
          <w:i/>
        </w:rPr>
        <w:t xml:space="preserve">5.- Fundación Candelaria Solidaria (Candesol). </w:t>
      </w:r>
    </w:p>
    <w:p w:rsidR="00EE0979" w:rsidRDefault="00B022A0">
      <w:pPr>
        <w:spacing w:after="98" w:line="259" w:lineRule="auto"/>
        <w:ind w:left="1147" w:firstLine="0"/>
        <w:jc w:val="left"/>
      </w:pPr>
      <w:r>
        <w:rPr>
          <w:i/>
        </w:rPr>
        <w:t xml:space="preserve"> </w:t>
      </w:r>
    </w:p>
    <w:p w:rsidR="00EE0979" w:rsidRDefault="00B022A0">
      <w:pPr>
        <w:ind w:left="1157" w:right="98" w:hanging="10"/>
      </w:pPr>
      <w:r>
        <w:rPr>
          <w:i/>
        </w:rPr>
        <w:t xml:space="preserve">SEGUNDO.- Aprobar de forma definitiva según los documentos incorporados al </w:t>
      </w:r>
    </w:p>
    <w:p w:rsidR="00EE0979" w:rsidRDefault="00B022A0">
      <w:pPr>
        <w:spacing w:after="114"/>
        <w:ind w:left="9" w:right="98" w:hanging="10"/>
      </w:pPr>
      <w:r>
        <w:rPr>
          <w:i/>
        </w:rPr>
        <w:t>expediente por instancia de 2 de marzo de 2023 que se estima y que modifican los inic</w:t>
      </w:r>
      <w:r>
        <w:rPr>
          <w:i/>
        </w:rPr>
        <w:t>ialmente aprobados del acta fundacional, los Estatutos, el Reglamento de régimen interno de la Asociación y la solicitud de la Asociación para la constitución de la Asociación promovida por el Ayuntamiento de Candelaria de “Comunidad energética de Candelar</w:t>
      </w:r>
      <w:r>
        <w:rPr>
          <w:i/>
        </w:rPr>
        <w:t>ia” o “Comunidad de energías renovables de Candelaria” en virtud de la Orden TED/1446/2021, de 22 de diciembre, por la que se aprueban las bases reguladoras para la concesión de ayudas del programa de incentivos a proyectos piloto singulares de comunidades</w:t>
      </w:r>
      <w:r>
        <w:rPr>
          <w:i/>
        </w:rPr>
        <w:t xml:space="preserve"> energéticas (Programa CE Implementa), en el marco del Plan de Recuperación, Transformación y Resiliencia (BOE 24 de diciembre de 2021) y demás normativa concordante y el resto de subvenciones y ayudas que regulan los proyectos de Comunidades Energéticas. </w:t>
      </w:r>
    </w:p>
    <w:p w:rsidR="00EE0979" w:rsidRDefault="00B022A0">
      <w:pPr>
        <w:ind w:left="1157" w:right="98" w:hanging="10"/>
      </w:pPr>
      <w:r>
        <w:rPr>
          <w:i/>
        </w:rPr>
        <w:t xml:space="preserve">Tercero. - Publicar el presente acuerdo en el Boletín Oficial de la Provincia y así como </w:t>
      </w:r>
    </w:p>
    <w:p w:rsidR="00EE0979" w:rsidRDefault="00B022A0">
      <w:pPr>
        <w:spacing w:after="109"/>
        <w:ind w:left="9" w:right="98" w:hanging="10"/>
      </w:pPr>
      <w:r>
        <w:rPr>
          <w:i/>
        </w:rPr>
        <w:t xml:space="preserve">el Anexo de los documentos que obran en el expediente de: </w:t>
      </w:r>
    </w:p>
    <w:p w:rsidR="00EE0979" w:rsidRDefault="00B022A0">
      <w:pPr>
        <w:ind w:left="1157" w:right="98" w:hanging="10"/>
      </w:pPr>
      <w:r>
        <w:rPr>
          <w:i/>
        </w:rPr>
        <w:t xml:space="preserve">Acta fundacional, los Estatutos, el Reglamento de régimen interno de la Asociación y la </w:t>
      </w:r>
    </w:p>
    <w:p w:rsidR="00EE0979" w:rsidRDefault="00B022A0">
      <w:pPr>
        <w:spacing w:after="109"/>
        <w:ind w:left="9" w:right="98" w:hanging="10"/>
      </w:pPr>
      <w:r>
        <w:rPr>
          <w:i/>
        </w:rPr>
        <w:t>solicitud de la A</w:t>
      </w:r>
      <w:r>
        <w:rPr>
          <w:i/>
        </w:rPr>
        <w:t xml:space="preserve">sociación. </w:t>
      </w:r>
    </w:p>
    <w:p w:rsidR="00EE0979" w:rsidRDefault="00B022A0">
      <w:pPr>
        <w:spacing w:after="98" w:line="259" w:lineRule="auto"/>
        <w:ind w:left="1147" w:firstLine="0"/>
        <w:jc w:val="left"/>
      </w:pPr>
      <w:r>
        <w:rPr>
          <w:i/>
        </w:rPr>
        <w:t xml:space="preserve"> </w:t>
      </w:r>
    </w:p>
    <w:p w:rsidR="00EE0979" w:rsidRDefault="00B022A0">
      <w:pPr>
        <w:spacing w:after="98" w:line="259" w:lineRule="auto"/>
        <w:ind w:left="14" w:firstLine="0"/>
        <w:jc w:val="left"/>
      </w:pPr>
      <w:r>
        <w:rPr>
          <w:b/>
        </w:rPr>
        <w:t xml:space="preserve"> </w:t>
      </w:r>
    </w:p>
    <w:p w:rsidR="00EE0979" w:rsidRDefault="00B022A0">
      <w:pPr>
        <w:spacing w:after="109"/>
        <w:ind w:right="99" w:hanging="10"/>
      </w:pPr>
      <w:r>
        <w:rPr>
          <w:b/>
        </w:rPr>
        <w:t xml:space="preserve">Visto el informe emitido, se eleva la PROPUESTA AL PLENO DE LA CORPORACIÓN: </w:t>
      </w:r>
    </w:p>
    <w:p w:rsidR="00EE0979" w:rsidRDefault="00B022A0">
      <w:pPr>
        <w:spacing w:after="6"/>
        <w:ind w:left="1157" w:right="99" w:hanging="10"/>
      </w:pPr>
      <w:r>
        <w:rPr>
          <w:b/>
        </w:rPr>
        <w:t xml:space="preserve">PRIMERO. - Aprobar las adhesiones a la Comunidad Energética de Candelaria </w:t>
      </w:r>
    </w:p>
    <w:p w:rsidR="00EE0979" w:rsidRDefault="00B022A0">
      <w:pPr>
        <w:spacing w:after="115"/>
        <w:ind w:right="99" w:hanging="10"/>
      </w:pPr>
      <w:r>
        <w:rPr>
          <w:b/>
        </w:rPr>
        <w:t xml:space="preserve">realizadas durante el período de información pública y que son las siguientes, además de la administración promotora: </w:t>
      </w:r>
    </w:p>
    <w:p w:rsidR="00EE0979" w:rsidRDefault="00B022A0">
      <w:pPr>
        <w:spacing w:after="146"/>
        <w:ind w:right="99" w:hanging="10"/>
      </w:pPr>
      <w:r>
        <w:rPr>
          <w:b/>
        </w:rPr>
        <w:t xml:space="preserve">1.- El Ayuntamiento de Candelaria como Administración Pública promotora. </w:t>
      </w:r>
    </w:p>
    <w:p w:rsidR="00EE0979" w:rsidRDefault="00B022A0">
      <w:pPr>
        <w:spacing w:after="6"/>
        <w:ind w:right="99" w:hanging="10"/>
      </w:pPr>
      <w:r>
        <w:rPr>
          <w:b/>
        </w:rPr>
        <w:t>2.- Don Ricardo Guerrero Lemus en la que propone la incorporaci</w:t>
      </w:r>
      <w:r>
        <w:rPr>
          <w:b/>
        </w:rPr>
        <w:t xml:space="preserve">ón de la empresa “Energy </w:t>
      </w:r>
    </w:p>
    <w:p w:rsidR="00EE0979" w:rsidRDefault="00B022A0">
      <w:pPr>
        <w:spacing w:after="111"/>
        <w:ind w:right="99" w:hanging="10"/>
      </w:pPr>
      <w:r>
        <w:rPr>
          <w:b/>
        </w:rPr>
        <w:t xml:space="preserve">Research &amp; Intelligence Solutions S.L.U” empresa reconocida por Acuerdo del Consejo Social de la Universidad de La Laguna de 8 de abril de 2021. </w:t>
      </w:r>
    </w:p>
    <w:p w:rsidR="00EE0979" w:rsidRDefault="00B022A0">
      <w:pPr>
        <w:spacing w:after="111"/>
        <w:ind w:right="99" w:hanging="10"/>
      </w:pPr>
      <w:r>
        <w:rPr>
          <w:b/>
        </w:rPr>
        <w:t>3.- Entidad Pública empresarial de Servicios Públicos del Ayuntamiento de Candelaria</w:t>
      </w:r>
      <w:r>
        <w:rPr>
          <w:b/>
        </w:rPr>
        <w:t xml:space="preserve"> (EPELCAN) </w:t>
      </w:r>
    </w:p>
    <w:p w:rsidR="00EE0979" w:rsidRDefault="00B022A0">
      <w:pPr>
        <w:spacing w:after="111"/>
        <w:ind w:right="99" w:hanging="10"/>
      </w:pPr>
      <w:r>
        <w:rPr>
          <w:b/>
        </w:rPr>
        <w:t xml:space="preserve">4.- Empresa pública de Viviendas y Servicios Municipales. </w:t>
      </w:r>
    </w:p>
    <w:p w:rsidR="00EE0979" w:rsidRDefault="00B022A0">
      <w:pPr>
        <w:spacing w:after="109"/>
        <w:ind w:right="99" w:hanging="10"/>
      </w:pPr>
      <w:r>
        <w:rPr>
          <w:b/>
        </w:rPr>
        <w:t xml:space="preserve">5.- Fundación Candelaria Solidaria (Candesol). </w:t>
      </w:r>
    </w:p>
    <w:p w:rsidR="00EE0979" w:rsidRDefault="00B022A0">
      <w:pPr>
        <w:spacing w:after="98" w:line="259" w:lineRule="auto"/>
        <w:ind w:left="1147" w:firstLine="0"/>
        <w:jc w:val="left"/>
      </w:pPr>
      <w:r>
        <w:rPr>
          <w:b/>
        </w:rPr>
        <w:t xml:space="preserve"> </w:t>
      </w:r>
    </w:p>
    <w:p w:rsidR="00EE0979" w:rsidRDefault="00B022A0">
      <w:pPr>
        <w:spacing w:after="6"/>
        <w:ind w:left="1157" w:right="99" w:hanging="10"/>
      </w:pPr>
      <w:r>
        <w:rPr>
          <w:b/>
        </w:rPr>
        <w:t xml:space="preserve">SEGUNDO.- Aprobar de forma definitiva según los documentos incorporados al </w:t>
      </w:r>
    </w:p>
    <w:p w:rsidR="00EE0979" w:rsidRDefault="00B022A0">
      <w:pPr>
        <w:spacing w:after="105"/>
        <w:ind w:right="99" w:hanging="10"/>
      </w:pPr>
      <w:r>
        <w:rPr>
          <w:b/>
        </w:rPr>
        <w:t>expediente por instancia de 2 de marzo de 2023 que se estim</w:t>
      </w:r>
      <w:r>
        <w:rPr>
          <w:b/>
        </w:rPr>
        <w:t>a y que modifican los inicialmente aprobados del acta fundacional, los Estatutos, el Reglamento de régimen interno de la Asociación y la solicitud de la Asociación para la constitución de la Asociación promovida por el Ayuntamiento de Candelaria de “Comuni</w:t>
      </w:r>
      <w:r>
        <w:rPr>
          <w:b/>
        </w:rPr>
        <w:t>dad energética de Candelaria” o “Comunidad de energías renovables de Candelaria” en virtud de la Orden TED/1446/2021, de 22 de diciembre, por la que se aprueban las bases reguladoras para la concesión de ayudas del programa de incentivos a proyectos piloto</w:t>
      </w:r>
      <w:r>
        <w:rPr>
          <w:b/>
        </w:rPr>
        <w:t xml:space="preserve"> singulares de comunidades energéticas (Programa CE Implementa), en el marco del Plan de Recuperación, Transformación y Resiliencia (BOE 24 de diciembre de 2021) y demás normativa concordante y el resto de subvenciones y ayudas que regulan los proyectos de</w:t>
      </w:r>
      <w:r>
        <w:rPr>
          <w:b/>
        </w:rPr>
        <w:t xml:space="preserve"> Comunidades Energéticas. </w:t>
      </w:r>
    </w:p>
    <w:p w:rsidR="00EE0979" w:rsidRDefault="00B022A0">
      <w:pPr>
        <w:spacing w:after="0" w:line="259" w:lineRule="auto"/>
        <w:ind w:left="10" w:right="100" w:hanging="10"/>
        <w:jc w:val="right"/>
      </w:pPr>
      <w:r>
        <w:rPr>
          <w:b/>
        </w:rPr>
        <w:t xml:space="preserve">Tercero. - Publicar el presente acuerdo en el Boletín Oficial de la Provincia y así </w:t>
      </w:r>
    </w:p>
    <w:p w:rsidR="00EE0979" w:rsidRDefault="00B022A0">
      <w:pPr>
        <w:spacing w:after="111"/>
        <w:ind w:right="99" w:hanging="10"/>
      </w:pPr>
      <w:r>
        <w:rPr>
          <w:b/>
        </w:rPr>
        <w:t xml:space="preserve">como el Anexo de los documentos que obran en el expediente de: </w:t>
      </w:r>
    </w:p>
    <w:p w:rsidR="00EE0979" w:rsidRDefault="00B022A0">
      <w:pPr>
        <w:spacing w:after="128"/>
        <w:ind w:left="9" w:right="99" w:firstLine="1133"/>
      </w:pPr>
      <w:r>
        <w:rPr>
          <w:b/>
        </w:rPr>
        <w:t xml:space="preserve">Acta fundacional, los Estatutos, el Reglamento de régimen interno de la Asociación y la solicitud de la Asociación.”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rFonts w:ascii="Times New Roman" w:eastAsia="Times New Roman" w:hAnsi="Times New Roman" w:cs="Times New Roman"/>
          <w:b/>
          <w:sz w:val="24"/>
        </w:rPr>
        <w:t xml:space="preserve"> </w:t>
      </w:r>
    </w:p>
    <w:p w:rsidR="00EE0979" w:rsidRDefault="00B022A0">
      <w:pPr>
        <w:spacing w:after="6"/>
        <w:ind w:right="99" w:hanging="10"/>
      </w:pPr>
      <w:r>
        <w:rPr>
          <w:b/>
        </w:rPr>
        <w:t>El presente asunto al no estar dictaminado por la Comisión Informativa de Hacienda el pleno ratificó la urgencia y su inclusión en e</w:t>
      </w:r>
      <w:r>
        <w:rPr>
          <w:b/>
        </w:rPr>
        <w:t xml:space="preserve">l orden del día por la unanimidad de los 18 concejales presentes. </w:t>
      </w:r>
    </w:p>
    <w:p w:rsidR="00EE0979" w:rsidRDefault="00B022A0">
      <w:pPr>
        <w:spacing w:after="0" w:line="259" w:lineRule="auto"/>
        <w:ind w:left="14" w:firstLine="0"/>
        <w:jc w:val="left"/>
      </w:pPr>
      <w:r>
        <w:rPr>
          <w:b/>
        </w:rPr>
        <w:t xml:space="preserve"> </w:t>
      </w:r>
    </w:p>
    <w:p w:rsidR="00EE0979" w:rsidRDefault="00B022A0">
      <w:pPr>
        <w:spacing w:after="6"/>
        <w:ind w:left="1443" w:right="99" w:hanging="10"/>
      </w:pPr>
      <w:r>
        <w:rPr>
          <w:b/>
        </w:rPr>
        <w:t xml:space="preserve">VOTACIÓN EN EL PLENO DE 27 DE ABRIL DE 2023 </w:t>
      </w:r>
    </w:p>
    <w:p w:rsidR="00EE0979" w:rsidRDefault="00B022A0">
      <w:pPr>
        <w:spacing w:after="0" w:line="259" w:lineRule="auto"/>
        <w:ind w:left="1433" w:firstLine="0"/>
        <w:jc w:val="left"/>
      </w:pPr>
      <w:r>
        <w:rPr>
          <w:b/>
        </w:rPr>
        <w:t xml:space="preserve"> </w:t>
      </w:r>
    </w:p>
    <w:p w:rsidR="00EE0979" w:rsidRDefault="00B022A0">
      <w:pPr>
        <w:ind w:right="100"/>
      </w:pPr>
      <w:r>
        <w:t xml:space="preserve">Votos a favor: La unanimidad de los 18 concejales presentes. </w:t>
      </w:r>
    </w:p>
    <w:p w:rsidR="00EE0979" w:rsidRDefault="00B022A0">
      <w:pPr>
        <w:ind w:right="100"/>
      </w:pPr>
      <w:r>
        <w:t>11 concejales del Grupo Socialista: Doña María Concepción Brito Núñez, Doña Do</w:t>
      </w:r>
      <w:r>
        <w:t>n Jorge Baute Delgado, Doña Olivia Concepción Pérez Díaz, Don José Francisco Pinto Ramos, Doña Hilaria Cecilia Otazo González, Don Airam Pérez Chinea, Doña Margarita Eva Tendero Barroso, Don Manuel Alberto González Pestano, Doña María del Carmen Clemente D</w:t>
      </w:r>
      <w:r>
        <w:t xml:space="preserve">íaz, Don Olegario Francisco Alonso Bello y Don Reinaldo José Triviño Blanco.  </w:t>
      </w:r>
    </w:p>
    <w:p w:rsidR="00EE0979" w:rsidRDefault="00B022A0">
      <w:pPr>
        <w:spacing w:after="0" w:line="259" w:lineRule="auto"/>
        <w:ind w:left="14" w:firstLine="0"/>
        <w:jc w:val="left"/>
      </w:pPr>
      <w:r>
        <w:t xml:space="preserve"> </w:t>
      </w:r>
    </w:p>
    <w:p w:rsidR="00EE0979" w:rsidRDefault="00B022A0">
      <w:pPr>
        <w:ind w:right="100"/>
      </w:pPr>
      <w:r>
        <w:t xml:space="preserve">3 concejales del Grupo Popular: Don Andrés Rodríguez Delgado, Don Jacobo López Fariña y Don David Crego Cháves.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t xml:space="preserve"> </w:t>
      </w:r>
    </w:p>
    <w:p w:rsidR="00EE0979" w:rsidRDefault="00B022A0">
      <w:pPr>
        <w:spacing w:after="114"/>
        <w:ind w:right="100"/>
      </w:pPr>
      <w:r>
        <w:t>2 de los concejales del Grupo Mixto (CC-PNC): Doña Ángela C</w:t>
      </w:r>
      <w:r>
        <w:t xml:space="preserve">ruz Perera y Don Emilio Jesús Atiénzar Armas.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(SSP): Doña Lourdes del Carmen Mondéjar Rondón., </w:t>
      </w:r>
    </w:p>
    <w:p w:rsidR="00EE0979" w:rsidRDefault="00B022A0">
      <w:pPr>
        <w:spacing w:after="0" w:line="259" w:lineRule="auto"/>
        <w:ind w:left="14" w:firstLine="0"/>
        <w:jc w:val="left"/>
      </w:pPr>
      <w:r>
        <w:t xml:space="preserve"> </w:t>
      </w:r>
    </w:p>
    <w:p w:rsidR="00EE0979" w:rsidRDefault="00B022A0">
      <w:pPr>
        <w:ind w:right="100"/>
      </w:pPr>
      <w:r>
        <w:t xml:space="preserve">1 de la concejal del Grupo Mixto (VxC): Doña Alicia Mercedes Marrero Meneses.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rPr>
          <w:b/>
        </w:rPr>
        <w:t xml:space="preserve"> </w:t>
      </w:r>
    </w:p>
    <w:p w:rsidR="00EE0979" w:rsidRDefault="00B022A0">
      <w:pPr>
        <w:spacing w:after="3" w:line="265" w:lineRule="auto"/>
        <w:ind w:left="624" w:right="856" w:hanging="10"/>
        <w:jc w:val="center"/>
      </w:pPr>
      <w:r>
        <w:rPr>
          <w:b/>
        </w:rPr>
        <w:t>ACUERDO DEL PLENO DE 27 DE ABRIL DE 2023.</w:t>
      </w:r>
      <w:r>
        <w:rPr>
          <w:rFonts w:ascii="Times New Roman" w:eastAsia="Times New Roman" w:hAnsi="Times New Roman" w:cs="Times New Roman"/>
          <w:sz w:val="24"/>
        </w:rPr>
        <w:t xml:space="preserve"> </w:t>
      </w:r>
    </w:p>
    <w:p w:rsidR="00EE0979" w:rsidRDefault="00B022A0">
      <w:pPr>
        <w:spacing w:after="101" w:line="259" w:lineRule="auto"/>
        <w:ind w:left="722" w:firstLine="0"/>
        <w:jc w:val="left"/>
      </w:pPr>
      <w:r>
        <w:rPr>
          <w:b/>
        </w:rPr>
        <w:t xml:space="preserve"> </w:t>
      </w:r>
    </w:p>
    <w:p w:rsidR="00EE0979" w:rsidRDefault="00B022A0">
      <w:pPr>
        <w:spacing w:after="6"/>
        <w:ind w:left="9" w:right="99" w:firstLine="708"/>
      </w:pPr>
      <w:r>
        <w:rPr>
          <w:b/>
        </w:rPr>
        <w:t xml:space="preserve">PRIMERO. - Aprobar las adhesiones a la Comunidad Energética de Candelaria realizadas durante el período de información pública y que son las siguientes, además de la administración promotora: </w:t>
      </w:r>
      <w:r>
        <w:t xml:space="preserve"> </w:t>
      </w:r>
    </w:p>
    <w:p w:rsidR="00EE0979" w:rsidRDefault="00B022A0">
      <w:pPr>
        <w:spacing w:after="149"/>
        <w:ind w:right="99" w:hanging="10"/>
      </w:pPr>
      <w:r>
        <w:rPr>
          <w:b/>
        </w:rPr>
        <w:t xml:space="preserve">1.- </w:t>
      </w:r>
      <w:r>
        <w:rPr>
          <w:b/>
        </w:rPr>
        <w:t xml:space="preserve">El Ayuntamiento de Candelaria como Administración Pública promotora.  </w:t>
      </w:r>
    </w:p>
    <w:p w:rsidR="00EE0979" w:rsidRDefault="00B022A0">
      <w:pPr>
        <w:spacing w:after="112"/>
        <w:ind w:right="99" w:hanging="10"/>
      </w:pPr>
      <w:r>
        <w:rPr>
          <w:b/>
        </w:rPr>
        <w:t xml:space="preserve">2.- Don Ricardo Guerrero Lemus en la que propone la incorporación de la empresa “Energy Research &amp; Intelligence Solutions S.L.U” empresa reconocida por Acuerdo del Consejo Social de la </w:t>
      </w:r>
      <w:r>
        <w:rPr>
          <w:b/>
        </w:rPr>
        <w:t xml:space="preserve">Universidad de La Laguna de 8 de abril de 2021.  </w:t>
      </w:r>
    </w:p>
    <w:p w:rsidR="00EE0979" w:rsidRDefault="00B022A0">
      <w:pPr>
        <w:spacing w:after="115"/>
        <w:ind w:right="99" w:hanging="10"/>
      </w:pPr>
      <w:r>
        <w:rPr>
          <w:b/>
        </w:rPr>
        <w:t xml:space="preserve">3.- Entidad Pública empresarial de Servicios Públicos del Ayuntamiento de Candelaria (EPELCAN)  </w:t>
      </w:r>
    </w:p>
    <w:p w:rsidR="00EE0979" w:rsidRDefault="00B022A0">
      <w:pPr>
        <w:spacing w:after="109"/>
        <w:ind w:right="99" w:hanging="10"/>
      </w:pPr>
      <w:r>
        <w:rPr>
          <w:b/>
        </w:rPr>
        <w:t xml:space="preserve">4.- Empresa pública de Viviendas y Servicios Municipales.  </w:t>
      </w:r>
    </w:p>
    <w:p w:rsidR="00EE0979" w:rsidRDefault="00B022A0">
      <w:pPr>
        <w:spacing w:after="111"/>
        <w:ind w:right="99" w:hanging="10"/>
      </w:pPr>
      <w:r>
        <w:rPr>
          <w:b/>
        </w:rPr>
        <w:t xml:space="preserve">5.- Fundación Candelaria Solidaria (Candesol).  </w:t>
      </w:r>
    </w:p>
    <w:p w:rsidR="00EE0979" w:rsidRDefault="00B022A0">
      <w:pPr>
        <w:spacing w:after="98" w:line="259" w:lineRule="auto"/>
        <w:ind w:left="14" w:firstLine="0"/>
        <w:jc w:val="left"/>
      </w:pPr>
      <w:r>
        <w:rPr>
          <w:b/>
        </w:rPr>
        <w:t xml:space="preserve"> </w:t>
      </w:r>
    </w:p>
    <w:p w:rsidR="00EE0979" w:rsidRDefault="00B022A0">
      <w:pPr>
        <w:spacing w:after="114"/>
        <w:ind w:left="9" w:right="99" w:firstLine="708"/>
      </w:pPr>
      <w:r>
        <w:rPr>
          <w:b/>
        </w:rPr>
        <w:t>SEGUNDO.- Aprobar de forma definitiva según los documentos incorporados al expediente por instancia de 2 de marzo de 2023 que se estima y que modifican los inicialmente aprobados del acta fundacional, los Estatutos, el Reglamento de régimen interno de la</w:t>
      </w:r>
      <w:r>
        <w:rPr>
          <w:b/>
        </w:rPr>
        <w:t xml:space="preserve"> Asociación y la solicitud de la Asociación para la constitución de la Asociación promovida por el Ayuntamiento de Candelaria de “Comunidad energética de Candelaria” o “Comunidad de energías renovables de Candelaria” en virtud de la Orden TED/1446/2021, de</w:t>
      </w:r>
      <w:r>
        <w:rPr>
          <w:b/>
        </w:rPr>
        <w:t xml:space="preserve"> 22 de diciembre, por la que se aprueban las bases reguladoras para la concesión de ayudas del programa de incentivos a proyectos piloto singulares de comunidades energéticas (Programa CE Implementa), en el marco del Plan de Recuperación, Transformación y </w:t>
      </w:r>
      <w:r>
        <w:rPr>
          <w:b/>
        </w:rPr>
        <w:t xml:space="preserve">Resiliencia (BOE 24 de diciembre de 2021) y demás normativa concordante y el resto de subvenciones y ayudas que regulan los proyectos de Comunidades Energéticas.  </w:t>
      </w:r>
    </w:p>
    <w:p w:rsidR="00EE0979" w:rsidRDefault="00B022A0">
      <w:pPr>
        <w:spacing w:after="98" w:line="259" w:lineRule="auto"/>
        <w:ind w:left="722" w:firstLine="0"/>
        <w:jc w:val="left"/>
      </w:pPr>
      <w:r>
        <w:rPr>
          <w:b/>
        </w:rPr>
        <w:t xml:space="preserve"> </w:t>
      </w:r>
    </w:p>
    <w:p w:rsidR="00EE0979" w:rsidRDefault="00B022A0">
      <w:pPr>
        <w:spacing w:after="111"/>
        <w:ind w:left="9" w:right="99" w:firstLine="708"/>
      </w:pPr>
      <w:r>
        <w:rPr>
          <w:b/>
        </w:rPr>
        <w:t>TERCERO. - Publicar el presente acuerdo en el Boletín Oficial de la Provincia y así como e</w:t>
      </w:r>
      <w:r>
        <w:rPr>
          <w:b/>
        </w:rPr>
        <w:t xml:space="preserve">l Anexo de los documentos que obran en el expediente de:  </w:t>
      </w:r>
    </w:p>
    <w:p w:rsidR="00EE0979" w:rsidRDefault="00B022A0">
      <w:pPr>
        <w:spacing w:after="128"/>
        <w:ind w:right="99" w:hanging="10"/>
      </w:pPr>
      <w:r>
        <w:rPr>
          <w:b/>
        </w:rPr>
        <w:t>Acta fundacional, los Estatutos, el Reglamento de régimen interno de la Asociación y la solicitud de la Asociación.</w:t>
      </w:r>
      <w:r>
        <w:t xml:space="preserve"> </w:t>
      </w:r>
    </w:p>
    <w:p w:rsidR="00EE0979" w:rsidRDefault="00B022A0">
      <w:pPr>
        <w:spacing w:after="0" w:line="259" w:lineRule="auto"/>
        <w:ind w:left="14" w:firstLine="0"/>
        <w:jc w:val="left"/>
      </w:pPr>
      <w:r>
        <w:rPr>
          <w:rFonts w:ascii="Times New Roman" w:eastAsia="Times New Roman" w:hAnsi="Times New Roman" w:cs="Times New Roman"/>
          <w:sz w:val="24"/>
        </w:rPr>
        <w:t xml:space="preserve"> </w:t>
      </w:r>
    </w:p>
    <w:p w:rsidR="00EE0979" w:rsidRDefault="00B022A0">
      <w:pPr>
        <w:spacing w:line="249" w:lineRule="auto"/>
        <w:ind w:left="9" w:right="94" w:hanging="10"/>
      </w:pPr>
      <w:r>
        <w:rPr>
          <w:b/>
        </w:rPr>
        <w:t xml:space="preserve">13.-  </w:t>
      </w:r>
      <w:r>
        <w:rPr>
          <w:b/>
          <w:color w:val="2F3E4D"/>
        </w:rPr>
        <w:t>Dación de cuenta de los Decretos de la Alcaldía y de los Concejales dele</w:t>
      </w:r>
      <w:r>
        <w:rPr>
          <w:b/>
          <w:color w:val="2F3E4D"/>
        </w:rPr>
        <w:t xml:space="preserve">gados. </w:t>
      </w:r>
    </w:p>
    <w:p w:rsidR="00EE0979" w:rsidRDefault="00B022A0">
      <w:pPr>
        <w:spacing w:after="0" w:line="259" w:lineRule="auto"/>
        <w:ind w:left="14" w:firstLine="0"/>
        <w:jc w:val="left"/>
      </w:pPr>
      <w:r>
        <w:rPr>
          <w:b/>
          <w:color w:val="2F3E4D"/>
        </w:rPr>
        <w:t xml:space="preserve"> </w:t>
      </w:r>
    </w:p>
    <w:p w:rsidR="00EE0979" w:rsidRDefault="00B022A0">
      <w:pPr>
        <w:spacing w:line="249" w:lineRule="auto"/>
        <w:ind w:left="9" w:right="94" w:hanging="10"/>
      </w:pPr>
      <w:r>
        <w:rPr>
          <w:b/>
          <w:color w:val="2F3E4D"/>
        </w:rPr>
        <w:t>El Secretario entrega un Cd con los Decretos a cada portavoz de los grupos políticos.</w:t>
      </w:r>
      <w:r>
        <w:rPr>
          <w:rFonts w:ascii="Times New Roman" w:eastAsia="Times New Roman" w:hAnsi="Times New Roman" w:cs="Times New Roman"/>
          <w:b/>
        </w:rPr>
        <w:t xml:space="preserve"> </w:t>
      </w:r>
    </w:p>
    <w:p w:rsidR="00EE0979" w:rsidRDefault="00B022A0">
      <w:pPr>
        <w:spacing w:after="0" w:line="259" w:lineRule="auto"/>
        <w:ind w:left="14" w:firstLine="0"/>
        <w:jc w:val="left"/>
      </w:pPr>
      <w:r>
        <w:rPr>
          <w:b/>
          <w:color w:val="2F3E4D"/>
        </w:rPr>
        <w:t xml:space="preserve"> </w:t>
      </w:r>
    </w:p>
    <w:p w:rsidR="00EE0979" w:rsidRDefault="00B022A0">
      <w:pPr>
        <w:spacing w:line="249" w:lineRule="auto"/>
        <w:ind w:left="9" w:right="94" w:hanging="10"/>
      </w:pPr>
      <w:r>
        <w:rPr>
          <w:b/>
          <w:color w:val="2F3E4D"/>
        </w:rPr>
        <w:t xml:space="preserve">14.-   Informe de Intervención de las resoluciones contrarias a los reparos efectuados en virtud de la ley 27/2013, de 27 de diciembre, de racionalización y </w:t>
      </w:r>
      <w:r>
        <w:rPr>
          <w:b/>
          <w:color w:val="2F3E4D"/>
        </w:rPr>
        <w:t>sostenibilidad de Administración local</w:t>
      </w:r>
      <w:r>
        <w:rPr>
          <w:rFonts w:ascii="Times New Roman" w:eastAsia="Times New Roman" w:hAnsi="Times New Roman" w:cs="Times New Roman"/>
          <w:b/>
        </w:rPr>
        <w:t xml:space="preserve"> </w:t>
      </w:r>
    </w:p>
    <w:p w:rsidR="00EE0979" w:rsidRDefault="00B022A0">
      <w:pPr>
        <w:spacing w:after="0" w:line="259" w:lineRule="auto"/>
        <w:ind w:left="14" w:firstLine="0"/>
        <w:jc w:val="left"/>
      </w:pPr>
      <w:r>
        <w:rPr>
          <w:b/>
        </w:rPr>
        <w:t xml:space="preserve"> </w:t>
      </w:r>
    </w:p>
    <w:p w:rsidR="00EE0979" w:rsidRDefault="00B022A0">
      <w:pPr>
        <w:spacing w:line="249" w:lineRule="auto"/>
        <w:ind w:left="9" w:right="94" w:hanging="10"/>
      </w:pPr>
      <w:r>
        <w:rPr>
          <w:b/>
          <w:color w:val="2F3E4D"/>
        </w:rPr>
        <w:t xml:space="preserve">15.-   Ruegos y preguntas </w:t>
      </w:r>
    </w:p>
    <w:p w:rsidR="00EE0979" w:rsidRDefault="00B022A0">
      <w:pPr>
        <w:spacing w:after="0" w:line="259" w:lineRule="auto"/>
        <w:ind w:left="14" w:firstLine="0"/>
        <w:jc w:val="left"/>
      </w:pPr>
      <w:r>
        <w:rPr>
          <w:b/>
          <w:color w:val="2F3E4D"/>
        </w:rPr>
        <w:t xml:space="preserve"> </w:t>
      </w:r>
    </w:p>
    <w:p w:rsidR="00EE0979" w:rsidRDefault="00B022A0">
      <w:pPr>
        <w:spacing w:after="0" w:line="259" w:lineRule="auto"/>
        <w:ind w:left="14" w:firstLine="0"/>
        <w:jc w:val="left"/>
      </w:pPr>
      <w:r>
        <w:rPr>
          <w:b/>
        </w:rP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EE0979" w:rsidRDefault="00B022A0">
      <w:pPr>
        <w:spacing w:after="0" w:line="259" w:lineRule="auto"/>
        <w:ind w:left="14" w:firstLine="0"/>
        <w:jc w:val="left"/>
      </w:pPr>
      <w:r>
        <w:rPr>
          <w:b/>
          <w:color w:val="141823"/>
        </w:rPr>
        <w:t xml:space="preserve"> </w:t>
      </w:r>
    </w:p>
    <w:p w:rsidR="00EE0979" w:rsidRDefault="00B022A0">
      <w:pPr>
        <w:spacing w:after="29"/>
        <w:ind w:right="2957" w:hanging="10"/>
      </w:pPr>
      <w:r>
        <w:rPr>
          <w:b/>
        </w:rPr>
        <w:t xml:space="preserve">INTERVIENE LA SEÑORA ALCALDESA-PRESIDENTA. - </w:t>
      </w:r>
      <w:r>
        <w:t xml:space="preserve"> Pasamos a los Ruegos y Preguntas. </w:t>
      </w:r>
    </w:p>
    <w:p w:rsidR="00EE0979" w:rsidRDefault="00B022A0">
      <w:pPr>
        <w:spacing w:after="27"/>
        <w:ind w:right="100"/>
      </w:pPr>
      <w:r>
        <w:t xml:space="preserve">Ruegos, Doña Alicia, no hay. </w:t>
      </w:r>
    </w:p>
    <w:p w:rsidR="00EE0979" w:rsidRDefault="00B022A0">
      <w:pPr>
        <w:spacing w:after="30"/>
        <w:ind w:right="100"/>
      </w:pPr>
      <w:r>
        <w:t xml:space="preserve">Doña Ángela, no. </w:t>
      </w:r>
    </w:p>
    <w:p w:rsidR="00EE0979" w:rsidRDefault="00B022A0">
      <w:pPr>
        <w:ind w:right="100"/>
      </w:pPr>
      <w:r>
        <w:t xml:space="preserve">Doña Lourdes </w:t>
      </w:r>
    </w:p>
    <w:p w:rsidR="00EE0979" w:rsidRDefault="00B022A0">
      <w:pPr>
        <w:spacing w:after="16" w:line="259" w:lineRule="auto"/>
        <w:ind w:left="14" w:firstLine="0"/>
        <w:jc w:val="left"/>
      </w:pPr>
      <w:r>
        <w:rPr>
          <w:b/>
        </w:rPr>
        <w:t xml:space="preserve"> </w:t>
      </w:r>
    </w:p>
    <w:p w:rsidR="00EE0979" w:rsidRDefault="00B022A0">
      <w:pPr>
        <w:spacing w:after="29"/>
        <w:ind w:right="99" w:hanging="10"/>
      </w:pPr>
      <w:r>
        <w:rPr>
          <w:b/>
        </w:rPr>
        <w:t xml:space="preserve">INTERVEINE DOÑA LOURDES DEL CARMEN MONDÉJAR RONDÓN </w:t>
      </w:r>
    </w:p>
    <w:p w:rsidR="00EE0979" w:rsidRDefault="00B022A0">
      <w:pPr>
        <w:spacing w:after="26"/>
        <w:ind w:right="100"/>
      </w:pPr>
      <w:r>
        <w:t xml:space="preserve">Si, gracias, las personas que hemos ido a alguna Mesa Comunitaria, recibimos periódicamente un comunicado de pues lo que se trate, estamos más informado que una persona cualquiera. </w:t>
      </w:r>
      <w:r>
        <w:t>Hay muchas preguntas que se hacen las vecinas y vecinos de Candelaria, cuándo van a asfaltar mi calle, cuándo va a tocar mi barrio, no, entonces pedimos que el Ayuntamiento exponga en lugares estratégicos de cada pueblo y barrio la información más aproxima</w:t>
      </w:r>
      <w:r>
        <w:t>da por el calendario que tiene para la fase una, la fase dos la empresa que está realizando, es un comentario que se produce, pues raro es el día que no se habla de ello, no, cuándo nos va a tocar, cuándo va a ser, qué parte una cuestión es la relación que</w:t>
      </w:r>
      <w:r>
        <w:t xml:space="preserve"> se hace llegar a las vecinas y vecinos por correo electrónico y otra es cuándo, cuando toca, entonces puede el Ayuntamiento, bueno es una solicitud. – </w:t>
      </w:r>
    </w:p>
    <w:p w:rsidR="00EE0979" w:rsidRDefault="00B022A0">
      <w:pPr>
        <w:spacing w:after="14" w:line="259" w:lineRule="auto"/>
        <w:ind w:left="14" w:firstLine="0"/>
        <w:jc w:val="left"/>
      </w:pPr>
      <w:r>
        <w:t xml:space="preserve"> </w:t>
      </w:r>
    </w:p>
    <w:p w:rsidR="00EE0979" w:rsidRDefault="00B022A0">
      <w:pPr>
        <w:spacing w:after="32"/>
        <w:ind w:right="99" w:hanging="10"/>
      </w:pPr>
      <w:r>
        <w:rPr>
          <w:b/>
        </w:rPr>
        <w:t xml:space="preserve">INTERVIENE LA SEÑORA ALCALDESA-PRESIDENTA. - </w:t>
      </w:r>
    </w:p>
    <w:p w:rsidR="00EE0979" w:rsidRDefault="00B022A0">
      <w:pPr>
        <w:spacing w:after="27"/>
        <w:ind w:right="100"/>
      </w:pPr>
      <w:r>
        <w:t>Si, Doña Lourdes, nosotros, a ver, solemos publicar en las redes, en la página web la información relativa a los pasos que se dan con los diversos trámites administrativos de los proyectos. Es verdad, yo entiendo que se puede referir usted algún cartel o b</w:t>
      </w:r>
      <w:r>
        <w:t>ueno es una sugerencia que también la hemos valorado efectivamente, ahora ya, pues estamos a punto de terminar, de concluir pues la primera fase del plan de asfaltado, ahora acometeremos la segunda es verdad que todavía se está preparando lo que es el expe</w:t>
      </w:r>
      <w:r>
        <w:t>diente para la licitación, pero si es algo que precisamente compartimos el ya no solo porque ya se publicó también en las redes y en la página web del Ayuntamiento la relación que se trajo también a este Pleno precisamente para dota del crédito necesario e</w:t>
      </w:r>
      <w:r>
        <w:t>l pasado año y bueno ahora mismo, pues estamos ultimando el expediente para poder tramitar la licitación y la idea es informando a la población de los pasos que se van dando y claro yo no puedo avanzar ahora cuándo, porque va a depender de los tiempos de l</w:t>
      </w:r>
      <w:r>
        <w:t>a licitación, de la adjudicación, pero vamos, que el proyecto está y la planificación, también, lo único intentaremos informar puntualmente de las fechas que se van produciendo de las adjudicaciones de los contratos y de en si, del comienzo de los trabajos</w:t>
      </w:r>
      <w:r>
        <w:t xml:space="preserve"> en cada una de las zonas. </w:t>
      </w:r>
    </w:p>
    <w:p w:rsidR="00EE0979" w:rsidRDefault="00B022A0">
      <w:pPr>
        <w:spacing w:after="25"/>
        <w:ind w:right="100"/>
      </w:pPr>
      <w:r>
        <w:t>Compartimos esa sugerencia, efectivamente, ya no solo pues a través de los canales telemáticos sino también físicamente en otras obras, en otras instalaciones hemos puesto también cartelería y en los asfaltos nuestra intención e</w:t>
      </w:r>
      <w:r>
        <w:t>s poder retomarlo en esta segunda fase y también se está conformando ahora, se está recogiendo pues también en las Mesas Comunitarias y en la información que bueno, que recibimos también de los vecinos y las necesidades que nosotros observamos estamos ahor</w:t>
      </w:r>
      <w:r>
        <w:t>a mismo también pues redactando lo que va a ser el tercer plan de asfaltado o sea, recogiendo la relación de las calles que se nos han quedado del primero y el segundo y también hemos ido priorizando, digamos según también las obras de mejora de canalizaci</w:t>
      </w:r>
      <w:r>
        <w:t>ones, de alumbrado público que son siempre previas a la repavimentación, entonces bueno hemos ido acompasando digamos la ejecución de los planes de asfaltado en función también de diversas obras que hemos ido acometiendo en varias de las calles que se iban</w:t>
      </w:r>
      <w:r>
        <w:t xml:space="preserve"> a asfaltar y eso también bueno, eso ha hecho que tomemos decisiones en qué plan incluir según qué calle, en función también de esas obras previas.  </w:t>
      </w:r>
    </w:p>
    <w:p w:rsidR="00EE0979" w:rsidRDefault="00B022A0">
      <w:pPr>
        <w:spacing w:after="29"/>
        <w:ind w:right="100"/>
      </w:pPr>
      <w:r>
        <w:t xml:space="preserve">Gracias </w:t>
      </w:r>
    </w:p>
    <w:p w:rsidR="00EE0979" w:rsidRDefault="00B022A0">
      <w:pPr>
        <w:spacing w:after="14" w:line="259" w:lineRule="auto"/>
        <w:ind w:left="14" w:firstLine="0"/>
        <w:jc w:val="left"/>
      </w:pPr>
      <w:r>
        <w:t xml:space="preserve"> </w:t>
      </w:r>
    </w:p>
    <w:p w:rsidR="00EE0979" w:rsidRDefault="00B022A0">
      <w:pPr>
        <w:spacing w:after="29"/>
        <w:ind w:right="99" w:hanging="10"/>
      </w:pPr>
      <w:r>
        <w:rPr>
          <w:b/>
        </w:rPr>
        <w:t xml:space="preserve">INTERVEINE DOÑA LOURDES DEL CARMEN MONDÉJAR RONDÓN </w:t>
      </w:r>
    </w:p>
    <w:p w:rsidR="00EE0979" w:rsidRDefault="00B022A0">
      <w:pPr>
        <w:spacing w:after="26"/>
        <w:ind w:right="100"/>
      </w:pPr>
      <w:r>
        <w:t>Se me ocurre también su megafonía porque en</w:t>
      </w:r>
      <w:r>
        <w:t xml:space="preserve"> ocasiones se nos avisa, está abierto el plazo para pagar la contribución y ahí nos enteramos. – </w:t>
      </w:r>
    </w:p>
    <w:p w:rsidR="00EE0979" w:rsidRDefault="00B022A0">
      <w:pPr>
        <w:spacing w:after="16" w:line="259" w:lineRule="auto"/>
        <w:ind w:left="14" w:firstLine="0"/>
        <w:jc w:val="left"/>
      </w:pPr>
      <w:r>
        <w:t xml:space="preserve"> </w:t>
      </w:r>
    </w:p>
    <w:p w:rsidR="00EE0979" w:rsidRDefault="00B022A0">
      <w:pPr>
        <w:spacing w:after="6"/>
        <w:ind w:right="99" w:hanging="10"/>
      </w:pPr>
      <w:r>
        <w:rPr>
          <w:b/>
        </w:rPr>
        <w:t xml:space="preserve">INTERVIENE LA SEÑORA ALCALDESA-PRESIDENTA. - </w:t>
      </w:r>
    </w:p>
    <w:p w:rsidR="00EE0979" w:rsidRDefault="00B022A0">
      <w:pPr>
        <w:spacing w:after="25"/>
        <w:ind w:right="100"/>
      </w:pPr>
      <w:r>
        <w:t>Ya, bueno, ahí si le digo que el tema de la megafonía está bastante restringido con la ordenanza de ruidos y b</w:t>
      </w:r>
      <w:r>
        <w:t>uenos nosotros si es verdad que priorizamos otros canales de comunicación que creo que son bastante efectivos, que son nuestra página web, nuestras redes y también en su caso pues la prensa escrita, que también pues solemos publicar anuncios, pero bueno la</w:t>
      </w:r>
      <w:r>
        <w:t xml:space="preserve"> megafonía si es verdad que está bastante restringida y salvo alguna cuestión de emergencia o de alguna cuestión, en este sentido es cuando acudimos a ella pero para plazos digamos periódicos o para, ahí si es verdad que hay otros canales que preferimos ut</w:t>
      </w:r>
      <w:r>
        <w:t xml:space="preserve">ilizar, efectivamente radio municipal, efectivamente, ahí también siempre se da puntual información acerca de lo que estamos comentando también. </w:t>
      </w:r>
    </w:p>
    <w:p w:rsidR="00EE0979" w:rsidRDefault="00B022A0">
      <w:pPr>
        <w:spacing w:after="27"/>
        <w:ind w:right="100"/>
      </w:pPr>
      <w:r>
        <w:t xml:space="preserve">Gracias, algún ruego, David. - </w:t>
      </w:r>
    </w:p>
    <w:p w:rsidR="00EE0979" w:rsidRDefault="00B022A0">
      <w:pPr>
        <w:spacing w:after="14" w:line="259" w:lineRule="auto"/>
        <w:ind w:left="14" w:firstLine="0"/>
        <w:jc w:val="left"/>
      </w:pPr>
      <w:r>
        <w:t xml:space="preserve"> </w:t>
      </w:r>
    </w:p>
    <w:p w:rsidR="00EE0979" w:rsidRDefault="00B022A0">
      <w:pPr>
        <w:spacing w:after="32"/>
        <w:ind w:right="99" w:hanging="10"/>
      </w:pPr>
      <w:r>
        <w:rPr>
          <w:b/>
        </w:rPr>
        <w:t xml:space="preserve">INTERVIENE DON DAVID CREGO CHAVES. - </w:t>
      </w:r>
    </w:p>
    <w:p w:rsidR="00EE0979" w:rsidRDefault="00B022A0">
      <w:pPr>
        <w:spacing w:after="27"/>
        <w:ind w:right="100"/>
      </w:pPr>
      <w:r>
        <w:t xml:space="preserve">Buenos día, gracias señora Alcaldesa. </w:t>
      </w:r>
    </w:p>
    <w:p w:rsidR="00EE0979" w:rsidRDefault="00B022A0">
      <w:pPr>
        <w:spacing w:after="26"/>
        <w:ind w:right="100"/>
      </w:pPr>
      <w:r>
        <w:t>En la Avenida Marítima, en la altura de la plaza del CIT, hemos visto que hay un socavón en la carretera, sabemos que en el segundo plan de asfaltado está parte de la Avenida Marítima incluida pero no sabemos si esa parte está incluida, entonces algunos v</w:t>
      </w:r>
      <w:r>
        <w:t xml:space="preserve">ecinos, yo mismo he pasado en el coche también y es un hueco considerable que pues deteriora bastante los vehículos, entonces si pudieran revisarlo por favor, para poder repararlo. </w:t>
      </w:r>
    </w:p>
    <w:p w:rsidR="00EE0979" w:rsidRDefault="00B022A0">
      <w:pPr>
        <w:spacing w:after="27"/>
        <w:ind w:right="100"/>
      </w:pPr>
      <w:r>
        <w:t xml:space="preserve">Luego te enseño fotos, Jorge si quieres. - </w:t>
      </w:r>
    </w:p>
    <w:p w:rsidR="00EE0979" w:rsidRDefault="00B022A0">
      <w:pPr>
        <w:spacing w:after="14" w:line="259" w:lineRule="auto"/>
        <w:ind w:left="14" w:firstLine="0"/>
        <w:jc w:val="left"/>
      </w:pPr>
      <w:r>
        <w:t xml:space="preserve"> </w:t>
      </w:r>
    </w:p>
    <w:p w:rsidR="00EE0979" w:rsidRDefault="00B022A0">
      <w:pPr>
        <w:spacing w:after="32"/>
        <w:ind w:right="99" w:hanging="10"/>
      </w:pPr>
      <w:r>
        <w:rPr>
          <w:b/>
        </w:rPr>
        <w:t xml:space="preserve">INTERVIENE LA SEÑORA ALCALDESA-PRESIDENTA. - </w:t>
      </w:r>
    </w:p>
    <w:p w:rsidR="00EE0979" w:rsidRDefault="00B022A0">
      <w:pPr>
        <w:spacing w:after="27"/>
        <w:ind w:right="100"/>
      </w:pPr>
      <w:r>
        <w:t xml:space="preserve">Si, don David, siguiente ruego, sí. - </w:t>
      </w:r>
    </w:p>
    <w:p w:rsidR="00EE0979" w:rsidRDefault="00B022A0">
      <w:pPr>
        <w:spacing w:after="14" w:line="259" w:lineRule="auto"/>
        <w:ind w:left="14" w:firstLine="0"/>
        <w:jc w:val="left"/>
      </w:pPr>
      <w:r>
        <w:t xml:space="preserve"> </w:t>
      </w:r>
    </w:p>
    <w:p w:rsidR="00EE0979" w:rsidRDefault="00B022A0">
      <w:pPr>
        <w:spacing w:after="29"/>
        <w:ind w:right="99" w:hanging="10"/>
      </w:pPr>
      <w:r>
        <w:rPr>
          <w:b/>
        </w:rPr>
        <w:t xml:space="preserve">INTERVIENE DON DAVID CREGO CHAVES. - </w:t>
      </w:r>
    </w:p>
    <w:p w:rsidR="00EE0979" w:rsidRDefault="00B022A0">
      <w:pPr>
        <w:spacing w:after="26"/>
        <w:ind w:right="100"/>
      </w:pPr>
      <w:r>
        <w:t>Luego también, por esa misma zona, frente a las instalaciones de pádel del hotel Punta del Rey hay una pequeña acera que no es acce</w:t>
      </w:r>
      <w:r>
        <w:t>sible, no tiene el rebaje hecho a la altura de la carretera, es justo la acera finita que separa la parte donde se paran las guaguas que acceden al hotel, pues si está incluido en el plan de asfaltado esa parte también para que tengan en cuenta esa parte q</w:t>
      </w:r>
      <w:r>
        <w:t xml:space="preserve">ue pueda ser accesible también. - </w:t>
      </w:r>
    </w:p>
    <w:p w:rsidR="00EE0979" w:rsidRDefault="00B022A0">
      <w:pPr>
        <w:spacing w:after="0" w:line="259" w:lineRule="auto"/>
        <w:ind w:left="14" w:firstLine="0"/>
        <w:jc w:val="left"/>
      </w:pPr>
      <w:r>
        <w:t xml:space="preserve"> </w:t>
      </w:r>
    </w:p>
    <w:p w:rsidR="00EE0979" w:rsidRDefault="00B022A0">
      <w:pPr>
        <w:spacing w:after="29"/>
        <w:ind w:right="99" w:hanging="10"/>
      </w:pPr>
      <w:r>
        <w:rPr>
          <w:b/>
        </w:rPr>
        <w:t xml:space="preserve">INTERVIENE LA SEÑORA ALCALDESA-PRESIDENTA. - </w:t>
      </w:r>
    </w:p>
    <w:p w:rsidR="00EE0979" w:rsidRDefault="00B022A0">
      <w:pPr>
        <w:spacing w:after="29"/>
        <w:ind w:right="100"/>
      </w:pPr>
      <w:r>
        <w:t xml:space="preserve">Si, bien, adelante. - </w:t>
      </w:r>
    </w:p>
    <w:p w:rsidR="00EE0979" w:rsidRDefault="00B022A0">
      <w:pPr>
        <w:spacing w:after="14" w:line="259" w:lineRule="auto"/>
        <w:ind w:left="14" w:firstLine="0"/>
        <w:jc w:val="left"/>
      </w:pPr>
      <w:r>
        <w:t xml:space="preserve"> </w:t>
      </w:r>
    </w:p>
    <w:p w:rsidR="00EE0979" w:rsidRDefault="00B022A0">
      <w:pPr>
        <w:spacing w:after="29"/>
        <w:ind w:right="99" w:hanging="10"/>
      </w:pPr>
      <w:r>
        <w:rPr>
          <w:b/>
        </w:rPr>
        <w:t xml:space="preserve">INTERVIENE DON DAVID GREGO CHAVES. - </w:t>
      </w:r>
    </w:p>
    <w:p w:rsidR="00EE0979" w:rsidRDefault="00B022A0">
      <w:pPr>
        <w:spacing w:after="25"/>
        <w:ind w:right="100"/>
      </w:pPr>
      <w:r>
        <w:t>Y por último, en la Avenida Marítima también, en la zona de la Galera, la zona de la Plaza del Alsaca, la acer</w:t>
      </w:r>
      <w:r>
        <w:t>a está bastante deteriorada por el crecimiento de las raíces de los árboles y ha habido algún tropiezo de algún vecino que se nos ha quejado y a ver si se podía reclamar eso y sobre todo en la subida de la Plaza del Alsaca, las escaleras están ahí y tienen</w:t>
      </w:r>
      <w:r>
        <w:t xml:space="preserve"> un hueco y hay un hierro, una placa que está sobresaliendo que es bastante peligrosa y no hay barandilla para poder agarrarse, si pueden eso también revisarlo, por favor. - </w:t>
      </w:r>
    </w:p>
    <w:p w:rsidR="00EE0979" w:rsidRDefault="00B022A0">
      <w:pPr>
        <w:spacing w:after="16" w:line="259" w:lineRule="auto"/>
        <w:ind w:left="14" w:firstLine="0"/>
        <w:jc w:val="left"/>
      </w:pPr>
      <w:r>
        <w:t xml:space="preserve"> </w:t>
      </w:r>
    </w:p>
    <w:p w:rsidR="00EE0979" w:rsidRDefault="00B022A0">
      <w:pPr>
        <w:spacing w:after="32"/>
        <w:ind w:right="99" w:hanging="10"/>
      </w:pPr>
      <w:r>
        <w:rPr>
          <w:b/>
        </w:rPr>
        <w:t xml:space="preserve">INTERVIENE LA SEÑORA ALCALDESA-PRESIDENTA. - </w:t>
      </w:r>
    </w:p>
    <w:p w:rsidR="00EE0979" w:rsidRDefault="00B022A0">
      <w:pPr>
        <w:spacing w:after="27"/>
        <w:ind w:right="100"/>
      </w:pPr>
      <w:r>
        <w:t xml:space="preserve">Miramos lo que es. – </w:t>
      </w:r>
    </w:p>
    <w:p w:rsidR="00EE0979" w:rsidRDefault="00B022A0">
      <w:pPr>
        <w:spacing w:after="14" w:line="259" w:lineRule="auto"/>
        <w:ind w:left="14" w:firstLine="0"/>
        <w:jc w:val="left"/>
      </w:pPr>
      <w:r>
        <w:t xml:space="preserve"> </w:t>
      </w:r>
    </w:p>
    <w:p w:rsidR="00EE0979" w:rsidRDefault="00B022A0">
      <w:pPr>
        <w:spacing w:after="32"/>
        <w:ind w:right="99" w:hanging="10"/>
      </w:pPr>
      <w:r>
        <w:rPr>
          <w:b/>
        </w:rPr>
        <w:t>INTERVIEN</w:t>
      </w:r>
      <w:r>
        <w:rPr>
          <w:b/>
        </w:rPr>
        <w:t xml:space="preserve">E DON DAVID GREGO CHAVES. - </w:t>
      </w:r>
    </w:p>
    <w:p w:rsidR="00EE0979" w:rsidRDefault="00B022A0">
      <w:pPr>
        <w:spacing w:after="32"/>
        <w:ind w:right="100"/>
      </w:pPr>
      <w:r>
        <w:t xml:space="preserve">Si, si, yo te enseño fotos para que veas lo que es exactamente. </w:t>
      </w:r>
    </w:p>
    <w:p w:rsidR="00EE0979" w:rsidRDefault="00B022A0">
      <w:pPr>
        <w:spacing w:after="27"/>
        <w:ind w:right="100"/>
      </w:pPr>
      <w:r>
        <w:t xml:space="preserve">Gracias. – </w:t>
      </w:r>
    </w:p>
    <w:p w:rsidR="00EE0979" w:rsidRDefault="00B022A0">
      <w:pPr>
        <w:spacing w:after="14" w:line="259" w:lineRule="auto"/>
        <w:ind w:left="14" w:firstLine="0"/>
        <w:jc w:val="left"/>
      </w:pPr>
      <w:r>
        <w:t xml:space="preserve"> </w:t>
      </w:r>
    </w:p>
    <w:p w:rsidR="00EE0979" w:rsidRDefault="00B022A0">
      <w:pPr>
        <w:spacing w:after="29"/>
        <w:ind w:right="99" w:hanging="10"/>
      </w:pPr>
      <w:r>
        <w:rPr>
          <w:b/>
        </w:rPr>
        <w:t xml:space="preserve">INTERVIENE LA SEÑORA ALCALDESA-PRESIDENTA. - </w:t>
      </w:r>
    </w:p>
    <w:p w:rsidR="00EE0979" w:rsidRDefault="00B022A0">
      <w:pPr>
        <w:spacing w:after="29"/>
        <w:ind w:right="100"/>
      </w:pPr>
      <w:r>
        <w:t xml:space="preserve">Muy bien, muchas gracias. </w:t>
      </w:r>
    </w:p>
    <w:p w:rsidR="00EE0979" w:rsidRDefault="00B022A0">
      <w:pPr>
        <w:spacing w:after="27"/>
        <w:ind w:right="100"/>
      </w:pPr>
      <w:r>
        <w:t xml:space="preserve">Preguntas. Doña Alicia, no. </w:t>
      </w:r>
    </w:p>
    <w:p w:rsidR="00EE0979" w:rsidRDefault="00B022A0">
      <w:pPr>
        <w:spacing w:after="30"/>
        <w:ind w:right="100"/>
      </w:pPr>
      <w:r>
        <w:t xml:space="preserve">Doña Ángela, preguntas, no. </w:t>
      </w:r>
    </w:p>
    <w:p w:rsidR="00EE0979" w:rsidRDefault="00B022A0">
      <w:pPr>
        <w:spacing w:after="27"/>
        <w:ind w:right="100"/>
      </w:pPr>
      <w:r>
        <w:t xml:space="preserve">Doña Lourdes. – </w:t>
      </w:r>
    </w:p>
    <w:p w:rsidR="00EE0979" w:rsidRDefault="00B022A0">
      <w:pPr>
        <w:spacing w:after="16" w:line="259" w:lineRule="auto"/>
        <w:ind w:left="14" w:firstLine="0"/>
        <w:jc w:val="left"/>
      </w:pPr>
      <w:r>
        <w:t xml:space="preserve"> </w:t>
      </w:r>
    </w:p>
    <w:p w:rsidR="00EE0979" w:rsidRDefault="00B022A0">
      <w:pPr>
        <w:spacing w:after="29"/>
        <w:ind w:right="99" w:hanging="10"/>
      </w:pPr>
      <w:r>
        <w:rPr>
          <w:b/>
        </w:rPr>
        <w:t xml:space="preserve">INTERVEINE DOÑA LOURDES DEL CARMEN MONDÉJAR RONDÓN. - </w:t>
      </w:r>
    </w:p>
    <w:p w:rsidR="00EE0979" w:rsidRDefault="00B022A0">
      <w:pPr>
        <w:spacing w:after="27"/>
        <w:ind w:right="100"/>
      </w:pPr>
      <w:r>
        <w:t xml:space="preserve">Si, gracias. </w:t>
      </w:r>
    </w:p>
    <w:p w:rsidR="00EE0979" w:rsidRDefault="00B022A0">
      <w:pPr>
        <w:spacing w:after="26"/>
        <w:ind w:right="100"/>
      </w:pPr>
      <w:r>
        <w:t>Señor Concejal de Urbanismo, hemos hecho una pregunta ya desde diciembre pasado, primero era por la situación en la que se encontraba en ese momento el entorno de la obra de la Calle Ch</w:t>
      </w:r>
      <w:r>
        <w:t xml:space="preserve">arco del Musgo, una pregunta escrita, después tuvimos entrevista con usted. También le han preguntado al Ayuntamiento los vecinos de la comunidad de los aledaños de esta obra y por último hay un precinto policial. </w:t>
      </w:r>
    </w:p>
    <w:p w:rsidR="00EE0979" w:rsidRDefault="00B022A0">
      <w:pPr>
        <w:spacing w:after="27"/>
        <w:ind w:right="100"/>
      </w:pPr>
      <w:r>
        <w:t xml:space="preserve">Queremos saber cómo le preguntamos hace dos meses a qué se debe esta situación.  </w:t>
      </w:r>
    </w:p>
    <w:p w:rsidR="00EE0979" w:rsidRDefault="00B022A0">
      <w:pPr>
        <w:spacing w:after="16" w:line="259" w:lineRule="auto"/>
        <w:ind w:left="14" w:firstLine="0"/>
        <w:jc w:val="left"/>
      </w:pPr>
      <w:r>
        <w:t xml:space="preserve"> </w:t>
      </w:r>
    </w:p>
    <w:p w:rsidR="00EE0979" w:rsidRDefault="00B022A0">
      <w:pPr>
        <w:spacing w:after="29"/>
        <w:ind w:right="99" w:hanging="10"/>
      </w:pPr>
      <w:r>
        <w:rPr>
          <w:b/>
        </w:rPr>
        <w:t xml:space="preserve">INTERVIENE LA SEÑORA ALCALDESA-PRESIDENTA. - </w:t>
      </w:r>
    </w:p>
    <w:p w:rsidR="00EE0979" w:rsidRDefault="00B022A0">
      <w:pPr>
        <w:ind w:right="100"/>
      </w:pPr>
      <w:r>
        <w:t xml:space="preserve">Doña Lourdes, yo creo que está contestada, bueno Rei, está contestada desde ese momento, pero bueno, Don Reinaldo, bueno. - </w:t>
      </w:r>
    </w:p>
    <w:p w:rsidR="00EE0979" w:rsidRDefault="00B022A0">
      <w:pPr>
        <w:spacing w:after="15" w:line="259" w:lineRule="auto"/>
        <w:ind w:left="14" w:firstLine="0"/>
        <w:jc w:val="left"/>
      </w:pPr>
      <w:r>
        <w:t xml:space="preserve"> </w:t>
      </w:r>
    </w:p>
    <w:p w:rsidR="00EE0979" w:rsidRDefault="00B022A0">
      <w:pPr>
        <w:spacing w:after="32"/>
        <w:ind w:right="99" w:hanging="10"/>
      </w:pPr>
      <w:r>
        <w:rPr>
          <w:b/>
        </w:rPr>
        <w:t xml:space="preserve">INTERVIENE DON REINALDO JOSÉ TRIVIÑO BLANCO. – </w:t>
      </w:r>
    </w:p>
    <w:p w:rsidR="00EE0979" w:rsidRDefault="00B022A0">
      <w:pPr>
        <w:spacing w:line="311" w:lineRule="auto"/>
        <w:ind w:right="100"/>
      </w:pPr>
      <w:r>
        <w:t xml:space="preserve">Bueno, no hemos contestado por escrito a esa pregunta porque está pendiente de resolución, así que la obra está precintada y hasta la fecha ahora mismo, pues está parada la obra… </w:t>
      </w:r>
    </w:p>
    <w:p w:rsidR="00EE0979" w:rsidRDefault="00B022A0">
      <w:pPr>
        <w:spacing w:after="16" w:line="259" w:lineRule="auto"/>
        <w:ind w:left="14" w:firstLine="0"/>
        <w:jc w:val="left"/>
      </w:pPr>
      <w:r>
        <w:t xml:space="preserve"> </w:t>
      </w:r>
    </w:p>
    <w:p w:rsidR="00EE0979" w:rsidRDefault="00B022A0">
      <w:pPr>
        <w:ind w:right="100"/>
      </w:pPr>
      <w:r>
        <w:t>(habla doña Lourdes del C</w:t>
      </w:r>
      <w:r>
        <w:t xml:space="preserve">armen Mondéjar Rondón, pero no se entiende lo que dice) </w:t>
      </w:r>
    </w:p>
    <w:p w:rsidR="00EE0979" w:rsidRDefault="00B022A0">
      <w:pPr>
        <w:spacing w:after="16" w:line="259" w:lineRule="auto"/>
        <w:ind w:left="14" w:firstLine="0"/>
        <w:jc w:val="left"/>
      </w:pPr>
      <w:r>
        <w:t xml:space="preserve"> </w:t>
      </w:r>
    </w:p>
    <w:p w:rsidR="00EE0979" w:rsidRDefault="00B022A0">
      <w:pPr>
        <w:spacing w:after="28"/>
        <w:ind w:right="100"/>
      </w:pPr>
      <w:r>
        <w:t xml:space="preserve">…parada, de echo la obra está precintada, exacto, no le hemos contestado por escrito a su pregunta porque el expediente está pendiente de resolución. – </w:t>
      </w:r>
    </w:p>
    <w:p w:rsidR="00EE0979" w:rsidRDefault="00B022A0">
      <w:pPr>
        <w:spacing w:after="15" w:line="259" w:lineRule="auto"/>
        <w:ind w:left="14" w:firstLine="0"/>
        <w:jc w:val="left"/>
      </w:pPr>
      <w:r>
        <w:t xml:space="preserve"> </w:t>
      </w:r>
    </w:p>
    <w:p w:rsidR="00EE0979" w:rsidRDefault="00B022A0">
      <w:pPr>
        <w:spacing w:after="30"/>
        <w:ind w:right="99" w:hanging="10"/>
      </w:pPr>
      <w:r>
        <w:rPr>
          <w:b/>
        </w:rPr>
        <w:t>INTERVIENE LA SEÑORA ALCALDESA-PRESIDENTA.</w:t>
      </w:r>
      <w:r>
        <w:rPr>
          <w:b/>
        </w:rPr>
        <w:t xml:space="preserve"> – </w:t>
      </w:r>
    </w:p>
    <w:p w:rsidR="00EE0979" w:rsidRDefault="00B022A0">
      <w:pPr>
        <w:spacing w:after="26"/>
        <w:ind w:right="100"/>
      </w:pPr>
      <w:r>
        <w:t xml:space="preserve">Sí, existen los decretos en la Dación de Cuentas, me lo apuntaba el Secretario también, en la Dación de Cuentas de los Decretos está el Decreto de paralización de la obra y ahí está el informe tanto técnico, como el jurídico al respecto. </w:t>
      </w:r>
    </w:p>
    <w:p w:rsidR="00EE0979" w:rsidRDefault="00B022A0">
      <w:pPr>
        <w:spacing w:after="15" w:line="259" w:lineRule="auto"/>
        <w:ind w:left="14" w:firstLine="0"/>
        <w:jc w:val="left"/>
      </w:pPr>
      <w:r>
        <w:t xml:space="preserve"> </w:t>
      </w:r>
    </w:p>
    <w:p w:rsidR="00EE0979" w:rsidRDefault="00B022A0">
      <w:pPr>
        <w:spacing w:after="30"/>
        <w:ind w:right="99" w:hanging="10"/>
      </w:pPr>
      <w:r>
        <w:rPr>
          <w:b/>
        </w:rPr>
        <w:t xml:space="preserve">INTERVIENE </w:t>
      </w:r>
      <w:r>
        <w:rPr>
          <w:b/>
        </w:rPr>
        <w:t xml:space="preserve">EL SEÑOR SECRETARIO GENERAL. – </w:t>
      </w:r>
    </w:p>
    <w:p w:rsidR="00EE0979" w:rsidRDefault="00B022A0">
      <w:pPr>
        <w:spacing w:after="25"/>
        <w:ind w:right="100"/>
      </w:pPr>
      <w:r>
        <w:t>Creo recordar que el 31 de enero de 2023 por el que en virtud de una denuncia que se presentó por un vecino, se procedió en virtud de ese Decreto, teniendo en cuenta que la obra que se hizo de ese edificio se demolió parte d</w:t>
      </w:r>
      <w:r>
        <w:t>el fondo de saco de la Calle Charco del Musgo se procedió al precinto de la obra a consecuencia de esa demolición, o sea el promotor que hizo el edificio demolió parte del fondo de saco de la calle sin autorización del Ayuntamiento y en virtud de eso, el A</w:t>
      </w:r>
      <w:r>
        <w:t>yuntamiento procedió a la suspensión de la obra y al precinto debido a que el Ayuntamiento tiene la obligación de proteger su dominio público en forma de vía municipal que corresponde a su uso a todos los vecinos. Entonces ese fue el Decreto que se dictó y</w:t>
      </w:r>
      <w:r>
        <w:t xml:space="preserve"> a partir de ese Decreto también se han generado varios expedientes en cuanto a la revisión de oficio que está en trámite de la licencia de obra que se concedió en su día sobre ese edificio y la recuperación posesoria del bien de dominio público municipal </w:t>
      </w:r>
      <w:r>
        <w:t>demolido por el promotor, por tanto actualmente se están tramitando dos expedientes, uno de revisión de oficio de la licencia de obra y otro de recuperación posesoria de la demolición ilegal, sin título por parte de parte de una calle por parte de un promo</w:t>
      </w:r>
      <w:r>
        <w:t xml:space="preserve">tor. </w:t>
      </w:r>
    </w:p>
    <w:p w:rsidR="00EE0979" w:rsidRDefault="00B022A0">
      <w:pPr>
        <w:spacing w:after="27"/>
        <w:ind w:right="100"/>
      </w:pPr>
      <w:r>
        <w:t xml:space="preserve">Esos son los expedientes que se están tramitando derivados de una denuncia presentada, creo recordar, el 30 de noviembre de 2022 y en virtud del Decreto de 31 de enero de 2023.  </w:t>
      </w:r>
    </w:p>
    <w:p w:rsidR="00EE0979" w:rsidRDefault="00B022A0">
      <w:pPr>
        <w:spacing w:after="16" w:line="259" w:lineRule="auto"/>
        <w:ind w:left="14" w:firstLine="0"/>
        <w:jc w:val="left"/>
      </w:pPr>
      <w:r>
        <w:t xml:space="preserve"> </w:t>
      </w:r>
    </w:p>
    <w:p w:rsidR="00EE0979" w:rsidRDefault="00B022A0">
      <w:pPr>
        <w:spacing w:after="27"/>
        <w:ind w:right="100"/>
      </w:pPr>
      <w:r>
        <w:t>(habla Doña. Lourdes del Carmen Mondéjar Rondón, pero no se escucha l</w:t>
      </w:r>
      <w:r>
        <w:t xml:space="preserve">o que dice) </w:t>
      </w:r>
    </w:p>
    <w:p w:rsidR="00EE0979" w:rsidRDefault="00B022A0">
      <w:pPr>
        <w:spacing w:after="15" w:line="259" w:lineRule="auto"/>
        <w:ind w:left="14" w:firstLine="0"/>
        <w:jc w:val="left"/>
      </w:pPr>
      <w:r>
        <w:t xml:space="preserve"> </w:t>
      </w:r>
    </w:p>
    <w:p w:rsidR="00EE0979" w:rsidRDefault="00B022A0">
      <w:pPr>
        <w:spacing w:after="33"/>
        <w:ind w:right="99" w:hanging="10"/>
      </w:pPr>
      <w:r>
        <w:rPr>
          <w:b/>
        </w:rPr>
        <w:t xml:space="preserve">INTERVIENE LA SEÑORA ALCALDESA-PRESIDENTA. – </w:t>
      </w:r>
    </w:p>
    <w:p w:rsidR="00EE0979" w:rsidRDefault="00B022A0">
      <w:pPr>
        <w:ind w:right="100"/>
      </w:pPr>
      <w:r>
        <w:t xml:space="preserve">Si, el Secretario ahora ha detallado las fechas, pero vamos que se había contestado anteriormente… si bueno podemos repasar si quiere los Plenos en las actas quedará constancia de cuando se ha respondido y ahora se ha vuelto a responder esa pregunta. </w:t>
      </w:r>
    </w:p>
    <w:p w:rsidR="00EE0979" w:rsidRDefault="00B022A0">
      <w:pPr>
        <w:spacing w:after="29"/>
        <w:ind w:right="100"/>
      </w:pPr>
      <w:r>
        <w:t>Much</w:t>
      </w:r>
      <w:r>
        <w:t xml:space="preserve">as gracias. </w:t>
      </w:r>
    </w:p>
    <w:p w:rsidR="00EE0979" w:rsidRDefault="00B022A0">
      <w:pPr>
        <w:spacing w:after="27"/>
        <w:ind w:right="100"/>
      </w:pPr>
      <w:r>
        <w:t xml:space="preserve">Preguntas Don David. - </w:t>
      </w:r>
    </w:p>
    <w:p w:rsidR="00EE0979" w:rsidRDefault="00B022A0">
      <w:pPr>
        <w:spacing w:after="14" w:line="259" w:lineRule="auto"/>
        <w:ind w:left="14" w:firstLine="0"/>
        <w:jc w:val="left"/>
      </w:pPr>
      <w:r>
        <w:t xml:space="preserve"> </w:t>
      </w:r>
    </w:p>
    <w:p w:rsidR="00EE0979" w:rsidRDefault="00B022A0">
      <w:pPr>
        <w:spacing w:after="29"/>
        <w:ind w:right="99" w:hanging="10"/>
      </w:pPr>
      <w:r>
        <w:rPr>
          <w:b/>
        </w:rPr>
        <w:t xml:space="preserve">INTERVIENE DON DAVID CREGO CHAVES. - </w:t>
      </w:r>
    </w:p>
    <w:p w:rsidR="00EE0979" w:rsidRDefault="00B022A0">
      <w:pPr>
        <w:spacing w:after="26"/>
        <w:ind w:right="100"/>
      </w:pPr>
      <w:r>
        <w:t xml:space="preserve">Si, en una de las modificaciones de créditos, si mal no recuerdo, se incluida una partida para compra de mobiliario urbano, entre ellos papeleras, y hemos constatado falta de las </w:t>
      </w:r>
      <w:r>
        <w:t xml:space="preserve">mismas en algunas zonas, como por ejemplo en la zona de la Calle del Doctor Llarena, debajo de la plaza de Santa Ana y la zona de Villa Horizonte, por ejemplo, entonces saben cuándo tienen pensado reponer estas papeleras y sustituir las deterioradas.  </w:t>
      </w:r>
    </w:p>
    <w:p w:rsidR="00EE0979" w:rsidRDefault="00B022A0">
      <w:pPr>
        <w:spacing w:after="0" w:line="259" w:lineRule="auto"/>
        <w:ind w:left="14" w:firstLine="0"/>
        <w:jc w:val="left"/>
      </w:pPr>
      <w:r>
        <w:t xml:space="preserve"> </w:t>
      </w:r>
    </w:p>
    <w:p w:rsidR="00EE0979" w:rsidRDefault="00B022A0">
      <w:pPr>
        <w:spacing w:after="68"/>
        <w:ind w:right="99" w:hanging="10"/>
      </w:pPr>
      <w:r>
        <w:rPr>
          <w:b/>
        </w:rPr>
        <w:t>I</w:t>
      </w:r>
      <w:r>
        <w:rPr>
          <w:b/>
        </w:rPr>
        <w:t xml:space="preserve">NTERVIENE LA SEÑORA ALCALDESA-PRESIDENTA. – </w:t>
      </w:r>
    </w:p>
    <w:p w:rsidR="00EE0979" w:rsidRDefault="00B022A0">
      <w:pPr>
        <w:spacing w:after="29"/>
        <w:ind w:right="100"/>
      </w:pPr>
      <w:r>
        <w:t xml:space="preserve">Jorge puedes preguntar porque creo que si… </w:t>
      </w:r>
    </w:p>
    <w:p w:rsidR="00EE0979" w:rsidRDefault="00B022A0">
      <w:pPr>
        <w:spacing w:after="14" w:line="259" w:lineRule="auto"/>
        <w:ind w:left="14" w:firstLine="0"/>
        <w:jc w:val="left"/>
      </w:pPr>
      <w:r>
        <w:t xml:space="preserve"> </w:t>
      </w:r>
    </w:p>
    <w:p w:rsidR="00EE0979" w:rsidRDefault="00B022A0">
      <w:pPr>
        <w:spacing w:after="6"/>
        <w:ind w:right="99" w:hanging="10"/>
      </w:pPr>
      <w:r>
        <w:rPr>
          <w:b/>
        </w:rPr>
        <w:t xml:space="preserve">INTERVIENE DON JORGE BAUTE DELGADO. - </w:t>
      </w:r>
    </w:p>
    <w:p w:rsidR="00EE0979" w:rsidRDefault="00B022A0">
      <w:pPr>
        <w:ind w:right="100"/>
      </w:pPr>
      <w:r>
        <w:t xml:space="preserve">Sí, buenos días.  </w:t>
      </w:r>
    </w:p>
    <w:p w:rsidR="00EE0979" w:rsidRDefault="00B022A0">
      <w:pPr>
        <w:ind w:right="100"/>
      </w:pPr>
      <w:r>
        <w:t>Ya nos entró una partida de papeleras, tanto de papeleras como de bancos y se va a proceder ya a la colocac</w:t>
      </w:r>
      <w:r>
        <w:t xml:space="preserve">ión.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LA SEÑORA ALCADESA-PRESIDENTA. - </w:t>
      </w:r>
    </w:p>
    <w:p w:rsidR="00EE0979" w:rsidRDefault="00B022A0">
      <w:pPr>
        <w:ind w:right="100"/>
      </w:pPr>
      <w:r>
        <w:t xml:space="preserve">Gracia, alguna otra pregunta.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DAVID CREGO CHAVES. - </w:t>
      </w:r>
    </w:p>
    <w:p w:rsidR="00EE0979" w:rsidRDefault="00B022A0">
      <w:pPr>
        <w:ind w:right="100"/>
      </w:pPr>
      <w:r>
        <w:t>Si, luego en la parte de la Calle Frailes Dominicos, justo en la confluencia con la Calle Guanches de la Virgen de Candelaria, está esa parte todo el asfalto y la parte que está anexa al Barranco de Tapia, cuando se pasa por ahí tiene cierto peligro por la</w:t>
      </w:r>
      <w:r>
        <w:t xml:space="preserve"> cercanía de la acera al Barranco, entonces nos gustaría saber si esa parte está prevista hacer alguna actuación para proteger y evitar que sea peligroso el tránsito por allí.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JORGE BAUTE DELGADO. - </w:t>
      </w:r>
    </w:p>
    <w:p w:rsidR="00EE0979" w:rsidRDefault="00B022A0">
      <w:pPr>
        <w:ind w:right="100"/>
      </w:pPr>
      <w:r>
        <w:t>Eso es una actuación que está pendien</w:t>
      </w:r>
      <w:r>
        <w:t>te de hacer, es una obra según me dice el aparejador, es bastante complicada porque hay que empezar desde la base del barranco, desde la corriente del barranco para ir manteniendo ese talud, y vamos está todavía pendiente de poder ejecutar, de todas formas</w:t>
      </w:r>
      <w:r>
        <w:t xml:space="preserve"> esta semana pasada precisamente estábamos hablando de ese tema y vamos a intentar hacer algo provisional para asegurar que puedan pasar los peatones sin que haya este riesgo, pero no es la obra en sí que debería de llevar para una resolución definitiva. -</w:t>
      </w:r>
      <w:r>
        <w:t xml:space="preserve">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LA SEÑORA ALCADESA-PRESIDENTA. - </w:t>
      </w:r>
    </w:p>
    <w:p w:rsidR="00EE0979" w:rsidRDefault="00B022A0">
      <w:pPr>
        <w:ind w:right="100"/>
      </w:pPr>
      <w:r>
        <w:t>Ahí permanece el precinto para que se cruce la calle y se pueda circular por la otra acera, pero allí depende también del Consejo Insular de Aguas, digamos que hay que consensuar una solución, por parte nues</w:t>
      </w:r>
      <w:r>
        <w:t xml:space="preserve">tra se veía de una forma, por parte del Consejo se ve de otra y bueno, estamos intentando ver porque eso es cauce y hay que tener autorización del Consejo Insular de Aguas para actuar ya, de hecho se hizo una actuación en su día que bueno, ahí el Consejo, </w:t>
      </w:r>
      <w:r>
        <w:t xml:space="preserve">bueno tiene su… digamos que tenemos nuestros diferentes puntos de vista al respecto de esa zona, entonces estamos intentando como para poder ejecutar pues la obra definitiva es el Consejo quien tiene también que autorizarnos, veremos si se puede solventar </w:t>
      </w:r>
      <w:r>
        <w:t xml:space="preserve">la emergencia de alguna forma sino, ya les digo el tránsito peatonal está desviado hacia la otra acera, en esa zona, pues digamos que todavía está pendiente de la solución definitiva. </w:t>
      </w:r>
    </w:p>
    <w:p w:rsidR="00EE0979" w:rsidRDefault="00B022A0">
      <w:pPr>
        <w:ind w:right="100"/>
      </w:pPr>
      <w:r>
        <w:t xml:space="preserve">La última pregunta.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DAVID CREGO CHAVES. - </w:t>
      </w:r>
    </w:p>
    <w:p w:rsidR="00EE0979" w:rsidRDefault="00B022A0">
      <w:pPr>
        <w:spacing w:after="4"/>
        <w:ind w:left="9" w:right="42" w:hanging="10"/>
        <w:jc w:val="left"/>
      </w:pPr>
      <w:r>
        <w:t>Si, la última pregunta es para Don Manuel, con todo el cariño del mundo, creo que ya es reiterada, creo que es reiterada y siento ser pesado con este tema, pero pregunto por el estado del tema de las cantinas porque ya nos han llegado a decir que, la culpa</w:t>
      </w:r>
      <w:r>
        <w:t xml:space="preserve"> de no se abran es del Partido Popular y hasta… no tenemos nosotros ninguna competencia para poder abrir o cerrar cantinas.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MANUEL GONZÁLEZ PESTANO. - </w:t>
      </w:r>
    </w:p>
    <w:p w:rsidR="00EE0979" w:rsidRDefault="00B022A0">
      <w:pPr>
        <w:ind w:right="100"/>
      </w:pPr>
      <w:r>
        <w:t xml:space="preserve">Buenos días Don David, que a mí me conste no ha habido ese comentario ni pública ni </w:t>
      </w:r>
      <w:r>
        <w:t xml:space="preserve">privada ni en redes ni en ningún lado que sea, faltaría más, que el problema de toda esta cuestión fuera el Partido Popular, dicho esto, que de verdad no lo he escuchado en ningún foro ni privado, ni público, ni redes, lamento decirles que a día de hoy no </w:t>
      </w:r>
      <w:r>
        <w:t xml:space="preserve">está concluido, queda un pequeño matiz, quien me ha dado la certeza de la fecha, la última vez que le dije, hace diez días me dice, no te doy más fechas porque te he incumplido varias veces y yo he dicho lo que me han trasladado. </w:t>
      </w:r>
    </w:p>
    <w:p w:rsidR="00EE0979" w:rsidRDefault="00B022A0">
      <w:pPr>
        <w:ind w:right="100"/>
      </w:pPr>
      <w:r>
        <w:t>Dicho esto, espero que se</w:t>
      </w:r>
      <w:r>
        <w:t xml:space="preserve">a inminente, es muy poco el tiempo que falta, hemos intentado priorizar distintas obras, como ven hoy se trajo por urgencia el tema del superávit del </w:t>
      </w:r>
      <w:r>
        <w:rPr>
          <w:i/>
        </w:rPr>
        <w:t>skate,</w:t>
      </w:r>
      <w:r>
        <w:t xml:space="preserve"> estamos priorizando esta, ahora que ya nos hemos desvinculado de cierta manera con el </w:t>
      </w:r>
      <w:r>
        <w:rPr>
          <w:i/>
        </w:rPr>
        <w:t>skate</w:t>
      </w:r>
      <w:r>
        <w:t xml:space="preserve"> que has</w:t>
      </w:r>
      <w:r>
        <w:t>ta que no esté el dinero pues habrá tiempo para acometer otro tipo de iniciativas, espero que ya en cuestión de muy pocos días ya pueda salir la licitación de las cantinas, que por otra parte lamento todo este percance que ha tenido para los usuarios funda</w:t>
      </w:r>
      <w:r>
        <w:t xml:space="preserve">mentalmente pero bueno la parte buena si hubiera alguna es que ahora incorporación de las personas que se presenten y que sean adjudicatarias pues bueno, pueda ser una época donde puedan tener cierta comodidad y poca, comodidad y facilidad para que puedan </w:t>
      </w:r>
      <w:r>
        <w:t xml:space="preserve">instalarse en las mejores condiciones posibles. </w:t>
      </w:r>
    </w:p>
    <w:p w:rsidR="00EE0979" w:rsidRDefault="00B022A0">
      <w:pPr>
        <w:spacing w:after="25"/>
        <w:ind w:right="100"/>
      </w:pPr>
      <w:r>
        <w:t xml:space="preserve">Insisto que no he escuchado nunca ese comentario y también aquí, lo digo que por lo menos desde este lado no ha salido que a mí me conste ni tampoco lo he escuchado…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INTERVIENE LA SEÑORA ALCADESA-PRESIDEN</w:t>
      </w:r>
      <w:r>
        <w:rPr>
          <w:b/>
        </w:rPr>
        <w:t xml:space="preserve">TA. - </w:t>
      </w:r>
    </w:p>
    <w:p w:rsidR="00EE0979" w:rsidRDefault="00B022A0">
      <w:pPr>
        <w:ind w:right="100"/>
      </w:pPr>
      <w:r>
        <w:t xml:space="preserve">De este lado lo que sale es trabajo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MANUEL GONZÁLEZ PESTANO. - </w:t>
      </w:r>
    </w:p>
    <w:p w:rsidR="00EE0979" w:rsidRDefault="00B022A0">
      <w:pPr>
        <w:ind w:right="100"/>
      </w:pPr>
      <w:r>
        <w:t xml:space="preserve">Pero bueno, dicho esto, lamento que en último Pleno que me lo preguntaste, dije que si nada lo remediaba pues se ve que no ha sido posible y lamento de nuevo que no sea realidad en la actualidad.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DAVID CREGO CHAVES. - </w:t>
      </w:r>
    </w:p>
    <w:p w:rsidR="00EE0979" w:rsidRDefault="00B022A0">
      <w:pPr>
        <w:ind w:right="100"/>
      </w:pPr>
      <w:r>
        <w:t xml:space="preserve">Yo, perdón siento </w:t>
      </w:r>
      <w:r>
        <w:t>ser reiterativo con la pregunta, o sea, la hago porque me piden la pregunta y bueno, la hago precisamente por eso, y los comentarios simplemente han sido pues haciendo algunas de las visitas nos lo dijeron, que ya digo, nosotros no tenemos potestad para ab</w:t>
      </w:r>
      <w:r>
        <w:t xml:space="preserve">rir o cerrar cantinas, quien la tiene es el Grupo de Gobierno, por tanto, simplemente quería hacer la pregunta y nada más, y te lo agradezco.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DON MANUEL GONZÁLEZ PESTANO. - </w:t>
      </w:r>
    </w:p>
    <w:p w:rsidR="00EE0979" w:rsidRDefault="00B022A0">
      <w:pPr>
        <w:ind w:right="100"/>
      </w:pPr>
      <w:r>
        <w:t>Mari, si me permite, simplemente puntualizar, nos conocemos hace t</w:t>
      </w:r>
      <w:r>
        <w:t xml:space="preserve">iempo, te doy mi palabra más solemne que en ningún caso nosotros hemos achacado culpas a otra cuestión que no sea interna de la propia gestión en este caso de la Concejalía de Deportes, de verdad que si, lo asumo yo como eso.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INTERVIENE DON DAVID CREG</w:t>
      </w:r>
      <w:r>
        <w:rPr>
          <w:b/>
        </w:rPr>
        <w:t xml:space="preserve">O CHAVES. - </w:t>
      </w:r>
    </w:p>
    <w:p w:rsidR="00EE0979" w:rsidRDefault="00B022A0">
      <w:pPr>
        <w:ind w:right="100"/>
      </w:pPr>
      <w:r>
        <w:t xml:space="preserve">Me consta, los plazos son los plazos. - </w:t>
      </w:r>
    </w:p>
    <w:p w:rsidR="00EE0979" w:rsidRDefault="00B022A0">
      <w:pPr>
        <w:spacing w:after="0" w:line="259" w:lineRule="auto"/>
        <w:ind w:left="14" w:firstLine="0"/>
        <w:jc w:val="left"/>
      </w:pPr>
      <w:r>
        <w:t xml:space="preserve"> </w:t>
      </w:r>
    </w:p>
    <w:p w:rsidR="00EE0979" w:rsidRDefault="00B022A0">
      <w:pPr>
        <w:spacing w:after="6"/>
        <w:ind w:right="99" w:hanging="10"/>
      </w:pPr>
      <w:r>
        <w:rPr>
          <w:b/>
        </w:rPr>
        <w:t xml:space="preserve">INTERVIENE LA SEÑORA ALCADESA-PRESIDENTA. – </w:t>
      </w:r>
    </w:p>
    <w:p w:rsidR="00EE0979" w:rsidRDefault="00B022A0">
      <w:pPr>
        <w:spacing w:after="27"/>
        <w:ind w:right="100"/>
      </w:pPr>
      <w:r>
        <w:t xml:space="preserve">Si, exacto. </w:t>
      </w:r>
    </w:p>
    <w:p w:rsidR="00EE0979" w:rsidRDefault="00B022A0">
      <w:pPr>
        <w:ind w:right="100"/>
      </w:pPr>
      <w:r>
        <w:t xml:space="preserve">Muy bien, pues terminado el Pleno… </w:t>
      </w:r>
    </w:p>
    <w:p w:rsidR="00EE0979" w:rsidRDefault="00B022A0">
      <w:pPr>
        <w:spacing w:after="0" w:line="259" w:lineRule="auto"/>
        <w:ind w:left="14" w:firstLine="0"/>
        <w:jc w:val="left"/>
      </w:pPr>
      <w:r>
        <w:t xml:space="preserve"> </w:t>
      </w:r>
    </w:p>
    <w:p w:rsidR="00EE0979" w:rsidRDefault="00B022A0">
      <w:pPr>
        <w:ind w:right="100"/>
      </w:pPr>
      <w:r>
        <w:t xml:space="preserve">(habla alguien del público, pero no se escucha lo que dice) </w:t>
      </w:r>
    </w:p>
    <w:p w:rsidR="00EE0979" w:rsidRDefault="00B022A0">
      <w:pPr>
        <w:spacing w:after="0" w:line="259" w:lineRule="auto"/>
        <w:ind w:left="14" w:firstLine="0"/>
        <w:jc w:val="left"/>
      </w:pPr>
      <w:r>
        <w:t xml:space="preserve"> </w:t>
      </w:r>
    </w:p>
    <w:p w:rsidR="00EE0979" w:rsidRDefault="00B022A0">
      <w:pPr>
        <w:ind w:right="100"/>
      </w:pPr>
      <w:r>
        <w:t>…se tiene que terminar el Pleno Don Juan,</w:t>
      </w:r>
      <w:r>
        <w:t xml:space="preserve"> cuando termine el Pleno usted podrá realizar las consideraciones que usted crea. </w:t>
      </w:r>
    </w:p>
    <w:p w:rsidR="00EE0979" w:rsidRDefault="00B022A0">
      <w:pPr>
        <w:ind w:right="100"/>
      </w:pPr>
      <w:r>
        <w:t>Si me gustaría antes de terminar, es el último Pleno Ordinario del mandato, bueno tenemos mañana uno extraordinario, nos volveremos a ver porque mañana es el Pleno para el s</w:t>
      </w:r>
      <w:r>
        <w:t>orteo de los vecinos, de las vecinas que van a estar atendiendo las mesas electorales, participando del proceso de elecciones en las mesas y bueno, por mi parte quisiera agradecer a todos los compañeros de la Corporación el trabajo y el compromiso con nues</w:t>
      </w:r>
      <w:r>
        <w:t xml:space="preserve">tro pueblo de Candelaria en este mandato en el que hemos, la verdad que hemos vivido momentos muy duros, tanto a los compañeros que siguen en este Salón de Plenos como otros compañeros que comenzaron la legislatura y ya no están y bueno a todos los Grupos </w:t>
      </w:r>
      <w:r>
        <w:t xml:space="preserve">que han participado y que entiendo que todos los hemos hecho con la máxima voluntad de servir a nuestro pueblo y con clara vocación de servicio público para el bienestar de todos. </w:t>
      </w:r>
    </w:p>
    <w:p w:rsidR="00EE0979" w:rsidRDefault="00B022A0">
      <w:pPr>
        <w:spacing w:after="0" w:line="259" w:lineRule="auto"/>
        <w:ind w:left="14" w:firstLine="0"/>
        <w:jc w:val="left"/>
      </w:pPr>
      <w:r>
        <w:t xml:space="preserve"> </w:t>
      </w:r>
    </w:p>
    <w:p w:rsidR="00EE0979" w:rsidRDefault="00B022A0">
      <w:pPr>
        <w:ind w:right="100"/>
      </w:pPr>
      <w:r>
        <w:t>Así que muchísimas gracias a todos y bueno a ver qué nos vemos por aquí e</w:t>
      </w:r>
      <w:r>
        <w:t>n la próxima constitución, bueno estaremos en funciones como saben un periodo hasta que se constituya la nueva Corporación el 17 de junio de este año, es el Pleno de Constitución de la nueva Corporación y el cierre de acta del Pleno el 14 de junio, tres dí</w:t>
      </w:r>
      <w:r>
        <w:t xml:space="preserve">as antes o sea que nos quedarán algunos Plenos extraordinarios para volver a vernos por aquí, pero como Ordinario este es el último Pleno. Gracias y felicidades a todos por el trabajo que han desempeñado. </w:t>
      </w:r>
    </w:p>
    <w:p w:rsidR="00EE0979" w:rsidRDefault="00B022A0">
      <w:pPr>
        <w:spacing w:after="0" w:line="259" w:lineRule="auto"/>
        <w:ind w:left="14" w:firstLine="0"/>
        <w:jc w:val="left"/>
      </w:pPr>
      <w:r>
        <w:t xml:space="preserve"> </w:t>
      </w:r>
    </w:p>
    <w:p w:rsidR="00EE0979" w:rsidRDefault="00B022A0">
      <w:pPr>
        <w:ind w:right="100"/>
      </w:pPr>
      <w:r>
        <w:t xml:space="preserve">Con esto terminamos también el pleno y bueno, nos vemos mañana por aquí lo que puedan venir.  Muchas gracias a todos y feliz día. </w:t>
      </w:r>
    </w:p>
    <w:p w:rsidR="00EE0979" w:rsidRDefault="00B022A0">
      <w:pPr>
        <w:spacing w:after="0" w:line="259" w:lineRule="auto"/>
        <w:ind w:left="14" w:firstLine="0"/>
        <w:jc w:val="left"/>
      </w:pPr>
      <w:r>
        <w:t xml:space="preserve"> </w:t>
      </w:r>
    </w:p>
    <w:p w:rsidR="00EE0979" w:rsidRDefault="00B022A0">
      <w:pPr>
        <w:spacing w:after="0" w:line="259" w:lineRule="auto"/>
        <w:ind w:left="14" w:firstLine="0"/>
        <w:jc w:val="left"/>
      </w:pPr>
      <w:r>
        <w:t xml:space="preserve"> </w:t>
      </w:r>
    </w:p>
    <w:p w:rsidR="00EE0979" w:rsidRDefault="00B022A0">
      <w:pPr>
        <w:ind w:right="100"/>
      </w:pPr>
      <w:r>
        <w:t xml:space="preserve"> Se levanta la sesión a las 12:05 horas del mismo día. De todo lo cual yo, como Secretario General, doy fe. </w:t>
      </w:r>
    </w:p>
    <w:p w:rsidR="00EE0979" w:rsidRDefault="00B022A0">
      <w:pPr>
        <w:spacing w:after="117" w:line="259" w:lineRule="auto"/>
        <w:ind w:left="14" w:firstLine="0"/>
        <w:jc w:val="left"/>
      </w:pPr>
      <w:r>
        <w:rPr>
          <w:b/>
        </w:rPr>
        <w:t xml:space="preserve"> </w:t>
      </w:r>
    </w:p>
    <w:p w:rsidR="00EE0979" w:rsidRDefault="00B022A0">
      <w:pPr>
        <w:tabs>
          <w:tab w:val="center" w:pos="1542"/>
        </w:tabs>
        <w:spacing w:after="59" w:line="259" w:lineRule="auto"/>
        <w:ind w:left="0" w:firstLine="0"/>
        <w:jc w:val="left"/>
      </w:pPr>
      <w:r>
        <w:rPr>
          <w:sz w:val="14"/>
        </w:rPr>
        <w:t xml:space="preserve">          </w:t>
      </w:r>
      <w:r>
        <w:rPr>
          <w:sz w:val="14"/>
        </w:rPr>
        <w:tab/>
        <w:t xml:space="preserve">                           </w:t>
      </w:r>
      <w:r>
        <w:rPr>
          <w:b/>
          <w:sz w:val="20"/>
        </w:rPr>
        <w:t>Vº. Bº.</w:t>
      </w:r>
      <w:r>
        <w:rPr>
          <w:sz w:val="14"/>
        </w:rPr>
        <w:t xml:space="preserve"> </w:t>
      </w:r>
    </w:p>
    <w:p w:rsidR="00EE0979" w:rsidRDefault="00B022A0">
      <w:pPr>
        <w:spacing w:after="61" w:line="259" w:lineRule="auto"/>
        <w:ind w:left="14" w:firstLine="0"/>
        <w:jc w:val="left"/>
      </w:pPr>
      <w:r>
        <w:rPr>
          <w:sz w:val="14"/>
        </w:rPr>
        <w:t xml:space="preserve"> </w:t>
      </w:r>
    </w:p>
    <w:p w:rsidR="00EE0979" w:rsidRDefault="00B022A0">
      <w:pPr>
        <w:tabs>
          <w:tab w:val="center" w:pos="2335"/>
          <w:tab w:val="center" w:pos="4263"/>
          <w:tab w:val="center" w:pos="6665"/>
        </w:tabs>
        <w:spacing w:after="284"/>
        <w:ind w:left="0" w:firstLine="0"/>
        <w:jc w:val="left"/>
      </w:pP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EE0979" w:rsidRDefault="00B022A0">
      <w:pPr>
        <w:spacing w:after="289"/>
        <w:ind w:right="100"/>
      </w:pPr>
      <w:r>
        <w:t xml:space="preserve">             María Concepción Brito Núñez                     Octavio Manuel Hernández Fernández  </w:t>
      </w:r>
    </w:p>
    <w:p w:rsidR="00EE0979" w:rsidRDefault="00B022A0">
      <w:pPr>
        <w:spacing w:after="0" w:line="259" w:lineRule="auto"/>
        <w:ind w:left="14" w:firstLine="0"/>
        <w:jc w:val="left"/>
      </w:pPr>
      <w:r>
        <w:rPr>
          <w:sz w:val="24"/>
        </w:rPr>
        <w:t xml:space="preserve"> </w:t>
      </w:r>
    </w:p>
    <w:p w:rsidR="00EE0979" w:rsidRDefault="00B022A0">
      <w:pPr>
        <w:spacing w:after="98" w:line="259" w:lineRule="auto"/>
        <w:ind w:left="0" w:right="36" w:firstLine="0"/>
        <w:jc w:val="center"/>
      </w:pPr>
      <w:r>
        <w:rPr>
          <w:b/>
        </w:rPr>
        <w:t xml:space="preserve"> </w:t>
      </w:r>
    </w:p>
    <w:p w:rsidR="00EE0979" w:rsidRDefault="00B022A0">
      <w:pPr>
        <w:pStyle w:val="Ttulo1"/>
        <w:numPr>
          <w:ilvl w:val="0"/>
          <w:numId w:val="0"/>
        </w:numPr>
        <w:spacing w:after="114"/>
        <w:ind w:left="624" w:right="712"/>
      </w:pPr>
      <w:r>
        <w:t>DOCUMENTO FIRMADO ELECTRÓNICAMENTE</w:t>
      </w:r>
      <w:r>
        <w:rPr>
          <w:b w:val="0"/>
        </w:rPr>
        <w:t xml:space="preserve">  </w:t>
      </w:r>
    </w:p>
    <w:p w:rsidR="00EE0979" w:rsidRDefault="00B022A0">
      <w:pPr>
        <w:spacing w:after="0" w:line="259" w:lineRule="auto"/>
        <w:ind w:left="14" w:firstLine="0"/>
        <w:jc w:val="left"/>
      </w:pPr>
      <w:r>
        <w:rPr>
          <w:sz w:val="24"/>
        </w:rPr>
        <w:t xml:space="preserve"> </w:t>
      </w:r>
    </w:p>
    <w:sectPr w:rsidR="00EE0979">
      <w:headerReference w:type="even" r:id="rId63"/>
      <w:headerReference w:type="default" r:id="rId64"/>
      <w:footerReference w:type="even" r:id="rId65"/>
      <w:footerReference w:type="default" r:id="rId66"/>
      <w:headerReference w:type="first" r:id="rId67"/>
      <w:footerReference w:type="first" r:id="rId68"/>
      <w:pgSz w:w="11906" w:h="16838"/>
      <w:pgMar w:top="2822" w:right="813" w:bottom="572" w:left="140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022A0">
      <w:pPr>
        <w:spacing w:after="0" w:line="240" w:lineRule="auto"/>
      </w:pPr>
      <w:r>
        <w:separator/>
      </w:r>
    </w:p>
  </w:endnote>
  <w:endnote w:type="continuationSeparator" w:id="0">
    <w:p w:rsidR="00000000" w:rsidRDefault="00B0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B022A0">
    <w:pPr>
      <w:spacing w:after="0" w:line="259" w:lineRule="auto"/>
      <w:ind w:left="0" w:right="371"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934974</wp:posOffset>
              </wp:positionH>
              <wp:positionV relativeFrom="page">
                <wp:posOffset>9949434</wp:posOffset>
              </wp:positionV>
              <wp:extent cx="5830570" cy="17145"/>
              <wp:effectExtent l="0" t="0" r="0" b="0"/>
              <wp:wrapSquare wrapText="bothSides"/>
              <wp:docPr id="284931" name="Group 28493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4932" name="Shape 28493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4931" style="width:459.1pt;height:1.34998pt;position:absolute;mso-position-horizontal-relative:page;mso-position-horizontal:absolute;margin-left:73.62pt;mso-position-vertical-relative:page;margin-top:783.42pt;" coordsize="58305,171">
              <v:shape id="Shape 28493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0979" w:rsidRDefault="00B022A0">
    <w:pPr>
      <w:spacing w:after="57" w:line="238" w:lineRule="auto"/>
      <w:ind w:left="1979" w:right="2038" w:firstLine="0"/>
      <w:jc w:val="center"/>
    </w:pPr>
    <w:r>
      <w:rPr>
        <w:sz w:val="14"/>
      </w:rPr>
      <w:t xml:space="preserve">Avenida Constitución Nº 7. Código postal: 38530, Candelaria. Teléfono: 922.500.800. </w:t>
    </w:r>
    <w:r>
      <w:rPr>
        <w:b/>
        <w:sz w:val="14"/>
      </w:rPr>
      <w:t xml:space="preserve">www. candelaria. es </w:t>
    </w:r>
  </w:p>
  <w:p w:rsidR="00EE0979" w:rsidRDefault="00B022A0">
    <w:pPr>
      <w:spacing w:after="0" w:line="259" w:lineRule="auto"/>
      <w:ind w:left="0" w:right="10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B022A0">
    <w:pPr>
      <w:spacing w:after="0" w:line="259" w:lineRule="auto"/>
      <w:ind w:left="0" w:right="371"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934974</wp:posOffset>
              </wp:positionH>
              <wp:positionV relativeFrom="page">
                <wp:posOffset>9949434</wp:posOffset>
              </wp:positionV>
              <wp:extent cx="5830570" cy="17145"/>
              <wp:effectExtent l="0" t="0" r="0" b="0"/>
              <wp:wrapSquare wrapText="bothSides"/>
              <wp:docPr id="284899" name="Group 28489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4900" name="Shape 28490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4899" style="width:459.1pt;height:1.34998pt;position:absolute;mso-position-horizontal-relative:page;mso-position-horizontal:absolute;margin-left:73.62pt;mso-position-vertical-relative:page;margin-top:783.42pt;" coordsize="58305,171">
              <v:shape id="Shape 28490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0979" w:rsidRDefault="00B022A0">
    <w:pPr>
      <w:spacing w:after="57" w:line="238" w:lineRule="auto"/>
      <w:ind w:left="1979" w:right="2038" w:firstLine="0"/>
      <w:jc w:val="center"/>
    </w:pPr>
    <w:r>
      <w:rPr>
        <w:sz w:val="14"/>
      </w:rPr>
      <w:t xml:space="preserve">Avenida Constitución Nº 7. Código postal: 38530, Candelaria. Teléfono: 922.500.800. </w:t>
    </w:r>
    <w:r>
      <w:rPr>
        <w:b/>
        <w:sz w:val="14"/>
      </w:rPr>
      <w:t xml:space="preserve">www. candelaria. es </w:t>
    </w:r>
  </w:p>
  <w:p w:rsidR="00EE0979" w:rsidRDefault="00B022A0">
    <w:pPr>
      <w:spacing w:after="0" w:line="259" w:lineRule="auto"/>
      <w:ind w:left="0" w:right="109" w:firstLine="0"/>
      <w:jc w:val="right"/>
    </w:pPr>
    <w:r>
      <w:fldChar w:fldCharType="begin"/>
    </w:r>
    <w:r>
      <w:instrText xml:space="preserve"> PAGE   \* MERGEFORMAT </w:instrText>
    </w:r>
    <w:r>
      <w:fldChar w:fldCharType="separate"/>
    </w:r>
    <w:r w:rsidRPr="00B022A0">
      <w:rPr>
        <w:noProof/>
        <w:sz w:val="14"/>
      </w:rPr>
      <w:t>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EE097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022A0">
      <w:pPr>
        <w:spacing w:after="0" w:line="240" w:lineRule="auto"/>
      </w:pPr>
      <w:r>
        <w:separator/>
      </w:r>
    </w:p>
  </w:footnote>
  <w:footnote w:type="continuationSeparator" w:id="0">
    <w:p w:rsidR="00000000" w:rsidRDefault="00B02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B022A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934212</wp:posOffset>
              </wp:positionH>
              <wp:positionV relativeFrom="page">
                <wp:posOffset>440283</wp:posOffset>
              </wp:positionV>
              <wp:extent cx="5999607" cy="817779"/>
              <wp:effectExtent l="0" t="0" r="0" b="0"/>
              <wp:wrapSquare wrapText="bothSides"/>
              <wp:docPr id="284918" name="Group 28491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84919" name="Shape 28491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4921" name="Rectangle 284921"/>
                      <wps:cNvSpPr/>
                      <wps:spPr>
                        <a:xfrm>
                          <a:off x="1137158" y="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2" name="Rectangle 284922"/>
                      <wps:cNvSpPr/>
                      <wps:spPr>
                        <a:xfrm>
                          <a:off x="495554" y="17526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3" name="Rectangle 284923"/>
                      <wps:cNvSpPr/>
                      <wps:spPr>
                        <a:xfrm>
                          <a:off x="495554" y="35052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4" name="Rectangle 284924"/>
                      <wps:cNvSpPr/>
                      <wps:spPr>
                        <a:xfrm>
                          <a:off x="495554" y="526034"/>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4920" name="Picture 28492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84918" style="width:472.41pt;height:64.392pt;position:absolute;mso-position-horizontal-relative:page;mso-position-horizontal:absolute;margin-left:73.56pt;mso-position-vertical-relative:page;margin-top:34.668pt;" coordsize="59996,8177">
              <v:shape id="Shape 284919" style="position:absolute;width:59988;height:0;left:7;top:8177;" coordsize="5998845,0" path="m0,0l5998845,0">
                <v:stroke weight="2.04pt" endcap="square" joinstyle="miter" miterlimit="10" on="true" color="#993366"/>
                <v:fill on="false" color="#000000" opacity="0"/>
              </v:shape>
              <v:rect id="Rectangle 28492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4920" style="position:absolute;width:3992;height:5699;left:0;top:565;" filled="f">
                <v:imagedata r:id="rId38"/>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B022A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934212</wp:posOffset>
              </wp:positionH>
              <wp:positionV relativeFrom="page">
                <wp:posOffset>440283</wp:posOffset>
              </wp:positionV>
              <wp:extent cx="5999607" cy="817779"/>
              <wp:effectExtent l="0" t="0" r="0" b="0"/>
              <wp:wrapSquare wrapText="bothSides"/>
              <wp:docPr id="284886" name="Group 28488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84887" name="Shape 28488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4889" name="Rectangle 284889"/>
                      <wps:cNvSpPr/>
                      <wps:spPr>
                        <a:xfrm>
                          <a:off x="1137158" y="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0" name="Rectangle 284890"/>
                      <wps:cNvSpPr/>
                      <wps:spPr>
                        <a:xfrm>
                          <a:off x="495554" y="17526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1" name="Rectangle 284891"/>
                      <wps:cNvSpPr/>
                      <wps:spPr>
                        <a:xfrm>
                          <a:off x="495554" y="350520"/>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2" name="Rectangle 284892"/>
                      <wps:cNvSpPr/>
                      <wps:spPr>
                        <a:xfrm>
                          <a:off x="495554" y="526034"/>
                          <a:ext cx="50673" cy="224380"/>
                        </a:xfrm>
                        <a:prstGeom prst="rect">
                          <a:avLst/>
                        </a:prstGeom>
                        <a:ln>
                          <a:noFill/>
                        </a:ln>
                      </wps:spPr>
                      <wps:txbx>
                        <w:txbxContent>
                          <w:p w:rsidR="00EE0979" w:rsidRDefault="00B022A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4888" name="Picture 28488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84886" style="width:472.41pt;height:64.392pt;position:absolute;mso-position-horizontal-relative:page;mso-position-horizontal:absolute;margin-left:73.56pt;mso-position-vertical-relative:page;margin-top:34.668pt;" coordsize="59996,8177">
              <v:shape id="Shape 284887" style="position:absolute;width:59988;height:0;left:7;top:8177;" coordsize="5998845,0" path="m0,0l5998845,0">
                <v:stroke weight="2.04pt" endcap="square" joinstyle="miter" miterlimit="10" on="true" color="#993366"/>
                <v:fill on="false" color="#000000" opacity="0"/>
              </v:shape>
              <v:rect id="Rectangle 28488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4888" style="position:absolute;width:3992;height:5699;left:0;top:565;" filled="f">
                <v:imagedata r:id="rId38"/>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79" w:rsidRDefault="00EE097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036A"/>
    <w:multiLevelType w:val="hybridMultilevel"/>
    <w:tmpl w:val="4FB4FCE2"/>
    <w:lvl w:ilvl="0" w:tplc="F9CE15FE">
      <w:start w:val="1"/>
      <w:numFmt w:val="decimal"/>
      <w:lvlText w:val="%1."/>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3E0C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FAFC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04FC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9E4B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FA44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A49F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EAF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1E10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F56553"/>
    <w:multiLevelType w:val="hybridMultilevel"/>
    <w:tmpl w:val="F6942FBA"/>
    <w:lvl w:ilvl="0" w:tplc="376A2D56">
      <w:start w:val="2"/>
      <w:numFmt w:val="lowerLetter"/>
      <w:lvlText w:val="%1)"/>
      <w:lvlJc w:val="left"/>
      <w:pPr>
        <w:ind w:left="4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E8AF9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6BCAEB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9E4B74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642504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4DA8A2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FD08A0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9061AB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2763AA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638AB"/>
    <w:multiLevelType w:val="hybridMultilevel"/>
    <w:tmpl w:val="77D49018"/>
    <w:lvl w:ilvl="0" w:tplc="7B76C334">
      <w:start w:val="1"/>
      <w:numFmt w:val="decimal"/>
      <w:lvlText w:val="%1."/>
      <w:lvlJc w:val="left"/>
      <w:pPr>
        <w:ind w:left="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E2B2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46F2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EC62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6D5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EA6A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C0FE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9EEC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04E9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522"/>
    <w:multiLevelType w:val="hybridMultilevel"/>
    <w:tmpl w:val="770C8F6C"/>
    <w:lvl w:ilvl="0" w:tplc="C5BAE8A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3C3D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28738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FCE2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62292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967FD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24DF4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3E68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C8982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F45626"/>
    <w:multiLevelType w:val="hybridMultilevel"/>
    <w:tmpl w:val="68C0F11A"/>
    <w:lvl w:ilvl="0" w:tplc="2E14398C">
      <w:start w:val="7"/>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7404C52">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2220098">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534D942">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F40F872">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3A2D794">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3BED380">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E640D4E">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CDEE1F6">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2E462A"/>
    <w:multiLevelType w:val="hybridMultilevel"/>
    <w:tmpl w:val="E92AAE34"/>
    <w:lvl w:ilvl="0" w:tplc="AAB809C6">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34CB5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B605D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5892B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9214D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E0E1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603D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A8625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FE8D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FE4906"/>
    <w:multiLevelType w:val="hybridMultilevel"/>
    <w:tmpl w:val="4600CAF8"/>
    <w:lvl w:ilvl="0" w:tplc="11706F2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8E98C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F4B27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3CC5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F6C65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8E869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273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C500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7AF6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FE05FA"/>
    <w:multiLevelType w:val="hybridMultilevel"/>
    <w:tmpl w:val="DDB4EE36"/>
    <w:lvl w:ilvl="0" w:tplc="20B4E0AC">
      <w:start w:val="17"/>
      <w:numFmt w:val="decimal"/>
      <w:lvlText w:val="%1."/>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474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F041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143A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DC90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5205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C846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AAA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2CC2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0A6198"/>
    <w:multiLevelType w:val="hybridMultilevel"/>
    <w:tmpl w:val="BCDCF63C"/>
    <w:lvl w:ilvl="0" w:tplc="1458B9B4">
      <w:start w:val="2"/>
      <w:numFmt w:val="lowerLetter"/>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C030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CA68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D8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7CBE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80BF6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DE8C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AA0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9AC4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2A3854"/>
    <w:multiLevelType w:val="multilevel"/>
    <w:tmpl w:val="51AC8EB2"/>
    <w:lvl w:ilvl="0">
      <w:start w:val="2"/>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F17C45"/>
    <w:multiLevelType w:val="hybridMultilevel"/>
    <w:tmpl w:val="5A9681CE"/>
    <w:lvl w:ilvl="0" w:tplc="56DCA4E2">
      <w:start w:val="1"/>
      <w:numFmt w:val="bullet"/>
      <w:lvlText w:val="•"/>
      <w:lvlJc w:val="left"/>
      <w:pPr>
        <w:ind w:left="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8CAA0">
      <w:start w:val="1"/>
      <w:numFmt w:val="bullet"/>
      <w:lvlText w:val="o"/>
      <w:lvlJc w:val="left"/>
      <w:pPr>
        <w:ind w:left="1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EAFDCE">
      <w:start w:val="1"/>
      <w:numFmt w:val="bullet"/>
      <w:lvlText w:val="▪"/>
      <w:lvlJc w:val="left"/>
      <w:pPr>
        <w:ind w:left="1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22EE8A">
      <w:start w:val="1"/>
      <w:numFmt w:val="bullet"/>
      <w:lvlText w:val="•"/>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099F4">
      <w:start w:val="1"/>
      <w:numFmt w:val="bullet"/>
      <w:lvlText w:val="o"/>
      <w:lvlJc w:val="left"/>
      <w:pPr>
        <w:ind w:left="3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C699D8">
      <w:start w:val="1"/>
      <w:numFmt w:val="bullet"/>
      <w:lvlText w:val="▪"/>
      <w:lvlJc w:val="left"/>
      <w:pPr>
        <w:ind w:left="3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E0AFD0">
      <w:start w:val="1"/>
      <w:numFmt w:val="bullet"/>
      <w:lvlText w:val="•"/>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C5624">
      <w:start w:val="1"/>
      <w:numFmt w:val="bullet"/>
      <w:lvlText w:val="o"/>
      <w:lvlJc w:val="left"/>
      <w:pPr>
        <w:ind w:left="5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989132">
      <w:start w:val="1"/>
      <w:numFmt w:val="bullet"/>
      <w:lvlText w:val="▪"/>
      <w:lvlJc w:val="left"/>
      <w:pPr>
        <w:ind w:left="61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0515B0"/>
    <w:multiLevelType w:val="hybridMultilevel"/>
    <w:tmpl w:val="85DA80E0"/>
    <w:lvl w:ilvl="0" w:tplc="941A1F16">
      <w:start w:val="1"/>
      <w:numFmt w:val="decimal"/>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ECE22">
      <w:start w:val="1"/>
      <w:numFmt w:val="lowerLetter"/>
      <w:lvlText w:val="%2"/>
      <w:lvlJc w:val="left"/>
      <w:pPr>
        <w:ind w:left="1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AC33B6">
      <w:start w:val="1"/>
      <w:numFmt w:val="lowerRoman"/>
      <w:lvlText w:val="%3"/>
      <w:lvlJc w:val="left"/>
      <w:pPr>
        <w:ind w:left="2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7857AC">
      <w:start w:val="1"/>
      <w:numFmt w:val="decimal"/>
      <w:lvlText w:val="%4"/>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C8AF6E">
      <w:start w:val="1"/>
      <w:numFmt w:val="lowerLetter"/>
      <w:lvlText w:val="%5"/>
      <w:lvlJc w:val="left"/>
      <w:pPr>
        <w:ind w:left="3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500684">
      <w:start w:val="1"/>
      <w:numFmt w:val="lowerRoman"/>
      <w:lvlText w:val="%6"/>
      <w:lvlJc w:val="left"/>
      <w:pPr>
        <w:ind w:left="4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F04228">
      <w:start w:val="1"/>
      <w:numFmt w:val="decimal"/>
      <w:lvlText w:val="%7"/>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851BE">
      <w:start w:val="1"/>
      <w:numFmt w:val="lowerLetter"/>
      <w:lvlText w:val="%8"/>
      <w:lvlJc w:val="left"/>
      <w:pPr>
        <w:ind w:left="5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D2CBF0">
      <w:start w:val="1"/>
      <w:numFmt w:val="lowerRoman"/>
      <w:lvlText w:val="%9"/>
      <w:lvlJc w:val="left"/>
      <w:pPr>
        <w:ind w:left="6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40507C"/>
    <w:multiLevelType w:val="hybridMultilevel"/>
    <w:tmpl w:val="E44837B4"/>
    <w:lvl w:ilvl="0" w:tplc="791A68CC">
      <w:start w:val="3"/>
      <w:numFmt w:val="decimal"/>
      <w:lvlText w:val="%1."/>
      <w:lvlJc w:val="left"/>
      <w:pPr>
        <w:ind w:left="2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30C3970">
      <w:start w:val="1"/>
      <w:numFmt w:val="lowerLetter"/>
      <w:lvlText w:val="%2"/>
      <w:lvlJc w:val="left"/>
      <w:pPr>
        <w:ind w:left="13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C30CECC">
      <w:start w:val="1"/>
      <w:numFmt w:val="lowerRoman"/>
      <w:lvlText w:val="%3"/>
      <w:lvlJc w:val="left"/>
      <w:pPr>
        <w:ind w:left="20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BFEE60E">
      <w:start w:val="1"/>
      <w:numFmt w:val="decimal"/>
      <w:lvlText w:val="%4"/>
      <w:lvlJc w:val="left"/>
      <w:pPr>
        <w:ind w:left="27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EBE4A64">
      <w:start w:val="1"/>
      <w:numFmt w:val="lowerLetter"/>
      <w:lvlText w:val="%5"/>
      <w:lvlJc w:val="left"/>
      <w:pPr>
        <w:ind w:left="35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B209D64">
      <w:start w:val="1"/>
      <w:numFmt w:val="lowerRoman"/>
      <w:lvlText w:val="%6"/>
      <w:lvlJc w:val="left"/>
      <w:pPr>
        <w:ind w:left="42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514E08C">
      <w:start w:val="1"/>
      <w:numFmt w:val="decimal"/>
      <w:lvlText w:val="%7"/>
      <w:lvlJc w:val="left"/>
      <w:pPr>
        <w:ind w:left="49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4220448">
      <w:start w:val="1"/>
      <w:numFmt w:val="lowerLetter"/>
      <w:lvlText w:val="%8"/>
      <w:lvlJc w:val="left"/>
      <w:pPr>
        <w:ind w:left="56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E96A7FE">
      <w:start w:val="1"/>
      <w:numFmt w:val="lowerRoman"/>
      <w:lvlText w:val="%9"/>
      <w:lvlJc w:val="left"/>
      <w:pPr>
        <w:ind w:left="63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730CA4"/>
    <w:multiLevelType w:val="hybridMultilevel"/>
    <w:tmpl w:val="60006160"/>
    <w:lvl w:ilvl="0" w:tplc="0B787928">
      <w:start w:val="2"/>
      <w:numFmt w:val="upperLetter"/>
      <w:lvlText w:val="%1)"/>
      <w:lvlJc w:val="left"/>
      <w:pPr>
        <w:ind w:left="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70EB2C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F5430F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20201A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994E6B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7B8EE4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0882AB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D3EFAF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E69C0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2603DB"/>
    <w:multiLevelType w:val="hybridMultilevel"/>
    <w:tmpl w:val="48A69A16"/>
    <w:lvl w:ilvl="0" w:tplc="B4824D9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4787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F85B7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16EB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C4D41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CED0B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048C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44C89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6A227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D94610B"/>
    <w:multiLevelType w:val="multilevel"/>
    <w:tmpl w:val="61F0CB7C"/>
    <w:lvl w:ilvl="0">
      <w:start w:val="2"/>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F318DF"/>
    <w:multiLevelType w:val="hybridMultilevel"/>
    <w:tmpl w:val="8C90DF12"/>
    <w:lvl w:ilvl="0" w:tplc="791CB4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CC916">
      <w:start w:val="1"/>
      <w:numFmt w:val="lowerLetter"/>
      <w:lvlText w:val="%2)"/>
      <w:lvlJc w:val="left"/>
      <w:pPr>
        <w:ind w:left="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EC656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98FB6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0A90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02A9F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FA87F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67A7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9C20B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567071"/>
    <w:multiLevelType w:val="hybridMultilevel"/>
    <w:tmpl w:val="F7F03F6E"/>
    <w:lvl w:ilvl="0" w:tplc="D2023F28">
      <w:start w:val="1"/>
      <w:numFmt w:val="lowerLetter"/>
      <w:lvlText w:val="%1)"/>
      <w:lvlJc w:val="left"/>
      <w:pPr>
        <w:ind w:left="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84C9802">
      <w:start w:val="1"/>
      <w:numFmt w:val="lowerLetter"/>
      <w:lvlText w:val="%2"/>
      <w:lvlJc w:val="left"/>
      <w:pPr>
        <w:ind w:left="1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392D494">
      <w:start w:val="1"/>
      <w:numFmt w:val="lowerRoman"/>
      <w:lvlText w:val="%3"/>
      <w:lvlJc w:val="left"/>
      <w:pPr>
        <w:ind w:left="25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7FE28B4">
      <w:start w:val="1"/>
      <w:numFmt w:val="decimal"/>
      <w:lvlText w:val="%4"/>
      <w:lvlJc w:val="left"/>
      <w:pPr>
        <w:ind w:left="32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2B638A6">
      <w:start w:val="1"/>
      <w:numFmt w:val="lowerLetter"/>
      <w:lvlText w:val="%5"/>
      <w:lvlJc w:val="left"/>
      <w:pPr>
        <w:ind w:left="39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562FB98">
      <w:start w:val="1"/>
      <w:numFmt w:val="lowerRoman"/>
      <w:lvlText w:val="%6"/>
      <w:lvlJc w:val="left"/>
      <w:pPr>
        <w:ind w:left="46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F380BB6">
      <w:start w:val="1"/>
      <w:numFmt w:val="decimal"/>
      <w:lvlText w:val="%7"/>
      <w:lvlJc w:val="left"/>
      <w:pPr>
        <w:ind w:left="54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038CF72">
      <w:start w:val="1"/>
      <w:numFmt w:val="lowerLetter"/>
      <w:lvlText w:val="%8"/>
      <w:lvlJc w:val="left"/>
      <w:pPr>
        <w:ind w:left="61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CA4804">
      <w:start w:val="1"/>
      <w:numFmt w:val="lowerRoman"/>
      <w:lvlText w:val="%9"/>
      <w:lvlJc w:val="left"/>
      <w:pPr>
        <w:ind w:left="68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9D7E58"/>
    <w:multiLevelType w:val="hybridMultilevel"/>
    <w:tmpl w:val="ADB0B6D0"/>
    <w:lvl w:ilvl="0" w:tplc="DC401DEE">
      <w:start w:val="1"/>
      <w:numFmt w:val="bullet"/>
      <w:lvlText w:val="o"/>
      <w:lvlJc w:val="left"/>
      <w:pPr>
        <w:ind w:left="2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FA04E0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D56376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72C916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2FA7CE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064ED2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7BE9FB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552ADC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80A4F5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E62763"/>
    <w:multiLevelType w:val="hybridMultilevel"/>
    <w:tmpl w:val="86B44F4E"/>
    <w:lvl w:ilvl="0" w:tplc="B87CE5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B8798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122A3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78FBA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0DC20">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BA04D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B0D5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04E84">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AC8F3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25140D5"/>
    <w:multiLevelType w:val="hybridMultilevel"/>
    <w:tmpl w:val="E23EF57C"/>
    <w:lvl w:ilvl="0" w:tplc="425E9CC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4497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0CA0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B667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E2678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500AE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24E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00631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800E9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3412065"/>
    <w:multiLevelType w:val="hybridMultilevel"/>
    <w:tmpl w:val="EBBE74DE"/>
    <w:lvl w:ilvl="0" w:tplc="D4B80CFA">
      <w:start w:val="9"/>
      <w:numFmt w:val="decimal"/>
      <w:lvlText w:val="%1."/>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08AB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9084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12C7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888E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C86E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E840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F687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2215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389039F"/>
    <w:multiLevelType w:val="hybridMultilevel"/>
    <w:tmpl w:val="266C4736"/>
    <w:lvl w:ilvl="0" w:tplc="78BEB230">
      <w:numFmt w:val="decimal"/>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F267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E498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E4AF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A58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6041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28F1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A410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CCED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39F423C"/>
    <w:multiLevelType w:val="hybridMultilevel"/>
    <w:tmpl w:val="50984B24"/>
    <w:lvl w:ilvl="0" w:tplc="1FC064F8">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572E5E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A2861C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6CA8F8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AA8DF9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8D8947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3F2C33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2546A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99817C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568523B"/>
    <w:multiLevelType w:val="hybridMultilevel"/>
    <w:tmpl w:val="B926837A"/>
    <w:lvl w:ilvl="0" w:tplc="6C06AA88">
      <w:start w:val="1"/>
      <w:numFmt w:val="decimal"/>
      <w:lvlText w:val="%1."/>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781E0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B4978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34434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8105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FE3F6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DE537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1A337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5C85A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62767A1"/>
    <w:multiLevelType w:val="hybridMultilevel"/>
    <w:tmpl w:val="AA529C48"/>
    <w:lvl w:ilvl="0" w:tplc="11EE421A">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0BE6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8C17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4E3B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26D6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C620A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A494C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C784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06590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7395D52"/>
    <w:multiLevelType w:val="multilevel"/>
    <w:tmpl w:val="9F3E9D26"/>
    <w:lvl w:ilvl="0">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90A1FFF"/>
    <w:multiLevelType w:val="hybridMultilevel"/>
    <w:tmpl w:val="5492B4AC"/>
    <w:lvl w:ilvl="0" w:tplc="C1460AD8">
      <w:numFmt w:val="decimal"/>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F427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9AB0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49A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1A4F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FEBD8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2E2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AF6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F047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A0408F8"/>
    <w:multiLevelType w:val="hybridMultilevel"/>
    <w:tmpl w:val="A8A0B0B8"/>
    <w:lvl w:ilvl="0" w:tplc="29E45CA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F89AA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F2AB3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C8FF0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878A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68B80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56856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A584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229C0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712095"/>
    <w:multiLevelType w:val="hybridMultilevel"/>
    <w:tmpl w:val="74DE0926"/>
    <w:lvl w:ilvl="0" w:tplc="4B74181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C45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64FD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1A6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0A73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B6D2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6C1E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FCCA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A89E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1CE5E6F"/>
    <w:multiLevelType w:val="hybridMultilevel"/>
    <w:tmpl w:val="1700CB3A"/>
    <w:lvl w:ilvl="0" w:tplc="2CEA50A8">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8346C3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5A2E1F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BB460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700948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E6B45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30FFB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EAF86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9D45C2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A861D0"/>
    <w:multiLevelType w:val="hybridMultilevel"/>
    <w:tmpl w:val="76786CBC"/>
    <w:lvl w:ilvl="0" w:tplc="E716C16E">
      <w:start w:val="1"/>
      <w:numFmt w:val="lowerLetter"/>
      <w:lvlText w:val="%1)"/>
      <w:lvlJc w:val="left"/>
      <w:pPr>
        <w:ind w:left="3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FF6E0DC">
      <w:start w:val="1"/>
      <w:numFmt w:val="lowerLetter"/>
      <w:lvlText w:val="%2"/>
      <w:lvlJc w:val="left"/>
      <w:pPr>
        <w:ind w:left="1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4A0AF6">
      <w:start w:val="1"/>
      <w:numFmt w:val="lowerRoman"/>
      <w:lvlText w:val="%3"/>
      <w:lvlJc w:val="left"/>
      <w:pPr>
        <w:ind w:left="25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068852C">
      <w:start w:val="1"/>
      <w:numFmt w:val="decimal"/>
      <w:lvlText w:val="%4"/>
      <w:lvlJc w:val="left"/>
      <w:pPr>
        <w:ind w:left="32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E523690">
      <w:start w:val="1"/>
      <w:numFmt w:val="lowerLetter"/>
      <w:lvlText w:val="%5"/>
      <w:lvlJc w:val="left"/>
      <w:pPr>
        <w:ind w:left="39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42CF4D8">
      <w:start w:val="1"/>
      <w:numFmt w:val="lowerRoman"/>
      <w:lvlText w:val="%6"/>
      <w:lvlJc w:val="left"/>
      <w:pPr>
        <w:ind w:left="46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F7A83DC">
      <w:start w:val="1"/>
      <w:numFmt w:val="decimal"/>
      <w:lvlText w:val="%7"/>
      <w:lvlJc w:val="left"/>
      <w:pPr>
        <w:ind w:left="54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96216BA">
      <w:start w:val="1"/>
      <w:numFmt w:val="lowerLetter"/>
      <w:lvlText w:val="%8"/>
      <w:lvlJc w:val="left"/>
      <w:pPr>
        <w:ind w:left="61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816ACFC">
      <w:start w:val="1"/>
      <w:numFmt w:val="lowerRoman"/>
      <w:lvlText w:val="%9"/>
      <w:lvlJc w:val="left"/>
      <w:pPr>
        <w:ind w:left="68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3DA73A7"/>
    <w:multiLevelType w:val="hybridMultilevel"/>
    <w:tmpl w:val="1A20B636"/>
    <w:lvl w:ilvl="0" w:tplc="DB7E109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86FEC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94270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BA4F5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2C7A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6AE4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66513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24FE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F689E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5DD242C"/>
    <w:multiLevelType w:val="hybridMultilevel"/>
    <w:tmpl w:val="D05AA95C"/>
    <w:lvl w:ilvl="0" w:tplc="9B186262">
      <w:start w:val="1"/>
      <w:numFmt w:val="bullet"/>
      <w:lvlText w:val="o"/>
      <w:lvlJc w:val="left"/>
      <w:pPr>
        <w:ind w:left="2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588FF8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3A0A7A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2D4895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69AE35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861FA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A70BBB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74CED9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F184BB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8962356"/>
    <w:multiLevelType w:val="multilevel"/>
    <w:tmpl w:val="9FC863A6"/>
    <w:lvl w:ilvl="0">
      <w:start w:val="2"/>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4556B0"/>
    <w:multiLevelType w:val="hybridMultilevel"/>
    <w:tmpl w:val="B06A4E98"/>
    <w:lvl w:ilvl="0" w:tplc="97203C5A">
      <w:start w:val="1"/>
      <w:numFmt w:val="upperLetter"/>
      <w:lvlText w:val="%1."/>
      <w:lvlJc w:val="left"/>
      <w:pPr>
        <w:ind w:left="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5AECD4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1A050E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30569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9E089B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3E0B50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1BAE4B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F8A40C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5BCAF4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97C7780"/>
    <w:multiLevelType w:val="hybridMultilevel"/>
    <w:tmpl w:val="94BEB114"/>
    <w:lvl w:ilvl="0" w:tplc="C7C08C98">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E0E2B4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E28F57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2206E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3C4F9A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40AE3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1429B0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B3469C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2F6107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CD86CCC"/>
    <w:multiLevelType w:val="hybridMultilevel"/>
    <w:tmpl w:val="16A2B020"/>
    <w:lvl w:ilvl="0" w:tplc="60227B8E">
      <w:start w:val="1"/>
      <w:numFmt w:val="bullet"/>
      <w:lvlText w:val="•"/>
      <w:lvlJc w:val="left"/>
      <w:pPr>
        <w:ind w:left="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4771A">
      <w:start w:val="1"/>
      <w:numFmt w:val="bullet"/>
      <w:lvlText w:val="o"/>
      <w:lvlJc w:val="left"/>
      <w:pPr>
        <w:ind w:left="1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86014C">
      <w:start w:val="1"/>
      <w:numFmt w:val="bullet"/>
      <w:lvlText w:val="▪"/>
      <w:lvlJc w:val="left"/>
      <w:pPr>
        <w:ind w:left="1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20D3C2">
      <w:start w:val="1"/>
      <w:numFmt w:val="bullet"/>
      <w:lvlText w:val="•"/>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DA55A2">
      <w:start w:val="1"/>
      <w:numFmt w:val="bullet"/>
      <w:lvlText w:val="o"/>
      <w:lvlJc w:val="left"/>
      <w:pPr>
        <w:ind w:left="3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128EE6">
      <w:start w:val="1"/>
      <w:numFmt w:val="bullet"/>
      <w:lvlText w:val="▪"/>
      <w:lvlJc w:val="left"/>
      <w:pPr>
        <w:ind w:left="3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58C878">
      <w:start w:val="1"/>
      <w:numFmt w:val="bullet"/>
      <w:lvlText w:val="•"/>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81B8E">
      <w:start w:val="1"/>
      <w:numFmt w:val="bullet"/>
      <w:lvlText w:val="o"/>
      <w:lvlJc w:val="left"/>
      <w:pPr>
        <w:ind w:left="5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AE35F2">
      <w:start w:val="1"/>
      <w:numFmt w:val="bullet"/>
      <w:lvlText w:val="▪"/>
      <w:lvlJc w:val="left"/>
      <w:pPr>
        <w:ind w:left="61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F671379"/>
    <w:multiLevelType w:val="hybridMultilevel"/>
    <w:tmpl w:val="5B1E0530"/>
    <w:lvl w:ilvl="0" w:tplc="3F480082">
      <w:start w:val="1"/>
      <w:numFmt w:val="decimal"/>
      <w:lvlText w:val="%1."/>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6E3724">
      <w:start w:val="1"/>
      <w:numFmt w:val="lowerLetter"/>
      <w:lvlText w:val="%2"/>
      <w:lvlJc w:val="left"/>
      <w:pPr>
        <w:ind w:left="1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B6E06A">
      <w:start w:val="1"/>
      <w:numFmt w:val="lowerRoman"/>
      <w:lvlText w:val="%3"/>
      <w:lvlJc w:val="left"/>
      <w:pPr>
        <w:ind w:left="2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382E98">
      <w:start w:val="1"/>
      <w:numFmt w:val="decimal"/>
      <w:lvlText w:val="%4"/>
      <w:lvlJc w:val="left"/>
      <w:pPr>
        <w:ind w:left="3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A26786">
      <w:start w:val="1"/>
      <w:numFmt w:val="lowerLetter"/>
      <w:lvlText w:val="%5"/>
      <w:lvlJc w:val="left"/>
      <w:pPr>
        <w:ind w:left="4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E88114">
      <w:start w:val="1"/>
      <w:numFmt w:val="lowerRoman"/>
      <w:lvlText w:val="%6"/>
      <w:lvlJc w:val="left"/>
      <w:pPr>
        <w:ind w:left="4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76BCCA">
      <w:start w:val="1"/>
      <w:numFmt w:val="decimal"/>
      <w:lvlText w:val="%7"/>
      <w:lvlJc w:val="left"/>
      <w:pPr>
        <w:ind w:left="5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C6EF1A">
      <w:start w:val="1"/>
      <w:numFmt w:val="lowerLetter"/>
      <w:lvlText w:val="%8"/>
      <w:lvlJc w:val="left"/>
      <w:pPr>
        <w:ind w:left="6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FA6EC2">
      <w:start w:val="1"/>
      <w:numFmt w:val="lowerRoman"/>
      <w:lvlText w:val="%9"/>
      <w:lvlJc w:val="left"/>
      <w:pPr>
        <w:ind w:left="6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417779A"/>
    <w:multiLevelType w:val="hybridMultilevel"/>
    <w:tmpl w:val="472257E0"/>
    <w:lvl w:ilvl="0" w:tplc="7E7273CA">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6CAD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7A798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F871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D8254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BAB60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6E61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9625B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DE139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42173CB"/>
    <w:multiLevelType w:val="hybridMultilevel"/>
    <w:tmpl w:val="006ED772"/>
    <w:lvl w:ilvl="0" w:tplc="B1605C36">
      <w:start w:val="2"/>
      <w:numFmt w:val="lowerLetter"/>
      <w:lvlText w:val="%1)"/>
      <w:lvlJc w:val="left"/>
      <w:pPr>
        <w:ind w:left="4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B5CD42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852DE2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B08E99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850EC2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43E82E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D94FD8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408DFF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FE8F14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43314EA"/>
    <w:multiLevelType w:val="hybridMultilevel"/>
    <w:tmpl w:val="F7C284FE"/>
    <w:lvl w:ilvl="0" w:tplc="71346F36">
      <w:start w:val="1"/>
      <w:numFmt w:val="decimal"/>
      <w:lvlText w:val="%1."/>
      <w:lvlJc w:val="left"/>
      <w:pPr>
        <w:ind w:left="1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1" w:tplc="E50C79A8">
      <w:start w:val="1"/>
      <w:numFmt w:val="lowerLetter"/>
      <w:lvlText w:val="%2"/>
      <w:lvlJc w:val="left"/>
      <w:pPr>
        <w:ind w:left="108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2" w:tplc="90081230">
      <w:start w:val="1"/>
      <w:numFmt w:val="lowerRoman"/>
      <w:lvlText w:val="%3"/>
      <w:lvlJc w:val="left"/>
      <w:pPr>
        <w:ind w:left="180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3" w:tplc="F9FCF998">
      <w:start w:val="1"/>
      <w:numFmt w:val="decimal"/>
      <w:lvlText w:val="%4"/>
      <w:lvlJc w:val="left"/>
      <w:pPr>
        <w:ind w:left="252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4" w:tplc="E07EF8F6">
      <w:start w:val="1"/>
      <w:numFmt w:val="lowerLetter"/>
      <w:lvlText w:val="%5"/>
      <w:lvlJc w:val="left"/>
      <w:pPr>
        <w:ind w:left="324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5" w:tplc="89503BC8">
      <w:start w:val="1"/>
      <w:numFmt w:val="lowerRoman"/>
      <w:lvlText w:val="%6"/>
      <w:lvlJc w:val="left"/>
      <w:pPr>
        <w:ind w:left="396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6" w:tplc="E5940888">
      <w:start w:val="1"/>
      <w:numFmt w:val="decimal"/>
      <w:lvlText w:val="%7"/>
      <w:lvlJc w:val="left"/>
      <w:pPr>
        <w:ind w:left="468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7" w:tplc="AA8AF596">
      <w:start w:val="1"/>
      <w:numFmt w:val="lowerLetter"/>
      <w:lvlText w:val="%8"/>
      <w:lvlJc w:val="left"/>
      <w:pPr>
        <w:ind w:left="540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8" w:tplc="14FC5602">
      <w:start w:val="1"/>
      <w:numFmt w:val="lowerRoman"/>
      <w:lvlText w:val="%9"/>
      <w:lvlJc w:val="left"/>
      <w:pPr>
        <w:ind w:left="612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abstractNum>
  <w:abstractNum w:abstractNumId="42" w15:restartNumberingAfterBreak="0">
    <w:nsid w:val="44A64C18"/>
    <w:multiLevelType w:val="hybridMultilevel"/>
    <w:tmpl w:val="14267618"/>
    <w:lvl w:ilvl="0" w:tplc="F8989A2A">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18696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7AF0F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900B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4CD03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FC91A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F40B5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F2CB1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9EDC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8604008"/>
    <w:multiLevelType w:val="hybridMultilevel"/>
    <w:tmpl w:val="6E4A9DBC"/>
    <w:lvl w:ilvl="0" w:tplc="E26E541E">
      <w:start w:val="1"/>
      <w:numFmt w:val="bullet"/>
      <w:lvlText w:val="o"/>
      <w:lvlJc w:val="left"/>
      <w:pPr>
        <w:ind w:left="7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F02D24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DE4FD3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53CAD0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EA05F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14C2E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888A28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5CC5F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BCE203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6445B9"/>
    <w:multiLevelType w:val="hybridMultilevel"/>
    <w:tmpl w:val="3CF0579A"/>
    <w:lvl w:ilvl="0" w:tplc="237A7802">
      <w:start w:val="1"/>
      <w:numFmt w:val="upperLetter"/>
      <w:lvlText w:val="%1."/>
      <w:lvlJc w:val="left"/>
      <w:pPr>
        <w:ind w:left="2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F7C9C7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1EE6A6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BF6FA6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F70E5E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13AE9C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93A1D5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7921FE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8F48FC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9E92775"/>
    <w:multiLevelType w:val="hybridMultilevel"/>
    <w:tmpl w:val="E2628046"/>
    <w:lvl w:ilvl="0" w:tplc="5F44271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DCD5F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043B7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5E80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BE7F2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9845A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EC75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C2C64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72DDC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16964B2"/>
    <w:multiLevelType w:val="hybridMultilevel"/>
    <w:tmpl w:val="BDC01C8A"/>
    <w:lvl w:ilvl="0" w:tplc="4A60CC0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782EC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E4ADB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1A20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23B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56C38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6A4B8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5AF99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5C0E5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1D80EF1"/>
    <w:multiLevelType w:val="hybridMultilevel"/>
    <w:tmpl w:val="B7B2DDAA"/>
    <w:lvl w:ilvl="0" w:tplc="7FEACE3E">
      <w:start w:val="1"/>
      <w:numFmt w:val="decimal"/>
      <w:lvlText w:val="%1."/>
      <w:lvlJc w:val="left"/>
      <w:pPr>
        <w:ind w:left="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8F4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16D13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5471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F899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04BB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B0B6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411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FE54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20B417C"/>
    <w:multiLevelType w:val="hybridMultilevel"/>
    <w:tmpl w:val="E29E419E"/>
    <w:lvl w:ilvl="0" w:tplc="AED46A1E">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164466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58A709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C6475A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CC28DD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CC01D2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B941B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158A26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C729F7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2BE05D6"/>
    <w:multiLevelType w:val="hybridMultilevel"/>
    <w:tmpl w:val="49D02F4C"/>
    <w:lvl w:ilvl="0" w:tplc="BD087EBA">
      <w:start w:val="1"/>
      <w:numFmt w:val="bullet"/>
      <w:lvlText w:val="-"/>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A010E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2AB9C">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92B418">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64351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165054">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46F620">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3C12FC">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9254BA">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2D342AA"/>
    <w:multiLevelType w:val="hybridMultilevel"/>
    <w:tmpl w:val="608AFEE8"/>
    <w:lvl w:ilvl="0" w:tplc="A380F47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8158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D076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F447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EF6A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9816A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1A14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2EB4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2653E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4DE1826"/>
    <w:multiLevelType w:val="multilevel"/>
    <w:tmpl w:val="1E5C2F1C"/>
    <w:lvl w:ilvl="0">
      <w:start w:val="4"/>
      <w:numFmt w:val="decimal"/>
      <w:lvlText w:val="%1."/>
      <w:lvlJc w:val="left"/>
      <w:pPr>
        <w:ind w:left="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8"/>
      </w:pPr>
      <w:rPr>
        <w:rFonts w:ascii="Arial" w:eastAsia="Arial" w:hAnsi="Arial" w:cs="Arial"/>
        <w:b/>
        <w:bCs/>
        <w:i w:val="0"/>
        <w:strike w:val="0"/>
        <w:dstrike w:val="0"/>
        <w:color w:val="333333"/>
        <w:sz w:val="22"/>
        <w:szCs w:val="22"/>
        <w:u w:val="single" w:color="333333"/>
        <w:bdr w:val="none" w:sz="0" w:space="0" w:color="auto"/>
        <w:shd w:val="clear" w:color="auto" w:fill="auto"/>
        <w:vertAlign w:val="baseline"/>
      </w:rPr>
    </w:lvl>
    <w:lvl w:ilvl="2">
      <w:start w:val="1"/>
      <w:numFmt w:val="decimal"/>
      <w:lvlText w:val="%1.%2.%3."/>
      <w:lvlJc w:val="left"/>
      <w:pPr>
        <w:ind w:left="2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996148E"/>
    <w:multiLevelType w:val="hybridMultilevel"/>
    <w:tmpl w:val="A44EE01C"/>
    <w:lvl w:ilvl="0" w:tplc="1DA4A640">
      <w:start w:val="1"/>
      <w:numFmt w:val="bullet"/>
      <w:lvlText w:val="-"/>
      <w:lvlJc w:val="left"/>
      <w:pPr>
        <w:ind w:left="29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0FADF5C">
      <w:start w:val="1"/>
      <w:numFmt w:val="bullet"/>
      <w:lvlText w:val="o"/>
      <w:lvlJc w:val="left"/>
      <w:pPr>
        <w:ind w:left="117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6740A350">
      <w:start w:val="1"/>
      <w:numFmt w:val="bullet"/>
      <w:lvlText w:val="▪"/>
      <w:lvlJc w:val="left"/>
      <w:pPr>
        <w:ind w:left="189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CFBCF374">
      <w:start w:val="1"/>
      <w:numFmt w:val="bullet"/>
      <w:lvlText w:val="•"/>
      <w:lvlJc w:val="left"/>
      <w:pPr>
        <w:ind w:left="261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8A6E794">
      <w:start w:val="1"/>
      <w:numFmt w:val="bullet"/>
      <w:lvlText w:val="o"/>
      <w:lvlJc w:val="left"/>
      <w:pPr>
        <w:ind w:left="333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B97A29C0">
      <w:start w:val="1"/>
      <w:numFmt w:val="bullet"/>
      <w:lvlText w:val="▪"/>
      <w:lvlJc w:val="left"/>
      <w:pPr>
        <w:ind w:left="405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124C2980">
      <w:start w:val="1"/>
      <w:numFmt w:val="bullet"/>
      <w:lvlText w:val="•"/>
      <w:lvlJc w:val="left"/>
      <w:pPr>
        <w:ind w:left="477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5B01120">
      <w:start w:val="1"/>
      <w:numFmt w:val="bullet"/>
      <w:lvlText w:val="o"/>
      <w:lvlJc w:val="left"/>
      <w:pPr>
        <w:ind w:left="549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749E5C2E">
      <w:start w:val="1"/>
      <w:numFmt w:val="bullet"/>
      <w:lvlText w:val="▪"/>
      <w:lvlJc w:val="left"/>
      <w:pPr>
        <w:ind w:left="621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53" w15:restartNumberingAfterBreak="0">
    <w:nsid w:val="599B5C41"/>
    <w:multiLevelType w:val="hybridMultilevel"/>
    <w:tmpl w:val="CF42B898"/>
    <w:lvl w:ilvl="0" w:tplc="1D0E2CB2">
      <w:start w:val="1"/>
      <w:numFmt w:val="decimal"/>
      <w:lvlText w:val="%1."/>
      <w:lvlJc w:val="left"/>
      <w:pPr>
        <w:ind w:left="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F46D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5C41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0238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70D1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40AA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5AB9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C53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9A7F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52457B"/>
    <w:multiLevelType w:val="hybridMultilevel"/>
    <w:tmpl w:val="8A7E64B8"/>
    <w:lvl w:ilvl="0" w:tplc="57C8245A">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EA89B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6C1F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621D4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6AAA5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6EC83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0A393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10B8C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CC368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EE71AE5"/>
    <w:multiLevelType w:val="hybridMultilevel"/>
    <w:tmpl w:val="E63C4C54"/>
    <w:lvl w:ilvl="0" w:tplc="91422044">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8ACC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AAD76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B0AD0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8EFFA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CC55C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F01E8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8030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4EA77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593459"/>
    <w:multiLevelType w:val="hybridMultilevel"/>
    <w:tmpl w:val="05D8A9E4"/>
    <w:lvl w:ilvl="0" w:tplc="3CA6FE42">
      <w:start w:val="1"/>
      <w:numFmt w:val="lowerLetter"/>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82D8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0840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785B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2009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C004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F204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2C60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7870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0B7261B"/>
    <w:multiLevelType w:val="hybridMultilevel"/>
    <w:tmpl w:val="086203B6"/>
    <w:lvl w:ilvl="0" w:tplc="DF42846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5EDEF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A2FC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7213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A60B5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AED0D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5034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080C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70C56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19848D2"/>
    <w:multiLevelType w:val="hybridMultilevel"/>
    <w:tmpl w:val="CEF87698"/>
    <w:lvl w:ilvl="0" w:tplc="49DE55CC">
      <w:start w:val="1"/>
      <w:numFmt w:val="lowerLetter"/>
      <w:lvlText w:val="%1)"/>
      <w:lvlJc w:val="left"/>
      <w:pPr>
        <w:ind w:left="2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38EA3EA">
      <w:start w:val="3"/>
      <w:numFmt w:val="decimal"/>
      <w:lvlText w:val="%2."/>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CB01D92">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A56476E">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3FEC78C">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A12B37E">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58AD4EC">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EF05610">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84ED9A">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44A29AC"/>
    <w:multiLevelType w:val="hybridMultilevel"/>
    <w:tmpl w:val="BF1E6E06"/>
    <w:lvl w:ilvl="0" w:tplc="481CD0E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A843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9082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E011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1224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D02B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94C5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42DC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D813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6977313"/>
    <w:multiLevelType w:val="hybridMultilevel"/>
    <w:tmpl w:val="E5BE631A"/>
    <w:lvl w:ilvl="0" w:tplc="629ECA3E">
      <w:start w:val="1"/>
      <w:numFmt w:val="decimal"/>
      <w:lvlText w:val="%1."/>
      <w:lvlJc w:val="left"/>
      <w:pPr>
        <w:ind w:left="1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1" w:tplc="3BA6C17C">
      <w:start w:val="1"/>
      <w:numFmt w:val="lowerLetter"/>
      <w:lvlText w:val="%2"/>
      <w:lvlJc w:val="left"/>
      <w:pPr>
        <w:ind w:left="10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2" w:tplc="4B78B1DE">
      <w:start w:val="1"/>
      <w:numFmt w:val="lowerRoman"/>
      <w:lvlText w:val="%3"/>
      <w:lvlJc w:val="left"/>
      <w:pPr>
        <w:ind w:left="18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3" w:tplc="19B475B0">
      <w:start w:val="1"/>
      <w:numFmt w:val="decimal"/>
      <w:lvlText w:val="%4"/>
      <w:lvlJc w:val="left"/>
      <w:pPr>
        <w:ind w:left="25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4" w:tplc="68C261AA">
      <w:start w:val="1"/>
      <w:numFmt w:val="lowerLetter"/>
      <w:lvlText w:val="%5"/>
      <w:lvlJc w:val="left"/>
      <w:pPr>
        <w:ind w:left="324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5" w:tplc="303253A6">
      <w:start w:val="1"/>
      <w:numFmt w:val="lowerRoman"/>
      <w:lvlText w:val="%6"/>
      <w:lvlJc w:val="left"/>
      <w:pPr>
        <w:ind w:left="396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6" w:tplc="85C4423E">
      <w:start w:val="1"/>
      <w:numFmt w:val="decimal"/>
      <w:lvlText w:val="%7"/>
      <w:lvlJc w:val="left"/>
      <w:pPr>
        <w:ind w:left="46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7" w:tplc="BDD2DAD2">
      <w:start w:val="1"/>
      <w:numFmt w:val="lowerLetter"/>
      <w:lvlText w:val="%8"/>
      <w:lvlJc w:val="left"/>
      <w:pPr>
        <w:ind w:left="54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8" w:tplc="5CB4FD14">
      <w:start w:val="1"/>
      <w:numFmt w:val="lowerRoman"/>
      <w:lvlText w:val="%9"/>
      <w:lvlJc w:val="left"/>
      <w:pPr>
        <w:ind w:left="61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abstractNum>
  <w:abstractNum w:abstractNumId="61" w15:restartNumberingAfterBreak="0">
    <w:nsid w:val="69717299"/>
    <w:multiLevelType w:val="hybridMultilevel"/>
    <w:tmpl w:val="4E9081EC"/>
    <w:lvl w:ilvl="0" w:tplc="9D5445F4">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4EC77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984DA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ACBF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625D5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B8715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34EE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A6F4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D675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9DA2D01"/>
    <w:multiLevelType w:val="hybridMultilevel"/>
    <w:tmpl w:val="73A4EA68"/>
    <w:lvl w:ilvl="0" w:tplc="21A89D48">
      <w:start w:val="1"/>
      <w:numFmt w:val="bullet"/>
      <w:lvlText w:val="o"/>
      <w:lvlJc w:val="left"/>
      <w:pPr>
        <w:ind w:left="7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A566FE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03C878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3F81A9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E08E9D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57234C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B44A49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BEA4AD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DEA5C8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AA21B6A"/>
    <w:multiLevelType w:val="hybridMultilevel"/>
    <w:tmpl w:val="D898ED68"/>
    <w:lvl w:ilvl="0" w:tplc="4A7E1126">
      <w:start w:val="1"/>
      <w:numFmt w:val="decimal"/>
      <w:pStyle w:val="Ttulo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ACDD5A">
      <w:start w:val="1"/>
      <w:numFmt w:val="lowerLetter"/>
      <w:lvlText w:val="%2"/>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9C9D0E">
      <w:start w:val="1"/>
      <w:numFmt w:val="lowerRoman"/>
      <w:lvlText w:val="%3"/>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7854D0">
      <w:start w:val="1"/>
      <w:numFmt w:val="decimal"/>
      <w:lvlText w:val="%4"/>
      <w:lvlJc w:val="left"/>
      <w:pPr>
        <w:ind w:left="6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2221B2">
      <w:start w:val="1"/>
      <w:numFmt w:val="lowerLetter"/>
      <w:lvlText w:val="%5"/>
      <w:lvlJc w:val="left"/>
      <w:pPr>
        <w:ind w:left="6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48A9B2">
      <w:start w:val="1"/>
      <w:numFmt w:val="lowerRoman"/>
      <w:lvlText w:val="%6"/>
      <w:lvlJc w:val="left"/>
      <w:pPr>
        <w:ind w:left="7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EA72E6">
      <w:start w:val="1"/>
      <w:numFmt w:val="decimal"/>
      <w:lvlText w:val="%7"/>
      <w:lvlJc w:val="left"/>
      <w:pPr>
        <w:ind w:left="8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8E6AA8">
      <w:start w:val="1"/>
      <w:numFmt w:val="lowerLetter"/>
      <w:lvlText w:val="%8"/>
      <w:lvlJc w:val="left"/>
      <w:pPr>
        <w:ind w:left="9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801BD4">
      <w:start w:val="1"/>
      <w:numFmt w:val="lowerRoman"/>
      <w:lvlText w:val="%9"/>
      <w:lvlJc w:val="left"/>
      <w:pPr>
        <w:ind w:left="9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AF74933"/>
    <w:multiLevelType w:val="hybridMultilevel"/>
    <w:tmpl w:val="FFF05226"/>
    <w:lvl w:ilvl="0" w:tplc="0ACEC9B0">
      <w:numFmt w:val="decimal"/>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AE09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9843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5E96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8466F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B44B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CA18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52C6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A29E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B5F7AAB"/>
    <w:multiLevelType w:val="hybridMultilevel"/>
    <w:tmpl w:val="66146E00"/>
    <w:lvl w:ilvl="0" w:tplc="94146DC4">
      <w:start w:val="1"/>
      <w:numFmt w:val="bullet"/>
      <w:lvlText w:val="o"/>
      <w:lvlJc w:val="left"/>
      <w:pPr>
        <w:ind w:left="7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5B024F8">
      <w:start w:val="1"/>
      <w:numFmt w:val="bullet"/>
      <w:lvlText w:val="o"/>
      <w:lvlJc w:val="left"/>
      <w:pPr>
        <w:ind w:left="14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454D66A">
      <w:start w:val="1"/>
      <w:numFmt w:val="bullet"/>
      <w:lvlText w:val="▪"/>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EC0F220">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4465DB2">
      <w:start w:val="1"/>
      <w:numFmt w:val="bullet"/>
      <w:lvlText w:val="o"/>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0F649E0">
      <w:start w:val="1"/>
      <w:numFmt w:val="bullet"/>
      <w:lvlText w:val="▪"/>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84D412">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6D04A88">
      <w:start w:val="1"/>
      <w:numFmt w:val="bullet"/>
      <w:lvlText w:val="o"/>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C585482">
      <w:start w:val="1"/>
      <w:numFmt w:val="bullet"/>
      <w:lvlText w:val="▪"/>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EA0479A"/>
    <w:multiLevelType w:val="hybridMultilevel"/>
    <w:tmpl w:val="5A3AFA52"/>
    <w:lvl w:ilvl="0" w:tplc="C9009F5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7ADC0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A2C40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58BC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CD63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BA172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78B2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C64D9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4289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F3D398B"/>
    <w:multiLevelType w:val="hybridMultilevel"/>
    <w:tmpl w:val="97029C3C"/>
    <w:lvl w:ilvl="0" w:tplc="480C8240">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CAEF9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46630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765D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828B8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96B72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F014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5AAF2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62B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00E1733"/>
    <w:multiLevelType w:val="hybridMultilevel"/>
    <w:tmpl w:val="8CD8A4B6"/>
    <w:lvl w:ilvl="0" w:tplc="8C60BA2E">
      <w:start w:val="1"/>
      <w:numFmt w:val="lowerLetter"/>
      <w:lvlText w:val="%1)"/>
      <w:lvlJc w:val="left"/>
      <w:pPr>
        <w:ind w:left="2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C7A5D36">
      <w:start w:val="3"/>
      <w:numFmt w:val="decimal"/>
      <w:lvlText w:val="%2."/>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57016F2">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48EB7C4">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84670C4">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38CFFDC">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BD0FEF4">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B44DA36">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2D8F408">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02D3DC7"/>
    <w:multiLevelType w:val="multilevel"/>
    <w:tmpl w:val="93DCEEDA"/>
    <w:lvl w:ilvl="0">
      <w:start w:val="2"/>
      <w:numFmt w:val="upperLetter"/>
      <w:lvlText w:val="%1)"/>
      <w:lvlJc w:val="left"/>
      <w:pPr>
        <w:ind w:left="3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85"/>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abstractNum>
  <w:abstractNum w:abstractNumId="70" w15:restartNumberingAfterBreak="0">
    <w:nsid w:val="729633BF"/>
    <w:multiLevelType w:val="hybridMultilevel"/>
    <w:tmpl w:val="DBBE9750"/>
    <w:lvl w:ilvl="0" w:tplc="40C88C6A">
      <w:start w:val="1"/>
      <w:numFmt w:val="bullet"/>
      <w:lvlText w:val="o"/>
      <w:lvlJc w:val="left"/>
      <w:pPr>
        <w:ind w:left="2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5ADCC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3884D6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C3A9EB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2DED19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F62564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528380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346373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7C88DD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3DD3554"/>
    <w:multiLevelType w:val="hybridMultilevel"/>
    <w:tmpl w:val="1F7A0A2A"/>
    <w:lvl w:ilvl="0" w:tplc="36085982">
      <w:start w:val="1"/>
      <w:numFmt w:val="bullet"/>
      <w:lvlText w:val="•"/>
      <w:lvlJc w:val="left"/>
      <w:pPr>
        <w:ind w:left="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560F9E">
      <w:start w:val="1"/>
      <w:numFmt w:val="upperLetter"/>
      <w:lvlText w:val="%2."/>
      <w:lvlJc w:val="left"/>
      <w:pPr>
        <w:ind w:left="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BC879D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C100F02">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57600D2">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5082012">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19EC10A">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0C06CDC">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6F483DE">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44600EC"/>
    <w:multiLevelType w:val="hybridMultilevel"/>
    <w:tmpl w:val="0B9EFE5C"/>
    <w:lvl w:ilvl="0" w:tplc="B9F43660">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A48EAE0">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1801E4A">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24FBD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50A2264">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E46103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C3A8B90">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B5C69F4">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4565BC0">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4A77A20"/>
    <w:multiLevelType w:val="hybridMultilevel"/>
    <w:tmpl w:val="D3389E24"/>
    <w:lvl w:ilvl="0" w:tplc="5FE2FAC6">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29AE17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C4E017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F06AC7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E16224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CE0283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AA6CA1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8229B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0EF8F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66D0A64"/>
    <w:multiLevelType w:val="hybridMultilevel"/>
    <w:tmpl w:val="951010DE"/>
    <w:lvl w:ilvl="0" w:tplc="67D0F5F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EC37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86C9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2C34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290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8EE5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C0A6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9C29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7A4C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6DF1093"/>
    <w:multiLevelType w:val="hybridMultilevel"/>
    <w:tmpl w:val="1FFA3838"/>
    <w:lvl w:ilvl="0" w:tplc="048AA2A8">
      <w:start w:val="3"/>
      <w:numFmt w:val="decimal"/>
      <w:lvlText w:val="%1."/>
      <w:lvlJc w:val="left"/>
      <w:pPr>
        <w:ind w:left="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3C8CF6">
      <w:start w:val="1"/>
      <w:numFmt w:val="lowerLetter"/>
      <w:lvlText w:val="%2"/>
      <w:lvlJc w:val="left"/>
      <w:pPr>
        <w:ind w:left="1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8C71EA">
      <w:start w:val="1"/>
      <w:numFmt w:val="lowerRoman"/>
      <w:lvlText w:val="%3"/>
      <w:lvlJc w:val="left"/>
      <w:pPr>
        <w:ind w:left="2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844FC">
      <w:start w:val="1"/>
      <w:numFmt w:val="decimal"/>
      <w:lvlText w:val="%4"/>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1CF986">
      <w:start w:val="1"/>
      <w:numFmt w:val="lowerLetter"/>
      <w:lvlText w:val="%5"/>
      <w:lvlJc w:val="left"/>
      <w:pPr>
        <w:ind w:left="3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3ED628">
      <w:start w:val="1"/>
      <w:numFmt w:val="lowerRoman"/>
      <w:lvlText w:val="%6"/>
      <w:lvlJc w:val="left"/>
      <w:pPr>
        <w:ind w:left="4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58D1DA">
      <w:start w:val="1"/>
      <w:numFmt w:val="decimal"/>
      <w:lvlText w:val="%7"/>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581D60">
      <w:start w:val="1"/>
      <w:numFmt w:val="lowerLetter"/>
      <w:lvlText w:val="%8"/>
      <w:lvlJc w:val="left"/>
      <w:pPr>
        <w:ind w:left="5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18372E">
      <w:start w:val="1"/>
      <w:numFmt w:val="lowerRoman"/>
      <w:lvlText w:val="%9"/>
      <w:lvlJc w:val="left"/>
      <w:pPr>
        <w:ind w:left="6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73A48D7"/>
    <w:multiLevelType w:val="hybridMultilevel"/>
    <w:tmpl w:val="63FE9D50"/>
    <w:lvl w:ilvl="0" w:tplc="85883E0A">
      <w:start w:val="7"/>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7DE5B6C">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0005E64">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54E3344">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4684AFE">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97EA696">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D1C5296">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5D2D028">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3AD052">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8E83C4D"/>
    <w:multiLevelType w:val="hybridMultilevel"/>
    <w:tmpl w:val="30E8BA34"/>
    <w:lvl w:ilvl="0" w:tplc="E8F22686">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83CCC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02C4DF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344BB8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274CCE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1A2CA1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428592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204FC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EC607F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ABF4858"/>
    <w:multiLevelType w:val="hybridMultilevel"/>
    <w:tmpl w:val="351A7704"/>
    <w:lvl w:ilvl="0" w:tplc="79645356">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D4555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3B42F9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090BAD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9C831B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90021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1A4A60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F0D30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864991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C424F5E"/>
    <w:multiLevelType w:val="hybridMultilevel"/>
    <w:tmpl w:val="27FC4ECE"/>
    <w:lvl w:ilvl="0" w:tplc="99DE6CAE">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6C27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161A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5CA2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A8CD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424C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E2B8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F8E1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A683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CF50AE0"/>
    <w:multiLevelType w:val="hybridMultilevel"/>
    <w:tmpl w:val="E4947F28"/>
    <w:lvl w:ilvl="0" w:tplc="AF8E617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EC986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A29AF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9449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B2D4F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4249B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22EF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ECF0B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72F4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FDA1A67"/>
    <w:multiLevelType w:val="hybridMultilevel"/>
    <w:tmpl w:val="34DE9592"/>
    <w:lvl w:ilvl="0" w:tplc="732CE986">
      <w:start w:val="1"/>
      <w:numFmt w:val="bullet"/>
      <w:lvlText w:val="•"/>
      <w:lvlJc w:val="left"/>
      <w:pPr>
        <w:ind w:left="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CAE88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04086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7695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94914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A6D25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258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4896B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9AC0E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FFE002A"/>
    <w:multiLevelType w:val="hybridMultilevel"/>
    <w:tmpl w:val="D9E00352"/>
    <w:lvl w:ilvl="0" w:tplc="D32016F0">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4E87F1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5A6ECD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3CCF4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12E827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4F812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3FEF9D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580098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9EE5DC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23"/>
  </w:num>
  <w:num w:numId="3">
    <w:abstractNumId w:val="82"/>
  </w:num>
  <w:num w:numId="4">
    <w:abstractNumId w:val="71"/>
  </w:num>
  <w:num w:numId="5">
    <w:abstractNumId w:val="16"/>
  </w:num>
  <w:num w:numId="6">
    <w:abstractNumId w:val="19"/>
  </w:num>
  <w:num w:numId="7">
    <w:abstractNumId w:val="57"/>
  </w:num>
  <w:num w:numId="8">
    <w:abstractNumId w:val="37"/>
  </w:num>
  <w:num w:numId="9">
    <w:abstractNumId w:val="66"/>
  </w:num>
  <w:num w:numId="10">
    <w:abstractNumId w:val="48"/>
  </w:num>
  <w:num w:numId="11">
    <w:abstractNumId w:val="78"/>
  </w:num>
  <w:num w:numId="12">
    <w:abstractNumId w:val="81"/>
  </w:num>
  <w:num w:numId="13">
    <w:abstractNumId w:val="8"/>
  </w:num>
  <w:num w:numId="14">
    <w:abstractNumId w:val="6"/>
  </w:num>
  <w:num w:numId="15">
    <w:abstractNumId w:val="50"/>
  </w:num>
  <w:num w:numId="16">
    <w:abstractNumId w:val="10"/>
  </w:num>
  <w:num w:numId="17">
    <w:abstractNumId w:val="45"/>
  </w:num>
  <w:num w:numId="18">
    <w:abstractNumId w:val="72"/>
  </w:num>
  <w:num w:numId="19">
    <w:abstractNumId w:val="24"/>
  </w:num>
  <w:num w:numId="20">
    <w:abstractNumId w:val="44"/>
  </w:num>
  <w:num w:numId="21">
    <w:abstractNumId w:val="39"/>
  </w:num>
  <w:num w:numId="22">
    <w:abstractNumId w:val="61"/>
  </w:num>
  <w:num w:numId="23">
    <w:abstractNumId w:val="35"/>
  </w:num>
  <w:num w:numId="24">
    <w:abstractNumId w:val="69"/>
  </w:num>
  <w:num w:numId="25">
    <w:abstractNumId w:val="56"/>
  </w:num>
  <w:num w:numId="26">
    <w:abstractNumId w:val="22"/>
  </w:num>
  <w:num w:numId="27">
    <w:abstractNumId w:val="67"/>
  </w:num>
  <w:num w:numId="28">
    <w:abstractNumId w:val="64"/>
  </w:num>
  <w:num w:numId="29">
    <w:abstractNumId w:val="27"/>
  </w:num>
  <w:num w:numId="30">
    <w:abstractNumId w:val="51"/>
  </w:num>
  <w:num w:numId="31">
    <w:abstractNumId w:val="47"/>
  </w:num>
  <w:num w:numId="32">
    <w:abstractNumId w:val="26"/>
  </w:num>
  <w:num w:numId="33">
    <w:abstractNumId w:val="25"/>
  </w:num>
  <w:num w:numId="34">
    <w:abstractNumId w:val="2"/>
  </w:num>
  <w:num w:numId="35">
    <w:abstractNumId w:val="49"/>
  </w:num>
  <w:num w:numId="36">
    <w:abstractNumId w:val="80"/>
  </w:num>
  <w:num w:numId="37">
    <w:abstractNumId w:val="29"/>
  </w:num>
  <w:num w:numId="38">
    <w:abstractNumId w:val="79"/>
  </w:num>
  <w:num w:numId="39">
    <w:abstractNumId w:val="43"/>
  </w:num>
  <w:num w:numId="40">
    <w:abstractNumId w:val="9"/>
  </w:num>
  <w:num w:numId="41">
    <w:abstractNumId w:val="62"/>
  </w:num>
  <w:num w:numId="42">
    <w:abstractNumId w:val="15"/>
  </w:num>
  <w:num w:numId="43">
    <w:abstractNumId w:val="77"/>
  </w:num>
  <w:num w:numId="44">
    <w:abstractNumId w:val="58"/>
  </w:num>
  <w:num w:numId="45">
    <w:abstractNumId w:val="73"/>
  </w:num>
  <w:num w:numId="46">
    <w:abstractNumId w:val="76"/>
  </w:num>
  <w:num w:numId="47">
    <w:abstractNumId w:val="32"/>
  </w:num>
  <w:num w:numId="48">
    <w:abstractNumId w:val="65"/>
  </w:num>
  <w:num w:numId="49">
    <w:abstractNumId w:val="34"/>
  </w:num>
  <w:num w:numId="50">
    <w:abstractNumId w:val="30"/>
  </w:num>
  <w:num w:numId="51">
    <w:abstractNumId w:val="68"/>
  </w:num>
  <w:num w:numId="52">
    <w:abstractNumId w:val="36"/>
  </w:num>
  <w:num w:numId="53">
    <w:abstractNumId w:val="4"/>
  </w:num>
  <w:num w:numId="54">
    <w:abstractNumId w:val="28"/>
  </w:num>
  <w:num w:numId="55">
    <w:abstractNumId w:val="70"/>
  </w:num>
  <w:num w:numId="56">
    <w:abstractNumId w:val="0"/>
  </w:num>
  <w:num w:numId="57">
    <w:abstractNumId w:val="33"/>
  </w:num>
  <w:num w:numId="58">
    <w:abstractNumId w:val="21"/>
  </w:num>
  <w:num w:numId="59">
    <w:abstractNumId w:val="55"/>
  </w:num>
  <w:num w:numId="60">
    <w:abstractNumId w:val="54"/>
  </w:num>
  <w:num w:numId="61">
    <w:abstractNumId w:val="42"/>
  </w:num>
  <w:num w:numId="62">
    <w:abstractNumId w:val="17"/>
  </w:num>
  <w:num w:numId="63">
    <w:abstractNumId w:val="18"/>
  </w:num>
  <w:num w:numId="64">
    <w:abstractNumId w:val="7"/>
  </w:num>
  <w:num w:numId="65">
    <w:abstractNumId w:val="3"/>
  </w:num>
  <w:num w:numId="66">
    <w:abstractNumId w:val="5"/>
  </w:num>
  <w:num w:numId="67">
    <w:abstractNumId w:val="46"/>
  </w:num>
  <w:num w:numId="68">
    <w:abstractNumId w:val="31"/>
  </w:num>
  <w:num w:numId="69">
    <w:abstractNumId w:val="52"/>
  </w:num>
  <w:num w:numId="70">
    <w:abstractNumId w:val="53"/>
  </w:num>
  <w:num w:numId="71">
    <w:abstractNumId w:val="75"/>
  </w:num>
  <w:num w:numId="72">
    <w:abstractNumId w:val="11"/>
  </w:num>
  <w:num w:numId="73">
    <w:abstractNumId w:val="12"/>
  </w:num>
  <w:num w:numId="74">
    <w:abstractNumId w:val="14"/>
  </w:num>
  <w:num w:numId="75">
    <w:abstractNumId w:val="74"/>
  </w:num>
  <w:num w:numId="76">
    <w:abstractNumId w:val="20"/>
  </w:num>
  <w:num w:numId="77">
    <w:abstractNumId w:val="59"/>
  </w:num>
  <w:num w:numId="78">
    <w:abstractNumId w:val="38"/>
  </w:num>
  <w:num w:numId="79">
    <w:abstractNumId w:val="41"/>
  </w:num>
  <w:num w:numId="80">
    <w:abstractNumId w:val="1"/>
  </w:num>
  <w:num w:numId="81">
    <w:abstractNumId w:val="60"/>
  </w:num>
  <w:num w:numId="82">
    <w:abstractNumId w:val="40"/>
  </w:num>
  <w:num w:numId="83">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79"/>
    <w:rsid w:val="00B022A0"/>
    <w:rsid w:val="00EE09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DADE7-6A5A-4738-9E42-5F3DF89E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9" w:hanging="5"/>
      <w:jc w:val="both"/>
    </w:pPr>
    <w:rPr>
      <w:rFonts w:ascii="Arial" w:eastAsia="Arial" w:hAnsi="Arial" w:cs="Arial"/>
      <w:color w:val="000000"/>
    </w:rPr>
  </w:style>
  <w:style w:type="paragraph" w:styleId="Ttulo1">
    <w:name w:val="heading 1"/>
    <w:next w:val="Normal"/>
    <w:link w:val="Ttulo1Car"/>
    <w:uiPriority w:val="9"/>
    <w:unhideWhenUsed/>
    <w:qFormat/>
    <w:pPr>
      <w:keepNext/>
      <w:keepLines/>
      <w:numPr>
        <w:numId w:val="83"/>
      </w:numPr>
      <w:spacing w:after="3" w:line="265" w:lineRule="auto"/>
      <w:ind w:left="958" w:right="98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64"/>
      <w:ind w:left="10" w:right="96" w:hanging="10"/>
      <w:jc w:val="center"/>
      <w:outlineLvl w:val="1"/>
    </w:pPr>
    <w:rPr>
      <w:rFonts w:ascii="Arial" w:eastAsia="Arial" w:hAnsi="Arial" w:cs="Arial"/>
      <w:b/>
      <w:i/>
      <w:color w:val="88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88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go.vlex.com/vid/678904529?fbt=webapp_preview" TargetMode="External"/><Relationship Id="rId42" Type="http://schemas.openxmlformats.org/officeDocument/2006/relationships/image" Target="media/image22.png"/><Relationship Id="rId47" Type="http://schemas.openxmlformats.org/officeDocument/2006/relationships/image" Target="media/image26.jp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30.png"/><Relationship Id="rId11" Type="http://schemas.openxmlformats.org/officeDocument/2006/relationships/hyperlink" Target="https://go.vlex.com/vid/678904529?fbt=webapp_preview" TargetMode="External"/><Relationship Id="rId24" Type="http://schemas.openxmlformats.org/officeDocument/2006/relationships/image" Target="media/image9.jpg"/><Relationship Id="rId32" Type="http://schemas.openxmlformats.org/officeDocument/2006/relationships/image" Target="media/image14.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jpg"/><Relationship Id="rId53" Type="http://schemas.openxmlformats.org/officeDocument/2006/relationships/image" Target="media/image250.jpg"/><Relationship Id="rId58" Type="http://schemas.openxmlformats.org/officeDocument/2006/relationships/hyperlink" Target="http://noticias.juridicas.com/base_datos/Admin/519509-l-24-2013-de-26-dic-del-sector-electrico.html"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noticias.juridicas.com/base_datos/Admin/519509-l-24-2013-de-26-dic-del-sector-electrico.html"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go.vlex.com/vid/678904529?fbt=webapp_preview" TargetMode="External"/><Relationship Id="rId27" Type="http://schemas.openxmlformats.org/officeDocument/2006/relationships/image" Target="media/image12.jpg"/><Relationship Id="rId30" Type="http://schemas.openxmlformats.org/officeDocument/2006/relationships/image" Target="media/image120.jpg"/><Relationship Id="rId35" Type="http://schemas.openxmlformats.org/officeDocument/2006/relationships/image" Target="media/image15.jpg"/><Relationship Id="rId43" Type="http://schemas.openxmlformats.org/officeDocument/2006/relationships/image" Target="media/image34.png"/><Relationship Id="rId48" Type="http://schemas.openxmlformats.org/officeDocument/2006/relationships/image" Target="media/image27.jpg"/><Relationship Id="rId56" Type="http://schemas.openxmlformats.org/officeDocument/2006/relationships/image" Target="media/image31.jp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0.png"/><Relationship Id="rId51" Type="http://schemas.openxmlformats.org/officeDocument/2006/relationships/image" Target="media/image28.jpg"/><Relationship Id="rId3" Type="http://schemas.openxmlformats.org/officeDocument/2006/relationships/settings" Target="settings.xml"/><Relationship Id="rId12" Type="http://schemas.openxmlformats.org/officeDocument/2006/relationships/hyperlink" Target="https://go.vlex.com/vid/678904529?fbt=webapp_preview" TargetMode="External"/><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image" Target="media/image130.jpg"/><Relationship Id="rId38" Type="http://schemas.openxmlformats.org/officeDocument/2006/relationships/image" Target="media/image18.png"/><Relationship Id="rId46" Type="http://schemas.openxmlformats.org/officeDocument/2006/relationships/image" Target="media/image25.jpg"/><Relationship Id="rId59" Type="http://schemas.openxmlformats.org/officeDocument/2006/relationships/hyperlink" Target="http://noticias.juridicas.com/base_datos/Admin/519509-l-24-2013-de-26-dic-del-sector-electrico.html" TargetMode="External"/><Relationship Id="rId67" Type="http://schemas.openxmlformats.org/officeDocument/2006/relationships/header" Target="header3.xml"/><Relationship Id="rId20" Type="http://schemas.openxmlformats.org/officeDocument/2006/relationships/hyperlink" Target="https://go.vlex.com/vid/678904529?fbt=webapp_preview" TargetMode="External"/><Relationship Id="rId41" Type="http://schemas.openxmlformats.org/officeDocument/2006/relationships/image" Target="media/image21.png"/><Relationship Id="rId54" Type="http://schemas.openxmlformats.org/officeDocument/2006/relationships/image" Target="media/image260.jpg"/><Relationship Id="rId62" Type="http://schemas.openxmlformats.org/officeDocument/2006/relationships/hyperlink" Target="http://noticias.juridicas.com/base_datos/Admin/519509-l-24-2013-de-26-dic-del-sector-electrico.html"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go.vlex.com/vid/678904529?fbt=webapp_preview" TargetMode="External"/><Relationship Id="rId28" Type="http://schemas.openxmlformats.org/officeDocument/2006/relationships/image" Target="media/image29.png"/><Relationship Id="rId36" Type="http://schemas.openxmlformats.org/officeDocument/2006/relationships/image" Target="media/image16.jpg"/><Relationship Id="rId49" Type="http://schemas.openxmlformats.org/officeDocument/2006/relationships/image" Target="media/image23.jpg"/><Relationship Id="rId57" Type="http://schemas.openxmlformats.org/officeDocument/2006/relationships/hyperlink" Target="http://noticias.juridicas.com/base_datos/Admin/519509-l-24-2013-de-26-dic-del-sector-electrico.html" TargetMode="External"/><Relationship Id="rId10" Type="http://schemas.openxmlformats.org/officeDocument/2006/relationships/hyperlink" Target="https://www.youtube.com/watch?v=qdkkxX1zNvM" TargetMode="External"/><Relationship Id="rId31" Type="http://schemas.openxmlformats.org/officeDocument/2006/relationships/image" Target="media/image13.jpg"/><Relationship Id="rId44" Type="http://schemas.openxmlformats.org/officeDocument/2006/relationships/image" Target="media/image23.png"/><Relationship Id="rId52" Type="http://schemas.openxmlformats.org/officeDocument/2006/relationships/image" Target="media/image29.jpg"/><Relationship Id="rId60" Type="http://schemas.openxmlformats.org/officeDocument/2006/relationships/hyperlink" Target="http://noticias.juridicas.com/base_datos/Admin/519509-l-24-2013-de-26-dic-del-sector-electrico.html"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qdkkxX1zNvM" TargetMode="Externa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19.jpg"/><Relationship Id="rId34" Type="http://schemas.openxmlformats.org/officeDocument/2006/relationships/image" Target="media/image140.jpg"/><Relationship Id="rId50" Type="http://schemas.openxmlformats.org/officeDocument/2006/relationships/image" Target="media/image240.jpg"/><Relationship Id="rId55" Type="http://schemas.openxmlformats.org/officeDocument/2006/relationships/image" Target="media/image30.jpg"/></Relationships>
</file>

<file path=word/_rels/header1.xml.rels><?xml version="1.0" encoding="UTF-8" standalone="yes"?>
<Relationships xmlns="http://schemas.openxmlformats.org/package/2006/relationships"><Relationship Id="rId38" Type="http://schemas.openxmlformats.org/officeDocument/2006/relationships/image" Target="media/image12.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8" Type="http://schemas.openxmlformats.org/officeDocument/2006/relationships/image" Target="media/image12.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70635</Words>
  <Characters>388493</Characters>
  <Application>Microsoft Office Word</Application>
  <DocSecurity>0</DocSecurity>
  <Lines>3237</Lines>
  <Paragraphs>916</Paragraphs>
  <ScaleCrop>false</ScaleCrop>
  <Company>HP</Company>
  <LinksUpToDate>false</LinksUpToDate>
  <CharactersWithSpaces>458212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Aurelio Díaz Palenzuela</cp:lastModifiedBy>
  <cp:revision>2</cp:revision>
  <dcterms:created xsi:type="dcterms:W3CDTF">2024-01-16T13:33:00Z</dcterms:created>
  <dcterms:modified xsi:type="dcterms:W3CDTF">2024-01-16T13:33:00Z</dcterms:modified>
</cp:coreProperties>
</file>