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85BB7" w:rsidRDefault="004441D3">
      <w:pPr>
        <w:spacing w:after="752"/>
        <w:ind w:left="736" w:right="903"/>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-182411</wp:posOffset>
                </wp:positionH>
                <wp:positionV relativeFrom="paragraph">
                  <wp:posOffset>-6314986</wp:posOffset>
                </wp:positionV>
                <wp:extent cx="6710045" cy="5921502"/>
                <wp:effectExtent l="0" t="0" r="0" b="0"/>
                <wp:wrapSquare wrapText="bothSides"/>
                <wp:docPr id="121249" name="Group 121249"/>
                <wp:cNvGraphicFramePr/>
                <a:graphic xmlns:a="http://schemas.openxmlformats.org/drawingml/2006/main">
                  <a:graphicData uri="http://schemas.microsoft.com/office/word/2010/wordprocessingGroup">
                    <wpg:wgp>
                      <wpg:cNvGrpSpPr/>
                      <wpg:grpSpPr>
                        <a:xfrm>
                          <a:off x="0" y="0"/>
                          <a:ext cx="6710045" cy="5921502"/>
                          <a:chOff x="0" y="0"/>
                          <a:chExt cx="6710045" cy="5921502"/>
                        </a:xfrm>
                      </wpg:grpSpPr>
                      <wps:wsp>
                        <wps:cNvPr id="6" name="Rectangle 6"/>
                        <wps:cNvSpPr/>
                        <wps:spPr>
                          <a:xfrm>
                            <a:off x="2566670" y="74139"/>
                            <a:ext cx="1582214" cy="226445"/>
                          </a:xfrm>
                          <a:prstGeom prst="rect">
                            <a:avLst/>
                          </a:prstGeom>
                          <a:ln>
                            <a:noFill/>
                          </a:ln>
                        </wps:spPr>
                        <wps:txbx>
                          <w:txbxContent>
                            <w:p w:rsidR="00085BB7" w:rsidRDefault="004441D3">
                              <w:pPr>
                                <w:spacing w:after="160" w:line="259" w:lineRule="auto"/>
                                <w:ind w:left="0" w:right="0" w:firstLine="0"/>
                                <w:jc w:val="left"/>
                              </w:pPr>
                              <w:r>
                                <w:rPr>
                                  <w:sz w:val="24"/>
                                </w:rPr>
                                <w:t xml:space="preserve">                   ACTA</w:t>
                              </w:r>
                            </w:p>
                          </w:txbxContent>
                        </wps:txbx>
                        <wps:bodyPr horzOverflow="overflow" vert="horz" lIns="0" tIns="0" rIns="0" bIns="0" rtlCol="0">
                          <a:noAutofit/>
                        </wps:bodyPr>
                      </wps:wsp>
                      <wps:wsp>
                        <wps:cNvPr id="7" name="Rectangle 7"/>
                        <wps:cNvSpPr/>
                        <wps:spPr>
                          <a:xfrm>
                            <a:off x="1372870" y="746036"/>
                            <a:ext cx="5729360" cy="207575"/>
                          </a:xfrm>
                          <a:prstGeom prst="rect">
                            <a:avLst/>
                          </a:prstGeom>
                          <a:ln>
                            <a:noFill/>
                          </a:ln>
                        </wps:spPr>
                        <wps:txbx>
                          <w:txbxContent>
                            <w:p w:rsidR="00085BB7" w:rsidRDefault="004441D3">
                              <w:pPr>
                                <w:spacing w:after="160" w:line="259" w:lineRule="auto"/>
                                <w:ind w:left="0" w:right="0" w:firstLine="0"/>
                                <w:jc w:val="left"/>
                              </w:pPr>
                              <w:r>
                                <w:t>DE LA SESIÓN ORDINARIA CELEBRADA POR EL AYUNTAMIENTO</w:t>
                              </w:r>
                            </w:p>
                          </w:txbxContent>
                        </wps:txbx>
                        <wps:bodyPr horzOverflow="overflow" vert="horz" lIns="0" tIns="0" rIns="0" bIns="0" rtlCol="0">
                          <a:noAutofit/>
                        </wps:bodyPr>
                      </wps:wsp>
                      <wps:wsp>
                        <wps:cNvPr id="8" name="Rectangle 8"/>
                        <wps:cNvSpPr/>
                        <wps:spPr>
                          <a:xfrm>
                            <a:off x="3291840" y="906056"/>
                            <a:ext cx="629122" cy="207575"/>
                          </a:xfrm>
                          <a:prstGeom prst="rect">
                            <a:avLst/>
                          </a:prstGeom>
                          <a:ln>
                            <a:noFill/>
                          </a:ln>
                        </wps:spPr>
                        <wps:txbx>
                          <w:txbxContent>
                            <w:p w:rsidR="00085BB7" w:rsidRDefault="004441D3">
                              <w:pPr>
                                <w:spacing w:after="160" w:line="259" w:lineRule="auto"/>
                                <w:ind w:left="0" w:right="0" w:firstLine="0"/>
                                <w:jc w:val="left"/>
                              </w:pPr>
                              <w:r>
                                <w:t>PLENO</w:t>
                              </w:r>
                            </w:p>
                          </w:txbxContent>
                        </wps:txbx>
                        <wps:bodyPr horzOverflow="overflow" vert="horz" lIns="0" tIns="0" rIns="0" bIns="0" rtlCol="0">
                          <a:noAutofit/>
                        </wps:bodyPr>
                      </wps:wsp>
                      <wps:wsp>
                        <wps:cNvPr id="9" name="Rectangle 9"/>
                        <wps:cNvSpPr/>
                        <wps:spPr>
                          <a:xfrm>
                            <a:off x="1689100" y="1067347"/>
                            <a:ext cx="4890654" cy="207575"/>
                          </a:xfrm>
                          <a:prstGeom prst="rect">
                            <a:avLst/>
                          </a:prstGeom>
                          <a:ln>
                            <a:noFill/>
                          </a:ln>
                        </wps:spPr>
                        <wps:txbx>
                          <w:txbxContent>
                            <w:p w:rsidR="00085BB7" w:rsidRDefault="004441D3">
                              <w:pPr>
                                <w:spacing w:after="160" w:line="259" w:lineRule="auto"/>
                                <w:ind w:left="0" w:right="0" w:firstLine="0"/>
                                <w:jc w:val="left"/>
                              </w:pPr>
                              <w:r>
                                <w:t>EL DÍA 26 DE SEPTIEMBRE DE 2024. SESIÓN Nº10/2024</w:t>
                              </w:r>
                            </w:p>
                          </w:txbxContent>
                        </wps:txbx>
                        <wps:bodyPr horzOverflow="overflow" vert="horz" lIns="0" tIns="0" rIns="0" bIns="0" rtlCol="0">
                          <a:noAutofit/>
                        </wps:bodyPr>
                      </wps:wsp>
                      <wps:wsp>
                        <wps:cNvPr id="10" name="Rectangle 10"/>
                        <wps:cNvSpPr/>
                        <wps:spPr>
                          <a:xfrm>
                            <a:off x="2717800" y="1519466"/>
                            <a:ext cx="2155477" cy="207575"/>
                          </a:xfrm>
                          <a:prstGeom prst="rect">
                            <a:avLst/>
                          </a:prstGeom>
                          <a:ln>
                            <a:noFill/>
                          </a:ln>
                        </wps:spPr>
                        <wps:txbx>
                          <w:txbxContent>
                            <w:p w:rsidR="00085BB7" w:rsidRDefault="004441D3">
                              <w:pPr>
                                <w:spacing w:after="160" w:line="259" w:lineRule="auto"/>
                                <w:ind w:left="0" w:right="0" w:firstLine="0"/>
                                <w:jc w:val="left"/>
                              </w:pPr>
                              <w:r>
                                <w:t>SEÑORES ASISTENTES:</w:t>
                              </w:r>
                            </w:p>
                          </w:txbxContent>
                        </wps:txbx>
                        <wps:bodyPr horzOverflow="overflow" vert="horz" lIns="0" tIns="0" rIns="0" bIns="0" rtlCol="0">
                          <a:noAutofit/>
                        </wps:bodyPr>
                      </wps:wsp>
                      <wps:wsp>
                        <wps:cNvPr id="11" name="Rectangle 11"/>
                        <wps:cNvSpPr/>
                        <wps:spPr>
                          <a:xfrm>
                            <a:off x="648970" y="2002066"/>
                            <a:ext cx="3911112" cy="207575"/>
                          </a:xfrm>
                          <a:prstGeom prst="rect">
                            <a:avLst/>
                          </a:prstGeom>
                          <a:ln>
                            <a:noFill/>
                          </a:ln>
                        </wps:spPr>
                        <wps:txbx>
                          <w:txbxContent>
                            <w:p w:rsidR="00085BB7" w:rsidRDefault="004441D3">
                              <w:pPr>
                                <w:spacing w:after="160" w:line="259" w:lineRule="auto"/>
                                <w:ind w:left="0" w:right="0" w:firstLine="0"/>
                                <w:jc w:val="left"/>
                              </w:pPr>
                              <w:r>
                                <w:t xml:space="preserve">                                        Alcaldesa-Presidenta: </w:t>
                              </w:r>
                            </w:p>
                          </w:txbxContent>
                        </wps:txbx>
                        <wps:bodyPr horzOverflow="overflow" vert="horz" lIns="0" tIns="0" rIns="0" bIns="0" rtlCol="0">
                          <a:noAutofit/>
                        </wps:bodyPr>
                      </wps:wsp>
                      <wps:wsp>
                        <wps:cNvPr id="12" name="Rectangle 12"/>
                        <wps:cNvSpPr/>
                        <wps:spPr>
                          <a:xfrm>
                            <a:off x="3592830" y="2002066"/>
                            <a:ext cx="2782742" cy="207575"/>
                          </a:xfrm>
                          <a:prstGeom prst="rect">
                            <a:avLst/>
                          </a:prstGeom>
                          <a:ln>
                            <a:noFill/>
                          </a:ln>
                        </wps:spPr>
                        <wps:txbx>
                          <w:txbxContent>
                            <w:p w:rsidR="00085BB7" w:rsidRDefault="004441D3">
                              <w:pPr>
                                <w:spacing w:after="160" w:line="259" w:lineRule="auto"/>
                                <w:ind w:left="0" w:right="0" w:firstLine="0"/>
                                <w:jc w:val="left"/>
                              </w:pPr>
                              <w:r>
                                <w:t>Dª María Concepción Brito Núñez</w:t>
                              </w:r>
                            </w:p>
                          </w:txbxContent>
                        </wps:txbx>
                        <wps:bodyPr horzOverflow="overflow" vert="horz" lIns="0" tIns="0" rIns="0" bIns="0" rtlCol="0">
                          <a:noAutofit/>
                        </wps:bodyPr>
                      </wps:wsp>
                      <wps:wsp>
                        <wps:cNvPr id="13" name="Rectangle 13"/>
                        <wps:cNvSpPr/>
                        <wps:spPr>
                          <a:xfrm>
                            <a:off x="648970" y="2475776"/>
                            <a:ext cx="2365804" cy="207575"/>
                          </a:xfrm>
                          <a:prstGeom prst="rect">
                            <a:avLst/>
                          </a:prstGeom>
                          <a:ln>
                            <a:noFill/>
                          </a:ln>
                        </wps:spPr>
                        <wps:txbx>
                          <w:txbxContent>
                            <w:p w:rsidR="00085BB7" w:rsidRDefault="004441D3">
                              <w:pPr>
                                <w:spacing w:after="160" w:line="259" w:lineRule="auto"/>
                                <w:ind w:left="0" w:right="0" w:firstLine="0"/>
                                <w:jc w:val="left"/>
                              </w:pPr>
                              <w:r>
                                <w:t xml:space="preserve">               Grupo Socialista</w:t>
                              </w:r>
                            </w:p>
                          </w:txbxContent>
                        </wps:txbx>
                        <wps:bodyPr horzOverflow="overflow" vert="horz" lIns="0" tIns="0" rIns="0" bIns="0" rtlCol="0">
                          <a:noAutofit/>
                        </wps:bodyPr>
                      </wps:wsp>
                      <wps:wsp>
                        <wps:cNvPr id="120989" name="Rectangle 120989"/>
                        <wps:cNvSpPr/>
                        <wps:spPr>
                          <a:xfrm>
                            <a:off x="2433320" y="2475776"/>
                            <a:ext cx="51467" cy="207575"/>
                          </a:xfrm>
                          <a:prstGeom prst="rect">
                            <a:avLst/>
                          </a:prstGeom>
                          <a:ln>
                            <a:noFill/>
                          </a:ln>
                        </wps:spPr>
                        <wps:txbx>
                          <w:txbxContent>
                            <w:p w:rsidR="00085BB7" w:rsidRDefault="004441D3">
                              <w:pPr>
                                <w:spacing w:after="160" w:line="259" w:lineRule="auto"/>
                                <w:ind w:left="0" w:right="0" w:firstLine="0"/>
                                <w:jc w:val="left"/>
                              </w:pPr>
                              <w:r>
                                <w:t>:</w:t>
                              </w:r>
                            </w:p>
                          </w:txbxContent>
                        </wps:txbx>
                        <wps:bodyPr horzOverflow="overflow" vert="horz" lIns="0" tIns="0" rIns="0" bIns="0" rtlCol="0">
                          <a:noAutofit/>
                        </wps:bodyPr>
                      </wps:wsp>
                      <wps:wsp>
                        <wps:cNvPr id="120994" name="Rectangle 120994"/>
                        <wps:cNvSpPr/>
                        <wps:spPr>
                          <a:xfrm>
                            <a:off x="2482774" y="247577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5" name="Rectangle 15"/>
                        <wps:cNvSpPr/>
                        <wps:spPr>
                          <a:xfrm>
                            <a:off x="2522220" y="2475776"/>
                            <a:ext cx="5160808" cy="207575"/>
                          </a:xfrm>
                          <a:prstGeom prst="rect">
                            <a:avLst/>
                          </a:prstGeom>
                          <a:ln>
                            <a:noFill/>
                          </a:ln>
                        </wps:spPr>
                        <wps:txbx>
                          <w:txbxContent>
                            <w:p w:rsidR="00085BB7" w:rsidRDefault="004441D3">
                              <w:pPr>
                                <w:spacing w:after="160" w:line="259" w:lineRule="auto"/>
                                <w:ind w:left="0" w:right="0" w:firstLine="0"/>
                                <w:jc w:val="left"/>
                              </w:pPr>
                              <w:r>
                                <w:t>Don Jorge Baute Delgado, Don José Francisco Pinto Ramos,</w:t>
                              </w:r>
                            </w:p>
                          </w:txbxContent>
                        </wps:txbx>
                        <wps:bodyPr horzOverflow="overflow" vert="horz" lIns="0" tIns="0" rIns="0" bIns="0" rtlCol="0">
                          <a:noAutofit/>
                        </wps:bodyPr>
                      </wps:wsp>
                      <wps:wsp>
                        <wps:cNvPr id="16" name="Rectangle 16"/>
                        <wps:cNvSpPr/>
                        <wps:spPr>
                          <a:xfrm>
                            <a:off x="6407150" y="247577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648970" y="2635797"/>
                            <a:ext cx="7647384" cy="207575"/>
                          </a:xfrm>
                          <a:prstGeom prst="rect">
                            <a:avLst/>
                          </a:prstGeom>
                          <a:ln>
                            <a:noFill/>
                          </a:ln>
                        </wps:spPr>
                        <wps:txbx>
                          <w:txbxContent>
                            <w:p w:rsidR="00085BB7" w:rsidRDefault="004441D3">
                              <w:pPr>
                                <w:spacing w:after="160" w:line="259" w:lineRule="auto"/>
                                <w:ind w:left="0" w:right="0" w:firstLine="0"/>
                                <w:jc w:val="left"/>
                              </w:pPr>
                              <w:r>
                                <w:t>Doña Olivia Concepción Pérez Díaz, Don Reinaldo José Triviño Blanco, Don Manuel Alberto</w:t>
                              </w:r>
                            </w:p>
                          </w:txbxContent>
                        </wps:txbx>
                        <wps:bodyPr horzOverflow="overflow" vert="horz" lIns="0" tIns="0" rIns="0" bIns="0" rtlCol="0">
                          <a:noAutofit/>
                        </wps:bodyPr>
                      </wps:wsp>
                      <wps:wsp>
                        <wps:cNvPr id="18" name="Rectangle 18"/>
                        <wps:cNvSpPr/>
                        <wps:spPr>
                          <a:xfrm>
                            <a:off x="6407150" y="2635797"/>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9" name="Rectangle 19"/>
                        <wps:cNvSpPr/>
                        <wps:spPr>
                          <a:xfrm>
                            <a:off x="648970" y="2797086"/>
                            <a:ext cx="7646082" cy="207575"/>
                          </a:xfrm>
                          <a:prstGeom prst="rect">
                            <a:avLst/>
                          </a:prstGeom>
                          <a:ln>
                            <a:noFill/>
                          </a:ln>
                        </wps:spPr>
                        <wps:txbx>
                          <w:txbxContent>
                            <w:p w:rsidR="00085BB7" w:rsidRDefault="004441D3">
                              <w:pPr>
                                <w:spacing w:after="160" w:line="259" w:lineRule="auto"/>
                                <w:ind w:left="0" w:right="0" w:firstLine="0"/>
                                <w:jc w:val="left"/>
                              </w:pPr>
                              <w:r>
                                <w:t>González Pestano, Doña Margarita Eva Tendero Barroso, Don Airam Pérez Chinea, Doña</w:t>
                              </w:r>
                            </w:p>
                          </w:txbxContent>
                        </wps:txbx>
                        <wps:bodyPr horzOverflow="overflow" vert="horz" lIns="0" tIns="0" rIns="0" bIns="0" rtlCol="0">
                          <a:noAutofit/>
                        </wps:bodyPr>
                      </wps:wsp>
                      <wps:wsp>
                        <wps:cNvPr id="20" name="Rectangle 20"/>
                        <wps:cNvSpPr/>
                        <wps:spPr>
                          <a:xfrm>
                            <a:off x="6407150" y="279708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21" name="Rectangle 21"/>
                        <wps:cNvSpPr/>
                        <wps:spPr>
                          <a:xfrm>
                            <a:off x="648970" y="2957106"/>
                            <a:ext cx="7645712" cy="207575"/>
                          </a:xfrm>
                          <a:prstGeom prst="rect">
                            <a:avLst/>
                          </a:prstGeom>
                          <a:ln>
                            <a:noFill/>
                          </a:ln>
                        </wps:spPr>
                        <wps:txbx>
                          <w:txbxContent>
                            <w:p w:rsidR="00085BB7" w:rsidRDefault="004441D3">
                              <w:pPr>
                                <w:spacing w:after="160" w:line="259" w:lineRule="auto"/>
                                <w:ind w:left="0" w:right="0" w:firstLine="0"/>
                                <w:jc w:val="left"/>
                              </w:pPr>
                              <w:r>
                                <w:t>María del Carmen Clemente Díaz, Don Olegario Francisco Alonso Bello, Doña Mónica</w:t>
                              </w:r>
                            </w:p>
                          </w:txbxContent>
                        </wps:txbx>
                        <wps:bodyPr horzOverflow="overflow" vert="horz" lIns="0" tIns="0" rIns="0" bIns="0" rtlCol="0">
                          <a:noAutofit/>
                        </wps:bodyPr>
                      </wps:wsp>
                      <wps:wsp>
                        <wps:cNvPr id="22" name="Rectangle 22"/>
                        <wps:cNvSpPr/>
                        <wps:spPr>
                          <a:xfrm>
                            <a:off x="6407150" y="295710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23" name="Rectangle 23"/>
                        <wps:cNvSpPr/>
                        <wps:spPr>
                          <a:xfrm>
                            <a:off x="648970" y="3118396"/>
                            <a:ext cx="2192823" cy="207575"/>
                          </a:xfrm>
                          <a:prstGeom prst="rect">
                            <a:avLst/>
                          </a:prstGeom>
                          <a:ln>
                            <a:noFill/>
                          </a:ln>
                        </wps:spPr>
                        <wps:txbx>
                          <w:txbxContent>
                            <w:p w:rsidR="00085BB7" w:rsidRDefault="004441D3">
                              <w:pPr>
                                <w:spacing w:after="160" w:line="259" w:lineRule="auto"/>
                                <w:ind w:left="0" w:right="0" w:firstLine="0"/>
                                <w:jc w:val="left"/>
                              </w:pPr>
                              <w:r>
                                <w:t>Monserrat Yanes Delgado.</w:t>
                              </w:r>
                            </w:p>
                          </w:txbxContent>
                        </wps:txbx>
                        <wps:bodyPr horzOverflow="overflow" vert="horz" lIns="0" tIns="0" rIns="0" bIns="0" rtlCol="0">
                          <a:noAutofit/>
                        </wps:bodyPr>
                      </wps:wsp>
                      <wps:wsp>
                        <wps:cNvPr id="24" name="Rectangle 24"/>
                        <wps:cNvSpPr/>
                        <wps:spPr>
                          <a:xfrm>
                            <a:off x="648970" y="3675926"/>
                            <a:ext cx="2140985" cy="207575"/>
                          </a:xfrm>
                          <a:prstGeom prst="rect">
                            <a:avLst/>
                          </a:prstGeom>
                          <a:ln>
                            <a:noFill/>
                          </a:ln>
                        </wps:spPr>
                        <wps:txbx>
                          <w:txbxContent>
                            <w:p w:rsidR="00085BB7" w:rsidRDefault="004441D3">
                              <w:pPr>
                                <w:spacing w:after="160" w:line="259" w:lineRule="auto"/>
                                <w:ind w:left="0" w:right="0" w:firstLine="0"/>
                                <w:jc w:val="left"/>
                              </w:pPr>
                              <w:r>
                                <w:t xml:space="preserve">               Grupo Popular: </w:t>
                              </w:r>
                            </w:p>
                          </w:txbxContent>
                        </wps:txbx>
                        <wps:bodyPr horzOverflow="overflow" vert="horz" lIns="0" tIns="0" rIns="0" bIns="0" rtlCol="0">
                          <a:noAutofit/>
                        </wps:bodyPr>
                      </wps:wsp>
                      <wps:wsp>
                        <wps:cNvPr id="25" name="Rectangle 25"/>
                        <wps:cNvSpPr/>
                        <wps:spPr>
                          <a:xfrm>
                            <a:off x="2272030" y="3675926"/>
                            <a:ext cx="5490234" cy="207575"/>
                          </a:xfrm>
                          <a:prstGeom prst="rect">
                            <a:avLst/>
                          </a:prstGeom>
                          <a:ln>
                            <a:noFill/>
                          </a:ln>
                        </wps:spPr>
                        <wps:txbx>
                          <w:txbxContent>
                            <w:p w:rsidR="00085BB7" w:rsidRDefault="004441D3">
                              <w:pPr>
                                <w:spacing w:after="160" w:line="259" w:lineRule="auto"/>
                                <w:ind w:left="0" w:right="0" w:firstLine="0"/>
                                <w:jc w:val="left"/>
                              </w:pPr>
                              <w:r>
                                <w:t>Don Jacobo López Fariña, Doña Raquel Martín Castro, Don David</w:t>
                              </w:r>
                            </w:p>
                          </w:txbxContent>
                        </wps:txbx>
                        <wps:bodyPr horzOverflow="overflow" vert="horz" lIns="0" tIns="0" rIns="0" bIns="0" rtlCol="0">
                          <a:noAutofit/>
                        </wps:bodyPr>
                      </wps:wsp>
                      <wps:wsp>
                        <wps:cNvPr id="26" name="Rectangle 26"/>
                        <wps:cNvSpPr/>
                        <wps:spPr>
                          <a:xfrm>
                            <a:off x="6407150" y="367592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27" name="Rectangle 27"/>
                        <wps:cNvSpPr/>
                        <wps:spPr>
                          <a:xfrm>
                            <a:off x="648970" y="3837216"/>
                            <a:ext cx="7649984" cy="207575"/>
                          </a:xfrm>
                          <a:prstGeom prst="rect">
                            <a:avLst/>
                          </a:prstGeom>
                          <a:ln>
                            <a:noFill/>
                          </a:ln>
                        </wps:spPr>
                        <wps:txbx>
                          <w:txbxContent>
                            <w:p w:rsidR="00085BB7" w:rsidRDefault="004441D3">
                              <w:pPr>
                                <w:spacing w:after="160" w:line="259" w:lineRule="auto"/>
                                <w:ind w:left="0" w:right="0" w:firstLine="0"/>
                                <w:jc w:val="left"/>
                              </w:pPr>
                              <w:r>
                                <w:t>Crego Cháves, Doña María Carlota Díaz González, Don José Daniel Sosa González, y Doña</w:t>
                              </w:r>
                            </w:p>
                          </w:txbxContent>
                        </wps:txbx>
                        <wps:bodyPr horzOverflow="overflow" vert="horz" lIns="0" tIns="0" rIns="0" bIns="0" rtlCol="0">
                          <a:noAutofit/>
                        </wps:bodyPr>
                      </wps:wsp>
                      <wps:wsp>
                        <wps:cNvPr id="28" name="Rectangle 28"/>
                        <wps:cNvSpPr/>
                        <wps:spPr>
                          <a:xfrm>
                            <a:off x="6407150" y="383721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29" name="Rectangle 29"/>
                        <wps:cNvSpPr/>
                        <wps:spPr>
                          <a:xfrm>
                            <a:off x="648970" y="3997236"/>
                            <a:ext cx="2116645" cy="207575"/>
                          </a:xfrm>
                          <a:prstGeom prst="rect">
                            <a:avLst/>
                          </a:prstGeom>
                          <a:ln>
                            <a:noFill/>
                          </a:ln>
                        </wps:spPr>
                        <wps:txbx>
                          <w:txbxContent>
                            <w:p w:rsidR="00085BB7" w:rsidRDefault="004441D3">
                              <w:pPr>
                                <w:spacing w:after="160" w:line="259" w:lineRule="auto"/>
                                <w:ind w:left="0" w:right="0" w:firstLine="0"/>
                                <w:jc w:val="left"/>
                              </w:pPr>
                              <w:r>
                                <w:t>Shaila Castellano Batista.</w:t>
                              </w:r>
                            </w:p>
                          </w:txbxContent>
                        </wps:txbx>
                        <wps:bodyPr horzOverflow="overflow" vert="horz" lIns="0" tIns="0" rIns="0" bIns="0" rtlCol="0">
                          <a:noAutofit/>
                        </wps:bodyPr>
                      </wps:wsp>
                      <wps:wsp>
                        <wps:cNvPr id="30" name="Rectangle 30"/>
                        <wps:cNvSpPr/>
                        <wps:spPr>
                          <a:xfrm>
                            <a:off x="648970" y="4318546"/>
                            <a:ext cx="1983054" cy="207575"/>
                          </a:xfrm>
                          <a:prstGeom prst="rect">
                            <a:avLst/>
                          </a:prstGeom>
                          <a:ln>
                            <a:noFill/>
                          </a:ln>
                        </wps:spPr>
                        <wps:txbx>
                          <w:txbxContent>
                            <w:p w:rsidR="00085BB7" w:rsidRDefault="004441D3">
                              <w:pPr>
                                <w:spacing w:after="160" w:line="259" w:lineRule="auto"/>
                                <w:ind w:left="0" w:right="0" w:firstLine="0"/>
                                <w:jc w:val="left"/>
                              </w:pPr>
                              <w:r>
                                <w:t xml:space="preserve">               Grupo Mixto:</w:t>
                              </w:r>
                            </w:p>
                          </w:txbxContent>
                        </wps:txbx>
                        <wps:bodyPr horzOverflow="overflow" vert="horz" lIns="0" tIns="0" rIns="0" bIns="0" rtlCol="0">
                          <a:noAutofit/>
                        </wps:bodyPr>
                      </wps:wsp>
                      <wps:wsp>
                        <wps:cNvPr id="31" name="Rectangle 31"/>
                        <wps:cNvSpPr/>
                        <wps:spPr>
                          <a:xfrm>
                            <a:off x="2148840" y="4318546"/>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32" name="Rectangle 32"/>
                        <wps:cNvSpPr/>
                        <wps:spPr>
                          <a:xfrm>
                            <a:off x="2194560" y="4318546"/>
                            <a:ext cx="5592426" cy="207575"/>
                          </a:xfrm>
                          <a:prstGeom prst="rect">
                            <a:avLst/>
                          </a:prstGeom>
                          <a:ln>
                            <a:noFill/>
                          </a:ln>
                        </wps:spPr>
                        <wps:txbx>
                          <w:txbxContent>
                            <w:p w:rsidR="00085BB7" w:rsidRDefault="004441D3">
                              <w:pPr>
                                <w:spacing w:after="160" w:line="259" w:lineRule="auto"/>
                                <w:ind w:left="0" w:right="0" w:firstLine="0"/>
                                <w:jc w:val="left"/>
                              </w:pPr>
                              <w:r>
                                <w:t>Doña Ángela Cruz Perera y Don Emilio Jesús Atienzar Armas (CC-</w:t>
                              </w:r>
                            </w:p>
                          </w:txbxContent>
                        </wps:txbx>
                        <wps:bodyPr horzOverflow="overflow" vert="horz" lIns="0" tIns="0" rIns="0" bIns="0" rtlCol="0">
                          <a:noAutofit/>
                        </wps:bodyPr>
                      </wps:wsp>
                      <wps:wsp>
                        <wps:cNvPr id="33" name="Rectangle 33"/>
                        <wps:cNvSpPr/>
                        <wps:spPr>
                          <a:xfrm>
                            <a:off x="648970" y="4479836"/>
                            <a:ext cx="608313" cy="207575"/>
                          </a:xfrm>
                          <a:prstGeom prst="rect">
                            <a:avLst/>
                          </a:prstGeom>
                          <a:ln>
                            <a:noFill/>
                          </a:ln>
                        </wps:spPr>
                        <wps:txbx>
                          <w:txbxContent>
                            <w:p w:rsidR="00085BB7" w:rsidRDefault="004441D3">
                              <w:pPr>
                                <w:spacing w:after="160" w:line="259" w:lineRule="auto"/>
                                <w:ind w:left="0" w:right="0" w:firstLine="0"/>
                                <w:jc w:val="left"/>
                              </w:pPr>
                              <w:r>
                                <w:t xml:space="preserve">PNC),  </w:t>
                              </w:r>
                            </w:p>
                          </w:txbxContent>
                        </wps:txbx>
                        <wps:bodyPr horzOverflow="overflow" vert="horz" lIns="0" tIns="0" rIns="0" bIns="0" rtlCol="0">
                          <a:noAutofit/>
                        </wps:bodyPr>
                      </wps:wsp>
                      <wps:wsp>
                        <wps:cNvPr id="34" name="Rectangle 34"/>
                        <wps:cNvSpPr/>
                        <wps:spPr>
                          <a:xfrm>
                            <a:off x="648970" y="4716057"/>
                            <a:ext cx="5457161" cy="207575"/>
                          </a:xfrm>
                          <a:prstGeom prst="rect">
                            <a:avLst/>
                          </a:prstGeom>
                          <a:ln>
                            <a:noFill/>
                          </a:ln>
                        </wps:spPr>
                        <wps:txbx>
                          <w:txbxContent>
                            <w:p w:rsidR="00085BB7" w:rsidRDefault="004441D3">
                              <w:pPr>
                                <w:spacing w:after="160" w:line="259" w:lineRule="auto"/>
                                <w:ind w:left="0" w:right="0" w:firstLine="0"/>
                                <w:jc w:val="left"/>
                              </w:pPr>
                              <w:r>
                                <w:t xml:space="preserve">Don José Fierros Sierra (USP), Don José Tortosa Pallarés (VOX). </w:t>
                              </w:r>
                            </w:p>
                          </w:txbxContent>
                        </wps:txbx>
                        <wps:bodyPr horzOverflow="overflow" vert="horz" lIns="0" tIns="0" rIns="0" bIns="0" rtlCol="0">
                          <a:noAutofit/>
                        </wps:bodyPr>
                      </wps:wsp>
                      <wps:wsp>
                        <wps:cNvPr id="35" name="Rectangle 35"/>
                        <wps:cNvSpPr/>
                        <wps:spPr>
                          <a:xfrm>
                            <a:off x="648970" y="5351057"/>
                            <a:ext cx="2486761" cy="207575"/>
                          </a:xfrm>
                          <a:prstGeom prst="rect">
                            <a:avLst/>
                          </a:prstGeom>
                          <a:ln>
                            <a:noFill/>
                          </a:ln>
                        </wps:spPr>
                        <wps:txbx>
                          <w:txbxContent>
                            <w:p w:rsidR="00085BB7" w:rsidRDefault="004441D3">
                              <w:pPr>
                                <w:spacing w:after="160" w:line="259" w:lineRule="auto"/>
                                <w:ind w:left="0" w:right="0" w:firstLine="0"/>
                                <w:jc w:val="left"/>
                              </w:pPr>
                              <w:r>
                                <w:t xml:space="preserve">                Secretario General: </w:t>
                              </w:r>
                            </w:p>
                          </w:txbxContent>
                        </wps:txbx>
                        <wps:bodyPr horzOverflow="overflow" vert="horz" lIns="0" tIns="0" rIns="0" bIns="0" rtlCol="0">
                          <a:noAutofit/>
                        </wps:bodyPr>
                      </wps:wsp>
                      <wps:wsp>
                        <wps:cNvPr id="36" name="Rectangle 36"/>
                        <wps:cNvSpPr/>
                        <wps:spPr>
                          <a:xfrm>
                            <a:off x="2520950" y="5351057"/>
                            <a:ext cx="184872" cy="207575"/>
                          </a:xfrm>
                          <a:prstGeom prst="rect">
                            <a:avLst/>
                          </a:prstGeom>
                          <a:ln>
                            <a:noFill/>
                          </a:ln>
                        </wps:spPr>
                        <wps:txbx>
                          <w:txbxContent>
                            <w:p w:rsidR="00085BB7" w:rsidRDefault="004441D3">
                              <w:pPr>
                                <w:spacing w:after="160" w:line="259" w:lineRule="auto"/>
                                <w:ind w:left="0" w:right="0" w:firstLine="0"/>
                                <w:jc w:val="left"/>
                              </w:pPr>
                              <w:r>
                                <w:t>D.</w:t>
                              </w:r>
                            </w:p>
                          </w:txbxContent>
                        </wps:txbx>
                        <wps:bodyPr horzOverflow="overflow" vert="horz" lIns="0" tIns="0" rIns="0" bIns="0" rtlCol="0">
                          <a:noAutofit/>
                        </wps:bodyPr>
                      </wps:wsp>
                      <wps:wsp>
                        <wps:cNvPr id="37" name="Rectangle 37"/>
                        <wps:cNvSpPr/>
                        <wps:spPr>
                          <a:xfrm>
                            <a:off x="2660650" y="5351057"/>
                            <a:ext cx="3242599" cy="207575"/>
                          </a:xfrm>
                          <a:prstGeom prst="rect">
                            <a:avLst/>
                          </a:prstGeom>
                          <a:ln>
                            <a:noFill/>
                          </a:ln>
                        </wps:spPr>
                        <wps:txbx>
                          <w:txbxContent>
                            <w:p w:rsidR="00085BB7" w:rsidRDefault="004441D3">
                              <w:pPr>
                                <w:spacing w:after="160" w:line="259" w:lineRule="auto"/>
                                <w:ind w:left="0" w:right="0" w:firstLine="0"/>
                                <w:jc w:val="left"/>
                              </w:pPr>
                              <w:r>
                                <w:t xml:space="preserve"> Octavio Manuel Fernández Hernández</w:t>
                              </w:r>
                            </w:p>
                          </w:txbxContent>
                        </wps:txbx>
                        <wps:bodyPr horzOverflow="overflow" vert="horz" lIns="0" tIns="0" rIns="0" bIns="0" rtlCol="0">
                          <a:noAutofit/>
                        </wps:bodyPr>
                      </wps:wsp>
                      <wps:wsp>
                        <wps:cNvPr id="38" name="Rectangle 38"/>
                        <wps:cNvSpPr/>
                        <wps:spPr>
                          <a:xfrm>
                            <a:off x="648970" y="5672366"/>
                            <a:ext cx="1868972" cy="207575"/>
                          </a:xfrm>
                          <a:prstGeom prst="rect">
                            <a:avLst/>
                          </a:prstGeom>
                          <a:ln>
                            <a:noFill/>
                          </a:ln>
                        </wps:spPr>
                        <wps:txbx>
                          <w:txbxContent>
                            <w:p w:rsidR="00085BB7" w:rsidRDefault="004441D3">
                              <w:pPr>
                                <w:spacing w:after="160" w:line="259" w:lineRule="auto"/>
                                <w:ind w:left="0" w:right="0" w:firstLine="0"/>
                                <w:jc w:val="left"/>
                              </w:pPr>
                              <w:r>
                                <w:t xml:space="preserve">                Interventor:  </w:t>
                              </w:r>
                            </w:p>
                          </w:txbxContent>
                        </wps:txbx>
                        <wps:bodyPr horzOverflow="overflow" vert="horz" lIns="0" tIns="0" rIns="0" bIns="0" rtlCol="0">
                          <a:noAutofit/>
                        </wps:bodyPr>
                      </wps:wsp>
                      <wps:wsp>
                        <wps:cNvPr id="39" name="Rectangle 39"/>
                        <wps:cNvSpPr/>
                        <wps:spPr>
                          <a:xfrm>
                            <a:off x="2054860" y="5672366"/>
                            <a:ext cx="1980267" cy="207575"/>
                          </a:xfrm>
                          <a:prstGeom prst="rect">
                            <a:avLst/>
                          </a:prstGeom>
                          <a:ln>
                            <a:noFill/>
                          </a:ln>
                        </wps:spPr>
                        <wps:txbx>
                          <w:txbxContent>
                            <w:p w:rsidR="00085BB7" w:rsidRDefault="004441D3">
                              <w:pPr>
                                <w:spacing w:after="160" w:line="259" w:lineRule="auto"/>
                                <w:ind w:left="0" w:right="0" w:firstLine="0"/>
                                <w:jc w:val="left"/>
                              </w:pPr>
                              <w:r>
                                <w:t>D. Nicolás Rojo Garnica</w:t>
                              </w:r>
                            </w:p>
                          </w:txbxContent>
                        </wps:txbx>
                        <wps:bodyPr horzOverflow="overflow" vert="horz" lIns="0" tIns="0" rIns="0" bIns="0" rtlCol="0">
                          <a:noAutofit/>
                        </wps:bodyPr>
                      </wps:wsp>
                      <wps:wsp>
                        <wps:cNvPr id="57" name="Shape 57"/>
                        <wps:cNvSpPr/>
                        <wps:spPr>
                          <a:xfrm>
                            <a:off x="652145" y="362598"/>
                            <a:ext cx="6057900" cy="0"/>
                          </a:xfrm>
                          <a:custGeom>
                            <a:avLst/>
                            <a:gdLst/>
                            <a:ahLst/>
                            <a:cxnLst/>
                            <a:rect l="0" t="0" r="0" b="0"/>
                            <a:pathLst>
                              <a:path w="6057900">
                                <a:moveTo>
                                  <a:pt x="0" y="0"/>
                                </a:moveTo>
                                <a:lnTo>
                                  <a:pt x="6057900"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s:wsp>
                        <wps:cNvPr id="63" name="Shape 63"/>
                        <wps:cNvSpPr/>
                        <wps:spPr>
                          <a:xfrm>
                            <a:off x="0" y="0"/>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64" name="Shape 64"/>
                        <wps:cNvSpPr/>
                        <wps:spPr>
                          <a:xfrm>
                            <a:off x="0" y="2992501"/>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121249" style="width:528.35pt;height:466.26pt;position:absolute;mso-position-horizontal-relative:text;mso-position-horizontal:absolute;margin-left:-14.3632pt;mso-position-vertical-relative:text;margin-top:-497.243pt;" coordsize="67100,59215">
                <v:rect id="Rectangle 6" style="position:absolute;width:15822;height:2264;left:25666;top:741;" filled="f" stroked="f">
                  <v:textbox inset="0,0,0,0">
                    <w:txbxContent>
                      <w:p>
                        <w:pPr>
                          <w:spacing w:before="0" w:after="160" w:line="259" w:lineRule="auto"/>
                          <w:ind w:left="0" w:right="0" w:firstLine="0"/>
                          <w:jc w:val="left"/>
                        </w:pPr>
                        <w:r>
                          <w:rPr>
                            <w:sz w:val="24"/>
                          </w:rPr>
                          <w:t xml:space="preserve">                   ACTA</w:t>
                        </w:r>
                      </w:p>
                    </w:txbxContent>
                  </v:textbox>
                </v:rect>
                <v:rect id="Rectangle 7" style="position:absolute;width:57293;height:2075;left:13728;top:7460;" filled="f" stroked="f">
                  <v:textbox inset="0,0,0,0">
                    <w:txbxContent>
                      <w:p>
                        <w:pPr>
                          <w:spacing w:before="0" w:after="160" w:line="259" w:lineRule="auto"/>
                          <w:ind w:left="0" w:right="0" w:firstLine="0"/>
                          <w:jc w:val="left"/>
                        </w:pPr>
                        <w:r>
                          <w:rPr/>
                          <w:t xml:space="preserve">DE LA SESIÓN ORDINARIA CELEBRADA POR EL AYUNTAMIENTO</w:t>
                        </w:r>
                      </w:p>
                    </w:txbxContent>
                  </v:textbox>
                </v:rect>
                <v:rect id="Rectangle 8" style="position:absolute;width:6291;height:2075;left:32918;top:9060;" filled="f" stroked="f">
                  <v:textbox inset="0,0,0,0">
                    <w:txbxContent>
                      <w:p>
                        <w:pPr>
                          <w:spacing w:before="0" w:after="160" w:line="259" w:lineRule="auto"/>
                          <w:ind w:left="0" w:right="0" w:firstLine="0"/>
                          <w:jc w:val="left"/>
                        </w:pPr>
                        <w:r>
                          <w:rPr/>
                          <w:t xml:space="preserve">PLENO</w:t>
                        </w:r>
                      </w:p>
                    </w:txbxContent>
                  </v:textbox>
                </v:rect>
                <v:rect id="Rectangle 9" style="position:absolute;width:48906;height:2075;left:16891;top:10673;" filled="f" stroked="f">
                  <v:textbox inset="0,0,0,0">
                    <w:txbxContent>
                      <w:p>
                        <w:pPr>
                          <w:spacing w:before="0" w:after="160" w:line="259" w:lineRule="auto"/>
                          <w:ind w:left="0" w:right="0" w:firstLine="0"/>
                          <w:jc w:val="left"/>
                        </w:pPr>
                        <w:r>
                          <w:rPr/>
                          <w:t xml:space="preserve">EL DÍA 26 DE SEPTIEMBRE DE 2024. SESIÓN Nº10/2024</w:t>
                        </w:r>
                      </w:p>
                    </w:txbxContent>
                  </v:textbox>
                </v:rect>
                <v:rect id="Rectangle 10" style="position:absolute;width:21554;height:2075;left:27178;top:15194;" filled="f" stroked="f">
                  <v:textbox inset="0,0,0,0">
                    <w:txbxContent>
                      <w:p>
                        <w:pPr>
                          <w:spacing w:before="0" w:after="160" w:line="259" w:lineRule="auto"/>
                          <w:ind w:left="0" w:right="0" w:firstLine="0"/>
                          <w:jc w:val="left"/>
                        </w:pPr>
                        <w:r>
                          <w:rPr/>
                          <w:t xml:space="preserve">SEÑORES ASISTENTES:</w:t>
                        </w:r>
                      </w:p>
                    </w:txbxContent>
                  </v:textbox>
                </v:rect>
                <v:rect id="Rectangle 11" style="position:absolute;width:39111;height:2075;left:6489;top:20020;" filled="f" stroked="f">
                  <v:textbox inset="0,0,0,0">
                    <w:txbxContent>
                      <w:p>
                        <w:pPr>
                          <w:spacing w:before="0" w:after="160" w:line="259" w:lineRule="auto"/>
                          <w:ind w:left="0" w:right="0" w:firstLine="0"/>
                          <w:jc w:val="left"/>
                        </w:pPr>
                        <w:r>
                          <w:rPr/>
                          <w:t xml:space="preserve">                                        Alcaldesa-Presidenta: </w:t>
                        </w:r>
                      </w:p>
                    </w:txbxContent>
                  </v:textbox>
                </v:rect>
                <v:rect id="Rectangle 12" style="position:absolute;width:27827;height:2075;left:35928;top:20020;" filled="f" stroked="f">
                  <v:textbox inset="0,0,0,0">
                    <w:txbxContent>
                      <w:p>
                        <w:pPr>
                          <w:spacing w:before="0" w:after="160" w:line="259" w:lineRule="auto"/>
                          <w:ind w:left="0" w:right="0" w:firstLine="0"/>
                          <w:jc w:val="left"/>
                        </w:pPr>
                        <w:r>
                          <w:rPr/>
                          <w:t xml:space="preserve">Dª María Concepción Brito Núñez</w:t>
                        </w:r>
                      </w:p>
                    </w:txbxContent>
                  </v:textbox>
                </v:rect>
                <v:rect id="Rectangle 13" style="position:absolute;width:23658;height:2075;left:6489;top:24757;" filled="f" stroked="f">
                  <v:textbox inset="0,0,0,0">
                    <w:txbxContent>
                      <w:p>
                        <w:pPr>
                          <w:spacing w:before="0" w:after="160" w:line="259" w:lineRule="auto"/>
                          <w:ind w:left="0" w:right="0" w:firstLine="0"/>
                          <w:jc w:val="left"/>
                        </w:pPr>
                        <w:r>
                          <w:rPr/>
                          <w:t xml:space="preserve">               Grupo Socialista</w:t>
                        </w:r>
                      </w:p>
                    </w:txbxContent>
                  </v:textbox>
                </v:rect>
                <v:rect id="Rectangle 120989" style="position:absolute;width:514;height:2075;left:24333;top:24757;" filled="f" stroked="f">
                  <v:textbox inset="0,0,0,0">
                    <w:txbxContent>
                      <w:p>
                        <w:pPr>
                          <w:spacing w:before="0" w:after="160" w:line="259" w:lineRule="auto"/>
                          <w:ind w:left="0" w:right="0" w:firstLine="0"/>
                          <w:jc w:val="left"/>
                        </w:pPr>
                        <w:r>
                          <w:rPr/>
                          <w:t xml:space="preserve">:</w:t>
                        </w:r>
                      </w:p>
                    </w:txbxContent>
                  </v:textbox>
                </v:rect>
                <v:rect id="Rectangle 120994" style="position:absolute;width:514;height:2075;left:24827;top:24757;" filled="f" stroked="f">
                  <v:textbox inset="0,0,0,0">
                    <w:txbxContent>
                      <w:p>
                        <w:pPr>
                          <w:spacing w:before="0" w:after="160" w:line="259" w:lineRule="auto"/>
                          <w:ind w:left="0" w:right="0" w:firstLine="0"/>
                          <w:jc w:val="left"/>
                        </w:pPr>
                        <w:r>
                          <w:rPr/>
                          <w:t xml:space="preserve"> </w:t>
                        </w:r>
                      </w:p>
                    </w:txbxContent>
                  </v:textbox>
                </v:rect>
                <v:rect id="Rectangle 15" style="position:absolute;width:51608;height:2075;left:25222;top:24757;" filled="f" stroked="f">
                  <v:textbox inset="0,0,0,0">
                    <w:txbxContent>
                      <w:p>
                        <w:pPr>
                          <w:spacing w:before="0" w:after="160" w:line="259" w:lineRule="auto"/>
                          <w:ind w:left="0" w:right="0" w:firstLine="0"/>
                          <w:jc w:val="left"/>
                        </w:pPr>
                        <w:r>
                          <w:rPr/>
                          <w:t xml:space="preserve">Don Jorge Baute Delgado, Don José Francisco Pinto Ramos,</w:t>
                        </w:r>
                      </w:p>
                    </w:txbxContent>
                  </v:textbox>
                </v:rect>
                <v:rect id="Rectangle 16" style="position:absolute;width:514;height:2075;left:64071;top:24757;" filled="f" stroked="f">
                  <v:textbox inset="0,0,0,0">
                    <w:txbxContent>
                      <w:p>
                        <w:pPr>
                          <w:spacing w:before="0" w:after="160" w:line="259" w:lineRule="auto"/>
                          <w:ind w:left="0" w:right="0" w:firstLine="0"/>
                          <w:jc w:val="left"/>
                        </w:pPr>
                        <w:r>
                          <w:rPr/>
                          <w:t xml:space="preserve"> </w:t>
                        </w:r>
                      </w:p>
                    </w:txbxContent>
                  </v:textbox>
                </v:rect>
                <v:rect id="Rectangle 17" style="position:absolute;width:76473;height:2075;left:6489;top:26357;" filled="f" stroked="f">
                  <v:textbox inset="0,0,0,0">
                    <w:txbxContent>
                      <w:p>
                        <w:pPr>
                          <w:spacing w:before="0" w:after="160" w:line="259" w:lineRule="auto"/>
                          <w:ind w:left="0" w:right="0" w:firstLine="0"/>
                          <w:jc w:val="left"/>
                        </w:pPr>
                        <w:r>
                          <w:rPr/>
                          <w:t xml:space="preserve">Doña Olivia Concepción Pérez Díaz, Don Reinaldo José Triviño Blanco, Don Manuel Alberto</w:t>
                        </w:r>
                      </w:p>
                    </w:txbxContent>
                  </v:textbox>
                </v:rect>
                <v:rect id="Rectangle 18" style="position:absolute;width:514;height:2075;left:64071;top:26357;" filled="f" stroked="f">
                  <v:textbox inset="0,0,0,0">
                    <w:txbxContent>
                      <w:p>
                        <w:pPr>
                          <w:spacing w:before="0" w:after="160" w:line="259" w:lineRule="auto"/>
                          <w:ind w:left="0" w:right="0" w:firstLine="0"/>
                          <w:jc w:val="left"/>
                        </w:pPr>
                        <w:r>
                          <w:rPr/>
                          <w:t xml:space="preserve"> </w:t>
                        </w:r>
                      </w:p>
                    </w:txbxContent>
                  </v:textbox>
                </v:rect>
                <v:rect id="Rectangle 19" style="position:absolute;width:76460;height:2075;left:6489;top:27970;" filled="f" stroked="f">
                  <v:textbox inset="0,0,0,0">
                    <w:txbxContent>
                      <w:p>
                        <w:pPr>
                          <w:spacing w:before="0" w:after="160" w:line="259" w:lineRule="auto"/>
                          <w:ind w:left="0" w:right="0" w:firstLine="0"/>
                          <w:jc w:val="left"/>
                        </w:pPr>
                        <w:r>
                          <w:rPr/>
                          <w:t xml:space="preserve">González Pestano, Doña Margarita Eva Tendero Barroso, Don Airam Pérez Chinea, Doña</w:t>
                        </w:r>
                      </w:p>
                    </w:txbxContent>
                  </v:textbox>
                </v:rect>
                <v:rect id="Rectangle 20" style="position:absolute;width:514;height:2075;left:64071;top:27970;" filled="f" stroked="f">
                  <v:textbox inset="0,0,0,0">
                    <w:txbxContent>
                      <w:p>
                        <w:pPr>
                          <w:spacing w:before="0" w:after="160" w:line="259" w:lineRule="auto"/>
                          <w:ind w:left="0" w:right="0" w:firstLine="0"/>
                          <w:jc w:val="left"/>
                        </w:pPr>
                        <w:r>
                          <w:rPr/>
                          <w:t xml:space="preserve"> </w:t>
                        </w:r>
                      </w:p>
                    </w:txbxContent>
                  </v:textbox>
                </v:rect>
                <v:rect id="Rectangle 21" style="position:absolute;width:76457;height:2075;left:6489;top:29571;" filled="f" stroked="f">
                  <v:textbox inset="0,0,0,0">
                    <w:txbxContent>
                      <w:p>
                        <w:pPr>
                          <w:spacing w:before="0" w:after="160" w:line="259" w:lineRule="auto"/>
                          <w:ind w:left="0" w:right="0" w:firstLine="0"/>
                          <w:jc w:val="left"/>
                        </w:pPr>
                        <w:r>
                          <w:rPr/>
                          <w:t xml:space="preserve">María del Carmen Clemente Díaz, Don Olegario Francisco Alonso Bello, Doña Mónica</w:t>
                        </w:r>
                      </w:p>
                    </w:txbxContent>
                  </v:textbox>
                </v:rect>
                <v:rect id="Rectangle 22" style="position:absolute;width:514;height:2075;left:64071;top:29571;" filled="f" stroked="f">
                  <v:textbox inset="0,0,0,0">
                    <w:txbxContent>
                      <w:p>
                        <w:pPr>
                          <w:spacing w:before="0" w:after="160" w:line="259" w:lineRule="auto"/>
                          <w:ind w:left="0" w:right="0" w:firstLine="0"/>
                          <w:jc w:val="left"/>
                        </w:pPr>
                        <w:r>
                          <w:rPr/>
                          <w:t xml:space="preserve"> </w:t>
                        </w:r>
                      </w:p>
                    </w:txbxContent>
                  </v:textbox>
                </v:rect>
                <v:rect id="Rectangle 23" style="position:absolute;width:21928;height:2075;left:6489;top:31183;" filled="f" stroked="f">
                  <v:textbox inset="0,0,0,0">
                    <w:txbxContent>
                      <w:p>
                        <w:pPr>
                          <w:spacing w:before="0" w:after="160" w:line="259" w:lineRule="auto"/>
                          <w:ind w:left="0" w:right="0" w:firstLine="0"/>
                          <w:jc w:val="left"/>
                        </w:pPr>
                        <w:r>
                          <w:rPr/>
                          <w:t xml:space="preserve">Monserrat Yanes Delgado.</w:t>
                        </w:r>
                      </w:p>
                    </w:txbxContent>
                  </v:textbox>
                </v:rect>
                <v:rect id="Rectangle 24" style="position:absolute;width:21409;height:2075;left:6489;top:36759;" filled="f" stroked="f">
                  <v:textbox inset="0,0,0,0">
                    <w:txbxContent>
                      <w:p>
                        <w:pPr>
                          <w:spacing w:before="0" w:after="160" w:line="259" w:lineRule="auto"/>
                          <w:ind w:left="0" w:right="0" w:firstLine="0"/>
                          <w:jc w:val="left"/>
                        </w:pPr>
                        <w:r>
                          <w:rPr/>
                          <w:t xml:space="preserve">               Grupo Popular: </w:t>
                        </w:r>
                      </w:p>
                    </w:txbxContent>
                  </v:textbox>
                </v:rect>
                <v:rect id="Rectangle 25" style="position:absolute;width:54902;height:2075;left:22720;top:36759;" filled="f" stroked="f">
                  <v:textbox inset="0,0,0,0">
                    <w:txbxContent>
                      <w:p>
                        <w:pPr>
                          <w:spacing w:before="0" w:after="160" w:line="259" w:lineRule="auto"/>
                          <w:ind w:left="0" w:right="0" w:firstLine="0"/>
                          <w:jc w:val="left"/>
                        </w:pPr>
                        <w:r>
                          <w:rPr/>
                          <w:t xml:space="preserve">Don Jacobo López Fariña, Doña Raquel Martín Castro, Don David</w:t>
                        </w:r>
                      </w:p>
                    </w:txbxContent>
                  </v:textbox>
                </v:rect>
                <v:rect id="Rectangle 26" style="position:absolute;width:514;height:2075;left:64071;top:36759;" filled="f" stroked="f">
                  <v:textbox inset="0,0,0,0">
                    <w:txbxContent>
                      <w:p>
                        <w:pPr>
                          <w:spacing w:before="0" w:after="160" w:line="259" w:lineRule="auto"/>
                          <w:ind w:left="0" w:right="0" w:firstLine="0"/>
                          <w:jc w:val="left"/>
                        </w:pPr>
                        <w:r>
                          <w:rPr/>
                          <w:t xml:space="preserve"> </w:t>
                        </w:r>
                      </w:p>
                    </w:txbxContent>
                  </v:textbox>
                </v:rect>
                <v:rect id="Rectangle 27" style="position:absolute;width:76499;height:2075;left:6489;top:38372;" filled="f" stroked="f">
                  <v:textbox inset="0,0,0,0">
                    <w:txbxContent>
                      <w:p>
                        <w:pPr>
                          <w:spacing w:before="0" w:after="160" w:line="259" w:lineRule="auto"/>
                          <w:ind w:left="0" w:right="0" w:firstLine="0"/>
                          <w:jc w:val="left"/>
                        </w:pPr>
                        <w:r>
                          <w:rPr/>
                          <w:t xml:space="preserve">Crego Cháves, Doña María Carlota Díaz González, Don José Daniel Sosa González, y Doña</w:t>
                        </w:r>
                      </w:p>
                    </w:txbxContent>
                  </v:textbox>
                </v:rect>
                <v:rect id="Rectangle 28" style="position:absolute;width:514;height:2075;left:64071;top:38372;" filled="f" stroked="f">
                  <v:textbox inset="0,0,0,0">
                    <w:txbxContent>
                      <w:p>
                        <w:pPr>
                          <w:spacing w:before="0" w:after="160" w:line="259" w:lineRule="auto"/>
                          <w:ind w:left="0" w:right="0" w:firstLine="0"/>
                          <w:jc w:val="left"/>
                        </w:pPr>
                        <w:r>
                          <w:rPr/>
                          <w:t xml:space="preserve"> </w:t>
                        </w:r>
                      </w:p>
                    </w:txbxContent>
                  </v:textbox>
                </v:rect>
                <v:rect id="Rectangle 29" style="position:absolute;width:21166;height:2075;left:6489;top:39972;" filled="f" stroked="f">
                  <v:textbox inset="0,0,0,0">
                    <w:txbxContent>
                      <w:p>
                        <w:pPr>
                          <w:spacing w:before="0" w:after="160" w:line="259" w:lineRule="auto"/>
                          <w:ind w:left="0" w:right="0" w:firstLine="0"/>
                          <w:jc w:val="left"/>
                        </w:pPr>
                        <w:r>
                          <w:rPr/>
                          <w:t xml:space="preserve">Shaila Castellano Batista.</w:t>
                        </w:r>
                      </w:p>
                    </w:txbxContent>
                  </v:textbox>
                </v:rect>
                <v:rect id="Rectangle 30" style="position:absolute;width:19830;height:2075;left:6489;top:43185;" filled="f" stroked="f">
                  <v:textbox inset="0,0,0,0">
                    <w:txbxContent>
                      <w:p>
                        <w:pPr>
                          <w:spacing w:before="0" w:after="160" w:line="259" w:lineRule="auto"/>
                          <w:ind w:left="0" w:right="0" w:firstLine="0"/>
                          <w:jc w:val="left"/>
                        </w:pPr>
                        <w:r>
                          <w:rPr/>
                          <w:t xml:space="preserve">               Grupo Mixto:</w:t>
                        </w:r>
                      </w:p>
                    </w:txbxContent>
                  </v:textbox>
                </v:rect>
                <v:rect id="Rectangle 31" style="position:absolute;width:514;height:2075;left:21488;top:43185;" filled="f" stroked="f">
                  <v:textbox inset="0,0,0,0">
                    <w:txbxContent>
                      <w:p>
                        <w:pPr>
                          <w:spacing w:before="0" w:after="160" w:line="259" w:lineRule="auto"/>
                          <w:ind w:left="0" w:right="0" w:firstLine="0"/>
                          <w:jc w:val="left"/>
                        </w:pPr>
                        <w:r>
                          <w:rPr/>
                          <w:t xml:space="preserve"> </w:t>
                        </w:r>
                      </w:p>
                    </w:txbxContent>
                  </v:textbox>
                </v:rect>
                <v:rect id="Rectangle 32" style="position:absolute;width:55924;height:2075;left:21945;top:43185;" filled="f" stroked="f">
                  <v:textbox inset="0,0,0,0">
                    <w:txbxContent>
                      <w:p>
                        <w:pPr>
                          <w:spacing w:before="0" w:after="160" w:line="259" w:lineRule="auto"/>
                          <w:ind w:left="0" w:right="0" w:firstLine="0"/>
                          <w:jc w:val="left"/>
                        </w:pPr>
                        <w:r>
                          <w:rPr/>
                          <w:t xml:space="preserve">Doña Ángela Cruz Perera y Don Emilio Jesús Atienzar Armas (CC-</w:t>
                        </w:r>
                      </w:p>
                    </w:txbxContent>
                  </v:textbox>
                </v:rect>
                <v:rect id="Rectangle 33" style="position:absolute;width:6083;height:2075;left:6489;top:44798;" filled="f" stroked="f">
                  <v:textbox inset="0,0,0,0">
                    <w:txbxContent>
                      <w:p>
                        <w:pPr>
                          <w:spacing w:before="0" w:after="160" w:line="259" w:lineRule="auto"/>
                          <w:ind w:left="0" w:right="0" w:firstLine="0"/>
                          <w:jc w:val="left"/>
                        </w:pPr>
                        <w:r>
                          <w:rPr/>
                          <w:t xml:space="preserve">PNC),  </w:t>
                        </w:r>
                      </w:p>
                    </w:txbxContent>
                  </v:textbox>
                </v:rect>
                <v:rect id="Rectangle 34" style="position:absolute;width:54571;height:2075;left:6489;top:47160;" filled="f" stroked="f">
                  <v:textbox inset="0,0,0,0">
                    <w:txbxContent>
                      <w:p>
                        <w:pPr>
                          <w:spacing w:before="0" w:after="160" w:line="259" w:lineRule="auto"/>
                          <w:ind w:left="0" w:right="0" w:firstLine="0"/>
                          <w:jc w:val="left"/>
                        </w:pPr>
                        <w:r>
                          <w:rPr/>
                          <w:t xml:space="preserve">Don José Fierros Sierra (USP), Don José Tortosa Pallarés (VOX). </w:t>
                        </w:r>
                      </w:p>
                    </w:txbxContent>
                  </v:textbox>
                </v:rect>
                <v:rect id="Rectangle 35" style="position:absolute;width:24867;height:2075;left:6489;top:53510;" filled="f" stroked="f">
                  <v:textbox inset="0,0,0,0">
                    <w:txbxContent>
                      <w:p>
                        <w:pPr>
                          <w:spacing w:before="0" w:after="160" w:line="259" w:lineRule="auto"/>
                          <w:ind w:left="0" w:right="0" w:firstLine="0"/>
                          <w:jc w:val="left"/>
                        </w:pPr>
                        <w:r>
                          <w:rPr/>
                          <w:t xml:space="preserve">                Secretario General: </w:t>
                        </w:r>
                      </w:p>
                    </w:txbxContent>
                  </v:textbox>
                </v:rect>
                <v:rect id="Rectangle 36" style="position:absolute;width:1848;height:2075;left:25209;top:53510;" filled="f" stroked="f">
                  <v:textbox inset="0,0,0,0">
                    <w:txbxContent>
                      <w:p>
                        <w:pPr>
                          <w:spacing w:before="0" w:after="160" w:line="259" w:lineRule="auto"/>
                          <w:ind w:left="0" w:right="0" w:firstLine="0"/>
                          <w:jc w:val="left"/>
                        </w:pPr>
                        <w:r>
                          <w:rPr/>
                          <w:t xml:space="preserve">D.</w:t>
                        </w:r>
                      </w:p>
                    </w:txbxContent>
                  </v:textbox>
                </v:rect>
                <v:rect id="Rectangle 37" style="position:absolute;width:32425;height:2075;left:26606;top:53510;" filled="f" stroked="f">
                  <v:textbox inset="0,0,0,0">
                    <w:txbxContent>
                      <w:p>
                        <w:pPr>
                          <w:spacing w:before="0" w:after="160" w:line="259" w:lineRule="auto"/>
                          <w:ind w:left="0" w:right="0" w:firstLine="0"/>
                          <w:jc w:val="left"/>
                        </w:pPr>
                        <w:r>
                          <w:rPr/>
                          <w:t xml:space="preserve"> Octavio Manuel Fernández Hernández</w:t>
                        </w:r>
                      </w:p>
                    </w:txbxContent>
                  </v:textbox>
                </v:rect>
                <v:rect id="Rectangle 38" style="position:absolute;width:18689;height:2075;left:6489;top:56723;" filled="f" stroked="f">
                  <v:textbox inset="0,0,0,0">
                    <w:txbxContent>
                      <w:p>
                        <w:pPr>
                          <w:spacing w:before="0" w:after="160" w:line="259" w:lineRule="auto"/>
                          <w:ind w:left="0" w:right="0" w:firstLine="0"/>
                          <w:jc w:val="left"/>
                        </w:pPr>
                        <w:r>
                          <w:rPr/>
                          <w:t xml:space="preserve">                Interventor:  </w:t>
                        </w:r>
                      </w:p>
                    </w:txbxContent>
                  </v:textbox>
                </v:rect>
                <v:rect id="Rectangle 39" style="position:absolute;width:19802;height:2075;left:20548;top:56723;" filled="f" stroked="f">
                  <v:textbox inset="0,0,0,0">
                    <w:txbxContent>
                      <w:p>
                        <w:pPr>
                          <w:spacing w:before="0" w:after="160" w:line="259" w:lineRule="auto"/>
                          <w:ind w:left="0" w:right="0" w:firstLine="0"/>
                          <w:jc w:val="left"/>
                        </w:pPr>
                        <w:r>
                          <w:rPr/>
                          <w:t xml:space="preserve">D. Nicolás Rojo Garnica</w:t>
                        </w:r>
                      </w:p>
                    </w:txbxContent>
                  </v:textbox>
                </v:rect>
                <v:shape id="Shape 57" style="position:absolute;width:60579;height:0;left:6521;top:3625;" coordsize="6057900,0" path="m0,0l6057900,0">
                  <v:stroke weight="2pt" endcap="square" joinstyle="miter" miterlimit="3" on="true" color="#993366"/>
                  <v:fill on="false" color="#000000" opacity="0"/>
                </v:shape>
                <v:shape id="Shape 63" style="position:absolute;width:3683;height:29290;left:0;top:0;" coordsize="368300,2929001" path="m0,2929001l368300,2929001l368300,0l0,0x">
                  <v:stroke weight="0.5pt" endcap="flat" joinstyle="miter" miterlimit="10" on="true" color="#808080"/>
                  <v:fill on="false" color="#000000" opacity="0"/>
                </v:shape>
                <v:shape id="Shape 64" style="position:absolute;width:3683;height:29290;left:0;top:29925;" coordsize="368300,2929001" path="m0,2929001l368300,2929001l368300,0l0,0x">
                  <v:stroke weight="0.5pt" endcap="flat" joinstyle="miter" miterlimit="10" on="true" color="#808080"/>
                  <v:fill on="false" color="#000000" opacity="0"/>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6542599</wp:posOffset>
                </wp:positionH>
                <wp:positionV relativeFrom="paragraph">
                  <wp:posOffset>-1167015</wp:posOffset>
                </wp:positionV>
                <wp:extent cx="237530" cy="3270732"/>
                <wp:effectExtent l="0" t="0" r="0" b="0"/>
                <wp:wrapSquare wrapText="bothSides"/>
                <wp:docPr id="121253" name="Group 121253"/>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0" name="Rectangle 60"/>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1" name="Rectangle 61"/>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2" name="Rectangle 62"/>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253" style="width:18.7031pt;height:257.538pt;position:absolute;mso-position-horizontal-relative:text;mso-position-horizontal:absolute;margin-left:515.165pt;mso-position-vertical-relative:text;margin-top:-91.891pt;" coordsize="2375,32707">
                <v:rect id="Rectangle 60"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133 </w:t>
                        </w:r>
                      </w:p>
                    </w:txbxContent>
                  </v:textbox>
                </v:rect>
                <w10:wrap type="square"/>
              </v:group>
            </w:pict>
          </mc:Fallback>
        </mc:AlternateContent>
      </w:r>
      <w:r>
        <w:t>En Candelaria, a veintiséis de sep</w:t>
      </w:r>
      <w:r>
        <w:t>tiembre de dos mil veinticuatro, siendo las 9:00 horas, se constituyó el Ayuntamiento Pleno en el Salón de Sesiones de la Casa Consistorial con asistencia de los Sres. Concejales expresados al margen, y al objeto de celebrar sesión ordinaria para tratar lo</w:t>
      </w:r>
      <w:r>
        <w:t>s asuntos comprendidos en el orden del día de la convocatoria.</w:t>
      </w:r>
    </w:p>
    <w:p w:rsidR="00085BB7" w:rsidRDefault="004441D3">
      <w:pPr>
        <w:spacing w:after="225" w:line="265" w:lineRule="auto"/>
        <w:ind w:left="548" w:right="1062" w:hanging="10"/>
        <w:jc w:val="center"/>
      </w:pPr>
      <w:r>
        <w:t>ORDEN DEL DÍA</w:t>
      </w:r>
    </w:p>
    <w:p w:rsidR="00085BB7" w:rsidRDefault="004441D3">
      <w:pPr>
        <w:ind w:left="736" w:right="903"/>
      </w:pPr>
      <w:r>
        <w:t>El debate íntegro de la sesión del pleno está disponible en el siguiente enlace que es el video-acta:</w:t>
      </w:r>
    </w:p>
    <w:p w:rsidR="00085BB7" w:rsidRDefault="004441D3">
      <w:pPr>
        <w:spacing w:after="601" w:line="265" w:lineRule="auto"/>
        <w:ind w:left="730" w:hanging="10"/>
        <w:jc w:val="left"/>
      </w:pPr>
      <w:hyperlink r:id="rId7">
        <w:r>
          <w:rPr>
            <w:color w:val="000080"/>
            <w:u w:val="single" w:color="000080"/>
          </w:rPr>
          <w:t>https://www.youtube.com/watch?v=JAeG1feWx58</w:t>
        </w:r>
      </w:hyperlink>
    </w:p>
    <w:p w:rsidR="00085BB7" w:rsidRDefault="004441D3">
      <w:pPr>
        <w:spacing w:after="0" w:line="259" w:lineRule="auto"/>
        <w:ind w:left="735" w:right="0" w:firstLine="0"/>
        <w:jc w:val="left"/>
      </w:pPr>
      <w:r>
        <w:t xml:space="preserve">   </w:t>
      </w:r>
    </w:p>
    <w:p w:rsidR="00085BB7" w:rsidRDefault="004441D3">
      <w:pPr>
        <w:spacing w:after="503" w:line="265" w:lineRule="auto"/>
        <w:ind w:left="1105" w:right="1396" w:hanging="10"/>
      </w:pPr>
      <w:r>
        <w:t>A)</w:t>
      </w:r>
      <w:r>
        <w:rPr>
          <w:u w:val="single" w:color="000000"/>
        </w:rPr>
        <w:t xml:space="preserve"> Parte Resolutiva de la Sesión. </w:t>
      </w:r>
    </w:p>
    <w:p w:rsidR="00085BB7" w:rsidRDefault="004441D3">
      <w:pPr>
        <w:ind w:left="736" w:right="903"/>
      </w:pPr>
      <w:r>
        <w:rPr>
          <w:rFonts w:ascii="Calibri" w:eastAsia="Calibri" w:hAnsi="Calibri" w:cs="Calibri"/>
          <w:noProof/>
        </w:rPr>
        <w:lastRenderedPageBreak/>
        <mc:AlternateContent>
          <mc:Choice Requires="wpg">
            <w:drawing>
              <wp:anchor distT="0" distB="0" distL="114300" distR="114300" simplePos="0" relativeHeight="251660288" behindDoc="1" locked="0" layoutInCell="1" allowOverlap="1">
                <wp:simplePos x="0" y="0"/>
                <wp:positionH relativeFrom="column">
                  <wp:posOffset>5140158</wp:posOffset>
                </wp:positionH>
                <wp:positionV relativeFrom="paragraph">
                  <wp:posOffset>-9333</wp:posOffset>
                </wp:positionV>
                <wp:extent cx="46355" cy="169545"/>
                <wp:effectExtent l="0" t="0" r="0" b="0"/>
                <wp:wrapNone/>
                <wp:docPr id="121364" name="Group 121364"/>
                <wp:cNvGraphicFramePr/>
                <a:graphic xmlns:a="http://schemas.openxmlformats.org/drawingml/2006/main">
                  <a:graphicData uri="http://schemas.microsoft.com/office/word/2010/wordprocessingGroup">
                    <wpg:wgp>
                      <wpg:cNvGrpSpPr/>
                      <wpg:grpSpPr>
                        <a:xfrm>
                          <a:off x="0" y="0"/>
                          <a:ext cx="46355" cy="169545"/>
                          <a:chOff x="0" y="0"/>
                          <a:chExt cx="46355" cy="169545"/>
                        </a:xfrm>
                      </wpg:grpSpPr>
                      <wps:wsp>
                        <wps:cNvPr id="157907" name="Shape 157907"/>
                        <wps:cNvSpPr/>
                        <wps:spPr>
                          <a:xfrm>
                            <a:off x="0" y="0"/>
                            <a:ext cx="46355" cy="169545"/>
                          </a:xfrm>
                          <a:custGeom>
                            <a:avLst/>
                            <a:gdLst/>
                            <a:ahLst/>
                            <a:cxnLst/>
                            <a:rect l="0" t="0" r="0" b="0"/>
                            <a:pathLst>
                              <a:path w="46355" h="169545">
                                <a:moveTo>
                                  <a:pt x="0" y="0"/>
                                </a:moveTo>
                                <a:lnTo>
                                  <a:pt x="46355" y="0"/>
                                </a:lnTo>
                                <a:lnTo>
                                  <a:pt x="46355" y="169545"/>
                                </a:lnTo>
                                <a:lnTo>
                                  <a:pt x="0" y="169545"/>
                                </a:lnTo>
                                <a:lnTo>
                                  <a:pt x="0" y="0"/>
                                </a:lnTo>
                              </a:path>
                            </a:pathLst>
                          </a:custGeom>
                          <a:ln w="0" cap="flat">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xmlns="">
            <w:pict>
              <v:group id="Group 121364" style="width:3.64999pt;height:13.35pt;position:absolute;z-index:-2147483640;mso-position-horizontal-relative:text;mso-position-horizontal:absolute;margin-left:404.737pt;mso-position-vertical-relative:text;margin-top:-0.734924pt;" coordsize="463,1695">
                <v:shape id="Shape 157908" style="position:absolute;width:463;height:1695;left:0;top:0;" coordsize="46355,169545" path="m0,0l46355,0l46355,169545l0,169545l0,0">
                  <v:stroke weight="0pt" endcap="flat" joinstyle="miter" miterlimit="10" on="false" color="#000000" opacity="0"/>
                  <v:fill on="true" color="#f5f7f9"/>
                </v:shape>
              </v:group>
            </w:pict>
          </mc:Fallback>
        </mc:AlternateContent>
      </w:r>
      <w:r>
        <w:t>1.- Aprobación de las actas de los plenos ordinarios de junio y julio de 2024</w:t>
      </w:r>
      <w:r>
        <w:rPr>
          <w:rFonts w:ascii="Calibri" w:eastAsia="Calibri" w:hAnsi="Calibri" w:cs="Calibri"/>
          <w:color w:val="2F3E4D"/>
          <w:sz w:val="23"/>
        </w:rPr>
        <w:t>.</w:t>
      </w:r>
    </w:p>
    <w:p w:rsidR="00085BB7" w:rsidRDefault="004441D3">
      <w:pPr>
        <w:ind w:left="736" w:right="1402"/>
      </w:pPr>
      <w:r>
        <w:t xml:space="preserve">2.- Expediente 9376/2024. Propuesta del Concejal delegado de Hacienda de fecha 26 de </w:t>
      </w:r>
      <w:r>
        <w:t>agosto de 2024 al Pleno de toma de conocimiento del informe definitivo de fiscalización de la Cuenta General del ejercicio 2022 realizado por la Audiencia de Cuentas de Canarias.</w:t>
      </w:r>
    </w:p>
    <w:p w:rsidR="00085BB7" w:rsidRDefault="004441D3">
      <w:pPr>
        <w:ind w:left="736" w:right="1402"/>
      </w:pPr>
      <w:r>
        <w:t>3.- Expediente 2761/2024. Propuesta del Concejal delegado de Hacienda de fech</w:t>
      </w:r>
      <w:r>
        <w:t>a 16 de septiembre de 2024 al Pleno de modificación de la aprobación inicial de la Ordenanza reguladora de la prestación patrimonial de carácter público no tributario del ciclo integral del agua y sometimiento a información pública del expediente.</w:t>
      </w:r>
    </w:p>
    <w:p w:rsidR="00085BB7" w:rsidRDefault="004441D3">
      <w:pPr>
        <w:ind w:left="736" w:right="1411"/>
      </w:pPr>
      <w:r>
        <w:t>4.- Expe</w:t>
      </w:r>
      <w:r>
        <w:t>diente 10125/2024. Propuesta de la Alcaldesa-Presidenta de fecha 19 de septiembre de 2024 al Pleno sobre modificación presupuestaria por suplemento de crédito por importe de 450.000 euros.</w:t>
      </w:r>
    </w:p>
    <w:p w:rsidR="00085BB7" w:rsidRDefault="004441D3">
      <w:pPr>
        <w:ind w:left="736" w:right="1064"/>
      </w:pPr>
      <w:r>
        <w:t>5.- Expediente 7119/2024. Propuesta del Concejal delegado de Hacien</w:t>
      </w:r>
      <w:r>
        <w:t>da de fecha 26 de agosto de 2024 al pleno de aprobación de la Cuenta General del año 2023.</w:t>
      </w:r>
    </w:p>
    <w:p w:rsidR="00085BB7" w:rsidRDefault="004441D3">
      <w:pPr>
        <w:ind w:left="736" w:right="1166"/>
      </w:pPr>
      <w:r>
        <w:t>6.- Expediente 7866/2024. Propuesta de la Alcaldesa-Presidenta de fecha 20 de septiembre al Pleno de nombramiento de juez/a de paz titular del municipio de Candelari</w:t>
      </w:r>
      <w:r>
        <w:t>a.</w:t>
      </w:r>
    </w:p>
    <w:p w:rsidR="00085BB7" w:rsidRDefault="004441D3">
      <w:pPr>
        <w:ind w:left="736" w:right="1404"/>
      </w:pPr>
      <w:r>
        <w:t xml:space="preserve">7.- Expediente 1306/2019. Propuesta de la Alcaldesa-Presidenta de fecha 18 de septiembre de 2024 al Pleno sobre la transmisión de la copropiedad de la parcela del emisario submarino del Polígono Industrial del Valle de Güimar mediante mutación demanial </w:t>
      </w:r>
      <w:r>
        <w:t>subjetiva al CIATF.</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6542599</wp:posOffset>
                </wp:positionH>
                <wp:positionV relativeFrom="paragraph">
                  <wp:posOffset>547484</wp:posOffset>
                </wp:positionV>
                <wp:extent cx="237530" cy="3270732"/>
                <wp:effectExtent l="0" t="0" r="0" b="0"/>
                <wp:wrapSquare wrapText="bothSides"/>
                <wp:docPr id="121365" name="Group 12136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43" name="Rectangle 143"/>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44" name="Rectangle 144"/>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5" name="Rectangle 145"/>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365" style="width:18.7031pt;height:257.538pt;position:absolute;mso-position-horizontal-relative:text;mso-position-horizontal:absolute;margin-left:515.165pt;mso-position-vertical-relative:text;margin-top:43.109pt;" coordsize="2375,32707">
                <v:rect id="Rectangle 143"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4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133 </w:t>
                        </w:r>
                      </w:p>
                    </w:txbxContent>
                  </v:textbox>
                </v:rect>
                <w10:wrap type="square"/>
              </v:group>
            </w:pict>
          </mc:Fallback>
        </mc:AlternateContent>
      </w:r>
      <w:r>
        <w:t>8.- Expediente 7831/2019. Propuesta de la Alcaldesa-Presidenta de fecha 20 de septiembre de 2024 al Pleno de aprobación de la Junta de compensación de la unidad de actuación UAC02 Chipas y su remisión al Registro de Entidades Urbanísticas colaboradoras del</w:t>
      </w:r>
      <w:r>
        <w:t xml:space="preserve"> Gobierno de Canarias.</w:t>
      </w:r>
    </w:p>
    <w:p w:rsidR="00085BB7" w:rsidRDefault="004441D3">
      <w:pPr>
        <w:ind w:left="736" w:right="903"/>
      </w:pPr>
      <w:r>
        <w:t>9.- Expediente 9852/2020. Propuesta de la Alcaldesa-Presidenta al Pleno de fecha 19 de septiembre de 2024 de primera modificación del convenio entre el CIATF y los Ayuntamientos de Arafo, Candelaria y Güimar de gestión de infraestruc</w:t>
      </w:r>
      <w:r>
        <w:t>turas de depuración y vertido del Polígono Industral del Valle de Güimar</w:t>
      </w:r>
    </w:p>
    <w:p w:rsidR="00085BB7" w:rsidRDefault="004441D3">
      <w:pPr>
        <w:spacing w:after="752"/>
        <w:ind w:left="736" w:right="903"/>
      </w:pPr>
      <w:r>
        <w:t>10.- Expediente 10053/2024. Moción del Grupo Partido Popular para la instalación de zonas de sombra en el Paseo Graciliano Díaz Rodríguez.</w:t>
      </w:r>
    </w:p>
    <w:p w:rsidR="00085BB7" w:rsidRDefault="004441D3">
      <w:pPr>
        <w:spacing w:after="244" w:line="249" w:lineRule="auto"/>
        <w:ind w:left="730" w:right="673" w:hanging="10"/>
        <w:jc w:val="left"/>
      </w:pPr>
      <w:r>
        <w:t>11.- Expediente 10055/2024. Moción del Grupo</w:t>
      </w:r>
      <w:r>
        <w:t xml:space="preserve"> Mixto (CC) para solicitar la Declaración de Protección temporal y urgente para los ciudadanos venezolanos desplazados mientras se encuentren en España.</w:t>
      </w:r>
    </w:p>
    <w:p w:rsidR="00085BB7" w:rsidRDefault="004441D3">
      <w:pPr>
        <w:ind w:left="736" w:right="903"/>
      </w:pPr>
      <w:r>
        <w:t>12.- Expediente 10021/2024. Moción del Grupo Mixto (USP) con registro de entrada nº (2024-E-RE-6746) de</w:t>
      </w:r>
      <w:r>
        <w:t xml:space="preserve"> 16 de septiembre de 2024 sobre ayudas para material escolar.</w:t>
      </w:r>
    </w:p>
    <w:p w:rsidR="00085BB7" w:rsidRDefault="004441D3">
      <w:pPr>
        <w:ind w:left="736" w:right="903"/>
      </w:pPr>
      <w:r>
        <w:t>13.- Expediente 10023/2024. Toma de conocimiento de la renuncia a la condición de concejal de Don David Crego Chaves por registro de entrada de 17 de septiembre de 2024.</w:t>
      </w:r>
    </w:p>
    <w:p w:rsidR="00085BB7" w:rsidRDefault="004441D3">
      <w:pPr>
        <w:spacing w:after="495"/>
        <w:ind w:left="736" w:right="903"/>
      </w:pPr>
      <w:r>
        <w:t>14.- Urgencias.</w:t>
      </w:r>
    </w:p>
    <w:p w:rsidR="00085BB7" w:rsidRDefault="004441D3">
      <w:pPr>
        <w:tabs>
          <w:tab w:val="center" w:pos="844"/>
          <w:tab w:val="center" w:pos="3985"/>
        </w:tabs>
        <w:spacing w:after="488" w:line="265" w:lineRule="auto"/>
        <w:ind w:left="0" w:right="0" w:firstLine="0"/>
        <w:jc w:val="left"/>
      </w:pPr>
      <w:r>
        <w:rPr>
          <w:rFonts w:ascii="Calibri" w:eastAsia="Calibri" w:hAnsi="Calibri" w:cs="Calibri"/>
        </w:rPr>
        <w:tab/>
      </w:r>
      <w:r>
        <w:t>B)</w:t>
      </w:r>
      <w:r>
        <w:tab/>
      </w:r>
      <w:r>
        <w:rPr>
          <w:u w:val="single" w:color="000000"/>
        </w:rPr>
        <w:t xml:space="preserve"> Con</w:t>
      </w:r>
      <w:r>
        <w:rPr>
          <w:u w:val="single" w:color="000000"/>
        </w:rPr>
        <w:t xml:space="preserve">trol y Fiscalización de los Órganos de Gobierno </w:t>
      </w:r>
      <w:r>
        <w:t>.</w:t>
      </w:r>
    </w:p>
    <w:p w:rsidR="00085BB7" w:rsidRDefault="004441D3">
      <w:pPr>
        <w:ind w:left="736" w:right="903"/>
      </w:pPr>
      <w:r>
        <w:lastRenderedPageBreak/>
        <w:t>15.- Dación de Cuenta de los Decretos de la Alcaldía-Presidencia y de los Concejales delegados.</w:t>
      </w:r>
    </w:p>
    <w:p w:rsidR="00085BB7" w:rsidRDefault="004441D3">
      <w:pPr>
        <w:spacing w:after="336" w:line="400" w:lineRule="auto"/>
        <w:ind w:left="736" w:right="1476"/>
      </w:pPr>
      <w:r>
        <w:t>16.- Informe del Interventor en su caso de las resoluciones adoptadas por la Presidenta de la Corporación Loca</w:t>
      </w:r>
      <w:r>
        <w:t>l contrarias a los reparos efectuados en cumplimiento de la Ley 27/2013, de 27 de diciembre de racionalización y sostenibilidad de la Administración Local C)</w:t>
      </w:r>
      <w:r>
        <w:rPr>
          <w:u w:val="single" w:color="000000"/>
        </w:rPr>
        <w:t xml:space="preserve"> Ruegos y preguntas </w:t>
      </w:r>
      <w:r>
        <w:t>.</w:t>
      </w:r>
    </w:p>
    <w:p w:rsidR="00085BB7" w:rsidRDefault="004441D3">
      <w:pPr>
        <w:ind w:left="736" w:right="903"/>
      </w:pPr>
      <w:r>
        <w:t>17.- Ruegos y preguntas.</w:t>
      </w:r>
    </w:p>
    <w:p w:rsidR="00085BB7" w:rsidRDefault="004441D3">
      <w:pPr>
        <w:ind w:left="736" w:right="903"/>
      </w:pPr>
      <w:r>
        <w:t>Se encuentran en el videoacta de enlace que figura a</w:t>
      </w:r>
      <w:r>
        <w:t>l principio del acta.</w:t>
      </w:r>
    </w:p>
    <w:p w:rsidR="00085BB7" w:rsidRDefault="004441D3">
      <w:pPr>
        <w:spacing w:after="5547" w:line="259" w:lineRule="auto"/>
        <w:ind w:left="735" w:right="0" w:firstLine="0"/>
        <w:jc w:val="left"/>
      </w:pPr>
      <w:r>
        <w:t xml:space="preserve">    </w:t>
      </w:r>
    </w:p>
    <w:p w:rsidR="00085BB7" w:rsidRDefault="004441D3">
      <w:pPr>
        <w:spacing w:after="479" w:line="265" w:lineRule="auto"/>
        <w:ind w:left="1105" w:right="1396" w:hanging="1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column">
                  <wp:posOffset>6542599</wp:posOffset>
                </wp:positionH>
                <wp:positionV relativeFrom="paragraph">
                  <wp:posOffset>-1682634</wp:posOffset>
                </wp:positionV>
                <wp:extent cx="237530" cy="3270732"/>
                <wp:effectExtent l="0" t="0" r="0" b="0"/>
                <wp:wrapSquare wrapText="bothSides"/>
                <wp:docPr id="121064" name="Group 12106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21" name="Rectangle 221"/>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222" name="Rectangle 222"/>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23" name="Rectangle 223"/>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064" style="width:18.7031pt;height:257.538pt;position:absolute;mso-position-horizontal-relative:text;mso-position-horizontal:absolute;margin-left:515.165pt;mso-position-vertical-relative:text;margin-top:-132.491pt;" coordsize="2375,32707">
                <v:rect id="Rectangle 221"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222"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3"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133 </w:t>
                        </w:r>
                      </w:p>
                    </w:txbxContent>
                  </v:textbox>
                </v:rect>
                <w10:wrap type="square"/>
              </v:group>
            </w:pict>
          </mc:Fallback>
        </mc:AlternateContent>
      </w:r>
      <w:r>
        <w:t>A)</w:t>
      </w:r>
      <w:r>
        <w:rPr>
          <w:u w:val="single" w:color="000000"/>
        </w:rPr>
        <w:t xml:space="preserve"> </w:t>
      </w:r>
      <w:r>
        <w:rPr>
          <w:u w:val="single" w:color="000000"/>
        </w:rPr>
        <w:t xml:space="preserve">Parte Resolutiva de la Sesión. </w:t>
      </w:r>
    </w:p>
    <w:p w:rsidR="00085BB7" w:rsidRDefault="004441D3">
      <w:pPr>
        <w:spacing w:after="497"/>
        <w:ind w:left="736" w:right="903"/>
      </w:pPr>
      <w:r>
        <w:t>1.- Aprobación de las actas de los plenos ordinarios de junio y julio de 2024.</w:t>
      </w:r>
    </w:p>
    <w:p w:rsidR="00085BB7" w:rsidRDefault="004441D3">
      <w:pPr>
        <w:tabs>
          <w:tab w:val="center" w:pos="735"/>
          <w:tab w:val="center" w:pos="4503"/>
        </w:tabs>
        <w:ind w:left="0" w:right="0" w:firstLine="0"/>
        <w:jc w:val="left"/>
      </w:pPr>
      <w:r>
        <w:rPr>
          <w:rFonts w:ascii="Calibri" w:eastAsia="Calibri" w:hAnsi="Calibri" w:cs="Calibri"/>
        </w:rPr>
        <w:tab/>
      </w:r>
      <w:r>
        <w:t xml:space="preserve">     </w:t>
      </w:r>
      <w:r>
        <w:tab/>
        <w:t>VOTACIÓN EN EL PLENO DE 26 DE SEPTIEMBRE DE 2024.</w:t>
      </w:r>
    </w:p>
    <w:p w:rsidR="00085BB7" w:rsidRDefault="004441D3">
      <w:pPr>
        <w:spacing w:after="10"/>
        <w:ind w:left="736" w:right="903"/>
      </w:pPr>
      <w:r>
        <w:t>Votos a favor: 20.</w:t>
      </w:r>
    </w:p>
    <w:p w:rsidR="00085BB7" w:rsidRDefault="004441D3">
      <w:pPr>
        <w:spacing w:after="10"/>
        <w:ind w:left="736" w:right="903"/>
      </w:pPr>
      <w:r>
        <w:t>11 concejales del Grupo Socialista: Doña María Concepción Brito Núñez</w:t>
      </w:r>
      <w:r>
        <w:t xml:space="preserve">, Don Jorge Baute </w:t>
      </w:r>
    </w:p>
    <w:p w:rsidR="00085BB7" w:rsidRDefault="004441D3">
      <w:pPr>
        <w:ind w:left="736" w:right="903"/>
      </w:pPr>
      <w:r>
        <w:t>Delgado, Don José Francisco Pinto Ramos, Doña Olivia Concepción Pérez Díaz, Don Reinaldo José Triviño Blanco, Don Manuel Alberto González Pestano, Doña Margarita Eva Tendero Barroso, Don Airam Pérez Chinea, Doña María del Carmen Clemente</w:t>
      </w:r>
      <w:r>
        <w:t xml:space="preserve"> Díaz, Don Olegario Francisco Alonso Bello, Doña Mónica Monserrat Yanes Delgado. </w:t>
      </w:r>
    </w:p>
    <w:p w:rsidR="00085BB7" w:rsidRDefault="004441D3">
      <w:pPr>
        <w:ind w:left="736" w:right="1408"/>
      </w:pPr>
      <w:r>
        <w:t>6 concejales del Grupo Popular: Don Jacobo López Fariña, Doña Raquel Martín Castro, Don David Crego Cháves, Doña María Carlota Díaz González, Don José Daniel Sosa González, y</w:t>
      </w:r>
      <w:r>
        <w:t xml:space="preserve"> Doña Shaila Castellano Batista. </w:t>
      </w:r>
    </w:p>
    <w:p w:rsidR="00085BB7" w:rsidRDefault="004441D3">
      <w:pPr>
        <w:spacing w:after="0"/>
        <w:ind w:left="736" w:right="903"/>
      </w:pPr>
      <w:r>
        <w:lastRenderedPageBreak/>
        <w:t>3 concejales del Grupo Mixto: Doña Ángela Cruz Perera y Don Emilio Jesús Atiénzar Armas, (CC), Don José Tortosa Pallarés (VOX).</w:t>
      </w:r>
    </w:p>
    <w:p w:rsidR="00085BB7" w:rsidRDefault="004441D3">
      <w:pPr>
        <w:spacing w:after="233" w:line="259" w:lineRule="auto"/>
        <w:ind w:left="735" w:right="0" w:firstLine="0"/>
        <w:jc w:val="left"/>
      </w:pPr>
      <w:r>
        <w:t xml:space="preserve">                          </w:t>
      </w:r>
    </w:p>
    <w:p w:rsidR="00085BB7" w:rsidRDefault="004441D3">
      <w:pPr>
        <w:ind w:left="736" w:right="903"/>
      </w:pPr>
      <w:r>
        <w:t>Votos en contra: 0.</w:t>
      </w:r>
    </w:p>
    <w:p w:rsidR="00085BB7" w:rsidRDefault="004441D3">
      <w:pPr>
        <w:ind w:left="736" w:right="903"/>
      </w:pPr>
      <w:r>
        <w:t>Abstenciones: 1</w:t>
      </w:r>
    </w:p>
    <w:p w:rsidR="00085BB7" w:rsidRDefault="004441D3">
      <w:pPr>
        <w:ind w:left="736" w:right="903"/>
      </w:pPr>
      <w:r>
        <w:t>D. José Fierros Sierra (USP).</w:t>
      </w:r>
    </w:p>
    <w:p w:rsidR="00085BB7" w:rsidRDefault="004441D3">
      <w:pPr>
        <w:spacing w:after="0" w:line="259" w:lineRule="auto"/>
        <w:ind w:left="735" w:right="0" w:firstLine="0"/>
        <w:jc w:val="left"/>
      </w:pPr>
      <w:r>
        <w:t xml:space="preserve">                          </w:t>
      </w:r>
    </w:p>
    <w:p w:rsidR="00085BB7" w:rsidRDefault="004441D3">
      <w:pPr>
        <w:spacing w:after="10"/>
        <w:ind w:left="736" w:right="903"/>
      </w:pPr>
      <w:r>
        <w:t xml:space="preserve">                          ACUERDO DEL PLENO DE 26 DE SEPTIEMBRE DE 2024.</w:t>
      </w:r>
    </w:p>
    <w:p w:rsidR="00085BB7" w:rsidRDefault="004441D3">
      <w:pPr>
        <w:spacing w:after="6479"/>
        <w:ind w:left="1451" w:right="903"/>
      </w:pPr>
      <w:r>
        <w:t>Aprobación de las actas de los plenos ordinarios de junio y julio de 2024.</w:t>
      </w:r>
    </w:p>
    <w:p w:rsidR="00085BB7" w:rsidRDefault="004441D3">
      <w:pPr>
        <w:spacing w:after="523" w:line="250" w:lineRule="auto"/>
        <w:ind w:left="738" w:hanging="1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column">
                  <wp:posOffset>6542599</wp:posOffset>
                </wp:positionH>
                <wp:positionV relativeFrom="paragraph">
                  <wp:posOffset>-2096587</wp:posOffset>
                </wp:positionV>
                <wp:extent cx="237530" cy="3270732"/>
                <wp:effectExtent l="0" t="0" r="0" b="0"/>
                <wp:wrapSquare wrapText="bothSides"/>
                <wp:docPr id="121009" name="Group 12100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78" name="Rectangle 278"/>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279" name="Rectangle 279"/>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80" name="Rectangle 280"/>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009" style="width:18.7031pt;height:257.538pt;position:absolute;mso-position-horizontal-relative:text;mso-position-horizontal:absolute;margin-left:515.165pt;mso-position-vertical-relative:text;margin-top:-165.086pt;" coordsize="2375,32707">
                <v:rect id="Rectangle 278"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27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133 </w:t>
                        </w:r>
                      </w:p>
                    </w:txbxContent>
                  </v:textbox>
                </v:rect>
                <w10:wrap type="square"/>
              </v:group>
            </w:pict>
          </mc:Fallback>
        </mc:AlternateContent>
      </w:r>
      <w:r>
        <w:rPr>
          <w:sz w:val="24"/>
        </w:rPr>
        <w:t>2.- Expediente 9376/2024. Propuesta del Concejal delegado de Hacienda de fecha 26 de agosto de 2024 al Pleno</w:t>
      </w:r>
      <w:r>
        <w:rPr>
          <w:sz w:val="24"/>
        </w:rPr>
        <w:t xml:space="preserve"> de toma de conocimiento del informe definitivo de fiscalización de la Cuenta General del ejercicio 2022 realizado por la Audiencia de Cuentas de Canarias.</w:t>
      </w:r>
    </w:p>
    <w:p w:rsidR="00085BB7" w:rsidRDefault="004441D3">
      <w:pPr>
        <w:spacing w:after="732"/>
        <w:ind w:left="736" w:right="903"/>
      </w:pPr>
      <w:r>
        <w:t xml:space="preserve">     Consta en el expediente Informe de Intervención emitido por Don Nicolás Rojo Garnica, que desem</w:t>
      </w:r>
      <w:r>
        <w:t>peña el puesto de trabajo de Interventor Municipal, de    26 de agosto de 2024, del siguiente tenor literal:</w:t>
      </w:r>
    </w:p>
    <w:p w:rsidR="00085BB7" w:rsidRDefault="004441D3">
      <w:pPr>
        <w:spacing w:after="225" w:line="265" w:lineRule="auto"/>
        <w:ind w:left="548" w:right="1206" w:hanging="10"/>
        <w:jc w:val="center"/>
      </w:pPr>
      <w:r>
        <w:t>“INFORME DE INTERVENCIÓN</w:t>
      </w:r>
    </w:p>
    <w:p w:rsidR="00085BB7" w:rsidRDefault="004441D3">
      <w:pPr>
        <w:spacing w:after="0"/>
        <w:ind w:left="736" w:right="1408"/>
      </w:pPr>
      <w:r>
        <w:lastRenderedPageBreak/>
        <w:t>ASUNTO: RESULTADO DEFINITIVO DE LA FISCALIZACIÓN DE LA CUENTA GENERAL 2022 DEL AYUNTAMIENTO DE CANDELARIA POR LA AUDIENCIA</w:t>
      </w:r>
      <w:r>
        <w:t xml:space="preserve"> DE CUENTAS DE CANARIAS</w:t>
      </w:r>
    </w:p>
    <w:p w:rsidR="00085BB7" w:rsidRDefault="004441D3">
      <w:pPr>
        <w:spacing w:after="447" w:line="259" w:lineRule="auto"/>
        <w:ind w:left="740" w:right="0" w:firstLine="0"/>
        <w:jc w:val="left"/>
      </w:pPr>
      <w:r>
        <w:rPr>
          <w:rFonts w:ascii="Calibri" w:eastAsia="Calibri" w:hAnsi="Calibri" w:cs="Calibri"/>
          <w:noProof/>
        </w:rPr>
        <mc:AlternateContent>
          <mc:Choice Requires="wpg">
            <w:drawing>
              <wp:inline distT="0" distB="0" distL="0" distR="0">
                <wp:extent cx="6059170" cy="25400"/>
                <wp:effectExtent l="0" t="0" r="0" b="0"/>
                <wp:docPr id="121190" name="Group 121190"/>
                <wp:cNvGraphicFramePr/>
                <a:graphic xmlns:a="http://schemas.openxmlformats.org/drawingml/2006/main">
                  <a:graphicData uri="http://schemas.microsoft.com/office/word/2010/wordprocessingGroup">
                    <wpg:wgp>
                      <wpg:cNvGrpSpPr/>
                      <wpg:grpSpPr>
                        <a:xfrm>
                          <a:off x="0" y="0"/>
                          <a:ext cx="6059170" cy="25400"/>
                          <a:chOff x="0" y="0"/>
                          <a:chExt cx="6059170" cy="25400"/>
                        </a:xfrm>
                      </wpg:grpSpPr>
                      <wps:wsp>
                        <wps:cNvPr id="372" name="Shape 372"/>
                        <wps:cNvSpPr/>
                        <wps:spPr>
                          <a:xfrm>
                            <a:off x="0" y="0"/>
                            <a:ext cx="6059170" cy="0"/>
                          </a:xfrm>
                          <a:custGeom>
                            <a:avLst/>
                            <a:gdLst/>
                            <a:ahLst/>
                            <a:cxnLst/>
                            <a:rect l="0" t="0" r="0" b="0"/>
                            <a:pathLst>
                              <a:path w="6059170">
                                <a:moveTo>
                                  <a:pt x="0" y="0"/>
                                </a:moveTo>
                                <a:lnTo>
                                  <a:pt x="6059170"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21190" style="width:477.1pt;height:2pt;mso-position-horizontal-relative:char;mso-position-vertical-relative:line" coordsize="60591,254">
                <v:shape id="Shape 372" style="position:absolute;width:60591;height:0;left:0;top:0;" coordsize="6059170,0" path="m0,0l6059170,0">
                  <v:stroke weight="2pt" endcap="square" joinstyle="miter" miterlimit="3" on="true" color="#993366"/>
                  <v:fill on="false" color="#000000" opacity="0"/>
                </v:shape>
              </v:group>
            </w:pict>
          </mc:Fallback>
        </mc:AlternateContent>
      </w:r>
    </w:p>
    <w:p w:rsidR="00085BB7" w:rsidRDefault="004441D3">
      <w:pPr>
        <w:spacing w:after="752"/>
        <w:ind w:left="730" w:right="1410" w:firstLine="708"/>
      </w:pPr>
      <w:r>
        <w:t>Visto el escrito remitido por la Audiencia de Cuentas de Canarias, con fecha de registro de entrada 30 de julio de 2024, relativo al “Resultado Definitivo de la Fiscalización de la Cuenta General del ejercicio 2022 del Ayuntamient</w:t>
      </w:r>
      <w:r>
        <w:t>o de Candelaria”, con la obligación de remitir certificación plenaria de su conocimiento por parte de esa Corporación, de conformidad con el artículo 19 de la Ley Territorial 4/1989, de 2 de mayo, esta Intervención tiene a bien INFORMAR:</w:t>
      </w:r>
    </w:p>
    <w:p w:rsidR="00085BB7" w:rsidRDefault="004441D3">
      <w:pPr>
        <w:ind w:left="736" w:right="1399"/>
      </w:pPr>
      <w:r>
        <w:t>PRIMERO: De confor</w:t>
      </w:r>
      <w:r>
        <w:t xml:space="preserve">midad con el artículo 223 del </w:t>
      </w:r>
      <w:hyperlink r:id="rId8">
        <w:r>
          <w:rPr>
            <w:color w:val="000080"/>
            <w:u w:val="single" w:color="000080"/>
          </w:rPr>
          <w:t>Real Decreto Legislativo 2/2004</w:t>
        </w:r>
      </w:hyperlink>
      <w:r>
        <w:t>, de 5 de marzo, por el que se aprueba el texto refundido de la</w:t>
      </w:r>
      <w:hyperlink r:id="rId9">
        <w:r>
          <w:t xml:space="preserve"> </w:t>
        </w:r>
      </w:hyperlink>
      <w:hyperlink r:id="rId10">
        <w:r>
          <w:rPr>
            <w:color w:val="000080"/>
            <w:u w:val="single" w:color="000080"/>
          </w:rPr>
          <w:t>Ley Reguladora de las Haciendas</w:t>
        </w:r>
      </w:hyperlink>
      <w:r>
        <w:rPr>
          <w:color w:val="000080"/>
        </w:rPr>
        <w:t xml:space="preserve"> </w:t>
      </w:r>
      <w:hyperlink r:id="rId11">
        <w:r>
          <w:rPr>
            <w:color w:val="000080"/>
            <w:u w:val="single" w:color="000080"/>
          </w:rPr>
          <w:t>Locales</w:t>
        </w:r>
      </w:hyperlink>
      <w:r>
        <w:t>:</w:t>
      </w:r>
    </w:p>
    <w:p w:rsidR="00085BB7" w:rsidRDefault="004441D3">
      <w:pPr>
        <w:ind w:left="736" w:right="1411"/>
      </w:pPr>
      <w:r>
        <w:t>“la fiscalización externa de las cuentas y de la gestión económica de las entidades locales y de todos los organismos y sociedades de ellas dependientes es función propia del Tribunal de Cuentas, con el alcance y condiciones que establece su ley orgánica r</w:t>
      </w:r>
      <w:r>
        <w:t xml:space="preserve">eguladora y su ley de funcionamiento. </w:t>
      </w:r>
    </w:p>
    <w:p w:rsidR="00085BB7" w:rsidRDefault="004441D3">
      <w:pPr>
        <w:ind w:left="730" w:right="903" w:firstLine="710"/>
      </w:pPr>
      <w:r>
        <w:t xml:space="preserve">A tal efecto, las entidades locales rendirán al citado Tribunal, antes del día 15 de octubre de cada año, la Cuenta General. </w:t>
      </w:r>
    </w:p>
    <w:p w:rsidR="00085BB7" w:rsidRDefault="004441D3">
      <w:pPr>
        <w:ind w:left="730" w:right="903" w:firstLine="71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6542599</wp:posOffset>
                </wp:positionH>
                <wp:positionV relativeFrom="paragraph">
                  <wp:posOffset>169025</wp:posOffset>
                </wp:positionV>
                <wp:extent cx="237530" cy="3270732"/>
                <wp:effectExtent l="0" t="0" r="0" b="0"/>
                <wp:wrapSquare wrapText="bothSides"/>
                <wp:docPr id="121191" name="Group 12119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375" name="Rectangle 375"/>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76" name="Rectangle 376"/>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7" name="Rectangle 377"/>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191" style="width:18.7031pt;height:257.538pt;position:absolute;mso-position-horizontal-relative:text;mso-position-horizontal:absolute;margin-left:515.165pt;mso-position-vertical-relative:text;margin-top:13.3091pt;" coordsize="2375,32707">
                <v:rect id="Rectangle 375"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7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133 </w:t>
                        </w:r>
                      </w:p>
                    </w:txbxContent>
                  </v:textbox>
                </v:rect>
                <w10:wrap type="square"/>
              </v:group>
            </w:pict>
          </mc:Fallback>
        </mc:AlternateContent>
      </w:r>
      <w:r>
        <w:t>Una vez fiscalizadas las cuentas por el Tribunal, se someterá a la consideración de la entidad local la prop</w:t>
      </w:r>
      <w:r>
        <w:t>uesta de corrección de las anomalías observadas y el ejercicio de las acciones procedentes, sin perjuicio, todo ello, de las actuaciones que puedan corresponder al Tribunal en los casos de exigencia de responsabilidad contable.</w:t>
      </w:r>
    </w:p>
    <w:p w:rsidR="00085BB7" w:rsidRDefault="004441D3">
      <w:pPr>
        <w:spacing w:after="500"/>
        <w:ind w:left="730" w:right="903" w:firstLine="710"/>
      </w:pPr>
      <w:r>
        <w:t>Lo establecido en el present</w:t>
      </w:r>
      <w:r>
        <w:t>e artículo se entiende sin menoscabo de las facultades que, en materia de fiscalización externa de las entidades locales, tengan atribuidas por sus Estatutos las Comunidades Autónomas”.</w:t>
      </w:r>
    </w:p>
    <w:p w:rsidR="00085BB7" w:rsidRDefault="004441D3">
      <w:pPr>
        <w:spacing w:after="498"/>
        <w:ind w:left="736" w:right="903"/>
      </w:pPr>
      <w:r>
        <w:t>SEGUNDO: El informe de Fiscalización pone de manifiesto que, en el eje</w:t>
      </w:r>
      <w:r>
        <w:t>rcicio 2022, la Entidad ha presentado la información que compone la Cuenta General por vía telemática y ajustada a los requisitos de la Instrucción de Contabilidad para la Administración Local.</w:t>
      </w:r>
    </w:p>
    <w:p w:rsidR="00085BB7" w:rsidRDefault="004441D3">
      <w:pPr>
        <w:ind w:left="736" w:right="903"/>
      </w:pPr>
      <w:r>
        <w:t xml:space="preserve">TERCERO: Se han detectado como incidencias en el Ayuntamiento </w:t>
      </w:r>
      <w:r>
        <w:t xml:space="preserve">de Candelaria que el Presupuesto no se ha aprobado en plazo y la Cuenta General, no se ha formado en el plazo legalmente establecido. </w:t>
      </w:r>
    </w:p>
    <w:p w:rsidR="00085BB7" w:rsidRDefault="004441D3">
      <w:pPr>
        <w:spacing w:after="0"/>
        <w:ind w:left="730" w:right="903" w:firstLine="708"/>
      </w:pPr>
      <w:r>
        <w:t>Asimismo, reflejan que no consta el Arqueo de las existencias en caja a fin de ejercicio, así como certificaciones bancar</w:t>
      </w:r>
      <w:r>
        <w:t xml:space="preserve">ias y estado de conciliación. Respecto al Acta de </w:t>
      </w:r>
    </w:p>
    <w:p w:rsidR="00085BB7" w:rsidRDefault="004441D3">
      <w:pPr>
        <w:spacing w:after="10"/>
        <w:ind w:left="736" w:right="903"/>
      </w:pPr>
      <w:r>
        <w:t xml:space="preserve">Arqueo, el motivo es que desde hace años no hay saldo en la caja municipal. Con respecto </w:t>
      </w:r>
    </w:p>
    <w:p w:rsidR="00085BB7" w:rsidRDefault="004441D3">
      <w:pPr>
        <w:spacing w:after="3" w:line="265" w:lineRule="auto"/>
        <w:ind w:left="10" w:right="1803" w:hanging="10"/>
        <w:jc w:val="right"/>
      </w:pPr>
      <w:r>
        <w:t xml:space="preserve">al </w:t>
      </w:r>
    </w:p>
    <w:p w:rsidR="00085BB7" w:rsidRDefault="004441D3">
      <w:pPr>
        <w:ind w:left="736" w:right="903"/>
      </w:pPr>
      <w:r>
        <w:t>saldo en entidades bancarias, los mismos si están elaborados y constan en el expediente 8055/2023, justificando</w:t>
      </w:r>
      <w:r>
        <w:t xml:space="preserve"> las diferencias de cantidades en tres cuentas.</w:t>
      </w:r>
    </w:p>
    <w:p w:rsidR="00085BB7" w:rsidRDefault="004441D3">
      <w:pPr>
        <w:ind w:left="730" w:right="1402" w:firstLine="708"/>
      </w:pPr>
      <w:r>
        <w:t xml:space="preserve">También recogen diferencias en algunas cuentas de la Memoria y cuenta de resultados económico patrimonial, vinculadas entre sí, consecuencia que han sido </w:t>
      </w:r>
      <w:r>
        <w:t>imputadas mal financieramente (pero bien presupuestariamente) en contabilidad.</w:t>
      </w:r>
    </w:p>
    <w:p w:rsidR="00085BB7" w:rsidRDefault="004441D3">
      <w:pPr>
        <w:spacing w:after="497"/>
        <w:ind w:left="736" w:right="903"/>
      </w:pPr>
      <w:r>
        <w:t xml:space="preserve"> En los informes de auditoría realizados en las entidades dependientes, ha sido favorable en la Sociedad Mercantil de Viviendas y con salvedades en Epelcan y Fundación. </w:t>
      </w:r>
    </w:p>
    <w:p w:rsidR="00085BB7" w:rsidRDefault="004441D3">
      <w:pPr>
        <w:ind w:left="736" w:right="1403"/>
      </w:pPr>
      <w:r>
        <w:t>CUARTO:</w:t>
      </w:r>
      <w:r>
        <w:t xml:space="preserve"> La fiscalización de la Cuenta General 2022 por la Audiencia de Cuentas, pone de manifiesto la realidad de los indicadores y magnitudes presupuestarios y económicos, puestos de manifiesto en la Cuenta General de esta Corporación municipal, aprobada por acu</w:t>
      </w:r>
      <w:r>
        <w:t xml:space="preserve">erdo plenario de fecha 28 de septiembre de 2023: </w:t>
      </w:r>
    </w:p>
    <w:p w:rsidR="00085BB7" w:rsidRDefault="004441D3">
      <w:pPr>
        <w:numPr>
          <w:ilvl w:val="0"/>
          <w:numId w:val="1"/>
        </w:numPr>
        <w:ind w:right="903" w:hanging="348"/>
      </w:pPr>
      <w:r>
        <w:t>Resultado Presupuestario: 4.928.366,38 €.</w:t>
      </w:r>
    </w:p>
    <w:p w:rsidR="00085BB7" w:rsidRDefault="004441D3">
      <w:pPr>
        <w:numPr>
          <w:ilvl w:val="0"/>
          <w:numId w:val="1"/>
        </w:numPr>
        <w:ind w:right="903" w:hanging="348"/>
      </w:pPr>
      <w:r>
        <w:t>Remanente de Tesorería: 23.408.195,38 €.</w:t>
      </w:r>
    </w:p>
    <w:p w:rsidR="00085BB7" w:rsidRDefault="004441D3">
      <w:pPr>
        <w:numPr>
          <w:ilvl w:val="0"/>
          <w:numId w:val="1"/>
        </w:numPr>
        <w:spacing w:after="353"/>
        <w:ind w:right="903" w:hanging="348"/>
      </w:pPr>
      <w:r>
        <w:t>Ahorro Neto: 4.856.988,11 € de los derechos corrientes liquidados.</w:t>
      </w:r>
    </w:p>
    <w:p w:rsidR="00085BB7" w:rsidRDefault="004441D3">
      <w:pPr>
        <w:ind w:left="736" w:right="903"/>
      </w:pPr>
      <w:r>
        <w:t>QUINTO: El Análisis de Indicadores, tanto presupuestario</w:t>
      </w:r>
      <w:r>
        <w:t>s como financieros y patrimoniales, muestra la siguiente evolución desde los ejercicios 2018 al 2022:</w:t>
      </w:r>
    </w:p>
    <w:p w:rsidR="00085BB7" w:rsidRDefault="004441D3">
      <w:pPr>
        <w:ind w:left="736" w:right="903"/>
      </w:pPr>
      <w:r>
        <w:t>1.- Indicadores Presupuestarios:</w:t>
      </w:r>
    </w:p>
    <w:p w:rsidR="00085BB7" w:rsidRDefault="004441D3">
      <w:pPr>
        <w:ind w:left="736" w:right="1405"/>
      </w:pPr>
      <w:r>
        <w:rPr>
          <w:sz w:val="23"/>
        </w:rPr>
        <w:t>Ejecución de Ingresos</w:t>
      </w:r>
      <w:r>
        <w:t>: Nos muestra si se han formulado unas previsiones excesivas de ingresos en el presupuesto o no, señ</w:t>
      </w:r>
      <w:r>
        <w:t>alando que una ejecución mayor del 90 por 100, se considera satisfactorio. En el año 2022, asciende al 60,2 %, una bajada de 10 puntos porcentuales respecto del 2021.</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6542599</wp:posOffset>
                </wp:positionH>
                <wp:positionV relativeFrom="paragraph">
                  <wp:posOffset>169025</wp:posOffset>
                </wp:positionV>
                <wp:extent cx="237530" cy="3270732"/>
                <wp:effectExtent l="0" t="0" r="0" b="0"/>
                <wp:wrapSquare wrapText="bothSides"/>
                <wp:docPr id="122005" name="Group 12200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74" name="Rectangle 474"/>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475" name="Rectangle 475"/>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https://candelaria.sedelec</w:t>
                              </w:r>
                              <w:r>
                                <w:rPr>
                                  <w:sz w:val="12"/>
                                </w:rPr>
                                <w:t xml:space="preserve">tronica.es/ </w:t>
                              </w:r>
                            </w:p>
                          </w:txbxContent>
                        </wps:txbx>
                        <wps:bodyPr horzOverflow="overflow" vert="horz" lIns="0" tIns="0" rIns="0" bIns="0" rtlCol="0">
                          <a:noAutofit/>
                        </wps:bodyPr>
                      </wps:wsp>
                      <wps:wsp>
                        <wps:cNvPr id="476" name="Rectangle 476"/>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005" style="width:18.7031pt;height:257.538pt;position:absolute;mso-position-horizontal-relative:text;mso-position-horizontal:absolute;margin-left:515.165pt;mso-position-vertical-relative:text;margin-top:13.309pt;" coordsize="2375,32707">
                <v:rect id="Rectangle 474"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47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7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133 </w:t>
                        </w:r>
                      </w:p>
                    </w:txbxContent>
                  </v:textbox>
                </v:rect>
                <w10:wrap type="square"/>
              </v:group>
            </w:pict>
          </mc:Fallback>
        </mc:AlternateContent>
      </w:r>
      <w:r>
        <w:rPr>
          <w:sz w:val="23"/>
        </w:rPr>
        <w:t>Ejecución de Gastos</w:t>
      </w:r>
      <w:r>
        <w:t xml:space="preserve">: Expresa el porcentaje que suponen las obligaciones reconocidas con </w:t>
      </w:r>
      <w:r>
        <w:t xml:space="preserve">cargo al presupuesto de gastos del ejercicio corriente en relación con el volumen de créditos definitivos. El índice de ejecución de gastos, que nos muestra el grado en que los créditos definitivos han dado lugar al reconocimiento de obligaciones, también </w:t>
      </w:r>
      <w:r>
        <w:t>ha de alcanzar valores superiores al 80 %. Alcanza unos valores de 50 %, una caída de 9,3 puntos porcentuales respecto el 2021.</w:t>
      </w:r>
    </w:p>
    <w:p w:rsidR="00085BB7" w:rsidRDefault="004441D3">
      <w:pPr>
        <w:ind w:left="736" w:right="903"/>
      </w:pPr>
      <w:r>
        <w:rPr>
          <w:sz w:val="23"/>
        </w:rPr>
        <w:t>Realización de Cobros</w:t>
      </w:r>
      <w:r>
        <w:t xml:space="preserve">: Mide la capacidad para transformar en liquidez los derechos de cobro liquidados y vencidos, es decir, el </w:t>
      </w:r>
      <w:r>
        <w:t>ritmo de cobro. Se considera un índice satisfactorio, que sea superior al 80 por 100. En el año 2022, llega al 99,4 %, lo que supone 0,9 puntos porcentuales mejor que en el 2021.</w:t>
      </w:r>
    </w:p>
    <w:p w:rsidR="00085BB7" w:rsidRDefault="004441D3">
      <w:pPr>
        <w:ind w:left="736" w:right="903"/>
      </w:pPr>
      <w:r>
        <w:rPr>
          <w:sz w:val="23"/>
        </w:rPr>
        <w:t>Realización de los Pagos</w:t>
      </w:r>
      <w:r>
        <w:t>: Refleja el porcentaje de obligaciones reconocidas e</w:t>
      </w:r>
      <w:r>
        <w:t>n el ejercicio que han sido pagadas durante el mismo. Se consideran satisfactorios unos índices entre el 80 y el 90 por 100. Si son inferiores, alertan de posibles dificultades de tesorería. Llega al 88,5 %, cayendo 3,7 puntos porcentuales respecto el 2021</w:t>
      </w:r>
      <w:r>
        <w:t>.</w:t>
      </w:r>
    </w:p>
    <w:p w:rsidR="00085BB7" w:rsidRDefault="004441D3">
      <w:pPr>
        <w:spacing w:after="0"/>
        <w:ind w:left="736" w:right="903"/>
      </w:pPr>
      <w:r>
        <w:rPr>
          <w:sz w:val="23"/>
        </w:rPr>
        <w:t>Carga Financiera del ejercicio</w:t>
      </w:r>
      <w:r>
        <w:t xml:space="preserve">: Relaciona el cociente entre los gastos financieros y amortización financiera con los derechos liquidados corrientes. Cuanto menor sea el peso </w:t>
      </w:r>
      <w:r>
        <w:t xml:space="preserve">de la carga financiera, mayor será el margen de maniobra para financiar las inversiones. </w:t>
      </w:r>
    </w:p>
    <w:p w:rsidR="00085BB7" w:rsidRDefault="004441D3">
      <w:pPr>
        <w:ind w:left="736" w:right="903"/>
      </w:pPr>
      <w:r>
        <w:t>Asciende al 0,3 %, frente al 0,2 % del año 2021.</w:t>
      </w:r>
    </w:p>
    <w:p w:rsidR="00085BB7" w:rsidRDefault="004441D3">
      <w:pPr>
        <w:ind w:left="736" w:right="1407"/>
      </w:pPr>
      <w:r>
        <w:rPr>
          <w:sz w:val="23"/>
        </w:rPr>
        <w:t>Ahorro Neto</w:t>
      </w:r>
      <w:r>
        <w:t>: Refleja la capacidad de financiar, con sus recursos corrientes, los gastos ordinarios y carga financiera</w:t>
      </w:r>
      <w:r>
        <w:t>. Llega actualmente al 14,8 %, frente al 15,5 % respecto el 2021.</w:t>
      </w:r>
    </w:p>
    <w:p w:rsidR="00085BB7" w:rsidRDefault="004441D3">
      <w:pPr>
        <w:spacing w:after="500"/>
        <w:ind w:left="736" w:right="1402"/>
      </w:pPr>
      <w:r>
        <w:rPr>
          <w:sz w:val="23"/>
        </w:rPr>
        <w:t xml:space="preserve">Eficacia de la Gestión Recaudatoria: </w:t>
      </w:r>
      <w:r>
        <w:t>Mide la capacidad de transformar en liquidez los derechos de cobro liquidados y vencidos de los tres primeros capítulos de ingresos de naturaleza tributa</w:t>
      </w:r>
      <w:r>
        <w:t>ria, principalmente. Sería deseable que sea mayor de 80 por 100, y llega al 98,7 %, mejor en 1,6 puntos porcentuales que en el 2021.</w:t>
      </w:r>
    </w:p>
    <w:p w:rsidR="00085BB7" w:rsidRDefault="004441D3">
      <w:pPr>
        <w:ind w:left="736" w:right="903"/>
      </w:pPr>
      <w:r>
        <w:t>2.- Indicadores Financieros y Patrimoniales:</w:t>
      </w:r>
    </w:p>
    <w:p w:rsidR="00085BB7" w:rsidRDefault="004441D3">
      <w:pPr>
        <w:ind w:left="736" w:right="1403"/>
      </w:pPr>
      <w:r>
        <w:rPr>
          <w:sz w:val="23"/>
        </w:rPr>
        <w:t>Índice de Liquidez Inmediata</w:t>
      </w:r>
      <w:r>
        <w:t>: Se obtiene por el cociente entre los fondos líqu</w:t>
      </w:r>
      <w:r>
        <w:t>idos (dinero en caja y bancos, así como inversiones financieras temporales con alto grado de liquidez) y las obligaciones presupuestarias y extrapresupuestarias pendientes de pago, minoradas por el volumen de pagos pendientes de aplicación. Cuanto mayor se</w:t>
      </w:r>
      <w:r>
        <w:t>a el porcentaje, menor será el riesgo financiero, si bien, un valor excesivo, revela un excedente de liquidez que habrá que colocar. Este ratio, debe situarse entre 0,70 y 0,90, encontrándose la entidad en el año 2022, en el 6,1 %, dos décimas peor respect</w:t>
      </w:r>
      <w:r>
        <w:t>o del 2021.</w:t>
      </w:r>
    </w:p>
    <w:p w:rsidR="00085BB7" w:rsidRDefault="004441D3">
      <w:pPr>
        <w:ind w:left="736" w:right="1402"/>
      </w:pPr>
      <w:r>
        <w:rPr>
          <w:sz w:val="23"/>
        </w:rPr>
        <w:t>Relación de Endeudamiento</w:t>
      </w:r>
      <w:r>
        <w:t>: Se define como el cociente entre las agrupaciones de provisiones y acreedores a corto plazo (pasivo corriente), sobre las agrupaciones de provisiones y acreedores a largo plazo (pasivo no corriente) del pasivo del bal</w:t>
      </w:r>
      <w:r>
        <w:t>ance.</w:t>
      </w:r>
    </w:p>
    <w:p w:rsidR="00085BB7" w:rsidRDefault="004441D3">
      <w:pPr>
        <w:ind w:left="730" w:right="1404" w:firstLine="708"/>
      </w:pPr>
      <w:r>
        <w:t>Indica qué porcentaje representa el exigible a corto plazo, sobre las obligaciones reembolsables a largo plazo. Un valor superior a uno, indica un mayor volumen de deuda a corto plazo que de deuda a largo plazo, y a la inversa.</w:t>
      </w:r>
    </w:p>
    <w:p w:rsidR="00085BB7" w:rsidRDefault="004441D3">
      <w:pPr>
        <w:ind w:left="730" w:right="903" w:firstLine="708"/>
      </w:pPr>
      <w:r>
        <w:t>Cuanto más se aproxima</w:t>
      </w:r>
      <w:r>
        <w:t xml:space="preserve"> su valor a cero, mayor es el peso de las obligaciones a largo plazo sobre el total de obligaciones a corto, y a la inversa.</w:t>
      </w:r>
    </w:p>
    <w:p w:rsidR="00085BB7" w:rsidRDefault="004441D3">
      <w:pPr>
        <w:ind w:left="730" w:right="903" w:firstLine="708"/>
      </w:pPr>
      <w:r>
        <w:t>En el ejercicio 2022, este indicador asciende a 6,8 %. Empeora 1,6 puntos porcentuales respecto del año 2021.</w:t>
      </w:r>
    </w:p>
    <w:p w:rsidR="00085BB7" w:rsidRDefault="004441D3">
      <w:pPr>
        <w:spacing w:after="500"/>
        <w:ind w:left="736" w:right="903"/>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column">
                  <wp:posOffset>6542599</wp:posOffset>
                </wp:positionH>
                <wp:positionV relativeFrom="paragraph">
                  <wp:posOffset>-76084</wp:posOffset>
                </wp:positionV>
                <wp:extent cx="237530" cy="3270732"/>
                <wp:effectExtent l="0" t="0" r="0" b="0"/>
                <wp:wrapSquare wrapText="bothSides"/>
                <wp:docPr id="121499" name="Group 12149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76" name="Rectangle 576"/>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577" name="Rectangle 577"/>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78" name="Rectangle 578"/>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499" style="width:18.7031pt;height:257.538pt;position:absolute;mso-position-horizontal-relative:text;mso-position-horizontal:absolute;margin-left:515.165pt;mso-position-vertical-relative:text;margin-top:-5.99091pt;" coordsize="2375,32707">
                <v:rect id="Rectangle 576"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57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7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133 </w:t>
                        </w:r>
                      </w:p>
                    </w:txbxContent>
                  </v:textbox>
                </v:rect>
                <w10:wrap type="square"/>
              </v:group>
            </w:pict>
          </mc:Fallback>
        </mc:AlternateContent>
      </w:r>
      <w:r>
        <w:rPr>
          <w:sz w:val="23"/>
        </w:rPr>
        <w:t>Endeudamiento por Habitante</w:t>
      </w:r>
      <w:r>
        <w:t>: Se obtiene dividiendo la deuda fi</w:t>
      </w:r>
      <w:r>
        <w:t>nanciera o pasivo corriente y no corriente total, existente a 31 de diciembre y el número de habitantes, de tal manera que cuanto mayor sea esta ratio, mayor será el riesgo de insolvencia. Asciende a 212,4 Euros, aumentando 46 Euros, respecto del año anter</w:t>
      </w:r>
      <w:r>
        <w:t>ior.</w:t>
      </w:r>
    </w:p>
    <w:p w:rsidR="00085BB7" w:rsidRDefault="004441D3">
      <w:pPr>
        <w:ind w:left="736" w:right="903"/>
      </w:pPr>
      <w:r>
        <w:t>SEXTO: El análisis Económico Financiero ha dado lugar a los siguientes resultados:</w:t>
      </w:r>
    </w:p>
    <w:p w:rsidR="00085BB7" w:rsidRDefault="004441D3">
      <w:pPr>
        <w:numPr>
          <w:ilvl w:val="0"/>
          <w:numId w:val="2"/>
        </w:numPr>
        <w:ind w:right="903"/>
      </w:pPr>
      <w:r>
        <w:t>La principal fuente de financiación de la Entidad en el ejercicio fue el capítulo 4 (Transferencias corrientes), que alcanzó el 38,6 % de los derechos reconocidos, segu</w:t>
      </w:r>
      <w:r>
        <w:t>ido en importancia del capítulo 1 (Impuestos directos) con el 24,6 %.</w:t>
      </w:r>
    </w:p>
    <w:p w:rsidR="00085BB7" w:rsidRDefault="004441D3">
      <w:pPr>
        <w:numPr>
          <w:ilvl w:val="0"/>
          <w:numId w:val="2"/>
        </w:numPr>
        <w:spacing w:after="498"/>
        <w:ind w:right="903"/>
      </w:pPr>
      <w:r>
        <w:t xml:space="preserve">El principal componente del gasto fue el capítulo 1 (Gastos de personal), que representó el 42,1 % de las obligaciones reconocidas. Le sigue el capítulo 2 (Gastos corrientes en bienes y </w:t>
      </w:r>
      <w:r>
        <w:t>servicios), que supuso el 36 % del total del gasto.”</w:t>
      </w:r>
    </w:p>
    <w:p w:rsidR="00085BB7" w:rsidRDefault="004441D3">
      <w:pPr>
        <w:ind w:left="736" w:right="903"/>
      </w:pPr>
      <w:r>
        <w:t xml:space="preserve"> Consta en el expediente propuesta del Concejal delegado de Hacienda, D. Airam Pérez Chinea, de fecha 26 de septiembre de 2024, que transcrito literalmente dice:</w:t>
      </w:r>
    </w:p>
    <w:p w:rsidR="00085BB7" w:rsidRDefault="004441D3">
      <w:pPr>
        <w:spacing w:after="225" w:line="265" w:lineRule="auto"/>
        <w:ind w:left="548" w:right="1204" w:hanging="10"/>
        <w:jc w:val="center"/>
      </w:pPr>
      <w:r>
        <w:t>“PROPUESTA DE LA CONCEJALÍA DELEGADA DE H</w:t>
      </w:r>
      <w:r>
        <w:t>ACIENDA</w:t>
      </w:r>
    </w:p>
    <w:p w:rsidR="00085BB7" w:rsidRDefault="004441D3">
      <w:pPr>
        <w:spacing w:after="10"/>
        <w:ind w:left="736" w:right="903"/>
      </w:pPr>
      <w:r>
        <w:t>ASUNTO: RESULTADO DEFINITIVO DE LA FISCALIZACIÓN DE LA CUENTA GENERAL</w:t>
      </w:r>
    </w:p>
    <w:p w:rsidR="00085BB7" w:rsidRDefault="004441D3">
      <w:pPr>
        <w:spacing w:after="0"/>
        <w:ind w:left="736" w:right="903"/>
      </w:pPr>
      <w:r>
        <w:t>2022 DEL AYUNTAMIENTO DE CANDELARIA POR LA AUDIENCIA DE CUENTAS DE CANARIAS</w:t>
      </w:r>
    </w:p>
    <w:p w:rsidR="00085BB7" w:rsidRDefault="004441D3">
      <w:pPr>
        <w:spacing w:after="447" w:line="259" w:lineRule="auto"/>
        <w:ind w:left="740" w:right="0" w:firstLine="0"/>
        <w:jc w:val="left"/>
      </w:pPr>
      <w:r>
        <w:rPr>
          <w:rFonts w:ascii="Calibri" w:eastAsia="Calibri" w:hAnsi="Calibri" w:cs="Calibri"/>
          <w:noProof/>
        </w:rPr>
        <mc:AlternateContent>
          <mc:Choice Requires="wpg">
            <w:drawing>
              <wp:inline distT="0" distB="0" distL="0" distR="0">
                <wp:extent cx="6059170" cy="25400"/>
                <wp:effectExtent l="0" t="0" r="0" b="0"/>
                <wp:docPr id="122088" name="Group 122088"/>
                <wp:cNvGraphicFramePr/>
                <a:graphic xmlns:a="http://schemas.openxmlformats.org/drawingml/2006/main">
                  <a:graphicData uri="http://schemas.microsoft.com/office/word/2010/wordprocessingGroup">
                    <wpg:wgp>
                      <wpg:cNvGrpSpPr/>
                      <wpg:grpSpPr>
                        <a:xfrm>
                          <a:off x="0" y="0"/>
                          <a:ext cx="6059170" cy="25400"/>
                          <a:chOff x="0" y="0"/>
                          <a:chExt cx="6059170" cy="25400"/>
                        </a:xfrm>
                      </wpg:grpSpPr>
                      <wps:wsp>
                        <wps:cNvPr id="679" name="Shape 679"/>
                        <wps:cNvSpPr/>
                        <wps:spPr>
                          <a:xfrm>
                            <a:off x="0" y="0"/>
                            <a:ext cx="6059170" cy="0"/>
                          </a:xfrm>
                          <a:custGeom>
                            <a:avLst/>
                            <a:gdLst/>
                            <a:ahLst/>
                            <a:cxnLst/>
                            <a:rect l="0" t="0" r="0" b="0"/>
                            <a:pathLst>
                              <a:path w="6059170">
                                <a:moveTo>
                                  <a:pt x="0" y="0"/>
                                </a:moveTo>
                                <a:lnTo>
                                  <a:pt x="6059170"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22088" style="width:477.1pt;height:2pt;mso-position-horizontal-relative:char;mso-position-vertical-relative:line" coordsize="60591,254">
                <v:shape id="Shape 679" style="position:absolute;width:60591;height:0;left:0;top:0;" coordsize="6059170,0" path="m0,0l6059170,0">
                  <v:stroke weight="2pt" endcap="square" joinstyle="miter" miterlimit="3" on="true" color="#993366"/>
                  <v:fill on="false" color="#000000" opacity="0"/>
                </v:shape>
              </v:group>
            </w:pict>
          </mc:Fallback>
        </mc:AlternateContent>
      </w:r>
    </w:p>
    <w:p w:rsidR="00085BB7" w:rsidRDefault="004441D3">
      <w:pPr>
        <w:ind w:left="1449" w:right="903"/>
      </w:pPr>
      <w:r>
        <w:t xml:space="preserve">  Visto el informe de Intervención que se transcribe a continuación:</w:t>
      </w:r>
    </w:p>
    <w:p w:rsidR="00085BB7" w:rsidRDefault="004441D3">
      <w:pPr>
        <w:ind w:left="730" w:right="1403" w:firstLine="708"/>
      </w:pPr>
      <w:r>
        <w:t xml:space="preserve">“Visto el escrito remitido por la Audiencia de Cuentas de Canarias, con fecha de registro de entrada 30 de julio de 2024, relativo al “Resultado Definitivo de la Fiscalización de la Cuenta General del ejercicio 2022 del Ayuntamiento de Candelaria”, con la </w:t>
      </w:r>
      <w:r>
        <w:t>obligación de remitir certificación plenaria de su conocimiento por parte de esa Corporación, de conformidad con el artículo 19 de la Ley Territorial 4/1989, de 2 de mayo, esta Intervención tiene a bien INFORMAR:</w:t>
      </w:r>
    </w:p>
    <w:p w:rsidR="00085BB7" w:rsidRDefault="004441D3">
      <w:pPr>
        <w:ind w:left="736" w:right="1399"/>
      </w:pPr>
      <w:r>
        <w:t>PRIMERO: De conformidad con el artículo 223</w:t>
      </w:r>
      <w:r>
        <w:t xml:space="preserve"> del </w:t>
      </w:r>
      <w:hyperlink r:id="rId12">
        <w:r>
          <w:rPr>
            <w:color w:val="000080"/>
            <w:u w:val="single" w:color="000080"/>
          </w:rPr>
          <w:t>Real Decreto Legislativo 2/2004</w:t>
        </w:r>
      </w:hyperlink>
      <w:r>
        <w:t>, de 5 de marzo, por el que se aprueba el texto refundido de la</w:t>
      </w:r>
      <w:hyperlink r:id="rId13">
        <w:r>
          <w:t xml:space="preserve"> </w:t>
        </w:r>
      </w:hyperlink>
      <w:hyperlink r:id="rId14">
        <w:r>
          <w:rPr>
            <w:color w:val="000080"/>
            <w:u w:val="single" w:color="000080"/>
          </w:rPr>
          <w:t>Ley Reguladora de las Haciendas</w:t>
        </w:r>
      </w:hyperlink>
      <w:r>
        <w:rPr>
          <w:color w:val="000080"/>
        </w:rPr>
        <w:t xml:space="preserve"> </w:t>
      </w:r>
      <w:hyperlink r:id="rId15">
        <w:r>
          <w:rPr>
            <w:color w:val="000080"/>
            <w:u w:val="single" w:color="000080"/>
          </w:rPr>
          <w:t>Locales</w:t>
        </w:r>
      </w:hyperlink>
      <w:r>
        <w:t>:</w:t>
      </w:r>
    </w:p>
    <w:p w:rsidR="00085BB7" w:rsidRDefault="004441D3">
      <w:pPr>
        <w:ind w:left="736" w:right="1411"/>
      </w:pPr>
      <w:r>
        <w:t xml:space="preserve">“la fiscalización externa de las cuentas y de la gestión económica de las entidades locales y </w:t>
      </w:r>
      <w:r>
        <w:t xml:space="preserve">de todos los organismos y sociedades de ellas dependientes es función propia del Tribunal de Cuentas, con el alcance y condiciones que establece su ley orgánica reguladora y su ley de funcionamiento. </w:t>
      </w:r>
    </w:p>
    <w:p w:rsidR="00085BB7" w:rsidRDefault="004441D3">
      <w:pPr>
        <w:ind w:left="730" w:right="903" w:firstLine="710"/>
      </w:pPr>
      <w:r>
        <w:t xml:space="preserve">A tal efecto, las entidades locales rendirán al citado </w:t>
      </w:r>
      <w:r>
        <w:t xml:space="preserve">Tribunal, antes del día 15 de octubre de cada año, la Cuenta General. </w:t>
      </w:r>
    </w:p>
    <w:p w:rsidR="00085BB7" w:rsidRDefault="004441D3">
      <w:pPr>
        <w:ind w:left="730" w:right="1403" w:firstLine="710"/>
      </w:pPr>
      <w:r>
        <w:t>Una vez fiscalizadas las cuentas por el Tribunal, se someterá a la consideración de la entidad local la propuesta de corrección de las anomalías observadas y el ejercicio de las accione</w:t>
      </w:r>
      <w:r>
        <w:t>s procedentes, sin perjuicio, todo ello, de las actuaciones que puedan corresponder al Tribunal en los casos de exigencia de responsabilidad contable.</w:t>
      </w:r>
    </w:p>
    <w:p w:rsidR="00085BB7" w:rsidRDefault="004441D3">
      <w:pPr>
        <w:spacing w:after="500"/>
        <w:ind w:left="730" w:right="903" w:firstLine="71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column">
                  <wp:posOffset>6542599</wp:posOffset>
                </wp:positionH>
                <wp:positionV relativeFrom="paragraph">
                  <wp:posOffset>9005</wp:posOffset>
                </wp:positionV>
                <wp:extent cx="237530" cy="3270732"/>
                <wp:effectExtent l="0" t="0" r="0" b="0"/>
                <wp:wrapSquare wrapText="bothSides"/>
                <wp:docPr id="122089" name="Group 122089"/>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682" name="Rectangle 682"/>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83" name="Rectangle 683"/>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84" name="Rectangle 684"/>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089" style="width:18.7031pt;height:257.538pt;position:absolute;mso-position-horizontal-relative:text;mso-position-horizontal:absolute;margin-left:515.165pt;mso-position-vertical-relative:text;margin-top:0.709045pt;" coordsize="2375,32707">
                <v:rect id="Rectangle 682"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8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8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133 </w:t>
                        </w:r>
                      </w:p>
                    </w:txbxContent>
                  </v:textbox>
                </v:rect>
                <w10:wrap type="square"/>
              </v:group>
            </w:pict>
          </mc:Fallback>
        </mc:AlternateContent>
      </w:r>
      <w:r>
        <w:t>Lo establecido en el presente artículo se entiende sin menoscabo de las facultades que, en materia de fiscalización externa de las entidades locales, tengan atribu</w:t>
      </w:r>
      <w:r>
        <w:t>idas por sus Estatutos las Comunidades Autónomas”.</w:t>
      </w:r>
    </w:p>
    <w:p w:rsidR="00085BB7" w:rsidRDefault="004441D3">
      <w:pPr>
        <w:spacing w:after="498"/>
        <w:ind w:left="736" w:right="903"/>
      </w:pPr>
      <w:r>
        <w:t>SEGUNDO: El informe de Fiscalización pone de manifiesto que, en el ejercicio 2022, la Entidad ha presentado la información que compone la Cuenta General por vía telemática y ajustada a los requisitos de la</w:t>
      </w:r>
      <w:r>
        <w:t xml:space="preserve"> Instrucción de Contabilidad para la Administración Local.</w:t>
      </w:r>
    </w:p>
    <w:p w:rsidR="00085BB7" w:rsidRDefault="004441D3">
      <w:pPr>
        <w:ind w:left="736" w:right="903"/>
      </w:pPr>
      <w:r>
        <w:t xml:space="preserve">TERCERO: Se han detectado como incidencias en el Ayuntamiento de Candelaria que el Presupuesto no se ha aprobado en plazo y la Cuenta General, no se ha formado en el plazo legalmente establecido. </w:t>
      </w:r>
    </w:p>
    <w:p w:rsidR="00085BB7" w:rsidRDefault="004441D3">
      <w:pPr>
        <w:ind w:left="730" w:right="903" w:firstLine="708"/>
      </w:pPr>
      <w:r>
        <w:t>Asimismo, reflejan que no consta el Arqueo de las existencias en caja a fin de ejercicio, así como certificaciones bancarias y estado de conciliación. Respecto al Acta de Arqueo, el motivo es que desde hace años no hay saldo en la caja municipal. Con respe</w:t>
      </w:r>
      <w:r>
        <w:t>cto al saldo en entidades bancarias, los mismos si están elaborados y constan en el expediente 8055/2023, justificando las diferencias de cantidades en tres cuentas.</w:t>
      </w:r>
    </w:p>
    <w:p w:rsidR="00085BB7" w:rsidRDefault="004441D3">
      <w:pPr>
        <w:ind w:left="730" w:right="1402" w:firstLine="708"/>
      </w:pPr>
      <w:r>
        <w:t>También recogen diferencias en algunas cuentas de la Memoria y cuenta de resultados económ</w:t>
      </w:r>
      <w:r>
        <w:t>ico patrimonial, vinculadas entre sí, consecuencia que han sido imputadas mal financieramente (pero bien presupuestariamente) en contabilidad.</w:t>
      </w:r>
    </w:p>
    <w:p w:rsidR="00085BB7" w:rsidRDefault="004441D3">
      <w:pPr>
        <w:spacing w:after="500"/>
        <w:ind w:left="736" w:right="903"/>
      </w:pPr>
      <w:r>
        <w:t xml:space="preserve"> En los informes de auditoría realizados en las entidades dependientes, ha sido favorable en la Sociedad Mercanti</w:t>
      </w:r>
      <w:r>
        <w:t xml:space="preserve">l de Viviendas y con salvedades en Epelcan y Fundación. </w:t>
      </w:r>
    </w:p>
    <w:p w:rsidR="00085BB7" w:rsidRDefault="004441D3">
      <w:pPr>
        <w:ind w:left="736" w:right="1403"/>
      </w:pPr>
      <w:r>
        <w:t>CUARTO: La fiscalización de la Cuenta General 2022 por la Audiencia de Cuentas, pone de manifiesto la realidad de los indicadores y magnitudes presupuestarios y económicos, puestos de manifiesto en l</w:t>
      </w:r>
      <w:r>
        <w:t xml:space="preserve">a Cuenta General de esta Corporación municipal, aprobada por acuerdo plenario de fecha 28 de septiembre de 2023: </w:t>
      </w:r>
    </w:p>
    <w:p w:rsidR="00085BB7" w:rsidRDefault="004441D3">
      <w:pPr>
        <w:numPr>
          <w:ilvl w:val="0"/>
          <w:numId w:val="3"/>
        </w:numPr>
        <w:ind w:right="903" w:hanging="348"/>
      </w:pPr>
      <w:r>
        <w:t>Resultado Presupuestario: 4.928.366,38 €.</w:t>
      </w:r>
    </w:p>
    <w:p w:rsidR="00085BB7" w:rsidRDefault="004441D3">
      <w:pPr>
        <w:numPr>
          <w:ilvl w:val="0"/>
          <w:numId w:val="3"/>
        </w:numPr>
        <w:ind w:right="903" w:hanging="348"/>
      </w:pPr>
      <w:r>
        <w:t>Remanente de Tesorería: 23.408.195,38 €.</w:t>
      </w:r>
    </w:p>
    <w:p w:rsidR="00085BB7" w:rsidRDefault="004441D3">
      <w:pPr>
        <w:numPr>
          <w:ilvl w:val="0"/>
          <w:numId w:val="3"/>
        </w:numPr>
        <w:spacing w:after="353"/>
        <w:ind w:right="903" w:hanging="348"/>
      </w:pPr>
      <w:r>
        <w:t>Ahorro Neto: 4.856.988,11 € de los derechos corrientes liqu</w:t>
      </w:r>
      <w:r>
        <w:t>idados.</w:t>
      </w:r>
    </w:p>
    <w:p w:rsidR="00085BB7" w:rsidRDefault="004441D3">
      <w:pPr>
        <w:ind w:left="736" w:right="903"/>
      </w:pPr>
      <w:r>
        <w:t>QUINTO: El Análisis de Indicadores, tanto presupuestarios como financieros y patrimoniales, muestra la siguiente evolución desde los ejercicios 2018 al 2022:</w:t>
      </w:r>
    </w:p>
    <w:p w:rsidR="00085BB7" w:rsidRDefault="004441D3">
      <w:pPr>
        <w:ind w:left="736" w:right="903"/>
      </w:pPr>
      <w:r>
        <w:t>1.- Indicadores Presupuestarios:</w:t>
      </w:r>
    </w:p>
    <w:p w:rsidR="00085BB7" w:rsidRDefault="004441D3">
      <w:pPr>
        <w:ind w:left="736" w:right="1405"/>
      </w:pPr>
      <w:r>
        <w:rPr>
          <w:sz w:val="23"/>
        </w:rPr>
        <w:t>Ejecución de Ingresos</w:t>
      </w:r>
      <w:r>
        <w:t>: Nos muestra si se han formulado unas previsiones excesivas de ingresos en el presupuesto o no, señalando que una ejecución mayor del 90 por 100, se considera satisfactorio. En el año 2022, asciende al 60,2 %, una bajada de 10 puntos porcentuales respecto</w:t>
      </w:r>
      <w:r>
        <w:t xml:space="preserve"> del 2021.</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6542599</wp:posOffset>
                </wp:positionH>
                <wp:positionV relativeFrom="paragraph">
                  <wp:posOffset>651625</wp:posOffset>
                </wp:positionV>
                <wp:extent cx="237530" cy="3270732"/>
                <wp:effectExtent l="0" t="0" r="0" b="0"/>
                <wp:wrapSquare wrapText="bothSides"/>
                <wp:docPr id="122620" name="Group 12262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86" name="Rectangle 786"/>
                        <wps:cNvSpPr/>
                        <wps:spPr>
                          <a:xfrm rot="-5399999">
                            <a:off x="-1189133" y="1968375"/>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87" name="Rectangle 787"/>
                        <wps:cNvSpPr/>
                        <wps:spPr>
                          <a:xfrm rot="-5399999">
                            <a:off x="-976166" y="2105142"/>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88" name="Rectangle 788"/>
                        <wps:cNvSpPr/>
                        <wps:spPr>
                          <a:xfrm rot="-5399999">
                            <a:off x="-1966025" y="1039083"/>
                            <a:ext cx="435007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620" style="width:18.7031pt;height:257.538pt;position:absolute;mso-position-horizontal-relative:text;mso-position-horizontal:absolute;margin-left:515.165pt;mso-position-vertical-relative:text;margin-top:51.309pt;" coordsize="2375,32707">
                <v:rect id="Rectangle 786" style="position:absolute;width:24914;height:1132;left:-11891;top:1968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8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8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133 </w:t>
                        </w:r>
                      </w:p>
                    </w:txbxContent>
                  </v:textbox>
                </v:rect>
                <w10:wrap type="square"/>
              </v:group>
            </w:pict>
          </mc:Fallback>
        </mc:AlternateContent>
      </w:r>
      <w:r>
        <w:rPr>
          <w:sz w:val="23"/>
        </w:rPr>
        <w:t>Ejecución de Gastos</w:t>
      </w:r>
      <w:r>
        <w:t>: Expresa el porcentaje que s</w:t>
      </w:r>
      <w:r>
        <w:t xml:space="preserve">uponen las obligaciones reconocidas con cargo al presupuesto de gastos del ejercicio corriente en relación con el volumen de créditos definitivos. El índice de ejecución de gastos, que nos muestra el grado en que los créditos definitivos han dado lugar al </w:t>
      </w:r>
      <w:r>
        <w:t>reconocimiento de obligaciones, también ha de alcanzar valores superiores al 80 %. Alcanza unos valores de 50 %, una caída de 9,3 puntos porcentuales respecto el 2021.</w:t>
      </w:r>
    </w:p>
    <w:p w:rsidR="00085BB7" w:rsidRDefault="004441D3">
      <w:pPr>
        <w:ind w:left="736" w:right="903"/>
      </w:pPr>
      <w:r>
        <w:rPr>
          <w:sz w:val="23"/>
        </w:rPr>
        <w:t>Realización de Cobros</w:t>
      </w:r>
      <w:r>
        <w:t>: Mide la capacidad para transformar en liquidez los derechos de co</w:t>
      </w:r>
      <w:r>
        <w:t>bro liquidados y vencidos, es decir, el ritmo de cobro. Se considera un índice satisfactorio, que sea superior al 80 por 100. En el año 2022, llega al 99,4 %, lo que supone 0,9 puntos porcentuales mejor que en el 2021.</w:t>
      </w:r>
    </w:p>
    <w:p w:rsidR="00085BB7" w:rsidRDefault="004441D3">
      <w:pPr>
        <w:ind w:left="736" w:right="903"/>
      </w:pPr>
      <w:r>
        <w:rPr>
          <w:sz w:val="23"/>
        </w:rPr>
        <w:t>Realización de los Pagos</w:t>
      </w:r>
      <w:r>
        <w:t xml:space="preserve">: Refleja el </w:t>
      </w:r>
      <w:r>
        <w:t xml:space="preserve">porcentaje de obligaciones reconocidas en el ejercicio que han sido pagadas durante el mismo. Se consideran satisfactorios unos índices entre el 80 y el 90 por 100. Si son inferiores, alertan de posibles dificultades de tesorería. Llega al 88,5 %, cayendo </w:t>
      </w:r>
      <w:r>
        <w:t>3,7 puntos porcentuales respecto el 2021.</w:t>
      </w:r>
    </w:p>
    <w:p w:rsidR="00085BB7" w:rsidRDefault="004441D3">
      <w:pPr>
        <w:ind w:left="736" w:right="903"/>
      </w:pPr>
      <w:r>
        <w:rPr>
          <w:sz w:val="23"/>
        </w:rPr>
        <w:t>Carga Financiera del ejercicio</w:t>
      </w:r>
      <w:r>
        <w:t>: Relaciona el cociente entre los gastos financieros y amortización financiera con los derechos liquidados corrientes. Cuanto menor sea el peso de la carga financiera, mayor será el ma</w:t>
      </w:r>
      <w:r>
        <w:t>rgen de maniobra para financiar las inversiones. Asciende al 0,3 %, frente al 0,2 % del año 2021.</w:t>
      </w:r>
    </w:p>
    <w:p w:rsidR="00085BB7" w:rsidRDefault="004441D3">
      <w:pPr>
        <w:ind w:left="736" w:right="903"/>
      </w:pPr>
      <w:r>
        <w:rPr>
          <w:sz w:val="23"/>
        </w:rPr>
        <w:t>Ahorro Neto</w:t>
      </w:r>
      <w:r>
        <w:t xml:space="preserve">: Refleja la capacidad de financiar, con sus recursos corrientes, los gastos ordinarios y carga financiera. Llega actualmente al 14,8 %, frente al </w:t>
      </w:r>
      <w:r>
        <w:t>15,5 % respecto el 2021.</w:t>
      </w:r>
    </w:p>
    <w:p w:rsidR="00085BB7" w:rsidRDefault="004441D3">
      <w:pPr>
        <w:spacing w:after="500"/>
        <w:ind w:left="736" w:right="1402"/>
      </w:pPr>
      <w:r>
        <w:rPr>
          <w:sz w:val="23"/>
        </w:rPr>
        <w:t xml:space="preserve">Eficacia de la Gestión Recaudatoria: </w:t>
      </w:r>
      <w:r>
        <w:t>Mide la capacidad de transformar en liquidez los derechos de cobro liquidados y vencidos de los tres primeros capítulos de ingresos de naturaleza tributaria, principalmente. Sería deseable que s</w:t>
      </w:r>
      <w:r>
        <w:t>ea mayor de 80 por 100, y llega al 98,7 %, mejor en 1,6 puntos porcentuales que en el 2021.</w:t>
      </w:r>
    </w:p>
    <w:p w:rsidR="00085BB7" w:rsidRDefault="004441D3">
      <w:pPr>
        <w:ind w:left="736" w:right="903"/>
      </w:pPr>
      <w:r>
        <w:t>2.- Indicadores Financieros y Patrimoniales:</w:t>
      </w:r>
    </w:p>
    <w:p w:rsidR="00085BB7" w:rsidRDefault="004441D3">
      <w:pPr>
        <w:ind w:left="736" w:right="1403"/>
      </w:pPr>
      <w:r>
        <w:rPr>
          <w:sz w:val="23"/>
        </w:rPr>
        <w:t>Índice de Liquidez Inmediata</w:t>
      </w:r>
      <w:r>
        <w:t>: Se obtiene por el cociente entre los fondos líquidos (dinero en caja y bancos, así como i</w:t>
      </w:r>
      <w:r>
        <w:t>nversiones financieras temporales con alto grado de liquidez) y las obligaciones presupuestarias y extrapresupuestarias pendientes de pago, minoradas por el volumen de pagos pendientes de aplicación. Cuanto mayor sea el porcentaje, menor será el riesgo fin</w:t>
      </w:r>
      <w:r>
        <w:t>anciero, si bien, un valor excesivo, revela un excedente de liquidez que habrá que colocar. Este ratio, debe situarse entre 0,70 y 0,90, encontrándose la entidad en el año 2022, en el 6,1 %, dos décimas peor respecto del 2021.</w:t>
      </w:r>
    </w:p>
    <w:p w:rsidR="00085BB7" w:rsidRDefault="004441D3">
      <w:pPr>
        <w:ind w:left="736" w:right="1402"/>
      </w:pPr>
      <w:r>
        <w:rPr>
          <w:sz w:val="23"/>
        </w:rPr>
        <w:t>Relación de Endeudamiento</w:t>
      </w:r>
      <w:r>
        <w:t>: Se define como el cociente entre las agrupaciones de provisiones y acreedores a corto plazo (pasivo corriente), sobre las agrupaciones de provisiones y acreedores a largo plazo (pasivo no corriente) del pasivo del balance.</w:t>
      </w:r>
    </w:p>
    <w:p w:rsidR="00085BB7" w:rsidRDefault="004441D3">
      <w:pPr>
        <w:ind w:left="730" w:right="1404" w:firstLine="708"/>
      </w:pPr>
      <w:r>
        <w:t>Indica qué porcentaje represent</w:t>
      </w:r>
      <w:r>
        <w:t>a el exigible a corto plazo, sobre las obligaciones reembolsables a largo plazo. Un valor superior a uno, indica un mayor volumen de deuda a corto plazo que de deuda a largo plazo, y a la inversa.</w:t>
      </w:r>
    </w:p>
    <w:p w:rsidR="00085BB7" w:rsidRDefault="004441D3">
      <w:pPr>
        <w:ind w:left="730" w:right="903" w:firstLine="708"/>
      </w:pPr>
      <w:r>
        <w:t>Cuanto más se aproxima su valor a cero, mayor es el peso de</w:t>
      </w:r>
      <w:r>
        <w:t xml:space="preserve"> las obligaciones a largo plazo sobre el total de obligaciones a corto, y a la inversa.</w:t>
      </w:r>
    </w:p>
    <w:p w:rsidR="00085BB7" w:rsidRDefault="004441D3">
      <w:pPr>
        <w:ind w:left="730" w:right="903" w:firstLine="708"/>
      </w:pPr>
      <w:r>
        <w:t>En el ejercicio 2022, este indicador asciende a 6,8 %. Empeora 1,6 puntos porcentuales respecto del año 2021.</w:t>
      </w:r>
    </w:p>
    <w:p w:rsidR="00085BB7" w:rsidRDefault="004441D3">
      <w:pPr>
        <w:spacing w:after="1006"/>
        <w:ind w:left="736" w:right="903"/>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column">
                  <wp:posOffset>6542599</wp:posOffset>
                </wp:positionH>
                <wp:positionV relativeFrom="paragraph">
                  <wp:posOffset>524167</wp:posOffset>
                </wp:positionV>
                <wp:extent cx="237530" cy="3313100"/>
                <wp:effectExtent l="0" t="0" r="0" b="0"/>
                <wp:wrapSquare wrapText="bothSides"/>
                <wp:docPr id="121863" name="Group 1218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2" name="Rectangle 89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93" name="Rectangle 89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94" name="Rectangle 89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1863" style="width:18.7031pt;height:260.874pt;position:absolute;mso-position-horizontal-relative:text;mso-position-horizontal:absolute;margin-left:515.165pt;mso-position-vertical-relative:text;margin-top:41.273pt;" coordsize="2375,33131">
                <v:rect id="Rectangle 89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133 </w:t>
                        </w:r>
                      </w:p>
                    </w:txbxContent>
                  </v:textbox>
                </v:rect>
                <w10:wrap type="square"/>
              </v:group>
            </w:pict>
          </mc:Fallback>
        </mc:AlternateContent>
      </w:r>
      <w:r>
        <w:rPr>
          <w:sz w:val="23"/>
        </w:rPr>
        <w:t>Endeudamiento por Habitante</w:t>
      </w:r>
      <w:r>
        <w:t>: Se obtiene dividiendo la deuda financiera o pasivo corriente y no corriente to</w:t>
      </w:r>
      <w:r>
        <w:t>tal, existente a 31 de diciembre y el número de habitantes, de tal manera que cuanto mayor sea esta ratio, mayor será el riesgo de insolvencia. Asciende a 212,4 Euros, aumentando 46 Euros, respecto del año anterior.</w:t>
      </w:r>
    </w:p>
    <w:p w:rsidR="00085BB7" w:rsidRDefault="004441D3">
      <w:pPr>
        <w:ind w:left="736" w:right="903"/>
      </w:pPr>
      <w:r>
        <w:t xml:space="preserve">SEXTO: El análisis Económico Financiero </w:t>
      </w:r>
      <w:r>
        <w:t>ha dado lugar a los siguientes resultados:</w:t>
      </w:r>
    </w:p>
    <w:p w:rsidR="00085BB7" w:rsidRDefault="004441D3">
      <w:pPr>
        <w:numPr>
          <w:ilvl w:val="0"/>
          <w:numId w:val="4"/>
        </w:numPr>
        <w:ind w:right="903"/>
      </w:pPr>
      <w:r>
        <w:t xml:space="preserve">La principal fuente de financiación de la Entidad en el ejercicio fue el capítulo 4 (Transferencias corrientes), que alcanzó el 38,6 % de los derechos reconocidos, seguido en importancia del capítulo 1 (Impuestos </w:t>
      </w:r>
      <w:r>
        <w:t>directos) con el 24,6 %.</w:t>
      </w:r>
    </w:p>
    <w:p w:rsidR="00085BB7" w:rsidRDefault="004441D3">
      <w:pPr>
        <w:numPr>
          <w:ilvl w:val="0"/>
          <w:numId w:val="4"/>
        </w:numPr>
        <w:spacing w:after="498"/>
        <w:ind w:right="903"/>
      </w:pPr>
      <w:r>
        <w:t xml:space="preserve">El principal componente del gasto fue el capítulo 1 (Gastos de personal), que representó el 42,1 % de las obligaciones reconocidas. Le sigue el capítulo 2 (Gastos corrientes en bienes y servicios), que supuso el 36 % del total del </w:t>
      </w:r>
      <w:r>
        <w:t>gasto”.</w:t>
      </w:r>
    </w:p>
    <w:p w:rsidR="00085BB7" w:rsidRDefault="004441D3">
      <w:pPr>
        <w:ind w:left="730" w:right="903" w:firstLine="348"/>
      </w:pPr>
      <w:r>
        <w:t>Por tanto, este Concejal PROPONE al Ayuntamiento Pleno, la adopción del siguiente ACUERDO:</w:t>
      </w:r>
    </w:p>
    <w:p w:rsidR="00085BB7" w:rsidRDefault="004441D3">
      <w:pPr>
        <w:spacing w:after="10"/>
        <w:ind w:left="736" w:right="903"/>
      </w:pPr>
      <w:r>
        <w:t xml:space="preserve">Primero: Tomar Conocimiento del Informe Definitivo de la Fiscalización de la Cuenta </w:t>
      </w:r>
    </w:p>
    <w:p w:rsidR="00085BB7" w:rsidRDefault="004441D3">
      <w:pPr>
        <w:spacing w:after="10"/>
        <w:ind w:left="736" w:right="903"/>
      </w:pPr>
      <w:r>
        <w:t xml:space="preserve">General del ejercicio 2022 del Ayuntamiento de Candelaria, realizado por la Audiencia de </w:t>
      </w:r>
    </w:p>
    <w:p w:rsidR="00085BB7" w:rsidRDefault="004441D3">
      <w:pPr>
        <w:ind w:left="736" w:right="903"/>
      </w:pPr>
      <w:r>
        <w:t xml:space="preserve">Cuentas de Canarias, en virtud del artículo 223 del </w:t>
      </w:r>
      <w:hyperlink r:id="rId16">
        <w:r>
          <w:rPr>
            <w:color w:val="000080"/>
            <w:u w:val="single" w:color="000080"/>
          </w:rPr>
          <w:t>Real Decreto Legislativo 2/2004</w:t>
        </w:r>
      </w:hyperlink>
      <w:r>
        <w:t>, de 5 de marz</w:t>
      </w:r>
      <w:r>
        <w:t>o, por el que se aprueba el texto refundido de la</w:t>
      </w:r>
      <w:hyperlink r:id="rId17">
        <w:r>
          <w:t xml:space="preserve"> </w:t>
        </w:r>
      </w:hyperlink>
      <w:hyperlink r:id="rId18">
        <w:r>
          <w:rPr>
            <w:color w:val="000080"/>
            <w:u w:val="single" w:color="000080"/>
          </w:rPr>
          <w:t xml:space="preserve">Ley Reguladora de las Haciendas </w:t>
        </w:r>
      </w:hyperlink>
      <w:hyperlink r:id="rId19">
        <w:r>
          <w:rPr>
            <w:color w:val="000080"/>
            <w:u w:val="single" w:color="000080"/>
          </w:rPr>
          <w:t>Locales</w:t>
        </w:r>
      </w:hyperlink>
      <w:r>
        <w:t>.</w:t>
      </w:r>
    </w:p>
    <w:p w:rsidR="00085BB7" w:rsidRDefault="004441D3">
      <w:pPr>
        <w:spacing w:after="752"/>
        <w:ind w:left="736" w:right="1412"/>
      </w:pPr>
      <w:r>
        <w:t>Segundo: Remisión de la certificación plenaria de la Toma de Conocimiento a la Audiencia de Cuentas de Canarias, de conformidad con el artículo 19 de la Ley Territorial 4/1989, de 2 de mayo.”</w:t>
      </w:r>
    </w:p>
    <w:p w:rsidR="00085BB7" w:rsidRDefault="004441D3">
      <w:pPr>
        <w:ind w:left="736" w:right="903"/>
      </w:pPr>
      <w:r>
        <w:t xml:space="preserve">DICTAMEN FAVORABLE DE </w:t>
      </w:r>
      <w:r>
        <w:t>LA COMISIÓN INFORMATIVA DE HACIENDA, RECURSOS HUMANOS Y SERVICIOS GENERALES DE 23 DE SEPTIEMBRE DE 2024.</w:t>
      </w:r>
    </w:p>
    <w:p w:rsidR="00085BB7" w:rsidRDefault="004441D3">
      <w:pPr>
        <w:spacing w:after="495"/>
        <w:ind w:left="1451" w:right="903"/>
      </w:pPr>
      <w:r>
        <w:t>Los 7 concejales tomaron conocimiento:</w:t>
      </w:r>
    </w:p>
    <w:p w:rsidR="00085BB7" w:rsidRDefault="004441D3">
      <w:pPr>
        <w:ind w:left="736" w:right="903"/>
      </w:pPr>
      <w:r>
        <w:t>Los 4 concejales del Grupo Socialista: D. Airam Pérez Chinea, D ª Margarita Eva Tendero Barroso, Dª Mónica Monts</w:t>
      </w:r>
      <w:r>
        <w:t>errat Yanes Delgado, D. Olegario Francisco Alonso Bello.</w:t>
      </w:r>
    </w:p>
    <w:p w:rsidR="00085BB7" w:rsidRDefault="004441D3">
      <w:pPr>
        <w:ind w:left="736" w:right="903"/>
      </w:pPr>
      <w:r>
        <w:t>Los 2 concejales del Grupo Popular; D. Jacobo López Fariña, Dª Raquel Martín Castro.</w:t>
      </w:r>
    </w:p>
    <w:p w:rsidR="00085BB7" w:rsidRDefault="004441D3">
      <w:pPr>
        <w:spacing w:after="495"/>
        <w:ind w:left="736" w:right="903"/>
      </w:pPr>
      <w:r>
        <w:t>1 del concejal del Grupo Mixto: D. José Fierros Sierra (USP).</w:t>
      </w:r>
    </w:p>
    <w:p w:rsidR="00085BB7" w:rsidRDefault="004441D3">
      <w:pPr>
        <w:spacing w:after="497"/>
        <w:ind w:left="736" w:right="3713"/>
      </w:pPr>
      <w:r>
        <w:t>JUNTA DE PORTAVOCES DE 23 DE SEPTIEMBRE DE 2024. Que</w:t>
      </w:r>
      <w:r>
        <w:t xml:space="preserve">dó oída. </w:t>
      </w:r>
    </w:p>
    <w:p w:rsidR="00085BB7" w:rsidRDefault="004441D3">
      <w:pPr>
        <w:spacing w:after="481" w:line="265" w:lineRule="auto"/>
        <w:ind w:left="548" w:right="1204" w:hanging="10"/>
        <w:jc w:val="center"/>
      </w:pPr>
      <w:r>
        <w:t>TOMA DE CONOCIMIENTO EN EL PLENO DE 26 DE SEPTIEMBRE DE 2024.</w:t>
      </w:r>
    </w:p>
    <w:p w:rsidR="00085BB7" w:rsidRDefault="004441D3">
      <w:pPr>
        <w:ind w:left="736" w:right="903"/>
      </w:pPr>
      <w:r>
        <w:t xml:space="preserve">La unanimidad de los 21 concejales presentes: </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6542599</wp:posOffset>
                </wp:positionH>
                <wp:positionV relativeFrom="paragraph">
                  <wp:posOffset>48476</wp:posOffset>
                </wp:positionV>
                <wp:extent cx="237530" cy="3307461"/>
                <wp:effectExtent l="0" t="0" r="0" b="0"/>
                <wp:wrapSquare wrapText="bothSides"/>
                <wp:docPr id="122308" name="Group 122308"/>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991" name="Rectangle 991"/>
                        <wps:cNvSpPr/>
                        <wps:spPr>
                          <a:xfrm rot="-5399999">
                            <a:off x="-1189133" y="2005104"/>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92" name="Rectangle 992"/>
                        <wps:cNvSpPr/>
                        <wps:spPr>
                          <a:xfrm rot="-5399999">
                            <a:off x="-976166" y="2141871"/>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93" name="Rectangle 993"/>
                        <wps:cNvSpPr/>
                        <wps:spPr>
                          <a:xfrm rot="-5399999">
                            <a:off x="-1990450" y="1051388"/>
                            <a:ext cx="4398923"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308" style="width:18.7031pt;height:260.43pt;position:absolute;mso-position-horizontal-relative:text;mso-position-horizontal:absolute;margin-left:515.165pt;mso-position-vertical-relative:text;margin-top:3.81702pt;" coordsize="2375,33074">
                <v:rect id="Rectangle 991" style="position:absolute;width:24914;height:1132;left:-11891;top:20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92"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93"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133 </w:t>
                        </w:r>
                      </w:p>
                    </w:txbxContent>
                  </v:textbox>
                </v:rect>
                <w10:wrap type="square"/>
              </v:group>
            </w:pict>
          </mc:Fallback>
        </mc:AlternateContent>
      </w:r>
      <w:r>
        <w:t xml:space="preserve">Delgado, Don José Francisco Pinto Ramos, Doña Olivia Concepción Pérez Díaz, Don </w:t>
      </w:r>
    </w:p>
    <w:p w:rsidR="00085BB7" w:rsidRDefault="004441D3">
      <w:pPr>
        <w:ind w:left="736" w:right="903"/>
      </w:pPr>
      <w:r>
        <w:t>Reinaldo José Triviño Blan</w:t>
      </w:r>
      <w:r>
        <w:t xml:space="preserve">co, Don Manuel Alberto González Pestano, Doña Margarita Eva Tendero Barroso, Don Airam Pérez Chinea, Doña María del Carmen Clemente Díaz, Don Olegario Francisco Alonso Bello, Doña Mónica Monserrat Yanes Delgado. </w:t>
      </w:r>
    </w:p>
    <w:p w:rsidR="00085BB7" w:rsidRDefault="004441D3">
      <w:pPr>
        <w:ind w:left="736" w:right="903"/>
      </w:pPr>
      <w:r>
        <w:t xml:space="preserve">6 concejales del Grupo Popular: Don Jacobo </w:t>
      </w:r>
      <w:r>
        <w:t xml:space="preserve">López Fariña, Doña Raquel Martín Castro, Don David Crego Cháves, Doña María Carlota Díaz González, Don José Daniel Sosa González, y Doña Shaila Castellano Batista. </w:t>
      </w:r>
    </w:p>
    <w:p w:rsidR="00085BB7" w:rsidRDefault="004441D3">
      <w:pPr>
        <w:spacing w:after="0"/>
        <w:ind w:left="736" w:right="903"/>
      </w:pPr>
      <w:r>
        <w:t xml:space="preserve">4 concejales del Grupo Mixto: Doña Ángela Cruz Perera y Don Emilio Jesús Atienzar Armas, </w:t>
      </w:r>
      <w:r>
        <w:t>(CC), D. José Fierros Sierra (USP), Don José Tortosa Pallarés (VOX).</w:t>
      </w:r>
    </w:p>
    <w:p w:rsidR="00085BB7" w:rsidRDefault="004441D3">
      <w:pPr>
        <w:spacing w:after="605" w:line="259" w:lineRule="auto"/>
        <w:ind w:left="735" w:firstLine="0"/>
        <w:jc w:val="left"/>
      </w:pPr>
      <w:r>
        <w:t xml:space="preserve">                          </w:t>
      </w:r>
    </w:p>
    <w:p w:rsidR="00085BB7" w:rsidRDefault="004441D3">
      <w:pPr>
        <w:spacing w:after="467" w:line="265" w:lineRule="auto"/>
        <w:ind w:left="548" w:right="1062" w:hanging="10"/>
        <w:jc w:val="center"/>
      </w:pPr>
      <w:r>
        <w:t>ACUERDO DEL PLENO DE 26 DE SEPTIEMBRE DE 2024.</w:t>
      </w:r>
    </w:p>
    <w:p w:rsidR="00085BB7" w:rsidRDefault="004441D3">
      <w:pPr>
        <w:spacing w:after="10"/>
        <w:ind w:left="736" w:right="903"/>
      </w:pPr>
      <w:r>
        <w:t xml:space="preserve">Primero: Tomar Conocimiento del Informe Definitivo de la Fiscalización de la Cuenta </w:t>
      </w:r>
    </w:p>
    <w:p w:rsidR="00085BB7" w:rsidRDefault="004441D3">
      <w:pPr>
        <w:ind w:left="736" w:right="903"/>
      </w:pPr>
      <w:r>
        <w:t>General del ejercicio 2022 d</w:t>
      </w:r>
      <w:r>
        <w:t xml:space="preserve">el Ayuntamiento de Candelaria, realizado por la Audiencia de Cuentas de Canarias, en virtud del artículo 223 del </w:t>
      </w:r>
      <w:hyperlink r:id="rId20">
        <w:r>
          <w:rPr>
            <w:color w:val="000080"/>
            <w:u w:val="single" w:color="000080"/>
          </w:rPr>
          <w:t>Real Decreto Legislativo 2/2004</w:t>
        </w:r>
      </w:hyperlink>
      <w:r>
        <w:t>, de 5 de marzo, por el que se aprueba el t</w:t>
      </w:r>
      <w:r>
        <w:t>exto refundido de la</w:t>
      </w:r>
      <w:hyperlink r:id="rId21">
        <w:r>
          <w:t xml:space="preserve"> </w:t>
        </w:r>
      </w:hyperlink>
      <w:hyperlink r:id="rId22">
        <w:r>
          <w:rPr>
            <w:color w:val="000080"/>
            <w:u w:val="single" w:color="000080"/>
          </w:rPr>
          <w:t>Ley Reguladora de las Haciendas</w:t>
        </w:r>
      </w:hyperlink>
      <w:r>
        <w:rPr>
          <w:color w:val="000080"/>
        </w:rPr>
        <w:t xml:space="preserve"> </w:t>
      </w:r>
      <w:hyperlink r:id="rId23">
        <w:r>
          <w:rPr>
            <w:color w:val="000080"/>
            <w:u w:val="single" w:color="000080"/>
          </w:rPr>
          <w:t>Locales</w:t>
        </w:r>
      </w:hyperlink>
      <w:r>
        <w:t>.</w:t>
      </w:r>
    </w:p>
    <w:p w:rsidR="00085BB7" w:rsidRDefault="004441D3">
      <w:pPr>
        <w:spacing w:after="8936"/>
        <w:ind w:left="736" w:right="1402"/>
      </w:pPr>
      <w:r>
        <w:t>Segundo: Remisión de la certificación plenaria de la toma de conocimiento a la Audiencia de Cuentas de Canarias, de conformidad con el artículo 19 de la Ley Territorial 4/1989, de 2 de mayo.</w:t>
      </w:r>
    </w:p>
    <w:p w:rsidR="00085BB7" w:rsidRDefault="004441D3">
      <w:pPr>
        <w:spacing w:after="523" w:line="250" w:lineRule="auto"/>
        <w:ind w:left="738" w:hanging="1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6542599</wp:posOffset>
                </wp:positionH>
                <wp:positionV relativeFrom="paragraph">
                  <wp:posOffset>-965475</wp:posOffset>
                </wp:positionV>
                <wp:extent cx="237530" cy="3313100"/>
                <wp:effectExtent l="0" t="0" r="0" b="0"/>
                <wp:wrapSquare wrapText="bothSides"/>
                <wp:docPr id="122752" name="Group 12275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56" name="Rectangle 105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57" name="Rectangle 105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58" name="Rectangle 105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2752" style="width:18.7031pt;height:260.874pt;position:absolute;mso-position-horizontal-relative:text;mso-position-horizontal:absolute;margin-left:515.165pt;mso-position-vertical-relative:text;margin-top:-76.0217pt;" coordsize="2375,33131">
                <v:rect id="Rectangle 105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133 </w:t>
                        </w:r>
                      </w:p>
                    </w:txbxContent>
                  </v:textbox>
                </v:rect>
                <w10:wrap type="square"/>
              </v:group>
            </w:pict>
          </mc:Fallback>
        </mc:AlternateContent>
      </w:r>
      <w:r>
        <w:rPr>
          <w:sz w:val="24"/>
        </w:rPr>
        <w:t xml:space="preserve">3.- Expediente 2761/2024. Propuesta del Concejal delegado de Hacienda de fecha 16 de septiembre de 2024 al </w:t>
      </w:r>
      <w:r>
        <w:rPr>
          <w:sz w:val="24"/>
        </w:rPr>
        <w:t>Pleno de modificación de la aprobación inicial de la Ordenanza reguladora de la prestación patrimonial de carácter público no tributario del ciclo integral del agua y sometimiento a información pública del expediente.</w:t>
      </w:r>
    </w:p>
    <w:p w:rsidR="00085BB7" w:rsidRDefault="004441D3">
      <w:pPr>
        <w:spacing w:after="498"/>
        <w:ind w:left="730" w:right="903" w:firstLine="710"/>
      </w:pPr>
      <w:r>
        <w:t>Consta en el expediente Informe de Int</w:t>
      </w:r>
      <w:r>
        <w:t>ervención emitido por Don Nicolás Rojo Garnica, que desempeña el puesto de trabajo de Interventor Municipal, de   de 30 de agosto de 2024, del siguiente tenor literal:</w:t>
      </w:r>
    </w:p>
    <w:p w:rsidR="00085BB7" w:rsidRDefault="004441D3">
      <w:pPr>
        <w:spacing w:after="225" w:line="265" w:lineRule="auto"/>
        <w:ind w:left="548" w:right="1062" w:hanging="10"/>
        <w:jc w:val="center"/>
      </w:pPr>
      <w:r>
        <w:t>“INFORME DE INTERVENCIÓN</w:t>
      </w:r>
    </w:p>
    <w:p w:rsidR="00085BB7" w:rsidRDefault="004441D3">
      <w:pPr>
        <w:spacing w:after="10"/>
        <w:ind w:left="736" w:right="903"/>
      </w:pPr>
      <w:r>
        <w:t xml:space="preserve">ORDENANZA REGULADORA DE LA PRESTACIÓN PATRIMONIAL DE CARÁCTER </w:t>
      </w:r>
    </w:p>
    <w:p w:rsidR="00085BB7" w:rsidRDefault="004441D3">
      <w:pPr>
        <w:spacing w:after="10"/>
        <w:ind w:left="736" w:right="903"/>
      </w:pPr>
      <w:r>
        <w:t>PÚBLICO NO TRIBUTARIO DE LOS SERVICIOS MUNICIPALES DE GESTIÓN DEL CICLO INTEGRAL DEL AGUA DEL AYUNTAMIENTO DE LA VILLA DE CANDELARIA</w:t>
      </w:r>
    </w:p>
    <w:p w:rsidR="00085BB7" w:rsidRDefault="004441D3">
      <w:pPr>
        <w:spacing w:after="701" w:line="259" w:lineRule="auto"/>
        <w:ind w:left="740" w:right="0" w:firstLine="0"/>
        <w:jc w:val="left"/>
      </w:pPr>
      <w:r>
        <w:rPr>
          <w:rFonts w:ascii="Calibri" w:eastAsia="Calibri" w:hAnsi="Calibri" w:cs="Calibri"/>
          <w:noProof/>
        </w:rPr>
        <mc:AlternateContent>
          <mc:Choice Requires="wpg">
            <w:drawing>
              <wp:inline distT="0" distB="0" distL="0" distR="0">
                <wp:extent cx="6059170" cy="25400"/>
                <wp:effectExtent l="0" t="0" r="0" b="0"/>
                <wp:docPr id="125200" name="Group 125200"/>
                <wp:cNvGraphicFramePr/>
                <a:graphic xmlns:a="http://schemas.openxmlformats.org/drawingml/2006/main">
                  <a:graphicData uri="http://schemas.microsoft.com/office/word/2010/wordprocessingGroup">
                    <wpg:wgp>
                      <wpg:cNvGrpSpPr/>
                      <wpg:grpSpPr>
                        <a:xfrm>
                          <a:off x="0" y="0"/>
                          <a:ext cx="6059170" cy="25400"/>
                          <a:chOff x="0" y="0"/>
                          <a:chExt cx="6059170" cy="25400"/>
                        </a:xfrm>
                      </wpg:grpSpPr>
                      <wps:wsp>
                        <wps:cNvPr id="1164" name="Shape 1164"/>
                        <wps:cNvSpPr/>
                        <wps:spPr>
                          <a:xfrm>
                            <a:off x="0" y="0"/>
                            <a:ext cx="6059170" cy="0"/>
                          </a:xfrm>
                          <a:custGeom>
                            <a:avLst/>
                            <a:gdLst/>
                            <a:ahLst/>
                            <a:cxnLst/>
                            <a:rect l="0" t="0" r="0" b="0"/>
                            <a:pathLst>
                              <a:path w="6059170">
                                <a:moveTo>
                                  <a:pt x="0" y="0"/>
                                </a:moveTo>
                                <a:lnTo>
                                  <a:pt x="6059170"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25200" style="width:477.1pt;height:2pt;mso-position-horizontal-relative:char;mso-position-vertical-relative:line" coordsize="60591,254">
                <v:shape id="Shape 1164" style="position:absolute;width:60591;height:0;left:0;top:0;" coordsize="6059170,0" path="m0,0l6059170,0">
                  <v:stroke weight="2pt" endcap="square" joinstyle="miter" miterlimit="3" on="true" color="#993366"/>
                  <v:fill on="false" color="#000000" opacity="0"/>
                </v:shape>
              </v:group>
            </w:pict>
          </mc:Fallback>
        </mc:AlternateContent>
      </w:r>
    </w:p>
    <w:p w:rsidR="00085BB7" w:rsidRDefault="004441D3">
      <w:pPr>
        <w:spacing w:after="3" w:line="265" w:lineRule="auto"/>
        <w:ind w:left="10" w:right="1407" w:hanging="10"/>
        <w:jc w:val="right"/>
      </w:pPr>
      <w:r>
        <w:t xml:space="preserve">Con fecha 25 de abril de 2024, se adoptó el acuerdo de Aprobación inicial de la </w:t>
      </w:r>
    </w:p>
    <w:p w:rsidR="00085BB7" w:rsidRDefault="004441D3">
      <w:pPr>
        <w:spacing w:after="486"/>
        <w:ind w:left="736" w:right="1398"/>
      </w:pPr>
      <w:r>
        <w:t>ORDENANZA REGULADORA DE LA PRESTACIÓN PATRIMONIAL DE CARÁCTER PÚBLICO NO TRIBUTARIO DE LOS SERVICIOS MUNICIPALES DE GESTIÓN DEL CICLO INTEGRAL DEL AGUA DEL AYUNTAMIENTO DE LA VILLA DE CANDELARIA, adoptando la aplicación de las siguientes tarifas:</w:t>
      </w:r>
    </w:p>
    <w:p w:rsidR="00085BB7" w:rsidRDefault="004441D3">
      <w:pPr>
        <w:numPr>
          <w:ilvl w:val="0"/>
          <w:numId w:val="5"/>
        </w:numPr>
        <w:spacing w:after="109"/>
        <w:ind w:left="1725" w:right="903" w:hanging="282"/>
      </w:pPr>
      <w:r>
        <w:t>ABASTECIM</w:t>
      </w:r>
      <w:r>
        <w:t>IENTO:</w:t>
      </w:r>
    </w:p>
    <w:p w:rsidR="00085BB7" w:rsidRDefault="004441D3">
      <w:pPr>
        <w:spacing w:after="10"/>
        <w:ind w:left="1875" w:right="903"/>
      </w:pPr>
      <w:r>
        <w:t>1.- Consumo Doméstico</w:t>
      </w:r>
    </w:p>
    <w:tbl>
      <w:tblPr>
        <w:tblStyle w:val="TableGrid"/>
        <w:tblW w:w="3656" w:type="dxa"/>
        <w:tblInd w:w="733" w:type="dxa"/>
        <w:tblCellMar>
          <w:top w:w="12" w:type="dxa"/>
          <w:left w:w="99" w:type="dxa"/>
          <w:bottom w:w="0" w:type="dxa"/>
          <w:right w:w="108" w:type="dxa"/>
        </w:tblCellMar>
        <w:tblLook w:val="04A0" w:firstRow="1" w:lastRow="0" w:firstColumn="1" w:lastColumn="0" w:noHBand="0" w:noVBand="1"/>
      </w:tblPr>
      <w:tblGrid>
        <w:gridCol w:w="2526"/>
        <w:gridCol w:w="1130"/>
      </w:tblGrid>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CONSUMO DOMÉSTICO</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IMPORTE</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CUOTA FIJA</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14,25 €</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De 1 a 10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0,60 €/m3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w:t>
            </w:r>
            <w:r>
              <w:rPr>
                <w:sz w:val="20"/>
              </w:rPr>
              <w:t>11 a 30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1,20 €/m3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31 a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2,20 €/m3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Más de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3,50 €/m3</w:t>
            </w:r>
          </w:p>
        </w:tc>
      </w:tr>
    </w:tbl>
    <w:p w:rsidR="00085BB7" w:rsidRDefault="004441D3">
      <w:pPr>
        <w:spacing w:after="111" w:line="250" w:lineRule="auto"/>
        <w:ind w:left="1879" w:right="908" w:hanging="10"/>
      </w:pPr>
      <w:r>
        <w:rPr>
          <w:sz w:val="20"/>
        </w:rPr>
        <w:t>2.- Consumo Industrial</w:t>
      </w:r>
    </w:p>
    <w:tbl>
      <w:tblPr>
        <w:tblStyle w:val="TableGrid"/>
        <w:tblpPr w:vertAnchor="text" w:tblpX="733" w:tblpY="-3292"/>
        <w:tblOverlap w:val="never"/>
        <w:tblW w:w="3656" w:type="dxa"/>
        <w:tblInd w:w="0" w:type="dxa"/>
        <w:tblCellMar>
          <w:top w:w="12" w:type="dxa"/>
          <w:left w:w="99" w:type="dxa"/>
          <w:bottom w:w="0" w:type="dxa"/>
          <w:right w:w="111" w:type="dxa"/>
        </w:tblCellMar>
        <w:tblLook w:val="04A0" w:firstRow="1" w:lastRow="0" w:firstColumn="1" w:lastColumn="0" w:noHBand="0" w:noVBand="1"/>
      </w:tblPr>
      <w:tblGrid>
        <w:gridCol w:w="2523"/>
        <w:gridCol w:w="1133"/>
      </w:tblGrid>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CONSUMO INDUSTRIAL</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IMPORTE</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CUOTA FIJA</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21,25 €</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De 1 a 10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0,90 €/m3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w:t>
            </w:r>
            <w:r>
              <w:rPr>
                <w:sz w:val="20"/>
              </w:rPr>
              <w:t>11 a 30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1,85 €/m3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31 a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2,85 €/m3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Más de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3,95 €/m3</w:t>
            </w:r>
          </w:p>
        </w:tc>
      </w:tr>
    </w:tbl>
    <w:tbl>
      <w:tblPr>
        <w:tblStyle w:val="TableGrid"/>
        <w:tblpPr w:vertAnchor="text" w:tblpX="3563" w:tblpY="1034"/>
        <w:tblOverlap w:val="never"/>
        <w:tblW w:w="6228" w:type="dxa"/>
        <w:tblInd w:w="0" w:type="dxa"/>
        <w:tblCellMar>
          <w:top w:w="12" w:type="dxa"/>
          <w:left w:w="110" w:type="dxa"/>
          <w:bottom w:w="0" w:type="dxa"/>
          <w:right w:w="104" w:type="dxa"/>
        </w:tblCellMar>
        <w:tblLook w:val="04A0" w:firstRow="1" w:lastRow="0" w:firstColumn="1" w:lastColumn="0" w:noHBand="0" w:noVBand="1"/>
      </w:tblPr>
      <w:tblGrid>
        <w:gridCol w:w="3116"/>
        <w:gridCol w:w="3112"/>
      </w:tblGrid>
      <w:tr w:rsidR="00085BB7">
        <w:trPr>
          <w:trHeight w:val="30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 xml:space="preserve">Bloque de Consumo </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center"/>
            </w:pPr>
            <w:r>
              <w:t>Importe</w:t>
            </w:r>
          </w:p>
        </w:tc>
      </w:tr>
      <w:tr w:rsidR="00085BB7">
        <w:trPr>
          <w:trHeight w:val="262"/>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Mínimo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right"/>
            </w:pPr>
            <w:r>
              <w:t>1,76  euros</w:t>
            </w:r>
          </w:p>
        </w:tc>
      </w:tr>
      <w:tr w:rsidR="00085BB7">
        <w:trPr>
          <w:trHeight w:val="264"/>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Mas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right"/>
            </w:pPr>
            <w:r>
              <w:t>0,176 euros/m3</w:t>
            </w:r>
          </w:p>
        </w:tc>
      </w:tr>
    </w:tbl>
    <w:tbl>
      <w:tblPr>
        <w:tblStyle w:val="TableGrid"/>
        <w:tblpPr w:vertAnchor="text" w:tblpX="3563" w:tblpY="2876"/>
        <w:tblOverlap w:val="never"/>
        <w:tblW w:w="6228" w:type="dxa"/>
        <w:tblInd w:w="0" w:type="dxa"/>
        <w:tblCellMar>
          <w:top w:w="12" w:type="dxa"/>
          <w:left w:w="110" w:type="dxa"/>
          <w:bottom w:w="0" w:type="dxa"/>
          <w:right w:w="104" w:type="dxa"/>
        </w:tblCellMar>
        <w:tblLook w:val="04A0" w:firstRow="1" w:lastRow="0" w:firstColumn="1" w:lastColumn="0" w:noHBand="0" w:noVBand="1"/>
      </w:tblPr>
      <w:tblGrid>
        <w:gridCol w:w="3116"/>
        <w:gridCol w:w="3112"/>
      </w:tblGrid>
      <w:tr w:rsidR="00085BB7">
        <w:trPr>
          <w:trHeight w:val="30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 xml:space="preserve">Bloque de Consumo </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center"/>
            </w:pPr>
            <w:r>
              <w:t>Importe</w:t>
            </w:r>
          </w:p>
        </w:tc>
      </w:tr>
      <w:tr w:rsidR="00085BB7">
        <w:trPr>
          <w:trHeight w:val="264"/>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Mínimo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 w:firstLine="0"/>
              <w:jc w:val="right"/>
            </w:pPr>
            <w:r>
              <w:t>2,02 euros</w:t>
            </w:r>
          </w:p>
        </w:tc>
      </w:tr>
      <w:tr w:rsidR="00085BB7">
        <w:trPr>
          <w:trHeight w:val="262"/>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t>Mas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right"/>
            </w:pPr>
            <w:r>
              <w:t>0,201 euros/m3</w:t>
            </w:r>
          </w:p>
        </w:tc>
      </w:tr>
    </w:tbl>
    <w:p w:rsidR="00085BB7" w:rsidRDefault="004441D3">
      <w:pPr>
        <w:numPr>
          <w:ilvl w:val="0"/>
          <w:numId w:val="5"/>
        </w:numPr>
        <w:spacing w:before="1132" w:after="109"/>
        <w:ind w:left="1725" w:right="903" w:hanging="282"/>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column">
                  <wp:posOffset>6542599</wp:posOffset>
                </wp:positionH>
                <wp:positionV relativeFrom="paragraph">
                  <wp:posOffset>-890612</wp:posOffset>
                </wp:positionV>
                <wp:extent cx="237530" cy="3313100"/>
                <wp:effectExtent l="0" t="0" r="0" b="0"/>
                <wp:wrapSquare wrapText="bothSides"/>
                <wp:docPr id="125201" name="Group 1252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67" name="Rectangle 116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68" name="Rectangle 116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69" name="Rectangle 116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201" style="width:18.7031pt;height:260.874pt;position:absolute;mso-position-horizontal-relative:text;mso-position-horizontal:absolute;margin-left:515.165pt;mso-position-vertical-relative:text;margin-top:-70.127pt;" coordsize="2375,33131">
                <v:rect id="Rectangle 116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6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6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133 </w:t>
                        </w:r>
                      </w:p>
                    </w:txbxContent>
                  </v:textbox>
                </v:rect>
                <w10:wrap type="square"/>
              </v:group>
            </w:pict>
          </mc:Fallback>
        </mc:AlternateContent>
      </w:r>
      <w:r>
        <w:t>SANEAMIENTO:</w:t>
      </w:r>
    </w:p>
    <w:p w:rsidR="00085BB7" w:rsidRDefault="004441D3">
      <w:pPr>
        <w:spacing w:after="427"/>
        <w:ind w:left="1875" w:right="903"/>
      </w:pPr>
      <w:r>
        <w:t>1.- Consumo Doméstico</w:t>
      </w:r>
    </w:p>
    <w:p w:rsidR="00085BB7" w:rsidRDefault="004441D3">
      <w:pPr>
        <w:spacing w:before="328"/>
        <w:ind w:left="1875" w:right="903"/>
      </w:pPr>
      <w:r>
        <w:t>2.- Consumo Industrial</w:t>
      </w:r>
    </w:p>
    <w:p w:rsidR="00085BB7" w:rsidRDefault="004441D3">
      <w:pPr>
        <w:ind w:left="730" w:right="1401" w:firstLine="710"/>
      </w:pPr>
      <w:r>
        <w:t>Con fecha 3 de mayo, se remitió el acuerdo adoptado a la Comisión Territorial de precios de la Consejería de Turismo, Industria y Comercio del Gobierno de Canarias a efectos del informe preceptivo en virtud del régimen de precios aut</w:t>
      </w:r>
      <w:r>
        <w:t>orizados de ámbito autonómico, conforme el Decreto 3173/1983 de 9 de noviembre, pero solamente en cuanto a las tarifas de abastecimiento, no a las de saneamiento, que no están sujetas a informe.</w:t>
      </w:r>
    </w:p>
    <w:p w:rsidR="00085BB7" w:rsidRDefault="004441D3">
      <w:pPr>
        <w:spacing w:after="366"/>
        <w:ind w:left="730" w:right="1093" w:firstLine="710"/>
      </w:pPr>
      <w:r>
        <w:t>Con fecha 8 de mayo se publica en el BOP, a efectos de su exp</w:t>
      </w:r>
      <w:r>
        <w:t>osición al público por un plazo de 30 días hábiles.</w:t>
      </w:r>
    </w:p>
    <w:p w:rsidR="00085BB7" w:rsidRDefault="004441D3">
      <w:pPr>
        <w:spacing w:after="112"/>
        <w:ind w:left="730" w:right="1411" w:firstLine="708"/>
      </w:pPr>
      <w:r>
        <w:t xml:space="preserve">Con fecha 29 de mayo y 10 de julio de 2024, se realiza requerimientos por la Comisión Territorial de Precios, a efectos de aportar información relativa a los volúmenes de </w:t>
      </w:r>
      <w:r>
        <w:t>agua comprados, ingresos no tarifarios, rendimientos y Estudio Económico del ejercicio que se aplican las tarifas.</w:t>
      </w:r>
    </w:p>
    <w:p w:rsidR="00085BB7" w:rsidRDefault="004441D3">
      <w:pPr>
        <w:spacing w:after="114"/>
        <w:ind w:left="730" w:right="1406" w:firstLine="708"/>
      </w:pPr>
      <w:r>
        <w:t>Con fecha 11 de junio de 2024, se presentan seis alegaciones a la presente Ordenanza, durante el periodo de exposición al público, por el par</w:t>
      </w:r>
      <w:r>
        <w:t>tido Unidas Sí Podemos, integrado en el Grupo Mixto, que podemos sintetizar en:</w:t>
      </w:r>
    </w:p>
    <w:p w:rsidR="00085BB7" w:rsidRDefault="004441D3">
      <w:pPr>
        <w:spacing w:after="112"/>
        <w:ind w:left="730" w:right="1408" w:firstLine="708"/>
      </w:pPr>
      <w:r>
        <w:t>1.- Realización de una Auditoría de Control Financiero y Gestión, conforme dispone La Ley Orgánica 2/2012, de 27 de abril, de Estabilidad Presupuestaria y Sostenibilidad Financ</w:t>
      </w:r>
      <w:r>
        <w:t>iera.</w:t>
      </w:r>
    </w:p>
    <w:p w:rsidR="00085BB7" w:rsidRDefault="004441D3">
      <w:pPr>
        <w:spacing w:after="111"/>
        <w:ind w:left="1449" w:right="903"/>
      </w:pPr>
      <w:r>
        <w:t>2.- Que las nuevas tarifas no excedan de la inflación anual.</w:t>
      </w:r>
    </w:p>
    <w:p w:rsidR="00085BB7" w:rsidRDefault="004441D3">
      <w:pPr>
        <w:spacing w:after="114"/>
        <w:ind w:left="730" w:right="903" w:firstLine="708"/>
      </w:pPr>
      <w:r>
        <w:t>3.- Mantener la tarifa de Consumo Mínimo vigente actualmente en sustitución de la Cuota Fija propuesta en la nueva ordenanza.</w:t>
      </w:r>
    </w:p>
    <w:p w:rsidR="00085BB7" w:rsidRDefault="004441D3">
      <w:pPr>
        <w:spacing w:after="114"/>
        <w:ind w:left="730" w:right="903" w:firstLine="708"/>
      </w:pPr>
      <w:r>
        <w:t>4.- Revisar la fórmula polinómica que contemple solamente los g</w:t>
      </w:r>
      <w:r>
        <w:t>astos de compra del agua que efectivamente se abastece a la población.</w:t>
      </w:r>
    </w:p>
    <w:p w:rsidR="00085BB7" w:rsidRDefault="004441D3">
      <w:pPr>
        <w:spacing w:after="112"/>
        <w:ind w:left="730" w:right="1404" w:firstLine="708"/>
      </w:pPr>
      <w:r>
        <w:t>5.- Publicación específica y accesible de los Informes de calidad del agua de consumo doméstico de nuestro municipio, de tal manera que la ciudadanía pueda estar informada en todo momen</w:t>
      </w:r>
      <w:r>
        <w:t>to de la calidad del agua.</w:t>
      </w:r>
    </w:p>
    <w:p w:rsidR="00085BB7" w:rsidRDefault="004441D3">
      <w:pPr>
        <w:spacing w:after="114"/>
        <w:ind w:left="730" w:right="903" w:firstLine="708"/>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column">
                  <wp:posOffset>6542599</wp:posOffset>
                </wp:positionH>
                <wp:positionV relativeFrom="paragraph">
                  <wp:posOffset>397167</wp:posOffset>
                </wp:positionV>
                <wp:extent cx="237530" cy="3313100"/>
                <wp:effectExtent l="0" t="0" r="0" b="0"/>
                <wp:wrapSquare wrapText="bothSides"/>
                <wp:docPr id="123049" name="Group 12304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18" name="Rectangle 131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19" name="Rectangle 131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20" name="Rectangle 132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049" style="width:18.7031pt;height:260.874pt;position:absolute;mso-position-horizontal-relative:text;mso-position-horizontal:absolute;margin-left:515.165pt;mso-position-vertical-relative:text;margin-top:31.273pt;" coordsize="2375,33131">
                <v:rect id="Rectangle 131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133 </w:t>
                        </w:r>
                      </w:p>
                    </w:txbxContent>
                  </v:textbox>
                </v:rect>
                <w10:wrap type="square"/>
              </v:group>
            </w:pict>
          </mc:Fallback>
        </mc:AlternateContent>
      </w:r>
      <w:r>
        <w:t>6.- Revisar el Reglamento de la Comisión de seguimiento y control del Servicio de Abastecimiento de Agua Potable en el Municipio de Candelaria para incluir la presencia de concejales y concejalas de los partidos políticos de la oposición en esta Comisión a</w:t>
      </w:r>
      <w:r>
        <w:t>sí como la exigencia de la presentación al pleno de Informes anuales de seguimiento y control de la empresa.</w:t>
      </w:r>
    </w:p>
    <w:p w:rsidR="00085BB7" w:rsidRDefault="004441D3">
      <w:pPr>
        <w:spacing w:after="112"/>
        <w:ind w:left="730" w:right="903" w:firstLine="708"/>
      </w:pPr>
      <w:r>
        <w:t xml:space="preserve">A diferencia de lo que sucede en el procedimiento para aprobar los presupuestos locales, no se tasan en el Texto Refundido de la Ley Reguladora de </w:t>
      </w:r>
      <w:r>
        <w:t>las Haciendas Locales y en otras normas de aplicación general (LRBRL, Ley 39/2015 de Procedimiento Administrativo común) los supuestos por los que se pueden presentar alegaciones o reclamaciones contra las ordenanzas no fiscales.</w:t>
      </w:r>
    </w:p>
    <w:p w:rsidR="00085BB7" w:rsidRDefault="004441D3">
      <w:pPr>
        <w:spacing w:after="112"/>
        <w:ind w:left="730" w:right="903" w:firstLine="708"/>
      </w:pPr>
      <w:r>
        <w:t xml:space="preserve">Con respecto a la primera </w:t>
      </w:r>
      <w:r>
        <w:t>alegación, la realización de Auditoría de Control Financiero y Gestión, conforme dispone La Ley Orgánica 2/2012, de 27 de abril, de Estabilidad Presupuestaria y Sostenibilidad Financiera, se circunscribe únicamente a entidades del sector público, no a enti</w:t>
      </w:r>
      <w:r>
        <w:t>dades privadas. Por aplicación de la Ley de Auditorías de cuentas, Aqualia, está sometida a una Auditoría privada, reflejándose en el expediente, auditoría de los costes e ingresos del servicio.</w:t>
      </w:r>
    </w:p>
    <w:p w:rsidR="00085BB7" w:rsidRDefault="004441D3">
      <w:pPr>
        <w:spacing w:after="114"/>
        <w:ind w:left="730" w:right="903" w:firstLine="708"/>
      </w:pPr>
      <w:r>
        <w:t>Con respecto a la segunda alegación, que las nuevas tarifas n</w:t>
      </w:r>
      <w:r>
        <w:t xml:space="preserve">o excedan de la inflación anual, señalar que, desde la entrada en vigor de las tarifas vigentes hasta el momento actual, la variación del I.P.C. en Canarias, ascendió al 22,6 % y las tarifas aprobadas por el pleno, han tenido una subida media del 28,20 %, </w:t>
      </w:r>
      <w:r>
        <w:t xml:space="preserve">siendo las de consumo doméstico del 22,09 % y las de consumo industrial, del 59,04 %. </w:t>
      </w:r>
    </w:p>
    <w:p w:rsidR="00085BB7" w:rsidRDefault="004441D3">
      <w:pPr>
        <w:spacing w:after="98" w:line="265" w:lineRule="auto"/>
        <w:ind w:left="10" w:right="906" w:hanging="10"/>
        <w:jc w:val="right"/>
      </w:pPr>
      <w:r>
        <w:t>En cuanto a la tercera alegación, mantener la tarifa de Consumo Mínimo vigente actualmente en sustitución de la Cuota Fija propuesta en la nueva ordenanza, es una facult</w:t>
      </w:r>
      <w:r>
        <w:t>ad de la Corporación, en el ejercicio de sus competencias de aprobar las tarifas.</w:t>
      </w:r>
    </w:p>
    <w:p w:rsidR="00085BB7" w:rsidRDefault="004441D3">
      <w:pPr>
        <w:spacing w:after="114"/>
        <w:ind w:left="730" w:right="1403" w:firstLine="708"/>
      </w:pPr>
      <w:r>
        <w:t>La cuarta alegación relativa a revisar la fórmula polinómica que contemple solamente los gastos de compra del agua que efectivamente se abastece a la población, señalar que n</w:t>
      </w:r>
      <w:r>
        <w:t>o se ha tenido en cuenta esta fórmula al revisar las tarifas, que se han calculado, por diferencia entre los costes y ingresos del servicio, desde hace aproximadamente 20 años.</w:t>
      </w:r>
    </w:p>
    <w:p w:rsidR="00085BB7" w:rsidRDefault="004441D3">
      <w:pPr>
        <w:spacing w:after="114"/>
        <w:ind w:left="730" w:right="1407" w:firstLine="708"/>
      </w:pPr>
      <w:r>
        <w:t>En cuanto a la quinta alegación, relativa a la publicación específica y accesib</w:t>
      </w:r>
      <w:r>
        <w:t>le de los Informes de calidad del agua de consumo doméstico de nuestro municipio, de tal manera que la ciudadanía pueda estar informada en todo momento de la calidad del agua, no está relacionada con la ordenanza actual.</w:t>
      </w:r>
    </w:p>
    <w:p w:rsidR="00085BB7" w:rsidRDefault="004441D3">
      <w:pPr>
        <w:spacing w:after="114"/>
        <w:ind w:left="730" w:right="1404" w:firstLine="708"/>
      </w:pPr>
      <w:r>
        <w:t xml:space="preserve">Por último, la alegación se refiere a revisar el Reglamento de la Comisión de seguimiento y control del Servicio de Abastecimiento de Agua Potable en el Municipio de Candelaria para incluir la presencia de concejales y concejalas de los partidos políticos </w:t>
      </w:r>
      <w:r>
        <w:t>de la oposición en esta Comisión así como la exigencia de la presentación al pleno de Informes anuales de seguimiento y control de la empresa, como en el caso actual, no está vinculada a la ordenanza.</w:t>
      </w:r>
    </w:p>
    <w:p w:rsidR="00085BB7" w:rsidRDefault="004441D3">
      <w:pPr>
        <w:spacing w:after="3" w:line="265" w:lineRule="auto"/>
        <w:ind w:left="10" w:right="1400" w:hanging="10"/>
        <w:jc w:val="right"/>
      </w:pPr>
      <w:r>
        <w:t>Con fecha 7 de agosto, se remite al Ayuntamiento de Can</w:t>
      </w:r>
      <w:r>
        <w:t xml:space="preserve">delaria, RESOLUCIÓN DEL </w:t>
      </w:r>
    </w:p>
    <w:p w:rsidR="00085BB7" w:rsidRDefault="004441D3">
      <w:pPr>
        <w:spacing w:after="112"/>
        <w:ind w:left="736" w:right="1403"/>
      </w:pPr>
      <w:r>
        <w:t>VICECONSEJERO DE INDUSTRIA, COMERCIO Y CONSUMO POR LA QUE SE APRUEBA LA MODIFICACIÓN DE LAS TARIFAS DEL SERVICIO PÚBLICO DE ABASTECIMIENTO DE AGUA A POBLACIONES, para su aplicación en el municipio de Candelaria</w:t>
      </w:r>
    </w:p>
    <w:p w:rsidR="00085BB7" w:rsidRDefault="004441D3">
      <w:pPr>
        <w:spacing w:after="111"/>
        <w:ind w:left="1449" w:right="903"/>
      </w:pPr>
      <w:r>
        <w:t>Dicha Resolución señ</w:t>
      </w:r>
      <w:r>
        <w:t>ala que:</w:t>
      </w:r>
    </w:p>
    <w:tbl>
      <w:tblPr>
        <w:tblStyle w:val="TableGrid"/>
        <w:tblpPr w:vertAnchor="text" w:tblpX="983" w:tblpY="3526"/>
        <w:tblOverlap w:val="never"/>
        <w:tblW w:w="8790" w:type="dxa"/>
        <w:tblInd w:w="0" w:type="dxa"/>
        <w:tblCellMar>
          <w:top w:w="12" w:type="dxa"/>
          <w:left w:w="110" w:type="dxa"/>
          <w:bottom w:w="0" w:type="dxa"/>
          <w:right w:w="49" w:type="dxa"/>
        </w:tblCellMar>
        <w:tblLook w:val="04A0" w:firstRow="1" w:lastRow="0" w:firstColumn="1" w:lastColumn="0" w:noHBand="0" w:noVBand="1"/>
      </w:tblPr>
      <w:tblGrid>
        <w:gridCol w:w="2552"/>
        <w:gridCol w:w="1560"/>
        <w:gridCol w:w="2692"/>
        <w:gridCol w:w="1986"/>
      </w:tblGrid>
      <w:tr w:rsidR="00085BB7">
        <w:trPr>
          <w:trHeight w:val="59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TARIFAS</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APROBADAS</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PROPUESTAS COMISIÓN PRECIOS</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VARIACIÓN</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pPr>
            <w:r>
              <w:rPr>
                <w:sz w:val="20"/>
              </w:rPr>
              <w:t>CONSUMO DOMÉSTICO</w:t>
            </w:r>
          </w:p>
        </w:tc>
        <w:tc>
          <w:tcPr>
            <w:tcW w:w="15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2692"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1986"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7" w:firstLine="0"/>
              <w:jc w:val="center"/>
            </w:pPr>
            <w:r>
              <w:rPr>
                <w:sz w:val="20"/>
              </w:rPr>
              <w:t>CUOTA FIJA</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14,25 €</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13,85 €</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           -2,8 %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De 1 a 10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0,60 €/m3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0,58 €/m3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-3,3 %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71" w:firstLine="0"/>
              <w:jc w:val="center"/>
            </w:pPr>
            <w:r>
              <w:rPr>
                <w:sz w:val="21"/>
              </w:rPr>
              <w:t xml:space="preserve">De </w:t>
            </w:r>
            <w:r>
              <w:rPr>
                <w:sz w:val="20"/>
              </w:rPr>
              <w:t>11 a 30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1,17 €/m3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-2,7 %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70" w:firstLine="0"/>
              <w:jc w:val="center"/>
            </w:pPr>
            <w:r>
              <w:rPr>
                <w:sz w:val="21"/>
              </w:rPr>
              <w:t xml:space="preserve">De 31 a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2,20 €/m3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2,14 €/m3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8" w:firstLine="0"/>
              <w:jc w:val="center"/>
            </w:pPr>
            <w:r>
              <w:rPr>
                <w:sz w:val="21"/>
              </w:rPr>
              <w:t xml:space="preserve">Más de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3,50 €/m3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3,40 €/m3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4" w:right="0" w:firstLine="0"/>
              <w:jc w:val="left"/>
            </w:pPr>
            <w:r>
              <w:rPr>
                <w:sz w:val="20"/>
              </w:rPr>
              <w:t>CONSUMO INDUSTRIAL</w:t>
            </w:r>
          </w:p>
        </w:tc>
        <w:tc>
          <w:tcPr>
            <w:tcW w:w="15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2692"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1986"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7" w:firstLine="0"/>
              <w:jc w:val="center"/>
            </w:pPr>
            <w:r>
              <w:rPr>
                <w:sz w:val="20"/>
              </w:rPr>
              <w:t>CUOTA FIJA</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21,25 €</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20,66 €</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De 1 a 10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0,90 €/m3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0,87 €/m3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-3,3 %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71" w:firstLine="0"/>
              <w:jc w:val="center"/>
            </w:pPr>
            <w:r>
              <w:rPr>
                <w:sz w:val="21"/>
              </w:rPr>
              <w:t xml:space="preserve">De </w:t>
            </w:r>
            <w:r>
              <w:rPr>
                <w:sz w:val="20"/>
              </w:rPr>
              <w:t>11 a 30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1,85 €/m3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1,80 €/m3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-2,7 %</w:t>
            </w:r>
          </w:p>
        </w:tc>
      </w:tr>
    </w:tbl>
    <w:p w:rsidR="00085BB7" w:rsidRDefault="004441D3">
      <w:pPr>
        <w:spacing w:after="0"/>
        <w:ind w:left="730" w:right="903" w:firstLine="708"/>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6542599</wp:posOffset>
                </wp:positionH>
                <wp:positionV relativeFrom="paragraph">
                  <wp:posOffset>1352207</wp:posOffset>
                </wp:positionV>
                <wp:extent cx="237530" cy="3313100"/>
                <wp:effectExtent l="0" t="0" r="0" b="0"/>
                <wp:wrapSquare wrapText="bothSides"/>
                <wp:docPr id="130990" name="Group 1309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63" name="Rectangle 146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464" name="Rectangle 146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465" name="Rectangle 146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990" style="width:18.7031pt;height:260.874pt;position:absolute;mso-position-horizontal-relative:text;mso-position-horizontal:absolute;margin-left:515.165pt;mso-position-vertical-relative:text;margin-top:106.473pt;" coordsize="2375,33131">
                <v:rect id="Rectangle 146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4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133 </w:t>
                        </w:r>
                      </w:p>
                    </w:txbxContent>
                  </v:textbox>
                </v:rect>
                <w10:wrap type="square"/>
              </v:group>
            </w:pict>
          </mc:Fallback>
        </mc:AlternateContent>
      </w:r>
      <w:r>
        <w:t>“Puesto que se produce un cambio en la estructura tarifaria, no es posible determinar, con la sola observac</w:t>
      </w:r>
      <w:r>
        <w:t>ión de las tarifas en vigor y de las aprobadas por el Ayuntamiento, la variación que el usuario sufre en la facturación bimestral. No obstante, tal como se indica en el informe elaborado por el Grupo de Trabajo de la Comisión de Precios de Canarias, se han</w:t>
      </w:r>
      <w:r>
        <w:t xml:space="preserve"> calculado los importes a abonar por los usuarios de los distintos tipos de consumo aplicando las tarifas en vigor y las aprobadas por el Ayuntamiento, así como el incremento que éstas representan frente aquéllas y las tarifas medias resultantes, obteniend</w:t>
      </w:r>
      <w:r>
        <w:t xml:space="preserve">o que el incremento medio ponderado total es del 28,20%, siendo del 22,09% para el consumo doméstico y del 59,04% para el industrial. De otro lado, el Grupo de Trabajo de la Comisión de Precios de Canarias ha tenido en consideración el informe emitido por </w:t>
      </w:r>
      <w:r>
        <w:t xml:space="preserve">el Interventor Municipal y para conseguir el equilibrio económico del servicio habría que reducir las tarifas, de conformidad con el siguiente detalle: </w:t>
      </w:r>
    </w:p>
    <w:tbl>
      <w:tblPr>
        <w:tblStyle w:val="TableGrid"/>
        <w:tblW w:w="8790" w:type="dxa"/>
        <w:tblInd w:w="983" w:type="dxa"/>
        <w:tblCellMar>
          <w:top w:w="12" w:type="dxa"/>
          <w:left w:w="115" w:type="dxa"/>
          <w:bottom w:w="0" w:type="dxa"/>
          <w:right w:w="115" w:type="dxa"/>
        </w:tblCellMar>
        <w:tblLook w:val="04A0" w:firstRow="1" w:lastRow="0" w:firstColumn="1" w:lastColumn="0" w:noHBand="0" w:noVBand="1"/>
      </w:tblPr>
      <w:tblGrid>
        <w:gridCol w:w="2552"/>
        <w:gridCol w:w="1560"/>
        <w:gridCol w:w="2692"/>
        <w:gridCol w:w="1986"/>
      </w:tblGrid>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8" w:firstLine="0"/>
              <w:jc w:val="center"/>
            </w:pPr>
            <w:r>
              <w:rPr>
                <w:sz w:val="21"/>
              </w:rPr>
              <w:t xml:space="preserve">De 31 a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center"/>
            </w:pPr>
            <w:r>
              <w:rPr>
                <w:sz w:val="20"/>
              </w:rPr>
              <w:t>2,85 €/m3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center"/>
            </w:pPr>
            <w:r>
              <w:rPr>
                <w:sz w:val="20"/>
              </w:rPr>
              <w:t>2,77 €/m3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3" w:right="0"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 w:firstLine="0"/>
              <w:jc w:val="center"/>
            </w:pPr>
            <w:r>
              <w:rPr>
                <w:sz w:val="21"/>
              </w:rPr>
              <w:t xml:space="preserve">Más de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center"/>
            </w:pPr>
            <w:r>
              <w:rPr>
                <w:sz w:val="20"/>
              </w:rPr>
              <w:t>3,95 €/m3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center"/>
            </w:pPr>
            <w:r>
              <w:rPr>
                <w:sz w:val="20"/>
              </w:rPr>
              <w:t>3,84 €/m3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3" w:right="0" w:firstLine="0"/>
              <w:jc w:val="center"/>
            </w:pPr>
            <w:r>
              <w:rPr>
                <w:sz w:val="20"/>
              </w:rPr>
              <w:t>-2,8 %</w:t>
            </w:r>
          </w:p>
        </w:tc>
      </w:tr>
    </w:tbl>
    <w:p w:rsidR="00085BB7" w:rsidRDefault="004441D3">
      <w:pPr>
        <w:ind w:left="730" w:right="1405" w:firstLine="708"/>
      </w:pPr>
      <w:r>
        <w:t>Y adoptando el siguiente acuerdo de Aprobar la modificación de las tarifas del servicio público de abastecimiento de agua a poblaciones para su aplicación en el municipio de Candelaria, las cuales quedarán establecidas en las cuantías siguientes:</w:t>
      </w:r>
    </w:p>
    <w:tbl>
      <w:tblPr>
        <w:tblStyle w:val="TableGrid"/>
        <w:tblW w:w="6096" w:type="dxa"/>
        <w:tblInd w:w="2259" w:type="dxa"/>
        <w:tblCellMar>
          <w:top w:w="12" w:type="dxa"/>
          <w:left w:w="264" w:type="dxa"/>
          <w:bottom w:w="0" w:type="dxa"/>
          <w:right w:w="115" w:type="dxa"/>
        </w:tblCellMar>
        <w:tblLook w:val="04A0" w:firstRow="1" w:lastRow="0" w:firstColumn="1" w:lastColumn="0" w:noHBand="0" w:noVBand="1"/>
      </w:tblPr>
      <w:tblGrid>
        <w:gridCol w:w="2836"/>
        <w:gridCol w:w="3260"/>
      </w:tblGrid>
      <w:tr w:rsidR="00085BB7">
        <w:trPr>
          <w:trHeight w:val="59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TARIFAS</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center"/>
            </w:pPr>
            <w:r>
              <w:rPr>
                <w:sz w:val="20"/>
              </w:rPr>
              <w:t>PROPUESTAS COMISIÓN PRECIOS</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CONSUMO DOMÉSTICO</w:t>
            </w:r>
          </w:p>
        </w:tc>
        <w:tc>
          <w:tcPr>
            <w:tcW w:w="32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CUOTA FIJA</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13,85 €</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De 1 a 10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0,58 €/m3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8" w:firstLine="0"/>
              <w:jc w:val="center"/>
            </w:pPr>
            <w:r>
              <w:rPr>
                <w:sz w:val="21"/>
              </w:rPr>
              <w:t xml:space="preserve">De </w:t>
            </w:r>
            <w:r>
              <w:rPr>
                <w:sz w:val="20"/>
              </w:rPr>
              <w:t>11 a 30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1,17 €/m3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De 31 a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2,14 €/m3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Más de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3,40 €/m3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CONSUMO INDUSTRIAL</w:t>
            </w:r>
          </w:p>
        </w:tc>
        <w:tc>
          <w:tcPr>
            <w:tcW w:w="32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CUOTA FIJA</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20,66 €</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De 1 a 10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0,87 €/m3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8" w:firstLine="0"/>
              <w:jc w:val="center"/>
            </w:pPr>
            <w:r>
              <w:rPr>
                <w:sz w:val="21"/>
              </w:rPr>
              <w:t xml:space="preserve">De </w:t>
            </w:r>
            <w:r>
              <w:rPr>
                <w:sz w:val="20"/>
              </w:rPr>
              <w:t>11 a 30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1,80 €/m3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De 31 a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2,77 €/m3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Más de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3,84 €/m3</w:t>
            </w:r>
          </w:p>
        </w:tc>
      </w:tr>
    </w:tbl>
    <w:p w:rsidR="00085BB7" w:rsidRDefault="004441D3">
      <w:pPr>
        <w:spacing w:after="112"/>
        <w:ind w:left="730" w:right="1406" w:firstLine="708"/>
      </w:pPr>
      <w:r>
        <w:t xml:space="preserve">Esas tarifas propuestas, han sido calculadas por el Informe de Grupo de Trabajo de la Dirección General de Comercio y Consumo, por el cual se obtiene un resultado </w:t>
      </w:r>
      <w:r>
        <w:t>económico, con unos gastos de 4.039.699 Euros y unos ingresos de 4.040.453 Euros.</w:t>
      </w:r>
    </w:p>
    <w:p w:rsidR="00085BB7" w:rsidRDefault="004441D3">
      <w:pPr>
        <w:spacing w:after="112"/>
        <w:ind w:left="730" w:right="903" w:firstLine="708"/>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column">
                  <wp:posOffset>6542599</wp:posOffset>
                </wp:positionH>
                <wp:positionV relativeFrom="paragraph">
                  <wp:posOffset>-70192</wp:posOffset>
                </wp:positionV>
                <wp:extent cx="237530" cy="3313100"/>
                <wp:effectExtent l="0" t="0" r="0" b="0"/>
                <wp:wrapSquare wrapText="bothSides"/>
                <wp:docPr id="131450" name="Group 13145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55" name="Rectangle 165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656" name="Rectangle 165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657" name="Rectangle 165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1450" style="width:18.7031pt;height:260.874pt;position:absolute;mso-position-horizontal-relative:text;mso-position-horizontal:absolute;margin-left:515.165pt;mso-position-vertical-relative:text;margin-top:-5.52698pt;" coordsize="2375,33131">
                <v:rect id="Rectangle 165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6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133 </w:t>
                        </w:r>
                      </w:p>
                    </w:txbxContent>
                  </v:textbox>
                </v:rect>
                <w10:wrap type="square"/>
              </v:group>
            </w:pict>
          </mc:Fallback>
        </mc:AlternateContent>
      </w:r>
      <w:r>
        <w:t xml:space="preserve">Los ingresos se han calculado aplicando las estimaciones de volumen de m3 a facturar, recogidos en el Estudio Económico elaborado por la empresa Aqualia en julio </w:t>
      </w:r>
      <w:r>
        <w:t>de 2024 y remitido a la Comisión de Precios, por el cual se incrementa en 120.000 m3, con respecto al estimado con anterioridad al acuerdo de aprobación plenaria inicial, consecuencia de un mayor número de clientes, que sube en 40 para el consumo doméstico</w:t>
      </w:r>
      <w:r>
        <w:t xml:space="preserve"> y 60 para el consumo industrial, obteniendo Aqualia, unos ingresos estimados de 4.240.535,25 Euros (frente a los 4.108.831,33 Euros estimados en el estudio económico de noviembre de 2023, que motivaron las tarifas aprobadas por acuerdo plenario).</w:t>
      </w:r>
    </w:p>
    <w:p w:rsidR="00085BB7" w:rsidRDefault="004441D3">
      <w:pPr>
        <w:spacing w:after="112"/>
        <w:ind w:left="730" w:right="903" w:firstLine="708"/>
      </w:pPr>
      <w:r>
        <w:t>Los gast</w:t>
      </w:r>
      <w:r>
        <w:t>os, se han calculado de acuerdo a los cálculos realizados por este Interventor, a pesar que los costes también han aumentado en más de cien mil euros respecto del anterior estudio económico de noviembre de 2023, destacando la compra de agua por más de trei</w:t>
      </w:r>
      <w:r>
        <w:t>nta mil euros y los gastos de personal en cuarenta mil euros.</w:t>
      </w:r>
    </w:p>
    <w:p w:rsidR="00085BB7" w:rsidRDefault="004441D3">
      <w:pPr>
        <w:spacing w:after="112"/>
        <w:ind w:left="730" w:right="903" w:firstLine="708"/>
      </w:pPr>
      <w:r>
        <w:t>Hay que señalar que en el Estudio Económico elaborado por la empresa Aqualia, con fecha de noviembre de 2023 y tenido en cuenta para las tarifas aprobadas inicialmente, los gastos fueron de 4.10</w:t>
      </w:r>
      <w:r>
        <w:t>9.619,15 Euros y los ingresos de 4.108.831,33 Euros. En el informe de este Interventor, los gastos ascendieron a 4.039.698,77 Euros.</w:t>
      </w:r>
    </w:p>
    <w:p w:rsidR="00085BB7" w:rsidRDefault="004441D3">
      <w:pPr>
        <w:spacing w:after="3" w:line="265" w:lineRule="auto"/>
        <w:ind w:left="10" w:right="906" w:hanging="10"/>
        <w:jc w:val="right"/>
      </w:pPr>
      <w:r>
        <w:t xml:space="preserve">Con las nuevas tarifas propuestas desde la Comunidad Autónoma, podemos </w:t>
      </w:r>
    </w:p>
    <w:p w:rsidR="00085BB7" w:rsidRDefault="004441D3">
      <w:pPr>
        <w:spacing w:after="142"/>
        <w:ind w:left="736" w:right="903"/>
      </w:pPr>
      <w:r>
        <w:t xml:space="preserve">obtener las siguientes tarifas y su diferencia con </w:t>
      </w:r>
      <w:r>
        <w:t>las aprobadas por acuerdo plenario:</w:t>
      </w:r>
    </w:p>
    <w:tbl>
      <w:tblPr>
        <w:tblStyle w:val="TableGrid"/>
        <w:tblW w:w="8790" w:type="dxa"/>
        <w:tblInd w:w="945" w:type="dxa"/>
        <w:tblCellMar>
          <w:top w:w="0" w:type="dxa"/>
          <w:left w:w="115" w:type="dxa"/>
          <w:bottom w:w="0" w:type="dxa"/>
          <w:right w:w="115" w:type="dxa"/>
        </w:tblCellMar>
        <w:tblLook w:val="04A0" w:firstRow="1" w:lastRow="0" w:firstColumn="1" w:lastColumn="0" w:noHBand="0" w:noVBand="1"/>
      </w:tblPr>
      <w:tblGrid>
        <w:gridCol w:w="1134"/>
        <w:gridCol w:w="1276"/>
        <w:gridCol w:w="1844"/>
        <w:gridCol w:w="2126"/>
        <w:gridCol w:w="2410"/>
      </w:tblGrid>
      <w:tr w:rsidR="00085BB7">
        <w:trPr>
          <w:trHeight w:val="318"/>
        </w:trPr>
        <w:tc>
          <w:tcPr>
            <w:tcW w:w="1134" w:type="dxa"/>
            <w:tcBorders>
              <w:top w:val="single" w:sz="8" w:space="0" w:color="000000"/>
              <w:left w:val="single" w:sz="8" w:space="0" w:color="000000"/>
              <w:bottom w:val="single" w:sz="8" w:space="0" w:color="000000"/>
              <w:right w:val="single" w:sz="8" w:space="0" w:color="000000"/>
            </w:tcBorders>
          </w:tcPr>
          <w:p w:rsidR="00085BB7" w:rsidRDefault="00085BB7">
            <w:pPr>
              <w:spacing w:after="160" w:line="259" w:lineRule="auto"/>
              <w:ind w:left="0" w:right="0" w:firstLine="0"/>
              <w:jc w:val="left"/>
            </w:pPr>
          </w:p>
        </w:tc>
        <w:tc>
          <w:tcPr>
            <w:tcW w:w="1276" w:type="dxa"/>
            <w:tcBorders>
              <w:top w:val="single" w:sz="8" w:space="0" w:color="000000"/>
              <w:left w:val="single" w:sz="8" w:space="0" w:color="000000"/>
              <w:bottom w:val="single" w:sz="8" w:space="0" w:color="000000"/>
              <w:right w:val="single" w:sz="8" w:space="0" w:color="000000"/>
            </w:tcBorders>
          </w:tcPr>
          <w:p w:rsidR="00085BB7" w:rsidRDefault="00085BB7">
            <w:pPr>
              <w:spacing w:after="160" w:line="259" w:lineRule="auto"/>
              <w:ind w:left="0" w:right="0" w:firstLine="0"/>
              <w:jc w:val="left"/>
            </w:pPr>
          </w:p>
        </w:tc>
        <w:tc>
          <w:tcPr>
            <w:tcW w:w="1844" w:type="dxa"/>
            <w:tcBorders>
              <w:top w:val="single" w:sz="8" w:space="0" w:color="000000"/>
              <w:left w:val="single" w:sz="8" w:space="0" w:color="000000"/>
              <w:bottom w:val="single" w:sz="8" w:space="0" w:color="000000"/>
              <w:right w:val="single" w:sz="8" w:space="0" w:color="000000"/>
            </w:tcBorders>
          </w:tcPr>
          <w:p w:rsidR="00085BB7" w:rsidRDefault="00085BB7">
            <w:pPr>
              <w:spacing w:after="160" w:line="259" w:lineRule="auto"/>
              <w:ind w:left="0" w:right="0" w:firstLine="0"/>
              <w:jc w:val="left"/>
            </w:pPr>
          </w:p>
        </w:tc>
        <w:tc>
          <w:tcPr>
            <w:tcW w:w="2126" w:type="dxa"/>
            <w:tcBorders>
              <w:top w:val="single" w:sz="8" w:space="0" w:color="000000"/>
              <w:left w:val="single" w:sz="8" w:space="0" w:color="000000"/>
              <w:bottom w:val="single" w:sz="8" w:space="0" w:color="000000"/>
              <w:right w:val="single" w:sz="8" w:space="0" w:color="000000"/>
            </w:tcBorders>
          </w:tcPr>
          <w:p w:rsidR="00085BB7" w:rsidRDefault="00085BB7">
            <w:pPr>
              <w:spacing w:after="160" w:line="259" w:lineRule="auto"/>
              <w:ind w:left="0" w:right="0" w:firstLine="0"/>
              <w:jc w:val="left"/>
            </w:pPr>
          </w:p>
        </w:tc>
        <w:tc>
          <w:tcPr>
            <w:tcW w:w="2410" w:type="dxa"/>
            <w:tcBorders>
              <w:top w:val="single" w:sz="8" w:space="0" w:color="000000"/>
              <w:left w:val="single" w:sz="8" w:space="0" w:color="000000"/>
              <w:bottom w:val="single" w:sz="8" w:space="0" w:color="000000"/>
              <w:right w:val="single" w:sz="8" w:space="0" w:color="000000"/>
            </w:tcBorders>
          </w:tcPr>
          <w:p w:rsidR="00085BB7" w:rsidRDefault="00085BB7">
            <w:pPr>
              <w:spacing w:after="160" w:line="259" w:lineRule="auto"/>
              <w:ind w:left="0" w:right="0" w:firstLine="0"/>
              <w:jc w:val="left"/>
            </w:pPr>
          </w:p>
        </w:tc>
      </w:tr>
    </w:tbl>
    <w:p w:rsidR="00085BB7" w:rsidRDefault="00085BB7">
      <w:pPr>
        <w:spacing w:after="0" w:line="259" w:lineRule="auto"/>
        <w:ind w:left="-687" w:right="1466" w:firstLine="0"/>
        <w:jc w:val="left"/>
      </w:pPr>
    </w:p>
    <w:tbl>
      <w:tblPr>
        <w:tblStyle w:val="TableGrid"/>
        <w:tblW w:w="9733" w:type="dxa"/>
        <w:tblInd w:w="945" w:type="dxa"/>
        <w:tblCellMar>
          <w:top w:w="0" w:type="dxa"/>
          <w:left w:w="0" w:type="dxa"/>
          <w:bottom w:w="0" w:type="dxa"/>
          <w:right w:w="0" w:type="dxa"/>
        </w:tblCellMar>
        <w:tblLook w:val="04A0" w:firstRow="1" w:lastRow="0" w:firstColumn="1" w:lastColumn="0" w:noHBand="0" w:noVBand="1"/>
      </w:tblPr>
      <w:tblGrid>
        <w:gridCol w:w="9074"/>
        <w:gridCol w:w="658"/>
      </w:tblGrid>
      <w:tr w:rsidR="00085BB7">
        <w:trPr>
          <w:trHeight w:val="14000"/>
        </w:trPr>
        <w:tc>
          <w:tcPr>
            <w:tcW w:w="9074" w:type="dxa"/>
            <w:tcBorders>
              <w:top w:val="nil"/>
              <w:left w:val="nil"/>
              <w:bottom w:val="nil"/>
              <w:right w:val="nil"/>
            </w:tcBorders>
          </w:tcPr>
          <w:p w:rsidR="00085BB7" w:rsidRDefault="00085BB7">
            <w:pPr>
              <w:spacing w:after="0" w:line="259" w:lineRule="auto"/>
              <w:ind w:left="-1632" w:right="284" w:firstLine="0"/>
              <w:jc w:val="left"/>
            </w:pPr>
          </w:p>
          <w:tbl>
            <w:tblPr>
              <w:tblStyle w:val="TableGrid"/>
              <w:tblW w:w="8790" w:type="dxa"/>
              <w:tblInd w:w="0" w:type="dxa"/>
              <w:tblCellMar>
                <w:top w:w="12" w:type="dxa"/>
                <w:left w:w="106" w:type="dxa"/>
                <w:bottom w:w="0" w:type="dxa"/>
                <w:right w:w="51" w:type="dxa"/>
              </w:tblCellMar>
              <w:tblLook w:val="04A0" w:firstRow="1" w:lastRow="0" w:firstColumn="1" w:lastColumn="0" w:noHBand="0" w:noVBand="1"/>
            </w:tblPr>
            <w:tblGrid>
              <w:gridCol w:w="1134"/>
              <w:gridCol w:w="1276"/>
              <w:gridCol w:w="1844"/>
              <w:gridCol w:w="2126"/>
              <w:gridCol w:w="2410"/>
            </w:tblGrid>
            <w:tr w:rsidR="00085BB7">
              <w:trPr>
                <w:trHeight w:val="1400"/>
              </w:trPr>
              <w:tc>
                <w:tcPr>
                  <w:tcW w:w="1134" w:type="dxa"/>
                  <w:tcBorders>
                    <w:top w:val="single" w:sz="8" w:space="0" w:color="000000"/>
                    <w:left w:val="single" w:sz="8" w:space="0" w:color="000000"/>
                    <w:bottom w:val="single" w:sz="8" w:space="0" w:color="000000"/>
                    <w:right w:val="single" w:sz="8" w:space="0" w:color="000000"/>
                  </w:tcBorders>
                  <w:vAlign w:val="center"/>
                </w:tcPr>
                <w:p w:rsidR="00085BB7" w:rsidRDefault="004441D3">
                  <w:pPr>
                    <w:spacing w:after="0" w:line="259" w:lineRule="auto"/>
                    <w:ind w:left="0" w:right="0" w:firstLine="0"/>
                    <w:jc w:val="center"/>
                  </w:pPr>
                  <w:r>
                    <w:rPr>
                      <w:sz w:val="20"/>
                    </w:rPr>
                    <w:t>CONSUM O</w:t>
                  </w:r>
                </w:p>
              </w:tc>
              <w:tc>
                <w:tcPr>
                  <w:tcW w:w="1276" w:type="dxa"/>
                  <w:tcBorders>
                    <w:top w:val="single" w:sz="8" w:space="0" w:color="000000"/>
                    <w:left w:val="single" w:sz="8" w:space="0" w:color="000000"/>
                    <w:bottom w:val="single" w:sz="8" w:space="0" w:color="000000"/>
                    <w:right w:val="single" w:sz="8" w:space="0" w:color="000000"/>
                  </w:tcBorders>
                  <w:vAlign w:val="center"/>
                </w:tcPr>
                <w:p w:rsidR="00085BB7" w:rsidRDefault="004441D3">
                  <w:pPr>
                    <w:spacing w:after="0" w:line="259" w:lineRule="auto"/>
                    <w:ind w:left="0" w:right="0" w:firstLine="0"/>
                    <w:jc w:val="center"/>
                  </w:pPr>
                  <w:r>
                    <w:rPr>
                      <w:sz w:val="20"/>
                    </w:rPr>
                    <w:t>TARIFA ACTUAL</w:t>
                  </w:r>
                </w:p>
              </w:tc>
              <w:tc>
                <w:tcPr>
                  <w:tcW w:w="1844" w:type="dxa"/>
                  <w:tcBorders>
                    <w:top w:val="single" w:sz="8" w:space="0" w:color="000000"/>
                    <w:left w:val="single" w:sz="8" w:space="0" w:color="000000"/>
                    <w:bottom w:val="single" w:sz="8" w:space="0" w:color="000000"/>
                    <w:right w:val="single" w:sz="8" w:space="0" w:color="000000"/>
                  </w:tcBorders>
                  <w:vAlign w:val="center"/>
                </w:tcPr>
                <w:p w:rsidR="00085BB7" w:rsidRDefault="004441D3">
                  <w:pPr>
                    <w:spacing w:after="0" w:line="259" w:lineRule="auto"/>
                    <w:ind w:left="0" w:right="53" w:firstLine="0"/>
                    <w:jc w:val="center"/>
                  </w:pPr>
                  <w:r>
                    <w:rPr>
                      <w:sz w:val="20"/>
                    </w:rPr>
                    <w:t xml:space="preserve">TARIFA </w:t>
                  </w:r>
                </w:p>
                <w:p w:rsidR="00085BB7" w:rsidRDefault="004441D3">
                  <w:pPr>
                    <w:spacing w:after="0" w:line="240" w:lineRule="auto"/>
                    <w:ind w:left="0" w:right="0" w:firstLine="0"/>
                    <w:jc w:val="center"/>
                  </w:pPr>
                  <w:r>
                    <w:rPr>
                      <w:sz w:val="20"/>
                    </w:rPr>
                    <w:t xml:space="preserve">PROPUESTA COMISIÓN </w:t>
                  </w:r>
                </w:p>
                <w:p w:rsidR="00085BB7" w:rsidRDefault="004441D3">
                  <w:pPr>
                    <w:spacing w:after="0" w:line="259" w:lineRule="auto"/>
                    <w:ind w:left="0" w:right="53" w:firstLine="0"/>
                    <w:jc w:val="center"/>
                  </w:pPr>
                  <w:r>
                    <w:rPr>
                      <w:sz w:val="20"/>
                    </w:rPr>
                    <w:t xml:space="preserve">PRECIOS DE </w:t>
                  </w:r>
                </w:p>
                <w:p w:rsidR="00085BB7" w:rsidRDefault="004441D3">
                  <w:pPr>
                    <w:spacing w:after="0" w:line="259" w:lineRule="auto"/>
                    <w:ind w:left="0" w:right="51" w:firstLine="0"/>
                    <w:jc w:val="center"/>
                  </w:pPr>
                  <w:r>
                    <w:rPr>
                      <w:sz w:val="20"/>
                    </w:rPr>
                    <w:t>CANARIAS</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 xml:space="preserve">TARIFAS </w:t>
                  </w:r>
                </w:p>
                <w:p w:rsidR="00085BB7" w:rsidRDefault="004441D3">
                  <w:pPr>
                    <w:spacing w:after="0" w:line="259" w:lineRule="auto"/>
                    <w:ind w:left="0" w:right="53" w:firstLine="0"/>
                    <w:jc w:val="center"/>
                  </w:pPr>
                  <w:r>
                    <w:rPr>
                      <w:sz w:val="20"/>
                    </w:rPr>
                    <w:t xml:space="preserve">CONFORME </w:t>
                  </w:r>
                </w:p>
                <w:p w:rsidR="00085BB7" w:rsidRDefault="004441D3">
                  <w:pPr>
                    <w:spacing w:after="0" w:line="259" w:lineRule="auto"/>
                    <w:ind w:left="0" w:right="54" w:firstLine="0"/>
                    <w:jc w:val="center"/>
                  </w:pPr>
                  <w:r>
                    <w:rPr>
                      <w:sz w:val="20"/>
                    </w:rPr>
                    <w:t xml:space="preserve">ACUERDO </w:t>
                  </w:r>
                </w:p>
                <w:p w:rsidR="00085BB7" w:rsidRDefault="004441D3">
                  <w:pPr>
                    <w:spacing w:after="0" w:line="259" w:lineRule="auto"/>
                    <w:ind w:left="0" w:right="53" w:firstLine="0"/>
                    <w:jc w:val="center"/>
                  </w:pPr>
                  <w:r>
                    <w:rPr>
                      <w:sz w:val="20"/>
                    </w:rPr>
                    <w:t xml:space="preserve">PLENARIO DE </w:t>
                  </w:r>
                </w:p>
                <w:p w:rsidR="00085BB7" w:rsidRDefault="004441D3">
                  <w:pPr>
                    <w:spacing w:after="0" w:line="259" w:lineRule="auto"/>
                    <w:ind w:left="0" w:right="52" w:firstLine="0"/>
                    <w:jc w:val="center"/>
                  </w:pPr>
                  <w:r>
                    <w:rPr>
                      <w:sz w:val="20"/>
                    </w:rPr>
                    <w:t xml:space="preserve">APROBACIÓN </w:t>
                  </w:r>
                </w:p>
                <w:p w:rsidR="00085BB7" w:rsidRDefault="004441D3">
                  <w:pPr>
                    <w:spacing w:after="0" w:line="259" w:lineRule="auto"/>
                    <w:ind w:left="0" w:right="55" w:firstLine="0"/>
                    <w:jc w:val="center"/>
                  </w:pPr>
                  <w:r>
                    <w:rPr>
                      <w:sz w:val="20"/>
                    </w:rPr>
                    <w:t>INICIAL</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2" w:firstLine="0"/>
                    <w:jc w:val="center"/>
                  </w:pPr>
                  <w:r>
                    <w:rPr>
                      <w:sz w:val="20"/>
                    </w:rPr>
                    <w:t xml:space="preserve">VARIACIÓN </w:t>
                  </w:r>
                </w:p>
                <w:p w:rsidR="00085BB7" w:rsidRDefault="004441D3">
                  <w:pPr>
                    <w:spacing w:after="0" w:line="259" w:lineRule="auto"/>
                    <w:ind w:left="0" w:right="53" w:firstLine="0"/>
                    <w:jc w:val="center"/>
                  </w:pPr>
                  <w:r>
                    <w:rPr>
                      <w:sz w:val="20"/>
                    </w:rPr>
                    <w:t xml:space="preserve">PORCENTUAL </w:t>
                  </w:r>
                </w:p>
                <w:p w:rsidR="00085BB7" w:rsidRDefault="004441D3">
                  <w:pPr>
                    <w:spacing w:after="0" w:line="259" w:lineRule="auto"/>
                    <w:ind w:left="2" w:right="0" w:firstLine="0"/>
                  </w:pPr>
                  <w:r>
                    <w:rPr>
                      <w:sz w:val="20"/>
                    </w:rPr>
                    <w:t xml:space="preserve">TARIFAS APROBACIÓN </w:t>
                  </w:r>
                </w:p>
                <w:p w:rsidR="00085BB7" w:rsidRDefault="004441D3">
                  <w:pPr>
                    <w:spacing w:after="0" w:line="259" w:lineRule="auto"/>
                    <w:ind w:left="124" w:right="0" w:firstLine="0"/>
                    <w:jc w:val="left"/>
                  </w:pPr>
                  <w:r>
                    <w:rPr>
                      <w:sz w:val="20"/>
                    </w:rPr>
                    <w:t xml:space="preserve">PLENO/PROPUESTA </w:t>
                  </w:r>
                </w:p>
                <w:p w:rsidR="00085BB7" w:rsidRDefault="004441D3">
                  <w:pPr>
                    <w:spacing w:after="0" w:line="259" w:lineRule="auto"/>
                    <w:ind w:left="0" w:right="0" w:firstLine="0"/>
                  </w:pPr>
                  <w:r>
                    <w:rPr>
                      <w:sz w:val="20"/>
                    </w:rPr>
                    <w:t>COMISIÓN PRECIOS %</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0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13,85 €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14,25 €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-2,807</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14,43 €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14,85 €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-2,828</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15,01 €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15,45 €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-2,848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15,59 €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16,05 €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-2,866</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16,17 €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16,65 €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-2,883</w:t>
                  </w:r>
                </w:p>
              </w:tc>
            </w:tr>
            <w:tr w:rsidR="00085BB7">
              <w:trPr>
                <w:trHeight w:val="311"/>
              </w:trPr>
              <w:tc>
                <w:tcPr>
                  <w:tcW w:w="1134"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0" w:right="49" w:firstLine="0"/>
                    <w:jc w:val="center"/>
                  </w:pPr>
                  <w:r>
                    <w:rPr>
                      <w:sz w:val="20"/>
                    </w:rPr>
                    <w:t>5 m</w:t>
                  </w:r>
                  <w:r>
                    <w:rPr>
                      <w:sz w:val="20"/>
                      <w:vertAlign w:val="superscript"/>
                    </w:rPr>
                    <w:t>3</w:t>
                  </w:r>
                </w:p>
              </w:tc>
              <w:tc>
                <w:tcPr>
                  <w:tcW w:w="1276"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0" w:right="53" w:firstLine="0"/>
                    <w:jc w:val="center"/>
                  </w:pPr>
                  <w:r>
                    <w:rPr>
                      <w:sz w:val="20"/>
                    </w:rPr>
                    <w:t>16,75 €</w:t>
                  </w:r>
                </w:p>
              </w:tc>
              <w:tc>
                <w:tcPr>
                  <w:tcW w:w="2126"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0" w:right="51" w:firstLine="0"/>
                    <w:jc w:val="center"/>
                  </w:pPr>
                  <w:r>
                    <w:rPr>
                      <w:sz w:val="20"/>
                    </w:rPr>
                    <w:t>17,25 €</w:t>
                  </w:r>
                </w:p>
              </w:tc>
              <w:tc>
                <w:tcPr>
                  <w:tcW w:w="2410"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0" w:right="53" w:firstLine="0"/>
                    <w:jc w:val="center"/>
                  </w:pPr>
                  <w:r>
                    <w:rPr>
                      <w:sz w:val="20"/>
                    </w:rPr>
                    <w:t>-2,899</w:t>
                  </w:r>
                </w:p>
              </w:tc>
            </w:tr>
            <w:tr w:rsidR="00085BB7">
              <w:trPr>
                <w:trHeight w:val="319"/>
              </w:trPr>
              <w:tc>
                <w:tcPr>
                  <w:tcW w:w="1134"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6 m</w:t>
                  </w:r>
                  <w:r>
                    <w:rPr>
                      <w:sz w:val="20"/>
                      <w:vertAlign w:val="superscript"/>
                    </w:rPr>
                    <w:t>3</w:t>
                  </w:r>
                </w:p>
              </w:tc>
              <w:tc>
                <w:tcPr>
                  <w:tcW w:w="1276"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17,33 €</w:t>
                  </w:r>
                </w:p>
              </w:tc>
              <w:tc>
                <w:tcPr>
                  <w:tcW w:w="2126"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17,85 €</w:t>
                  </w:r>
                </w:p>
              </w:tc>
              <w:tc>
                <w:tcPr>
                  <w:tcW w:w="2410"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-2,913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7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17,91 €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18,45 €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-2,927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8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18,49 €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19,05 €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-2,940</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9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19,07 €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19,65 €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-2,952</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10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19,65 €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20,25 €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-2,963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11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14,04 €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20,82 €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21,45 €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-2,937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12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15,58 €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21,99 €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22,65 €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-2,914</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13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17,12 €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23,16 €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23,85 €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-2,893</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14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18,66 €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24,33 €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25,05 €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-2,874</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15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20,20 €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25,50 €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26,25 €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-2,857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16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21,74 €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26,17 €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27,45 €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-4,663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17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23,28 €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27,84 €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28,65 €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-2,827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18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24,82 €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29,01 €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29,85 €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-2,814</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19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26,36 €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30,18 €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31,05 €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-2,802</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20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27,90 €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31,35 €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32,25 €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-2,791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21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29,44 €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32,52 €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33,45 €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-2,780</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22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30,98 €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33,69 €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34,65 €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-2,771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23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32,52 €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34,86 €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35,85 €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-2,762</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24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34,06 €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36,03 €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37,05 €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-2,753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25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35,60 €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37,20 €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38,24 €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-2,720</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26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37,14 €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38,37 €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39,44 €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-2,713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27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38,68 €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39,54 €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40,64 €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-2,707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28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40,22 €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40,71 €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41,84 €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-2,701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29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41,76 €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41,88 €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43,04 €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-2,695</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30 m</w:t>
                  </w:r>
                  <w:r>
                    <w:rPr>
                      <w:sz w:val="20"/>
                      <w:vertAlign w:val="superscript"/>
                    </w:rPr>
                    <w:t>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43,30 €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43,05 €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44,24 €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-2,690</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31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45,15 €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45,19 €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46,44 €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-2,692</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32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47,00 €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47,33 €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48,64 €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33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48,85 €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49,47 €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50,84 €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-2,695</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34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50,70 €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51,61 €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53,04 €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-2,696</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35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52,55 €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53,75 €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55,24 €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-2,697</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36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54,40 €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55,89 €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57,44 €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-2,698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37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56,25 €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58,03 €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59,64 €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-2,700</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38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58,10 €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60,17 €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61,84 €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-2,701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39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49" w:firstLine="0"/>
                    <w:jc w:val="center"/>
                  </w:pPr>
                  <w:r>
                    <w:rPr>
                      <w:sz w:val="20"/>
                    </w:rPr>
                    <w:t>59,95 €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62,31 €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1" w:firstLine="0"/>
                    <w:jc w:val="center"/>
                  </w:pPr>
                  <w:r>
                    <w:rPr>
                      <w:sz w:val="20"/>
                    </w:rPr>
                    <w:t>64,04 €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0" w:right="53" w:firstLine="0"/>
                    <w:jc w:val="center"/>
                  </w:pPr>
                  <w:r>
                    <w:rPr>
                      <w:sz w:val="20"/>
                    </w:rPr>
                    <w:t>-2,701</w:t>
                  </w:r>
                </w:p>
              </w:tc>
            </w:tr>
          </w:tbl>
          <w:p w:rsidR="00085BB7" w:rsidRDefault="00085BB7">
            <w:pPr>
              <w:spacing w:after="160" w:line="259" w:lineRule="auto"/>
              <w:ind w:left="0" w:right="0" w:firstLine="0"/>
              <w:jc w:val="left"/>
            </w:pPr>
          </w:p>
        </w:tc>
        <w:tc>
          <w:tcPr>
            <w:tcW w:w="658" w:type="dxa"/>
            <w:tcBorders>
              <w:top w:val="nil"/>
              <w:left w:val="nil"/>
              <w:bottom w:val="nil"/>
              <w:right w:val="nil"/>
            </w:tcBorders>
            <w:vAlign w:val="bottom"/>
          </w:tcPr>
          <w:p w:rsidR="00085BB7" w:rsidRDefault="004441D3">
            <w:pPr>
              <w:spacing w:after="0" w:line="259" w:lineRule="auto"/>
              <w:ind w:left="284" w:right="0" w:firstLine="0"/>
              <w:jc w:val="left"/>
            </w:pPr>
            <w:r>
              <w:rPr>
                <w:rFonts w:ascii="Calibri" w:eastAsia="Calibri" w:hAnsi="Calibri" w:cs="Calibri"/>
                <w:noProof/>
              </w:rPr>
              <mc:AlternateContent>
                <mc:Choice Requires="wpg">
                  <w:drawing>
                    <wp:inline distT="0" distB="0" distL="0" distR="0">
                      <wp:extent cx="237530" cy="3313100"/>
                      <wp:effectExtent l="0" t="0" r="0" b="0"/>
                      <wp:docPr id="142892" name="Group 14289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033" name="Rectangle 203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2034" name="Rectangle 203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035" name="Rectangle 203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17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2892" style="width:18.7031pt;height:260.874pt;mso-position-horizontal-relative:char;mso-position-vertical-relative:line" coordsize="2375,33131">
                      <v:rect id="Rectangle 203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20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133 </w:t>
                              </w:r>
                            </w:p>
                          </w:txbxContent>
                        </v:textbox>
                      </v:rect>
                    </v:group>
                  </w:pict>
                </mc:Fallback>
              </mc:AlternateContent>
            </w:r>
          </w:p>
        </w:tc>
      </w:tr>
    </w:tbl>
    <w:tbl>
      <w:tblPr>
        <w:tblStyle w:val="TableGrid"/>
        <w:tblpPr w:vertAnchor="text" w:tblpX="945" w:tblpY="-12177"/>
        <w:tblOverlap w:val="never"/>
        <w:tblW w:w="8790" w:type="dxa"/>
        <w:tblInd w:w="0" w:type="dxa"/>
        <w:tblCellMar>
          <w:top w:w="17" w:type="dxa"/>
          <w:left w:w="115" w:type="dxa"/>
          <w:bottom w:w="5" w:type="dxa"/>
          <w:right w:w="115" w:type="dxa"/>
        </w:tblCellMar>
        <w:tblLook w:val="04A0" w:firstRow="1" w:lastRow="0" w:firstColumn="1" w:lastColumn="0" w:noHBand="0" w:noVBand="1"/>
      </w:tblPr>
      <w:tblGrid>
        <w:gridCol w:w="1134"/>
        <w:gridCol w:w="1276"/>
        <w:gridCol w:w="1844"/>
        <w:gridCol w:w="2126"/>
        <w:gridCol w:w="2410"/>
      </w:tblGrid>
      <w:tr w:rsidR="00085BB7">
        <w:trPr>
          <w:trHeight w:val="680"/>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40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61,80 €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64,45 €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66,24 €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-2,702</w:t>
            </w:r>
          </w:p>
        </w:tc>
      </w:tr>
      <w:tr w:rsidR="00085BB7">
        <w:trPr>
          <w:trHeight w:val="36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41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63,65 €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66,59 €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68,44 €</w:t>
            </w:r>
          </w:p>
        </w:tc>
        <w:tc>
          <w:tcPr>
            <w:tcW w:w="2410" w:type="dxa"/>
            <w:tcBorders>
              <w:top w:val="single" w:sz="8" w:space="0" w:color="000000"/>
              <w:left w:val="single" w:sz="8" w:space="0" w:color="000000"/>
              <w:bottom w:val="single" w:sz="8" w:space="0" w:color="000000"/>
              <w:right w:val="single" w:sz="8" w:space="0" w:color="000000"/>
            </w:tcBorders>
            <w:vAlign w:val="bottom"/>
          </w:tcPr>
          <w:p w:rsidR="00085BB7" w:rsidRDefault="004441D3">
            <w:pPr>
              <w:spacing w:after="0" w:line="259" w:lineRule="auto"/>
              <w:ind w:left="3" w:right="0" w:firstLine="0"/>
              <w:jc w:val="center"/>
            </w:pPr>
            <w:r>
              <w:rPr>
                <w:sz w:val="20"/>
              </w:rPr>
              <w:t>-2,703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42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65,50 €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68,73 €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70,64 €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-2,704</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43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67,35 €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70,87 €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72,84 €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-2,705</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44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69,20 €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73,01 €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75,04 €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-2,705</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45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71,05 €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75,15 €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77,24 €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-2,706</w:t>
            </w:r>
          </w:p>
        </w:tc>
      </w:tr>
      <w:tr w:rsidR="00085BB7">
        <w:trPr>
          <w:trHeight w:val="311"/>
        </w:trPr>
        <w:tc>
          <w:tcPr>
            <w:tcW w:w="1134"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5" w:right="0" w:firstLine="0"/>
              <w:jc w:val="center"/>
            </w:pPr>
            <w:r>
              <w:rPr>
                <w:sz w:val="20"/>
              </w:rPr>
              <w:t>46 m3</w:t>
            </w:r>
          </w:p>
        </w:tc>
        <w:tc>
          <w:tcPr>
            <w:tcW w:w="1276"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6" w:right="0" w:firstLine="0"/>
              <w:jc w:val="center"/>
            </w:pPr>
            <w:r>
              <w:rPr>
                <w:sz w:val="20"/>
              </w:rPr>
              <w:t>72,90 €</w:t>
            </w:r>
          </w:p>
        </w:tc>
        <w:tc>
          <w:tcPr>
            <w:tcW w:w="1844"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2" w:right="0" w:firstLine="0"/>
              <w:jc w:val="center"/>
            </w:pPr>
            <w:r>
              <w:rPr>
                <w:sz w:val="20"/>
              </w:rPr>
              <w:t>77,29 €</w:t>
            </w:r>
          </w:p>
        </w:tc>
        <w:tc>
          <w:tcPr>
            <w:tcW w:w="2126"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4" w:right="0" w:firstLine="0"/>
              <w:jc w:val="center"/>
            </w:pPr>
            <w:r>
              <w:rPr>
                <w:sz w:val="20"/>
              </w:rPr>
              <w:t>79,44 €</w:t>
            </w:r>
          </w:p>
        </w:tc>
        <w:tc>
          <w:tcPr>
            <w:tcW w:w="2410" w:type="dxa"/>
            <w:tcBorders>
              <w:top w:val="single" w:sz="8" w:space="0" w:color="000000"/>
              <w:left w:val="single" w:sz="8" w:space="0" w:color="000000"/>
              <w:bottom w:val="single" w:sz="4" w:space="0" w:color="000000"/>
              <w:right w:val="single" w:sz="8" w:space="0" w:color="000000"/>
            </w:tcBorders>
          </w:tcPr>
          <w:p w:rsidR="00085BB7" w:rsidRDefault="004441D3">
            <w:pPr>
              <w:spacing w:after="0" w:line="259" w:lineRule="auto"/>
              <w:ind w:left="3" w:right="0" w:firstLine="0"/>
              <w:jc w:val="center"/>
            </w:pPr>
            <w:r>
              <w:rPr>
                <w:sz w:val="20"/>
              </w:rPr>
              <w:t>-2,706</w:t>
            </w:r>
          </w:p>
        </w:tc>
      </w:tr>
      <w:tr w:rsidR="00085BB7">
        <w:trPr>
          <w:trHeight w:val="314"/>
        </w:trPr>
        <w:tc>
          <w:tcPr>
            <w:tcW w:w="1134" w:type="dxa"/>
            <w:tcBorders>
              <w:top w:val="single" w:sz="4" w:space="0" w:color="000000"/>
              <w:left w:val="single" w:sz="8" w:space="0" w:color="000000"/>
              <w:bottom w:val="single" w:sz="4" w:space="0" w:color="000000"/>
              <w:right w:val="single" w:sz="8" w:space="0" w:color="000000"/>
            </w:tcBorders>
          </w:tcPr>
          <w:p w:rsidR="00085BB7" w:rsidRDefault="004441D3">
            <w:pPr>
              <w:spacing w:after="0" w:line="259" w:lineRule="auto"/>
              <w:ind w:left="5" w:right="0" w:firstLine="0"/>
              <w:jc w:val="center"/>
            </w:pPr>
            <w:r>
              <w:rPr>
                <w:sz w:val="20"/>
              </w:rPr>
              <w:t>47 m3</w:t>
            </w:r>
          </w:p>
        </w:tc>
        <w:tc>
          <w:tcPr>
            <w:tcW w:w="1276" w:type="dxa"/>
            <w:tcBorders>
              <w:top w:val="single" w:sz="4" w:space="0" w:color="000000"/>
              <w:left w:val="single" w:sz="8" w:space="0" w:color="000000"/>
              <w:bottom w:val="single" w:sz="4" w:space="0" w:color="000000"/>
              <w:right w:val="single" w:sz="8" w:space="0" w:color="000000"/>
            </w:tcBorders>
          </w:tcPr>
          <w:p w:rsidR="00085BB7" w:rsidRDefault="004441D3">
            <w:pPr>
              <w:spacing w:after="0" w:line="259" w:lineRule="auto"/>
              <w:ind w:left="6" w:right="0" w:firstLine="0"/>
              <w:jc w:val="center"/>
            </w:pPr>
            <w:r>
              <w:rPr>
                <w:sz w:val="20"/>
              </w:rPr>
              <w:t>74,75 €</w:t>
            </w:r>
          </w:p>
        </w:tc>
        <w:tc>
          <w:tcPr>
            <w:tcW w:w="1844" w:type="dxa"/>
            <w:tcBorders>
              <w:top w:val="single" w:sz="4" w:space="0" w:color="000000"/>
              <w:left w:val="single" w:sz="8" w:space="0" w:color="000000"/>
              <w:bottom w:val="single" w:sz="4" w:space="0" w:color="000000"/>
              <w:right w:val="single" w:sz="8" w:space="0" w:color="000000"/>
            </w:tcBorders>
          </w:tcPr>
          <w:p w:rsidR="00085BB7" w:rsidRDefault="004441D3">
            <w:pPr>
              <w:spacing w:after="0" w:line="259" w:lineRule="auto"/>
              <w:ind w:left="2" w:right="0" w:firstLine="0"/>
              <w:jc w:val="center"/>
            </w:pPr>
            <w:r>
              <w:rPr>
                <w:sz w:val="20"/>
              </w:rPr>
              <w:t>79,43 €</w:t>
            </w:r>
          </w:p>
        </w:tc>
        <w:tc>
          <w:tcPr>
            <w:tcW w:w="2126" w:type="dxa"/>
            <w:tcBorders>
              <w:top w:val="single" w:sz="4" w:space="0" w:color="000000"/>
              <w:left w:val="single" w:sz="8" w:space="0" w:color="000000"/>
              <w:bottom w:val="single" w:sz="4" w:space="0" w:color="000000"/>
              <w:right w:val="single" w:sz="8" w:space="0" w:color="000000"/>
            </w:tcBorders>
          </w:tcPr>
          <w:p w:rsidR="00085BB7" w:rsidRDefault="004441D3">
            <w:pPr>
              <w:spacing w:after="0" w:line="259" w:lineRule="auto"/>
              <w:ind w:left="4" w:right="0" w:firstLine="0"/>
              <w:jc w:val="center"/>
            </w:pPr>
            <w:r>
              <w:rPr>
                <w:sz w:val="20"/>
              </w:rPr>
              <w:t>81,64 €</w:t>
            </w:r>
          </w:p>
        </w:tc>
        <w:tc>
          <w:tcPr>
            <w:tcW w:w="2410" w:type="dxa"/>
            <w:tcBorders>
              <w:top w:val="single" w:sz="4" w:space="0" w:color="000000"/>
              <w:left w:val="single" w:sz="8" w:space="0" w:color="000000"/>
              <w:bottom w:val="single" w:sz="4" w:space="0" w:color="000000"/>
              <w:right w:val="single" w:sz="8" w:space="0" w:color="000000"/>
            </w:tcBorders>
          </w:tcPr>
          <w:p w:rsidR="00085BB7" w:rsidRDefault="004441D3">
            <w:pPr>
              <w:spacing w:after="0" w:line="259" w:lineRule="auto"/>
              <w:ind w:left="3" w:right="0" w:firstLine="0"/>
              <w:jc w:val="center"/>
            </w:pPr>
            <w:r>
              <w:rPr>
                <w:sz w:val="20"/>
              </w:rPr>
              <w:t>-2,707</w:t>
            </w:r>
          </w:p>
        </w:tc>
      </w:tr>
      <w:tr w:rsidR="00085BB7">
        <w:trPr>
          <w:trHeight w:val="321"/>
        </w:trPr>
        <w:tc>
          <w:tcPr>
            <w:tcW w:w="1134"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48 m3</w:t>
            </w:r>
          </w:p>
        </w:tc>
        <w:tc>
          <w:tcPr>
            <w:tcW w:w="1276"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76,60 €</w:t>
            </w:r>
          </w:p>
        </w:tc>
        <w:tc>
          <w:tcPr>
            <w:tcW w:w="1844"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81,57 €</w:t>
            </w:r>
          </w:p>
        </w:tc>
        <w:tc>
          <w:tcPr>
            <w:tcW w:w="2126"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83,84 €</w:t>
            </w:r>
          </w:p>
        </w:tc>
        <w:tc>
          <w:tcPr>
            <w:tcW w:w="2410" w:type="dxa"/>
            <w:tcBorders>
              <w:top w:val="single" w:sz="4"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-2,708</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49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78,45 €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83,71 €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86,04 €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50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80,30 €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85,85 €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88,24 €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-2,709</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51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82,15 €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87,99 €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90,44 €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-2,709</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52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84,00 €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90,13 €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92,64 €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-2,709</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53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85,85 €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92,27 €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94,84 €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-2,710</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54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87,70 €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94,41 €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97,03 €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-2,700</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55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89,55 €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96,55 €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99,23 €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56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91,40 €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98,69 €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101,43 €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-2,701</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57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93,25 €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100,83 €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103,63 €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-2,702</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58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95,10 €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102,97 €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105,83 €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-2,702</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59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96,95 €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105,11 €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108,03 €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60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98,80 €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107,25 €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110,23 €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-2,703</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61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101,35 €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110,65 €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113,73 €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-2,708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62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103,90 €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114,05 €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117,23 €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-2,713</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63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106,45 €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117,45 €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120,73 €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-2,717</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64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109,00 €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120,85 €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124,23 €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-2,721</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65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111,55 €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124,25 €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127,73 €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-2,724</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66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114,10 €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127,65 €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131,23 €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-2,728</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67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116,65 €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131,05 €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134,73 €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-2,731</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68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6" w:right="0" w:firstLine="0"/>
              <w:jc w:val="center"/>
            </w:pPr>
            <w:r>
              <w:rPr>
                <w:sz w:val="20"/>
              </w:rPr>
              <w:t>119,20 €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134,45 €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138,23 €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-2,735</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69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121,75 €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137,85 €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141,73 €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-2,738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70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124,30 €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141,25 €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145,23 €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-2,740</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71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126,85 €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144,65 €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148,73 €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-2,743</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72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129,40 €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148,05 €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152,23 €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-2,746</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73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131,95 €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151,45 €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155,73 €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-2,748</w:t>
            </w:r>
          </w:p>
        </w:tc>
      </w:tr>
      <w:tr w:rsidR="00085BB7">
        <w:trPr>
          <w:trHeight w:val="316"/>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74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134,50 €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154,85 €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159,23 €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-2,751</w:t>
            </w:r>
          </w:p>
        </w:tc>
      </w:tr>
      <w:tr w:rsidR="00085BB7">
        <w:trPr>
          <w:trHeight w:val="314"/>
        </w:trPr>
        <w:tc>
          <w:tcPr>
            <w:tcW w:w="113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5" w:right="0" w:firstLine="0"/>
              <w:jc w:val="center"/>
            </w:pPr>
            <w:r>
              <w:rPr>
                <w:sz w:val="20"/>
              </w:rPr>
              <w:t>75 m3</w:t>
            </w:r>
          </w:p>
        </w:tc>
        <w:tc>
          <w:tcPr>
            <w:tcW w:w="127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137,05 €</w:t>
            </w:r>
          </w:p>
        </w:tc>
        <w:tc>
          <w:tcPr>
            <w:tcW w:w="1844"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4" w:right="0" w:firstLine="0"/>
              <w:jc w:val="center"/>
            </w:pPr>
            <w:r>
              <w:rPr>
                <w:sz w:val="20"/>
              </w:rPr>
              <w:t>158,25 €</w:t>
            </w:r>
          </w:p>
        </w:tc>
        <w:tc>
          <w:tcPr>
            <w:tcW w:w="2126"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2" w:right="0" w:firstLine="0"/>
              <w:jc w:val="center"/>
            </w:pPr>
            <w:r>
              <w:rPr>
                <w:sz w:val="20"/>
              </w:rPr>
              <w:t>162,73 €</w:t>
            </w:r>
          </w:p>
        </w:tc>
        <w:tc>
          <w:tcPr>
            <w:tcW w:w="2410" w:type="dxa"/>
            <w:tcBorders>
              <w:top w:val="single" w:sz="8" w:space="0" w:color="000000"/>
              <w:left w:val="single" w:sz="8" w:space="0" w:color="000000"/>
              <w:bottom w:val="single" w:sz="8" w:space="0" w:color="000000"/>
              <w:right w:val="single" w:sz="8" w:space="0" w:color="000000"/>
            </w:tcBorders>
          </w:tcPr>
          <w:p w:rsidR="00085BB7" w:rsidRDefault="004441D3">
            <w:pPr>
              <w:spacing w:after="0" w:line="259" w:lineRule="auto"/>
              <w:ind w:left="3" w:right="0" w:firstLine="0"/>
              <w:jc w:val="center"/>
            </w:pPr>
            <w:r>
              <w:rPr>
                <w:sz w:val="20"/>
              </w:rPr>
              <w:t>-2,753</w:t>
            </w:r>
          </w:p>
        </w:tc>
      </w:tr>
    </w:tbl>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column">
                  <wp:posOffset>6542599</wp:posOffset>
                </wp:positionH>
                <wp:positionV relativeFrom="paragraph">
                  <wp:posOffset>-2390483</wp:posOffset>
                </wp:positionV>
                <wp:extent cx="237530" cy="3313100"/>
                <wp:effectExtent l="0" t="0" r="0" b="0"/>
                <wp:wrapSquare wrapText="bothSides"/>
                <wp:docPr id="133269" name="Group 13326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611" name="Rectangle 261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2612" name="Rectangle 261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2613" name="Rectangle 261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269" style="width:18.7031pt;height:260.874pt;position:absolute;mso-position-horizontal-relative:text;mso-position-horizontal:absolute;margin-left:515.165pt;mso-position-vertical-relative:text;margin-top:-188.227pt;" coordsize="2375,33131">
                <v:rect id="Rectangle 261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261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1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133 </w:t>
                        </w:r>
                      </w:p>
                    </w:txbxContent>
                  </v:textbox>
                </v:rect>
                <w10:wrap type="square"/>
              </v:group>
            </w:pict>
          </mc:Fallback>
        </mc:AlternateContent>
      </w:r>
      <w:r>
        <w:t xml:space="preserve">           Como consecuencia, de la modificación de las tarifas por parte de la Comisión territorial de precios de la Comunidad Autónoma, deberá procederse a real</w:t>
      </w:r>
      <w:r>
        <w:t>izar una nueva aprobación inicial de la ordenanza, modificando el acuerdo inicial con el consiguiente periodo de información pública, tal y como reseñan los artículos 15 y ss del TRLRLH, a fin de que los interesados presenten las alegaciones que estimen pe</w:t>
      </w:r>
      <w:r>
        <w:t xml:space="preserve">rtinentes, en caso de que no se presentara ninguna alegación se entendería definitivamente adoptado el acuerdo sin necesidad de acuerdo plenario, debiendo ser publicado en el BOP sin que entren en vigor </w:t>
      </w:r>
    </w:p>
    <w:p w:rsidR="00085BB7" w:rsidRDefault="004441D3">
      <w:pPr>
        <w:spacing w:after="593"/>
        <w:ind w:left="736" w:right="903"/>
      </w:pPr>
      <w:r>
        <w:t>hasta que se haya llevado a cabo dicha publicación.”</w:t>
      </w:r>
    </w:p>
    <w:p w:rsidR="00085BB7" w:rsidRDefault="004441D3">
      <w:pPr>
        <w:spacing w:after="497"/>
        <w:ind w:left="736" w:right="903"/>
      </w:pPr>
      <w:r>
        <w:t xml:space="preserve">    Consta en el expediente propuesta del Concejal delegado de Hacienda, D. Airam Pérez Chinea, de fecha 16 de septiembre de 2024, que transcrito literalmente dice:</w:t>
      </w:r>
    </w:p>
    <w:p w:rsidR="00085BB7" w:rsidRDefault="004441D3">
      <w:pPr>
        <w:spacing w:after="225" w:line="265" w:lineRule="auto"/>
        <w:ind w:left="548" w:right="1202" w:hanging="10"/>
        <w:jc w:val="center"/>
      </w:pPr>
      <w:r>
        <w:t>“PROPUESTA DE CONCEJALÍA DELEGADA DE HACIENDA</w:t>
      </w:r>
    </w:p>
    <w:p w:rsidR="00085BB7" w:rsidRDefault="004441D3">
      <w:pPr>
        <w:spacing w:after="10"/>
        <w:ind w:left="736" w:right="903"/>
      </w:pPr>
      <w:r>
        <w:t xml:space="preserve">APROBACIÓN DE LA ORDENANZA REGULADORA DE LA </w:t>
      </w:r>
      <w:r>
        <w:t xml:space="preserve">PRESTACIÓN PATRIMONIAL </w:t>
      </w:r>
    </w:p>
    <w:p w:rsidR="00085BB7" w:rsidRDefault="004441D3">
      <w:pPr>
        <w:spacing w:after="10"/>
        <w:ind w:left="736" w:right="903"/>
      </w:pPr>
      <w:r>
        <w:t xml:space="preserve">DE CARÁCTER PÚBLICO NO TRIBUTARIO DE LOS SERVICIOS MUNICIPALES DE </w:t>
      </w:r>
    </w:p>
    <w:p w:rsidR="00085BB7" w:rsidRDefault="004441D3">
      <w:pPr>
        <w:spacing w:after="0"/>
        <w:ind w:left="736" w:right="903"/>
      </w:pPr>
      <w:r>
        <w:t>GESTIÓN DEL CICLO INTEGRAL DEL AGUA DEL AYUNTAMIENTO DE LA VILLA DE CANDELARIA</w:t>
      </w:r>
    </w:p>
    <w:p w:rsidR="00085BB7" w:rsidRDefault="004441D3">
      <w:pPr>
        <w:spacing w:after="701" w:line="259" w:lineRule="auto"/>
        <w:ind w:left="740" w:right="0" w:firstLine="0"/>
        <w:jc w:val="left"/>
      </w:pPr>
      <w:r>
        <w:rPr>
          <w:rFonts w:ascii="Calibri" w:eastAsia="Calibri" w:hAnsi="Calibri" w:cs="Calibri"/>
          <w:noProof/>
        </w:rPr>
        <mc:AlternateContent>
          <mc:Choice Requires="wpg">
            <w:drawing>
              <wp:inline distT="0" distB="0" distL="0" distR="0">
                <wp:extent cx="6059170" cy="25400"/>
                <wp:effectExtent l="0" t="0" r="0" b="0"/>
                <wp:docPr id="125031" name="Group 125031"/>
                <wp:cNvGraphicFramePr/>
                <a:graphic xmlns:a="http://schemas.openxmlformats.org/drawingml/2006/main">
                  <a:graphicData uri="http://schemas.microsoft.com/office/word/2010/wordprocessingGroup">
                    <wpg:wgp>
                      <wpg:cNvGrpSpPr/>
                      <wpg:grpSpPr>
                        <a:xfrm>
                          <a:off x="0" y="0"/>
                          <a:ext cx="6059170" cy="25400"/>
                          <a:chOff x="0" y="0"/>
                          <a:chExt cx="6059170" cy="25400"/>
                        </a:xfrm>
                      </wpg:grpSpPr>
                      <wps:wsp>
                        <wps:cNvPr id="3035" name="Shape 3035"/>
                        <wps:cNvSpPr/>
                        <wps:spPr>
                          <a:xfrm>
                            <a:off x="0" y="0"/>
                            <a:ext cx="6059170" cy="0"/>
                          </a:xfrm>
                          <a:custGeom>
                            <a:avLst/>
                            <a:gdLst/>
                            <a:ahLst/>
                            <a:cxnLst/>
                            <a:rect l="0" t="0" r="0" b="0"/>
                            <a:pathLst>
                              <a:path w="6059170">
                                <a:moveTo>
                                  <a:pt x="0" y="0"/>
                                </a:moveTo>
                                <a:lnTo>
                                  <a:pt x="6059170"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125031" style="width:477.1pt;height:2pt;mso-position-horizontal-relative:char;mso-position-vertical-relative:line" coordsize="60591,254">
                <v:shape id="Shape 3035" style="position:absolute;width:60591;height:0;left:0;top:0;" coordsize="6059170,0" path="m0,0l6059170,0">
                  <v:stroke weight="2pt" endcap="square" joinstyle="miter" miterlimit="3" on="true" color="#993366"/>
                  <v:fill on="false" color="#000000" opacity="0"/>
                </v:shape>
              </v:group>
            </w:pict>
          </mc:Fallback>
        </mc:AlternateContent>
      </w:r>
    </w:p>
    <w:p w:rsidR="00085BB7" w:rsidRDefault="004441D3">
      <w:pPr>
        <w:spacing w:after="3" w:line="265" w:lineRule="auto"/>
        <w:ind w:left="10" w:right="1408" w:hanging="10"/>
        <w:jc w:val="right"/>
      </w:pPr>
      <w:r>
        <w:t xml:space="preserve">Con fecha 25 de abril de 2024, por acuerdo plenario, se adoptó el acuerdo de </w:t>
      </w:r>
    </w:p>
    <w:p w:rsidR="00085BB7" w:rsidRDefault="004441D3">
      <w:pPr>
        <w:spacing w:after="10"/>
        <w:ind w:left="736" w:right="903"/>
      </w:pPr>
      <w:r>
        <w:t xml:space="preserve">Aprobación inicial de la ORDENANZA REGULADORA DE LA PRESTACIÓN PATRIMONIAL </w:t>
      </w:r>
    </w:p>
    <w:p w:rsidR="00085BB7" w:rsidRDefault="004441D3">
      <w:pPr>
        <w:spacing w:after="0"/>
        <w:ind w:left="736" w:right="903"/>
      </w:pPr>
      <w:r>
        <w:t xml:space="preserve">DE CARÁCTER PÚBLICO NO TRIBUTARIO DE LOS SERVICIOS MUNICIPALES DE GESTIÓN DEL CICLO INTEGRAL DEL AGUA DEL AYUNTAMIENTO DE LA VILLA DE </w:t>
      </w:r>
    </w:p>
    <w:p w:rsidR="00085BB7" w:rsidRDefault="004441D3">
      <w:pPr>
        <w:spacing w:after="363"/>
        <w:ind w:left="736" w:right="903"/>
      </w:pPr>
      <w:r>
        <w:t>CANDELARIA, adoptando la aplicación de las si</w:t>
      </w:r>
      <w:r>
        <w:t>guientes tarifas:</w:t>
      </w:r>
    </w:p>
    <w:p w:rsidR="00085BB7" w:rsidRDefault="004441D3">
      <w:pPr>
        <w:numPr>
          <w:ilvl w:val="0"/>
          <w:numId w:val="6"/>
        </w:numPr>
        <w:spacing w:after="109"/>
        <w:ind w:left="1725" w:right="903" w:hanging="282"/>
      </w:pPr>
      <w:r>
        <w:t>ABASTECIMIENTO:</w:t>
      </w:r>
    </w:p>
    <w:p w:rsidR="00085BB7" w:rsidRDefault="004441D3">
      <w:pPr>
        <w:spacing w:after="137"/>
        <w:ind w:left="1875" w:right="903"/>
      </w:pPr>
      <w:r>
        <w:t>1.- Consumo Doméstico</w:t>
      </w:r>
    </w:p>
    <w:tbl>
      <w:tblPr>
        <w:tblStyle w:val="TableGrid"/>
        <w:tblpPr w:vertAnchor="text" w:tblpX="733" w:tblpY="-2544"/>
        <w:tblOverlap w:val="never"/>
        <w:tblW w:w="3656" w:type="dxa"/>
        <w:tblInd w:w="0" w:type="dxa"/>
        <w:tblCellMar>
          <w:top w:w="12" w:type="dxa"/>
          <w:left w:w="99" w:type="dxa"/>
          <w:bottom w:w="0" w:type="dxa"/>
          <w:right w:w="108" w:type="dxa"/>
        </w:tblCellMar>
        <w:tblLook w:val="04A0" w:firstRow="1" w:lastRow="0" w:firstColumn="1" w:lastColumn="0" w:noHBand="0" w:noVBand="1"/>
      </w:tblPr>
      <w:tblGrid>
        <w:gridCol w:w="2528"/>
        <w:gridCol w:w="1128"/>
      </w:tblGrid>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CONSUMO DOMÉSTICO</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IMPORTE</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CUOTA FIJA</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14,25 €</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De 1 a 10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0,60 €/m3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w:t>
            </w:r>
            <w:r>
              <w:rPr>
                <w:sz w:val="20"/>
              </w:rPr>
              <w:t>11 a 30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1,20 €/m3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31 a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2,20 €/m3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Más de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3,50 €/m3</w:t>
            </w:r>
          </w:p>
        </w:tc>
      </w:tr>
    </w:tbl>
    <w:tbl>
      <w:tblPr>
        <w:tblStyle w:val="TableGrid"/>
        <w:tblpPr w:vertAnchor="text" w:tblpX="733" w:tblpY="372"/>
        <w:tblOverlap w:val="never"/>
        <w:tblW w:w="3656" w:type="dxa"/>
        <w:tblInd w:w="0" w:type="dxa"/>
        <w:tblCellMar>
          <w:top w:w="12" w:type="dxa"/>
          <w:left w:w="99" w:type="dxa"/>
          <w:bottom w:w="0" w:type="dxa"/>
          <w:right w:w="111" w:type="dxa"/>
        </w:tblCellMar>
        <w:tblLook w:val="04A0" w:firstRow="1" w:lastRow="0" w:firstColumn="1" w:lastColumn="0" w:noHBand="0" w:noVBand="1"/>
      </w:tblPr>
      <w:tblGrid>
        <w:gridCol w:w="2528"/>
        <w:gridCol w:w="1128"/>
      </w:tblGrid>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CONSUMO INDUSTRIAL</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pPr>
            <w:r>
              <w:rPr>
                <w:sz w:val="20"/>
              </w:rPr>
              <w:t>IMPORTE</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CUOTA FIJA</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21,25 €</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De 1 a 10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0,90 €/m3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w:t>
            </w:r>
            <w:r>
              <w:rPr>
                <w:sz w:val="20"/>
              </w:rPr>
              <w:t>11 a 30 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1,85 €/m3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De 31 a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2,85 €/m3</w:t>
            </w:r>
          </w:p>
        </w:tc>
      </w:tr>
      <w:tr w:rsidR="00085BB7">
        <w:trPr>
          <w:trHeight w:val="360"/>
        </w:trPr>
        <w:tc>
          <w:tcPr>
            <w:tcW w:w="25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1"/>
              </w:rPr>
              <w:t xml:space="preserve">Más de 60 </w:t>
            </w:r>
            <w:r>
              <w:rPr>
                <w:sz w:val="20"/>
              </w:rPr>
              <w:t>m3</w:t>
            </w:r>
          </w:p>
        </w:tc>
        <w:tc>
          <w:tcPr>
            <w:tcW w:w="1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 w:right="0" w:firstLine="0"/>
              <w:jc w:val="left"/>
            </w:pPr>
            <w:r>
              <w:rPr>
                <w:sz w:val="20"/>
              </w:rPr>
              <w:t>3,95 €/m3</w:t>
            </w:r>
          </w:p>
        </w:tc>
      </w:tr>
    </w:tbl>
    <w:tbl>
      <w:tblPr>
        <w:tblStyle w:val="TableGrid"/>
        <w:tblpPr w:vertAnchor="text" w:tblpX="3563" w:tblpY="4240"/>
        <w:tblOverlap w:val="never"/>
        <w:tblW w:w="6228" w:type="dxa"/>
        <w:tblInd w:w="0" w:type="dxa"/>
        <w:tblCellMar>
          <w:top w:w="12" w:type="dxa"/>
          <w:left w:w="0" w:type="dxa"/>
          <w:bottom w:w="0" w:type="dxa"/>
          <w:right w:w="49" w:type="dxa"/>
        </w:tblCellMar>
        <w:tblLook w:val="04A0" w:firstRow="1" w:lastRow="0" w:firstColumn="1" w:lastColumn="0" w:noHBand="0" w:noVBand="1"/>
      </w:tblPr>
      <w:tblGrid>
        <w:gridCol w:w="3116"/>
        <w:gridCol w:w="2618"/>
        <w:gridCol w:w="494"/>
      </w:tblGrid>
      <w:tr w:rsidR="00085BB7">
        <w:trPr>
          <w:trHeight w:val="274"/>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0" w:right="0" w:firstLine="0"/>
              <w:jc w:val="left"/>
            </w:pPr>
            <w:r>
              <w:rPr>
                <w:sz w:val="20"/>
              </w:rPr>
              <w:t xml:space="preserve">Bloque de Consumo </w:t>
            </w:r>
          </w:p>
        </w:tc>
        <w:tc>
          <w:tcPr>
            <w:tcW w:w="2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547" w:right="0" w:firstLine="0"/>
              <w:jc w:val="center"/>
            </w:pPr>
            <w:r>
              <w:rPr>
                <w:sz w:val="20"/>
              </w:rPr>
              <w:t>Importe</w:t>
            </w:r>
          </w:p>
        </w:tc>
        <w:tc>
          <w:tcPr>
            <w:tcW w:w="494"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240"/>
        </w:trPr>
        <w:tc>
          <w:tcPr>
            <w:tcW w:w="3116"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2618" w:type="dxa"/>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494"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1,76 </w:t>
            </w:r>
          </w:p>
        </w:tc>
      </w:tr>
    </w:tbl>
    <w:p w:rsidR="00085BB7" w:rsidRDefault="004441D3">
      <w:pPr>
        <w:spacing w:before="384" w:after="137"/>
        <w:ind w:left="1875" w:right="903"/>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column">
                  <wp:posOffset>6542599</wp:posOffset>
                </wp:positionH>
                <wp:positionV relativeFrom="paragraph">
                  <wp:posOffset>-574383</wp:posOffset>
                </wp:positionV>
                <wp:extent cx="237530" cy="3313100"/>
                <wp:effectExtent l="0" t="0" r="0" b="0"/>
                <wp:wrapSquare wrapText="bothSides"/>
                <wp:docPr id="125032" name="Group 1250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038" name="Rectangle 303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039" name="Rectangle 303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040" name="Rectangle 304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032" style="width:18.7031pt;height:260.874pt;position:absolute;mso-position-horizontal-relative:text;mso-position-horizontal:absolute;margin-left:515.165pt;mso-position-vertical-relative:text;margin-top:-45.2271pt;" coordsize="2375,33131">
                <v:rect id="Rectangle 303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03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4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133 </w:t>
                        </w:r>
                      </w:p>
                    </w:txbxContent>
                  </v:textbox>
                </v:rect>
                <w10:wrap type="square"/>
              </v:group>
            </w:pict>
          </mc:Fallback>
        </mc:AlternateContent>
      </w:r>
      <w:r>
        <w:t>2.- Consumo Industrial</w:t>
      </w:r>
    </w:p>
    <w:p w:rsidR="00085BB7" w:rsidRDefault="004441D3">
      <w:pPr>
        <w:numPr>
          <w:ilvl w:val="0"/>
          <w:numId w:val="6"/>
        </w:numPr>
        <w:spacing w:before="384" w:after="111"/>
        <w:ind w:left="1725" w:right="903" w:hanging="282"/>
      </w:pPr>
      <w:r>
        <w:t>SANEAMIENTO:</w:t>
      </w:r>
    </w:p>
    <w:p w:rsidR="00085BB7" w:rsidRDefault="004441D3">
      <w:pPr>
        <w:ind w:left="1875" w:right="903"/>
      </w:pPr>
      <w:r>
        <w:t>1.- Consumo Doméstico</w:t>
      </w:r>
    </w:p>
    <w:tbl>
      <w:tblPr>
        <w:tblStyle w:val="TableGrid"/>
        <w:tblW w:w="6228" w:type="dxa"/>
        <w:tblInd w:w="3563" w:type="dxa"/>
        <w:tblCellMar>
          <w:top w:w="12" w:type="dxa"/>
          <w:left w:w="110" w:type="dxa"/>
          <w:bottom w:w="0" w:type="dxa"/>
          <w:right w:w="104" w:type="dxa"/>
        </w:tblCellMar>
        <w:tblLook w:val="04A0" w:firstRow="1" w:lastRow="0" w:firstColumn="1" w:lastColumn="0" w:noHBand="0" w:noVBand="1"/>
      </w:tblPr>
      <w:tblGrid>
        <w:gridCol w:w="3116"/>
        <w:gridCol w:w="3112"/>
      </w:tblGrid>
      <w:tr w:rsidR="00085BB7">
        <w:trPr>
          <w:trHeight w:val="24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Mínimo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right"/>
            </w:pPr>
            <w:r>
              <w:rPr>
                <w:sz w:val="20"/>
              </w:rPr>
              <w:t>euros</w:t>
            </w:r>
          </w:p>
        </w:tc>
      </w:tr>
      <w:tr w:rsidR="00085BB7">
        <w:trPr>
          <w:trHeight w:val="24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Mas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 w:firstLine="0"/>
              <w:jc w:val="right"/>
            </w:pPr>
            <w:r>
              <w:rPr>
                <w:sz w:val="20"/>
              </w:rPr>
              <w:t>0,176 euros/m3</w:t>
            </w:r>
          </w:p>
        </w:tc>
      </w:tr>
    </w:tbl>
    <w:p w:rsidR="00085BB7" w:rsidRDefault="004441D3">
      <w:pPr>
        <w:spacing w:after="153"/>
        <w:ind w:left="1875" w:right="903"/>
      </w:pPr>
      <w:r>
        <w:t>2.- Consumo Industrial</w:t>
      </w:r>
    </w:p>
    <w:tbl>
      <w:tblPr>
        <w:tblStyle w:val="TableGrid"/>
        <w:tblW w:w="6228" w:type="dxa"/>
        <w:tblInd w:w="3563" w:type="dxa"/>
        <w:tblCellMar>
          <w:top w:w="12" w:type="dxa"/>
          <w:left w:w="110" w:type="dxa"/>
          <w:bottom w:w="0" w:type="dxa"/>
          <w:right w:w="105" w:type="dxa"/>
        </w:tblCellMar>
        <w:tblLook w:val="04A0" w:firstRow="1" w:lastRow="0" w:firstColumn="1" w:lastColumn="0" w:noHBand="0" w:noVBand="1"/>
      </w:tblPr>
      <w:tblGrid>
        <w:gridCol w:w="3116"/>
        <w:gridCol w:w="3112"/>
      </w:tblGrid>
      <w:tr w:rsidR="00085BB7">
        <w:trPr>
          <w:trHeight w:val="274"/>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Bloque de Consumo </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center"/>
            </w:pPr>
            <w:r>
              <w:rPr>
                <w:sz w:val="20"/>
              </w:rPr>
              <w:t>Importe</w:t>
            </w:r>
          </w:p>
        </w:tc>
      </w:tr>
      <w:tr w:rsidR="00085BB7">
        <w:trPr>
          <w:trHeight w:val="24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Mínimo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right"/>
            </w:pPr>
            <w:r>
              <w:rPr>
                <w:sz w:val="20"/>
              </w:rPr>
              <w:t>2,02 euros</w:t>
            </w:r>
          </w:p>
        </w:tc>
      </w:tr>
      <w:tr w:rsidR="00085BB7">
        <w:trPr>
          <w:trHeight w:val="240"/>
        </w:trPr>
        <w:tc>
          <w:tcPr>
            <w:tcW w:w="31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Mas de 10 m3</w:t>
            </w:r>
          </w:p>
        </w:tc>
        <w:tc>
          <w:tcPr>
            <w:tcW w:w="311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 w:firstLine="0"/>
              <w:jc w:val="right"/>
            </w:pPr>
            <w:r>
              <w:rPr>
                <w:sz w:val="20"/>
              </w:rPr>
              <w:t>0,201 euros/m3</w:t>
            </w:r>
          </w:p>
        </w:tc>
      </w:tr>
    </w:tbl>
    <w:p w:rsidR="00085BB7" w:rsidRDefault="004441D3">
      <w:pPr>
        <w:ind w:left="730" w:right="1401" w:firstLine="710"/>
      </w:pPr>
      <w:r>
        <w:t>Con fecha 3 de mayo, se remitió el acuerdo adoptado a la Comisión Territorial de precios de la Consejería de Turismo, Industria y Comercio del Gobierno de Canarias a efectos del informe preceptivo en</w:t>
      </w:r>
      <w:r>
        <w:t xml:space="preserve"> virtud del régimen de precios autorizados de ámbito autonómico, conforme el Decreto 3173/1983 de 9 de noviembre, pero solamente en cuanto a las tarifas de abastecimiento, no a las de saneamiento, que no están sujetas a informe.</w:t>
      </w:r>
    </w:p>
    <w:p w:rsidR="00085BB7" w:rsidRDefault="004441D3">
      <w:pPr>
        <w:spacing w:after="365"/>
        <w:ind w:left="730" w:right="1093" w:firstLine="710"/>
      </w:pPr>
      <w:r>
        <w:t>Con fecha 8 de mayo se publica en el BOP, a efectos de su exposición al público por un plazo de 30 días hábiles, finalizando el 20 de junio de 2024.</w:t>
      </w:r>
    </w:p>
    <w:p w:rsidR="00085BB7" w:rsidRDefault="004441D3">
      <w:pPr>
        <w:spacing w:after="114"/>
        <w:ind w:left="730" w:right="1411" w:firstLine="708"/>
      </w:pPr>
      <w:r>
        <w:t>Con fecha 29 de mayo y 10 de julio de 2024, se realiza requerimientos por la Comisión Territorial de Precio</w:t>
      </w:r>
      <w:r>
        <w:t>s, a efectos de aportar información relativa a los volúmenes de agua comprados, ingresos no tarifarios, rendimientos y Estudio Económico del ejercicio que se aplican las tarifas, elaborándose esta última con fecha de julio de 2024.</w:t>
      </w:r>
    </w:p>
    <w:p w:rsidR="00085BB7" w:rsidRDefault="004441D3">
      <w:pPr>
        <w:spacing w:after="112"/>
        <w:ind w:left="730" w:right="1406" w:firstLine="708"/>
      </w:pPr>
      <w:r>
        <w:t>Con fecha 11 de junio de</w:t>
      </w:r>
      <w:r>
        <w:t xml:space="preserve"> 2024, se presentan seis alegaciones a la presente Ordenanza, durante el periodo de exposición al público, por el partido Unidas Sí Podemos, integrado en el Grupo Mixto, que podemos sintetizar en:</w:t>
      </w:r>
    </w:p>
    <w:p w:rsidR="00085BB7" w:rsidRDefault="004441D3">
      <w:pPr>
        <w:spacing w:after="114"/>
        <w:ind w:left="730" w:right="1408" w:firstLine="708"/>
      </w:pPr>
      <w:r>
        <w:t>1.- Realización de una Auditoría de Control Financiero y Ge</w:t>
      </w:r>
      <w:r>
        <w:t>stión, conforme dispone La Ley Orgánica 2/2012, de 27 de abril, de Estabilidad Presupuestaria y Sostenibilidad Financiera.</w:t>
      </w:r>
    </w:p>
    <w:p w:rsidR="00085BB7" w:rsidRDefault="004441D3">
      <w:pPr>
        <w:spacing w:after="109"/>
        <w:ind w:left="1449" w:right="903"/>
      </w:pPr>
      <w:r>
        <w:t>2.- Que las nuevas tarifas no excedan de la inflación anual.</w:t>
      </w:r>
    </w:p>
    <w:p w:rsidR="00085BB7" w:rsidRDefault="004441D3">
      <w:pPr>
        <w:spacing w:after="111"/>
        <w:ind w:left="730" w:right="903" w:firstLine="708"/>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column">
                  <wp:posOffset>6542599</wp:posOffset>
                </wp:positionH>
                <wp:positionV relativeFrom="paragraph">
                  <wp:posOffset>-127342</wp:posOffset>
                </wp:positionV>
                <wp:extent cx="237530" cy="3313100"/>
                <wp:effectExtent l="0" t="0" r="0" b="0"/>
                <wp:wrapSquare wrapText="bothSides"/>
                <wp:docPr id="129547" name="Group 1295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181" name="Rectangle 318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182" name="Rectangle 318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https://c</w:t>
                              </w:r>
                              <w:r>
                                <w:rPr>
                                  <w:sz w:val="12"/>
                                </w:rPr>
                                <w:t xml:space="preserve">andelaria.sedelectronica.es/ </w:t>
                              </w:r>
                            </w:p>
                          </w:txbxContent>
                        </wps:txbx>
                        <wps:bodyPr horzOverflow="overflow" vert="horz" lIns="0" tIns="0" rIns="0" bIns="0" rtlCol="0">
                          <a:noAutofit/>
                        </wps:bodyPr>
                      </wps:wsp>
                      <wps:wsp>
                        <wps:cNvPr id="3183" name="Rectangle 318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547" style="width:18.7031pt;height:260.874pt;position:absolute;mso-position-horizontal-relative:text;mso-position-horizontal:absolute;margin-left:515.165pt;mso-position-vertical-relative:text;margin-top:-10.027pt;" coordsize="2375,33131">
                <v:rect id="Rectangle 318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18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8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133 </w:t>
                        </w:r>
                      </w:p>
                    </w:txbxContent>
                  </v:textbox>
                </v:rect>
                <w10:wrap type="square"/>
              </v:group>
            </w:pict>
          </mc:Fallback>
        </mc:AlternateContent>
      </w:r>
      <w:r>
        <w:t>3.- Mantener la tarifa de Consumo Mínimo vigente actualmente en sustitución de la Cuota Fija propuesta en la nueva ordenanza.</w:t>
      </w:r>
    </w:p>
    <w:p w:rsidR="00085BB7" w:rsidRDefault="004441D3">
      <w:pPr>
        <w:spacing w:after="111"/>
        <w:ind w:left="730" w:right="903" w:firstLine="708"/>
      </w:pPr>
      <w:r>
        <w:t xml:space="preserve">4.- </w:t>
      </w:r>
      <w:r>
        <w:t>Revisar la fórmula polinómica que contemple solamente los gastos de compra del agua que efectivamente se abastece a la población.</w:t>
      </w:r>
    </w:p>
    <w:p w:rsidR="00085BB7" w:rsidRDefault="004441D3">
      <w:pPr>
        <w:spacing w:after="114"/>
        <w:ind w:left="730" w:right="903" w:firstLine="708"/>
      </w:pPr>
      <w:r>
        <w:t xml:space="preserve">5.- Publicación específica y accesible de los Informes de calidad del agua de </w:t>
      </w:r>
      <w:r>
        <w:t>consumo doméstico de nuestro municipio, de tal manera que la ciudadanía pueda estar informada en todo momento de la calidad del agua.</w:t>
      </w:r>
    </w:p>
    <w:p w:rsidR="00085BB7" w:rsidRDefault="004441D3">
      <w:pPr>
        <w:spacing w:after="486"/>
        <w:ind w:left="730" w:right="903" w:firstLine="708"/>
      </w:pPr>
      <w:r>
        <w:t>6.- Revisar el Reglamento de la Comisión de seguimiento y control del Servicio de Abastecimiento de Agua Potable en el Mun</w:t>
      </w:r>
      <w:r>
        <w:t>icipio de Candelaria para incluir la presencia de concejales y concejalas de los partidos políticos de la oposición en esta Comisión así como la exigencia de la presentación al pleno de Informes anuales de seguimiento y control de la empresa.</w:t>
      </w:r>
    </w:p>
    <w:p w:rsidR="00085BB7" w:rsidRDefault="004441D3">
      <w:pPr>
        <w:spacing w:after="109"/>
        <w:ind w:left="1449" w:right="903"/>
      </w:pPr>
      <w:r>
        <w:t>Estas alegaci</w:t>
      </w:r>
      <w:r>
        <w:t>ones fueron informadas por el Interventor municipal, señalando que:</w:t>
      </w:r>
    </w:p>
    <w:p w:rsidR="00085BB7" w:rsidRDefault="004441D3">
      <w:pPr>
        <w:spacing w:after="92"/>
        <w:ind w:left="730" w:right="903" w:firstLine="708"/>
      </w:pPr>
      <w:r>
        <w:t xml:space="preserve">“A diferencia de lo que sucede en el procedimiento para aprobar los presupuestos locales, no se tasan en el Texto Refundido de la Ley Reguladora de las Haciendas Locales y en otras normas </w:t>
      </w:r>
      <w:r>
        <w:t>de aplicación general (LRBRL, Ley 39/2015 de Procedimiento Administrativo común) los supuestos por los que se pueden presentar alegaciones o reclamaciones contra las ordenanzas no fiscales.</w:t>
      </w:r>
    </w:p>
    <w:p w:rsidR="00085BB7" w:rsidRDefault="004441D3">
      <w:pPr>
        <w:spacing w:after="112"/>
        <w:ind w:left="730" w:right="1403" w:firstLine="708"/>
      </w:pPr>
      <w:r>
        <w:t>Con respecto a la primera alegación, la realización de Auditoría d</w:t>
      </w:r>
      <w:r>
        <w:t>e Control Financiero y Gestión, conforme dispone La Ley Orgánica 2/2012, de 27 de abril, de Estabilidad Presupuestaria y Sostenibilidad Financiera, se circunscribe únicamente a entidades del sector público, no a entidades privadas. Por aplicación de la Ley</w:t>
      </w:r>
      <w:r>
        <w:t xml:space="preserve"> de Auditorías de cuentas, Aqualia, está sometida a una Auditoría privada, reflejándose en el expediente, auditoría de los costes e ingresos del servicio.</w:t>
      </w:r>
    </w:p>
    <w:p w:rsidR="00085BB7" w:rsidRDefault="004441D3">
      <w:pPr>
        <w:spacing w:after="114"/>
        <w:ind w:left="730" w:right="1403" w:firstLine="708"/>
      </w:pPr>
      <w:r>
        <w:t>Con respecto a la segunda alegación, que las nuevas tarifas no excedan de la inflación anual, señalar</w:t>
      </w:r>
      <w:r>
        <w:t xml:space="preserve"> que, desde la entrada en vigor de las tarifas vigentes hasta el momento actual, la variación del I.P.C. en Canarias, ascendió al 22,6 % y las tarifas aprobadas por el pleno, han tenido una subida media del 28,20 %, siendo las de consumo doméstico del 22,0</w:t>
      </w:r>
      <w:r>
        <w:t xml:space="preserve">9 % y las de consumo industrial, del 59,04 %. </w:t>
      </w:r>
    </w:p>
    <w:p w:rsidR="00085BB7" w:rsidRDefault="004441D3">
      <w:pPr>
        <w:spacing w:after="112"/>
        <w:ind w:left="730" w:right="1407" w:firstLine="708"/>
      </w:pPr>
      <w:r>
        <w:t>En cuanto a la tercera alegación, mantener la tarifa de Consumo Mínimo vigente actualmente en sustitución de la Cuota Fija propuesta en la nueva ordenanza, es una facultad de la Corporación, en el ejercicio de</w:t>
      </w:r>
      <w:r>
        <w:t xml:space="preserve"> sus competencias de aprobar las tarifas.</w:t>
      </w:r>
    </w:p>
    <w:p w:rsidR="00085BB7" w:rsidRDefault="004441D3">
      <w:pPr>
        <w:spacing w:after="112"/>
        <w:ind w:left="730" w:right="1403" w:firstLine="708"/>
      </w:pPr>
      <w:r>
        <w:t>La cuarta alegación relativa a revisar la fórmula polinómica que contemple solamente los gastos de compra del agua que efectivamente se abastece a la población, señalar que no se ha tenido en cuenta esta fórmula al</w:t>
      </w:r>
      <w:r>
        <w:t xml:space="preserve"> revisar las tarifas, que se han calculado, por diferencia entre los costes y ingresos del servicio, desde hace aproximadamente 20 años.</w:t>
      </w:r>
    </w:p>
    <w:p w:rsidR="00085BB7" w:rsidRDefault="004441D3">
      <w:pPr>
        <w:spacing w:after="112"/>
        <w:ind w:left="730" w:right="1407" w:firstLine="708"/>
      </w:pPr>
      <w:r>
        <w:t>En cuanto a la quinta alegación, relativa a la publicación específica y accesible de los Informes de calidad del agua d</w:t>
      </w:r>
      <w:r>
        <w:t>e consumo doméstico de nuestro municipio, de tal manera que la ciudadanía pueda estar informada en todo momento de la calidad del agua, no está relacionada con la ordenanza actual.</w:t>
      </w:r>
    </w:p>
    <w:p w:rsidR="00085BB7" w:rsidRDefault="004441D3">
      <w:pPr>
        <w:spacing w:after="112"/>
        <w:ind w:left="730" w:right="1404" w:firstLine="708"/>
      </w:pPr>
      <w:r>
        <w:t xml:space="preserve">Por último, la alegación se refiere a revisar el Reglamento de la Comisión </w:t>
      </w:r>
      <w:r>
        <w:t>de seguimiento y control del Servicio de Abastecimiento de Agua Potable en el Municipio de Candelaria para incluir la presencia de concejales y concejalas de los partidos políticos de la oposición en esta Comisión así como la exigencia de la presentación a</w:t>
      </w:r>
      <w:r>
        <w:t>l pleno de Informes anuales de seguimiento y control de la empresa, como en el caso actual, no está vinculada a la ordenanza”.</w:t>
      </w:r>
    </w:p>
    <w:tbl>
      <w:tblPr>
        <w:tblStyle w:val="TableGrid"/>
        <w:tblpPr w:vertAnchor="text" w:tblpX="983" w:tblpY="3142"/>
        <w:tblOverlap w:val="never"/>
        <w:tblW w:w="8790" w:type="dxa"/>
        <w:tblInd w:w="0" w:type="dxa"/>
        <w:tblCellMar>
          <w:top w:w="12" w:type="dxa"/>
          <w:left w:w="110" w:type="dxa"/>
          <w:bottom w:w="0" w:type="dxa"/>
          <w:right w:w="49" w:type="dxa"/>
        </w:tblCellMar>
        <w:tblLook w:val="04A0" w:firstRow="1" w:lastRow="0" w:firstColumn="1" w:lastColumn="0" w:noHBand="0" w:noVBand="1"/>
      </w:tblPr>
      <w:tblGrid>
        <w:gridCol w:w="2552"/>
        <w:gridCol w:w="1560"/>
        <w:gridCol w:w="2692"/>
        <w:gridCol w:w="1986"/>
      </w:tblGrid>
      <w:tr w:rsidR="00085BB7">
        <w:trPr>
          <w:trHeight w:val="59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TARIFAS</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APROBADAS</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PROPUESTAS COMISIÓN PRECIOS</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VARIACIÓN</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pPr>
            <w:r>
              <w:rPr>
                <w:sz w:val="20"/>
              </w:rPr>
              <w:t>CONSUMO DOMÉSTICO</w:t>
            </w:r>
          </w:p>
        </w:tc>
        <w:tc>
          <w:tcPr>
            <w:tcW w:w="15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2692"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1986"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7" w:firstLine="0"/>
              <w:jc w:val="center"/>
            </w:pPr>
            <w:r>
              <w:rPr>
                <w:sz w:val="20"/>
              </w:rPr>
              <w:t>CUOTA FIJA</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14,25 €</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13,85 €</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           -2,8 %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De 1 a 10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0,60 €/m3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0,58 €/m3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-3,3 %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71" w:firstLine="0"/>
              <w:jc w:val="center"/>
            </w:pPr>
            <w:r>
              <w:rPr>
                <w:sz w:val="21"/>
              </w:rPr>
              <w:t xml:space="preserve">De </w:t>
            </w:r>
            <w:r>
              <w:rPr>
                <w:sz w:val="20"/>
              </w:rPr>
              <w:t>11 a 30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1,17 €/m3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-2,7 %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70" w:firstLine="0"/>
              <w:jc w:val="center"/>
            </w:pPr>
            <w:r>
              <w:rPr>
                <w:sz w:val="21"/>
              </w:rPr>
              <w:t xml:space="preserve">De 31 a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2,20 €/m3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2,14 €/m3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8" w:firstLine="0"/>
              <w:jc w:val="center"/>
            </w:pPr>
            <w:r>
              <w:rPr>
                <w:sz w:val="21"/>
              </w:rPr>
              <w:t xml:space="preserve">Más de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3,50 €/m3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3,40 €/m3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-2,8 %</w:t>
            </w:r>
          </w:p>
        </w:tc>
      </w:tr>
    </w:tbl>
    <w:p w:rsidR="00085BB7" w:rsidRDefault="004441D3">
      <w:pPr>
        <w:spacing w:after="112"/>
        <w:ind w:left="730" w:right="903" w:firstLine="708"/>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column">
                  <wp:posOffset>6542599</wp:posOffset>
                </wp:positionH>
                <wp:positionV relativeFrom="paragraph">
                  <wp:posOffset>152057</wp:posOffset>
                </wp:positionV>
                <wp:extent cx="237530" cy="3313100"/>
                <wp:effectExtent l="0" t="0" r="0" b="0"/>
                <wp:wrapSquare wrapText="bothSides"/>
                <wp:docPr id="130360" name="Group 13036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327" name="Rectangle 332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328" name="Rectangle 332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329" name="Rectangle 332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0360" style="width:18.7031pt;height:260.874pt;position:absolute;mso-position-horizontal-relative:text;mso-position-horizontal:absolute;margin-left:515.165pt;mso-position-vertical-relative:text;margin-top:11.973pt;" coordsize="2375,33131">
                <v:rect id="Rectangle 332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32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2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133 </w:t>
                        </w:r>
                      </w:p>
                    </w:txbxContent>
                  </v:textbox>
                </v:rect>
                <w10:wrap type="square"/>
              </v:group>
            </w:pict>
          </mc:Fallback>
        </mc:AlternateContent>
      </w:r>
      <w:r>
        <w:t xml:space="preserve">Con fecha 7 de agosto, se remite al Ayuntamiento de Candelaria, Resolución del Viceconsejero de Industria, </w:t>
      </w:r>
      <w:r>
        <w:t>Comercio y Consumo del Gobierno de Canarias, por la que se aprueba la modificación de las tarifas del servicio público de abastecimiento de agua a poblaciones, para su aplicación en el municipio de Candelaria.</w:t>
      </w:r>
    </w:p>
    <w:p w:rsidR="00085BB7" w:rsidRDefault="004441D3">
      <w:pPr>
        <w:spacing w:after="0"/>
        <w:ind w:left="730" w:right="903" w:firstLine="708"/>
      </w:pPr>
      <w:r>
        <w:t>Dicha Resolución señala que el Grupo de Trabaj</w:t>
      </w:r>
      <w:r>
        <w:t>o de la Comisión de Precios de Canarias ha tenido en consideración el informe emitido por el Interventor Municipal para el cálculo de los costes y para los ingresos, la aplicación de las tarifas propuestas a los m3 de agua facturables por bloques reflejado</w:t>
      </w:r>
      <w:r>
        <w:t xml:space="preserve">s en el Estudio Económico, elaborado por la empresa Aqualia, en de julio de 2024, por lo que para conseguir el equilibrio económico del servicio habría que reducir las tarifas, de conformidad con el siguiente detalle: </w:t>
      </w:r>
    </w:p>
    <w:tbl>
      <w:tblPr>
        <w:tblStyle w:val="TableGrid"/>
        <w:tblW w:w="8790" w:type="dxa"/>
        <w:tblInd w:w="983" w:type="dxa"/>
        <w:tblCellMar>
          <w:top w:w="12" w:type="dxa"/>
          <w:left w:w="134" w:type="dxa"/>
          <w:bottom w:w="0" w:type="dxa"/>
          <w:right w:w="115" w:type="dxa"/>
        </w:tblCellMar>
        <w:tblLook w:val="04A0" w:firstRow="1" w:lastRow="0" w:firstColumn="1" w:lastColumn="0" w:noHBand="0" w:noVBand="1"/>
      </w:tblPr>
      <w:tblGrid>
        <w:gridCol w:w="2552"/>
        <w:gridCol w:w="1560"/>
        <w:gridCol w:w="2692"/>
        <w:gridCol w:w="1986"/>
      </w:tblGrid>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CONSUMO INDUSTRIAL</w:t>
            </w:r>
          </w:p>
        </w:tc>
        <w:tc>
          <w:tcPr>
            <w:tcW w:w="15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2692"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c>
          <w:tcPr>
            <w:tcW w:w="1986"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 w:firstLine="0"/>
              <w:jc w:val="center"/>
            </w:pPr>
            <w:r>
              <w:rPr>
                <w:sz w:val="20"/>
              </w:rPr>
              <w:t>CUOTA FIJA</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21,25 €</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20,66 €</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De 1 a 10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0,90 €/m3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0,87 €/m3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-3,3 %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8" w:firstLine="0"/>
              <w:jc w:val="center"/>
            </w:pPr>
            <w:r>
              <w:rPr>
                <w:sz w:val="21"/>
              </w:rPr>
              <w:t xml:space="preserve">De </w:t>
            </w:r>
            <w:r>
              <w:rPr>
                <w:sz w:val="20"/>
              </w:rPr>
              <w:t>11 a 30 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1,85 €/m3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1,80 €/m3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-2,7 %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7" w:firstLine="0"/>
              <w:jc w:val="center"/>
            </w:pPr>
            <w:r>
              <w:rPr>
                <w:sz w:val="21"/>
              </w:rPr>
              <w:t xml:space="preserve">De 31 a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2,85 €/m3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2,77 €/m3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-2,8 %</w:t>
            </w:r>
          </w:p>
        </w:tc>
      </w:tr>
      <w:tr w:rsidR="00085BB7">
        <w:trPr>
          <w:trHeight w:val="360"/>
        </w:trPr>
        <w:tc>
          <w:tcPr>
            <w:tcW w:w="255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5" w:firstLine="0"/>
              <w:jc w:val="center"/>
            </w:pPr>
            <w:r>
              <w:rPr>
                <w:sz w:val="21"/>
              </w:rPr>
              <w:t xml:space="preserve">Más de 60 </w:t>
            </w:r>
            <w:r>
              <w:rPr>
                <w:sz w:val="20"/>
              </w:rPr>
              <w:t>m3</w:t>
            </w:r>
          </w:p>
        </w:tc>
        <w:tc>
          <w:tcPr>
            <w:tcW w:w="15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3,95 €/m3</w:t>
            </w:r>
          </w:p>
        </w:tc>
        <w:tc>
          <w:tcPr>
            <w:tcW w:w="26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7" w:firstLine="0"/>
              <w:jc w:val="center"/>
            </w:pPr>
            <w:r>
              <w:rPr>
                <w:sz w:val="20"/>
              </w:rPr>
              <w:t>3,84 €/m3</w:t>
            </w:r>
          </w:p>
        </w:tc>
        <w:tc>
          <w:tcPr>
            <w:tcW w:w="1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6" w:firstLine="0"/>
              <w:jc w:val="center"/>
            </w:pPr>
            <w:r>
              <w:rPr>
                <w:sz w:val="20"/>
              </w:rPr>
              <w:t>-2,8 %</w:t>
            </w:r>
          </w:p>
        </w:tc>
      </w:tr>
    </w:tbl>
    <w:p w:rsidR="00085BB7" w:rsidRDefault="004441D3">
      <w:pPr>
        <w:spacing w:after="117"/>
        <w:ind w:left="730" w:right="1408" w:firstLine="708"/>
      </w:pPr>
      <w:r>
        <w:t>Y, en consecuencia, se solicita a esta Corporación local, la adopción del siguiente acuerdo de Aprobación de modificación de las tarifas del servicio público de abastecimiento de agua a poblaciones para su aplicación en el municipio de Candelaria, las cual</w:t>
      </w:r>
      <w:r>
        <w:t>es quedarán establecidas en las cuantías siguientes:</w:t>
      </w:r>
    </w:p>
    <w:tbl>
      <w:tblPr>
        <w:tblStyle w:val="TableGrid"/>
        <w:tblpPr w:vertAnchor="text" w:tblpX="2259" w:tblpY="-5668"/>
        <w:tblOverlap w:val="never"/>
        <w:tblW w:w="6096" w:type="dxa"/>
        <w:tblInd w:w="0" w:type="dxa"/>
        <w:tblCellMar>
          <w:top w:w="12" w:type="dxa"/>
          <w:left w:w="264" w:type="dxa"/>
          <w:bottom w:w="0" w:type="dxa"/>
          <w:right w:w="115" w:type="dxa"/>
        </w:tblCellMar>
        <w:tblLook w:val="04A0" w:firstRow="1" w:lastRow="0" w:firstColumn="1" w:lastColumn="0" w:noHBand="0" w:noVBand="1"/>
      </w:tblPr>
      <w:tblGrid>
        <w:gridCol w:w="2836"/>
        <w:gridCol w:w="3260"/>
      </w:tblGrid>
      <w:tr w:rsidR="00085BB7">
        <w:trPr>
          <w:trHeight w:val="59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TARIFAS</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center"/>
            </w:pPr>
            <w:r>
              <w:rPr>
                <w:sz w:val="20"/>
              </w:rPr>
              <w:t>PROPUESTAS COMISIÓN PRECIOS</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CONSUMO DOMÉSTICO</w:t>
            </w:r>
          </w:p>
        </w:tc>
        <w:tc>
          <w:tcPr>
            <w:tcW w:w="32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CUOTA FIJA</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13,85 €</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De 1 a 10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0,58 €/m3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8" w:firstLine="0"/>
              <w:jc w:val="center"/>
            </w:pPr>
            <w:r>
              <w:rPr>
                <w:sz w:val="21"/>
              </w:rPr>
              <w:t xml:space="preserve">De </w:t>
            </w:r>
            <w:r>
              <w:rPr>
                <w:sz w:val="20"/>
              </w:rPr>
              <w:t>11 a 30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1,17 €/m3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De 31 a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2,14 €/m3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Más de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3,40 €/m3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CONSUMO INDUSTRIAL</w:t>
            </w:r>
          </w:p>
        </w:tc>
        <w:tc>
          <w:tcPr>
            <w:tcW w:w="3260" w:type="dxa"/>
            <w:tcBorders>
              <w:top w:val="single" w:sz="4" w:space="0" w:color="000000"/>
              <w:left w:val="single" w:sz="4" w:space="0" w:color="000000"/>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CUOTA FIJA</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6" w:firstLine="0"/>
              <w:jc w:val="center"/>
            </w:pPr>
            <w:r>
              <w:rPr>
                <w:sz w:val="20"/>
              </w:rPr>
              <w:t>20,66 €</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De 1 a 10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0,87 €/m3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8" w:firstLine="0"/>
              <w:jc w:val="center"/>
            </w:pPr>
            <w:r>
              <w:rPr>
                <w:sz w:val="21"/>
              </w:rPr>
              <w:t xml:space="preserve">De </w:t>
            </w:r>
            <w:r>
              <w:rPr>
                <w:sz w:val="20"/>
              </w:rPr>
              <w:t>11 a 30 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1,80 €/m3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De 31 a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2,77 €/m3</w:t>
            </w:r>
          </w:p>
        </w:tc>
      </w:tr>
      <w:tr w:rsidR="00085BB7">
        <w:trPr>
          <w:trHeight w:val="360"/>
        </w:trPr>
        <w:tc>
          <w:tcPr>
            <w:tcW w:w="28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57" w:firstLine="0"/>
              <w:jc w:val="center"/>
            </w:pPr>
            <w:r>
              <w:rPr>
                <w:sz w:val="21"/>
              </w:rPr>
              <w:t xml:space="preserve">Más de 60 </w:t>
            </w:r>
            <w:r>
              <w:rPr>
                <w:sz w:val="20"/>
              </w:rPr>
              <w:t>m3</w:t>
            </w:r>
          </w:p>
        </w:tc>
        <w:tc>
          <w:tcPr>
            <w:tcW w:w="326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47" w:firstLine="0"/>
              <w:jc w:val="center"/>
            </w:pPr>
            <w:r>
              <w:rPr>
                <w:sz w:val="20"/>
              </w:rPr>
              <w:t>3,84 €/m3</w:t>
            </w:r>
          </w:p>
        </w:tc>
      </w:tr>
    </w:tbl>
    <w:p w:rsidR="00085BB7" w:rsidRDefault="004441D3">
      <w:pPr>
        <w:spacing w:before="758" w:after="114"/>
        <w:ind w:left="730" w:right="903" w:firstLine="708"/>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column">
                  <wp:posOffset>6542599</wp:posOffset>
                </wp:positionH>
                <wp:positionV relativeFrom="paragraph">
                  <wp:posOffset>-587083</wp:posOffset>
                </wp:positionV>
                <wp:extent cx="237530" cy="3313100"/>
                <wp:effectExtent l="0" t="0" r="0" b="0"/>
                <wp:wrapSquare wrapText="bothSides"/>
                <wp:docPr id="127273" name="Group 12727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500" name="Rectangle 350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501" name="Rectangle 350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502" name="Rectangle 350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273" style="width:18.7031pt;height:260.874pt;position:absolute;mso-position-horizontal-relative:text;mso-position-horizontal:absolute;margin-left:515.165pt;mso-position-vertical-relative:text;margin-top:-46.2271pt;" coordsize="2375,33131">
                <v:rect id="Rectangle 350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5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133 </w:t>
                        </w:r>
                      </w:p>
                    </w:txbxContent>
                  </v:textbox>
                </v:rect>
                <w10:wrap type="square"/>
              </v:group>
            </w:pict>
          </mc:Fallback>
        </mc:AlternateContent>
      </w:r>
      <w:r>
        <w:t>Esas tarifas propuestas, han sido calculadas por el Informe de Grupo de Trabajo de la Dirección General de Comercio y Consumo, por el cual se obtiene un resultado</w:t>
      </w:r>
      <w:r>
        <w:t xml:space="preserve"> económico, con unos gastos de 4.039.699 Euros y unos ingresos de 4.040.453 Euros.</w:t>
      </w:r>
    </w:p>
    <w:p w:rsidR="00085BB7" w:rsidRDefault="004441D3">
      <w:pPr>
        <w:spacing w:after="486"/>
        <w:ind w:left="730" w:right="903" w:firstLine="708"/>
      </w:pPr>
      <w:r>
        <w:t>Por ello, este Concejal Delegado de Hacienda PROPONE al Ayuntamiento Pleno, la adopción del siguiente acuerdo:</w:t>
      </w:r>
    </w:p>
    <w:p w:rsidR="00085BB7" w:rsidRDefault="004441D3">
      <w:pPr>
        <w:ind w:left="736" w:right="903"/>
      </w:pPr>
      <w:r>
        <w:t xml:space="preserve">Primero: Desestimar las alegaciones presentadas, con fecha 11 </w:t>
      </w:r>
      <w:r>
        <w:t>de junio de 2024, contra el acuerdo de aprobación inicial de la Ordenanza, durante el periodo de exposición al público, por el partido Unidas Sí Podemos, integrado en el Grupo Mixto</w:t>
      </w:r>
    </w:p>
    <w:p w:rsidR="00085BB7" w:rsidRDefault="004441D3">
      <w:pPr>
        <w:spacing w:after="10"/>
        <w:ind w:left="736" w:right="903"/>
      </w:pPr>
      <w:r>
        <w:t>Segundo: Modificar el acuerdo de Aprobación inicial de la ORDENANZA REGULA</w:t>
      </w:r>
      <w:r>
        <w:t xml:space="preserve">DORA DE </w:t>
      </w:r>
    </w:p>
    <w:p w:rsidR="00085BB7" w:rsidRDefault="004441D3">
      <w:pPr>
        <w:spacing w:after="10"/>
        <w:ind w:left="736" w:right="903"/>
      </w:pPr>
      <w:r>
        <w:t xml:space="preserve">LA PRESTACIÓN PATRIMONIAL DE CARÁCTER PÚBLICO NO TRIBUTARIO DE LOS </w:t>
      </w:r>
    </w:p>
    <w:p w:rsidR="00085BB7" w:rsidRDefault="004441D3">
      <w:pPr>
        <w:spacing w:after="345"/>
        <w:ind w:left="736" w:right="903"/>
      </w:pPr>
      <w:r>
        <w:t>SERVICIOS MUNICIPALES DE GESTIÓN DEL CICLO INTEGRAL DEL AGUA DEL AYUNTAMIENTO DE LA VILLA DE CANDELARIA, de fecha 25 de abril de 2024 y adoptar un nuevo acuerdo de aprobación de l</w:t>
      </w:r>
      <w:r>
        <w:t>a citada Ordenanza a efectos de incluir, en dicho texto, las nuevas tarifas propuestas por Resolución del Viceconsejero de Industria, Comercio y Consumo por la que se aprueba la modificación de las tarifas del servicio público de abastecimiento de agua a p</w:t>
      </w:r>
      <w:r>
        <w:t>oblaciones, para su aplicación en el municipio de Candelaria.</w:t>
      </w:r>
    </w:p>
    <w:p w:rsidR="00085BB7" w:rsidRDefault="004441D3">
      <w:pPr>
        <w:ind w:left="736" w:right="1403"/>
      </w:pPr>
      <w:r>
        <w:t xml:space="preserve">Tercero: Dar al expediente la tramitación y publicidad preceptiva, mediante exposición del mismo en el tablón de anuncios de este Ayuntamiento y en el Boletín Oficial de la Provincia, por plazo </w:t>
      </w:r>
      <w:r>
        <w:t xml:space="preserve">de treinta días hábiles, dentro de los cuales los interesados podrán examinarlo y </w:t>
      </w:r>
    </w:p>
    <w:p w:rsidR="00085BB7" w:rsidRDefault="004441D3">
      <w:pPr>
        <w:ind w:left="736" w:right="1403"/>
      </w:pPr>
      <w:r>
        <w:t>plantear las reclamaciones que estimen oportunas.</w:t>
      </w:r>
    </w:p>
    <w:p w:rsidR="00085BB7" w:rsidRDefault="004441D3">
      <w:pPr>
        <w:ind w:left="730" w:right="903" w:firstLine="720"/>
      </w:pPr>
      <w:r>
        <w:t xml:space="preserve">Asimismo, estará a disposición de los interesados en la sede electrónica de este Ayuntamiento [ </w:t>
      </w:r>
      <w:hyperlink r:id="rId24">
        <w:r>
          <w:rPr>
            <w:color w:val="000080"/>
            <w:u w:val="single" w:color="000080"/>
          </w:rPr>
          <w:t>https://www.candelaria.es/sede-electronica/</w:t>
        </w:r>
      </w:hyperlink>
      <w:r>
        <w:t>].</w:t>
      </w:r>
    </w:p>
    <w:p w:rsidR="00085BB7" w:rsidRDefault="004441D3">
      <w:pPr>
        <w:spacing w:after="544"/>
        <w:ind w:left="736" w:right="1410"/>
      </w:pPr>
      <w:r>
        <w:t>Cuarto: Considerar, en el supuesto de que no se presentasen reclamaciones al expediente, en el plazo anteriormente indicado, que el Acuerdo es defini</w:t>
      </w:r>
      <w:r>
        <w:t>tivo, de conformidad con el artículo 70.2 de la Ley 7/1985, Reguladora de Bases de Régimen Local.”</w:t>
      </w:r>
    </w:p>
    <w:p w:rsidR="00085BB7" w:rsidRDefault="004441D3">
      <w:pPr>
        <w:spacing w:after="497"/>
        <w:ind w:left="736" w:right="903"/>
      </w:pPr>
      <w:r>
        <w:t>DICTAMEN FAVORABLE DE LA COMISIÓN INFORMATIVA DE HACIENDA, RECURSOS HUMANOS Y SERVICIOS GENERALES DE 23 DE SEPTIEMBRE DE 2024.</w:t>
      </w:r>
    </w:p>
    <w:p w:rsidR="00085BB7" w:rsidRDefault="004441D3">
      <w:pPr>
        <w:ind w:left="736" w:right="903"/>
      </w:pPr>
      <w:r>
        <w:t>Votos a favor: 4.</w:t>
      </w:r>
    </w:p>
    <w:p w:rsidR="00085BB7" w:rsidRDefault="004441D3">
      <w:pPr>
        <w:spacing w:after="497"/>
        <w:ind w:left="736" w:right="903"/>
      </w:pPr>
      <w:r>
        <w:t>Los 4 concejales del Grupo Socialista: D. Airam Pérez Chinea, D ª Margarita Eva Tendero Barroso, Dª Mónica Montserrat Yanes Delgado, D. Olegario Francisco Alonso Bello.</w:t>
      </w:r>
    </w:p>
    <w:p w:rsidR="00085BB7" w:rsidRDefault="004441D3">
      <w:pPr>
        <w:ind w:left="736" w:right="903"/>
      </w:pPr>
      <w:r>
        <w:t>Votos en contra: 0.</w:t>
      </w:r>
    </w:p>
    <w:p w:rsidR="00085BB7" w:rsidRDefault="004441D3">
      <w:pPr>
        <w:ind w:left="736" w:right="903"/>
      </w:pPr>
      <w:r>
        <w:t>Abstenciones: 2:</w:t>
      </w:r>
    </w:p>
    <w:p w:rsidR="00085BB7" w:rsidRDefault="004441D3">
      <w:pPr>
        <w:ind w:left="736" w:right="903"/>
      </w:pPr>
      <w:r>
        <w:t>Los 2 concejales del Grupo Popular; D. Jacobo Lópe</w:t>
      </w:r>
      <w:r>
        <w:t>z Fariña, Dª Raquel Martín Castro.</w:t>
      </w:r>
    </w:p>
    <w:p w:rsidR="00085BB7" w:rsidRDefault="004441D3">
      <w:pPr>
        <w:spacing w:after="10"/>
        <w:ind w:left="736" w:right="903"/>
      </w:pPr>
      <w:r>
        <w:t>Votos en contra: 1.</w:t>
      </w:r>
    </w:p>
    <w:p w:rsidR="00085BB7" w:rsidRDefault="004441D3">
      <w:pPr>
        <w:spacing w:after="1001"/>
        <w:ind w:left="736" w:right="903"/>
      </w:pPr>
      <w:r>
        <w:t>1 del concejal del Grupo Mixto: D. José Fierros Sierra (USP).</w:t>
      </w:r>
    </w:p>
    <w:p w:rsidR="00085BB7" w:rsidRDefault="004441D3">
      <w:pPr>
        <w:spacing w:after="751"/>
        <w:ind w:left="736" w:right="903"/>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column">
                  <wp:posOffset>6542599</wp:posOffset>
                </wp:positionH>
                <wp:positionV relativeFrom="paragraph">
                  <wp:posOffset>-705192</wp:posOffset>
                </wp:positionV>
                <wp:extent cx="237530" cy="3313100"/>
                <wp:effectExtent l="0" t="0" r="0" b="0"/>
                <wp:wrapSquare wrapText="bothSides"/>
                <wp:docPr id="123942" name="Group 1239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637" name="Rectangle 363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638" name="Rectangle 363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639" name="Rectangle 363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w:t>
                              </w:r>
                              <w:r>
                                <w:rPr>
                                  <w:sz w:val="12"/>
                                </w:rPr>
                                <w:t xml:space="preserve">desde la plataforma esPublico Gestiona | Página 23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3942" style="width:18.7031pt;height:260.874pt;position:absolute;mso-position-horizontal-relative:text;mso-position-horizontal:absolute;margin-left:515.165pt;mso-position-vertical-relative:text;margin-top:-55.527pt;" coordsize="2375,33131">
                <v:rect id="Rectangle 363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6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133 </w:t>
                        </w:r>
                      </w:p>
                    </w:txbxContent>
                  </v:textbox>
                </v:rect>
                <w10:wrap type="square"/>
              </v:group>
            </w:pict>
          </mc:Fallback>
        </mc:AlternateContent>
      </w:r>
      <w:r>
        <w:t xml:space="preserve">JUNTA DE PORTAVOCES DE 23 DE SEPTIEMBRE DE 2024. Quedó oída. </w:t>
      </w:r>
    </w:p>
    <w:p w:rsidR="00085BB7" w:rsidRDefault="004441D3">
      <w:pPr>
        <w:spacing w:after="479" w:line="265" w:lineRule="auto"/>
        <w:ind w:left="548" w:right="1062" w:hanging="10"/>
        <w:jc w:val="center"/>
      </w:pPr>
      <w:r>
        <w:t>VOTACIÓN EN EL PLENO DE 26 DE SEPTIEMBRE DE 2024.</w:t>
      </w:r>
    </w:p>
    <w:p w:rsidR="00085BB7" w:rsidRDefault="004441D3">
      <w:pPr>
        <w:spacing w:after="10"/>
        <w:ind w:left="736" w:right="903"/>
      </w:pPr>
      <w:r>
        <w:t>Votos a favor: 11.</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w:t>
      </w:r>
    </w:p>
    <w:p w:rsidR="00085BB7" w:rsidRDefault="004441D3">
      <w:pPr>
        <w:spacing w:after="498"/>
        <w:ind w:left="736" w:right="903"/>
      </w:pPr>
      <w:r>
        <w:t>Reinaldo José Triviño Blanco, Don Manuel Alberto González Pestano, Doña Margarita Eva T</w:t>
      </w:r>
      <w:r>
        <w:t xml:space="preserve">endero Barroso, Don Airam Pérez Chinea, Doña María del Carmen Clemente Díaz, Don Olegario Francisco Alonso Bello, Doña Mónica Monserrat Yanes Delgado. </w:t>
      </w:r>
    </w:p>
    <w:p w:rsidR="00085BB7" w:rsidRDefault="004441D3">
      <w:pPr>
        <w:ind w:left="736" w:right="903"/>
      </w:pPr>
      <w:r>
        <w:t>Votos en contra: 7.</w:t>
      </w:r>
    </w:p>
    <w:p w:rsidR="00085BB7" w:rsidRDefault="004441D3">
      <w:pPr>
        <w:ind w:left="736" w:right="1408"/>
      </w:pPr>
      <w:r>
        <w:t xml:space="preserve">6 concejales del Grupo Popular: Don Jacobo López Fariña, Doña Raquel Martín Castro, </w:t>
      </w:r>
      <w:r>
        <w:t xml:space="preserve">Don David Crego Cháves, Doña María Carlota Díaz González, Don José Daniel Sosa González, y Doña Shaila Castellano Batista. </w:t>
      </w:r>
    </w:p>
    <w:p w:rsidR="00085BB7" w:rsidRDefault="004441D3">
      <w:pPr>
        <w:ind w:left="736" w:right="903"/>
      </w:pPr>
      <w:r>
        <w:t>1 del concejal Don José Fierros Sierra (USP)</w:t>
      </w:r>
    </w:p>
    <w:p w:rsidR="00085BB7" w:rsidRDefault="004441D3">
      <w:pPr>
        <w:ind w:left="736" w:right="903"/>
      </w:pPr>
      <w:r>
        <w:t>Abstenciones:</w:t>
      </w:r>
    </w:p>
    <w:p w:rsidR="00085BB7" w:rsidRDefault="004441D3">
      <w:pPr>
        <w:spacing w:after="0"/>
        <w:ind w:left="736" w:right="903"/>
      </w:pPr>
      <w:r>
        <w:t>3 concejales del Grupo Mixto: Doña Ángela Cruz Perera, Don Emilio Jesús A</w:t>
      </w:r>
      <w:r>
        <w:t>tiénzar Armas, (CC) y Don José Tortosa Pallarés (VOX).</w:t>
      </w:r>
    </w:p>
    <w:p w:rsidR="00085BB7" w:rsidRDefault="004441D3">
      <w:pPr>
        <w:spacing w:after="0" w:line="259" w:lineRule="auto"/>
        <w:ind w:left="735" w:right="0" w:firstLine="0"/>
        <w:jc w:val="left"/>
      </w:pPr>
      <w:r>
        <w:t xml:space="preserve">                          </w:t>
      </w:r>
    </w:p>
    <w:p w:rsidR="00085BB7" w:rsidRDefault="004441D3">
      <w:pPr>
        <w:spacing w:after="353" w:line="259" w:lineRule="auto"/>
        <w:ind w:left="735" w:right="0" w:firstLine="0"/>
        <w:jc w:val="left"/>
      </w:pPr>
      <w:r>
        <w:t xml:space="preserve">                          </w:t>
      </w:r>
    </w:p>
    <w:p w:rsidR="00085BB7" w:rsidRDefault="004441D3">
      <w:pPr>
        <w:spacing w:after="467" w:line="265" w:lineRule="auto"/>
        <w:ind w:left="548" w:right="1205" w:hanging="10"/>
        <w:jc w:val="center"/>
      </w:pPr>
      <w:r>
        <w:t>ACUERDO DEL PLENO DE 26 DE SEPTIEMBRE DE 2024.</w:t>
      </w:r>
    </w:p>
    <w:p w:rsidR="00085BB7" w:rsidRDefault="004441D3">
      <w:pPr>
        <w:ind w:left="736" w:right="1413"/>
      </w:pPr>
      <w:r>
        <w:t xml:space="preserve">Primero: Desestimar las alegaciones presentadas, con fecha 11 de junio de 2024, contra el </w:t>
      </w:r>
      <w:r>
        <w:t>acuerdo de aprobación inicial de la Ordenanza, durante el periodo de exposición al público, por el partido Unidas Sí Podemos, integrado en el Grupo Mixto</w:t>
      </w:r>
    </w:p>
    <w:p w:rsidR="00085BB7" w:rsidRDefault="004441D3">
      <w:pPr>
        <w:spacing w:after="10"/>
        <w:ind w:left="736" w:right="903"/>
      </w:pPr>
      <w:r>
        <w:t xml:space="preserve">Segundo: Modificar el acuerdo de Aprobación inicial de la ORDENANZA REGULADORA DE </w:t>
      </w:r>
    </w:p>
    <w:p w:rsidR="00085BB7" w:rsidRDefault="004441D3">
      <w:pPr>
        <w:spacing w:after="10"/>
        <w:ind w:left="736" w:right="903"/>
      </w:pPr>
      <w:r>
        <w:t>LA PRESTACIÓN PATRI</w:t>
      </w:r>
      <w:r>
        <w:t xml:space="preserve">MONIAL DE CARÁCTER PÚBLICO NO TRIBUTARIO DE LOS </w:t>
      </w:r>
    </w:p>
    <w:p w:rsidR="00085BB7" w:rsidRDefault="004441D3">
      <w:pPr>
        <w:spacing w:after="366"/>
        <w:ind w:left="736" w:right="1406"/>
      </w:pPr>
      <w:r>
        <w:t>SERVICIOS MUNICIPALES DE GESTIÓN DEL CICLO INTEGRAL DEL AGUA DEL AYUNTAMIENTO DE LA VILLA DE CANDELARIA, de fecha 25 de abril de 2024 y adoptar un nuevo acuerdo de aprobación de la citada Ordenanza a efectos</w:t>
      </w:r>
      <w:r>
        <w:t xml:space="preserve"> de incluir, en dicho texto, las nuevas tarifas propuestas por Resolución del Viceconsejero de Industria, Comercio y Consumo por la que se aprueba la modificación de las tarifas del servicio público de abastecimiento de agua a poblaciones, para su aplicaci</w:t>
      </w:r>
      <w:r>
        <w:t>ón en el municipio de Candelaria.</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column">
                  <wp:posOffset>6542599</wp:posOffset>
                </wp:positionH>
                <wp:positionV relativeFrom="paragraph">
                  <wp:posOffset>540677</wp:posOffset>
                </wp:positionV>
                <wp:extent cx="237530" cy="3313100"/>
                <wp:effectExtent l="0" t="0" r="0" b="0"/>
                <wp:wrapSquare wrapText="bothSides"/>
                <wp:docPr id="127372" name="Group 12737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712" name="Rectangle 371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713" name="Rectangle 371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714" name="Rectangle 371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372" style="width:18.7031pt;height:260.874pt;position:absolute;mso-position-horizontal-relative:text;mso-position-horizontal:absolute;margin-left:515.165pt;mso-position-vertical-relative:text;margin-top:42.573pt;" coordsize="2375,33131">
                <v:rect id="Rectangle 371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71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71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133 </w:t>
                        </w:r>
                      </w:p>
                    </w:txbxContent>
                  </v:textbox>
                </v:rect>
                <w10:wrap type="square"/>
              </v:group>
            </w:pict>
          </mc:Fallback>
        </mc:AlternateContent>
      </w:r>
      <w:r>
        <w:t>Tercero: Dar al expedien</w:t>
      </w:r>
      <w:r>
        <w:t>te la tramitación y publicidad preceptiva, mediante exposición del mismo en el tablón de anuncios de este Ayuntamiento y en el Boletín Oficial de la Provincia, por plazo de treinta días hábiles, dentro de los cuales los interesados podrán examinarlo y plan</w:t>
      </w:r>
      <w:r>
        <w:t>tear las reclamaciones que estimen oportunas.</w:t>
      </w:r>
    </w:p>
    <w:p w:rsidR="00085BB7" w:rsidRDefault="004441D3">
      <w:pPr>
        <w:ind w:left="730" w:right="903" w:firstLine="720"/>
      </w:pPr>
      <w:r>
        <w:t xml:space="preserve">Asimismo, estará a disposición de los interesados en la sede electrónica de este Ayuntamiento [ </w:t>
      </w:r>
      <w:hyperlink r:id="rId25">
        <w:r>
          <w:rPr>
            <w:color w:val="000080"/>
            <w:u w:val="single" w:color="000080"/>
          </w:rPr>
          <w:t>https://www.candelaria.es/sede-electronica/</w:t>
        </w:r>
      </w:hyperlink>
      <w:r>
        <w:t>].</w:t>
      </w:r>
    </w:p>
    <w:p w:rsidR="00085BB7" w:rsidRDefault="004441D3">
      <w:pPr>
        <w:ind w:left="736" w:right="903"/>
      </w:pPr>
      <w:r>
        <w:t>Cuarto: Considerar, en el supuesto de que no se presentasen reclamaciones al expediente, en el plazo anteriormente indicado, que el Acuerdo es definitivo, de conformidad con el artículo 70.2 de la Ley 7/1985, Reguladora de Bases de Régimen Local.</w:t>
      </w:r>
    </w:p>
    <w:p w:rsidR="00085BB7" w:rsidRDefault="004441D3">
      <w:pPr>
        <w:spacing w:after="523" w:line="250" w:lineRule="auto"/>
        <w:ind w:left="738" w:right="1417" w:hanging="10"/>
      </w:pPr>
      <w:r>
        <w:rPr>
          <w:sz w:val="24"/>
        </w:rPr>
        <w:t>4.- Expediente 10125/2024. Propuesta de la Alcaldesa-Presidenta de fecha 19 de septiembre de 2024 al Pleno sobre modificación presupuestaria por suplemento de crédito por importe de 450.000 euros.</w:t>
      </w:r>
    </w:p>
    <w:p w:rsidR="00085BB7" w:rsidRDefault="004441D3">
      <w:pPr>
        <w:spacing w:after="752"/>
        <w:ind w:left="736" w:right="903"/>
      </w:pPr>
      <w:r>
        <w:t xml:space="preserve">     Consta en el expediente propuesta de la Alcaldesa-Pres</w:t>
      </w:r>
      <w:r>
        <w:t>identa, de fecha 19 de septiembre de 2024, cuyo tenor literal es el siguiente:</w:t>
      </w:r>
    </w:p>
    <w:p w:rsidR="00085BB7" w:rsidRDefault="004441D3">
      <w:pPr>
        <w:spacing w:after="131" w:line="265" w:lineRule="auto"/>
        <w:ind w:left="548" w:right="1296" w:hanging="10"/>
        <w:jc w:val="center"/>
      </w:pPr>
      <w:r>
        <w:t>“PROPUESTA</w:t>
      </w:r>
    </w:p>
    <w:p w:rsidR="00085BB7" w:rsidRDefault="004441D3">
      <w:pPr>
        <w:spacing w:after="0"/>
        <w:ind w:left="736" w:right="1505"/>
      </w:pPr>
      <w:r>
        <w:t>El Ayuntamiento de Candelaria necesita suplementar créditos a los consignados en el Presupuesto vigente para llevar a cabo el contrato del suministro eléctrico vigent</w:t>
      </w:r>
      <w:r>
        <w:t xml:space="preserve">e, según memorias-propuesta presentada: </w:t>
      </w:r>
    </w:p>
    <w:p w:rsidR="00085BB7" w:rsidRDefault="004441D3">
      <w:pPr>
        <w:spacing w:after="7" w:line="259" w:lineRule="auto"/>
        <w:ind w:left="1455" w:right="0" w:firstLine="0"/>
        <w:jc w:val="left"/>
      </w:pPr>
      <w:r>
        <w:t xml:space="preserve"> </w:t>
      </w:r>
    </w:p>
    <w:p w:rsidR="00085BB7" w:rsidRDefault="004441D3">
      <w:pPr>
        <w:spacing w:after="33"/>
        <w:ind w:left="1883" w:right="1500" w:hanging="282"/>
      </w:pPr>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1363813</wp:posOffset>
                </wp:positionH>
                <wp:positionV relativeFrom="paragraph">
                  <wp:posOffset>-1256372</wp:posOffset>
                </wp:positionV>
                <wp:extent cx="5737198" cy="3821875"/>
                <wp:effectExtent l="0" t="0" r="0" b="0"/>
                <wp:wrapNone/>
                <wp:docPr id="126342" name="Group 126342"/>
                <wp:cNvGraphicFramePr/>
                <a:graphic xmlns:a="http://schemas.openxmlformats.org/drawingml/2006/main">
                  <a:graphicData uri="http://schemas.microsoft.com/office/word/2010/wordprocessingGroup">
                    <wpg:wgp>
                      <wpg:cNvGrpSpPr/>
                      <wpg:grpSpPr>
                        <a:xfrm>
                          <a:off x="0" y="0"/>
                          <a:ext cx="5737198" cy="3821875"/>
                          <a:chOff x="0" y="0"/>
                          <a:chExt cx="5737198" cy="3821875"/>
                        </a:xfrm>
                      </wpg:grpSpPr>
                      <pic:pic xmlns:pic="http://schemas.openxmlformats.org/drawingml/2006/picture">
                        <pic:nvPicPr>
                          <pic:cNvPr id="3731" name="Picture 3731"/>
                          <pic:cNvPicPr/>
                        </pic:nvPicPr>
                        <pic:blipFill>
                          <a:blip r:embed="rId26"/>
                          <a:stretch>
                            <a:fillRect/>
                          </a:stretch>
                        </pic:blipFill>
                        <pic:spPr>
                          <a:xfrm>
                            <a:off x="5283200" y="3377375"/>
                            <a:ext cx="443865" cy="444500"/>
                          </a:xfrm>
                          <a:prstGeom prst="rect">
                            <a:avLst/>
                          </a:prstGeom>
                        </pic:spPr>
                      </pic:pic>
                      <wps:wsp>
                        <wps:cNvPr id="3732" name="Rectangle 3732"/>
                        <wps:cNvSpPr/>
                        <wps:spPr>
                          <a:xfrm rot="-5399999">
                            <a:off x="5522780"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33" name="Rectangle 3733"/>
                        <wps:cNvSpPr/>
                        <wps:spPr>
                          <a:xfrm rot="-5399999">
                            <a:off x="5531192"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734" name="Rectangle 3734"/>
                        <wps:cNvSpPr/>
                        <wps:spPr>
                          <a:xfrm rot="-5399999">
                            <a:off x="5531192"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735" name="Rectangle 3735"/>
                        <wps:cNvSpPr/>
                        <wps:spPr>
                          <a:xfrm rot="-5399999">
                            <a:off x="5543861"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36" name="Rectangle 3736"/>
                        <wps:cNvSpPr/>
                        <wps:spPr>
                          <a:xfrm rot="-5399999">
                            <a:off x="5543861"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737" name="Rectangle 3737"/>
                        <wps:cNvSpPr/>
                        <wps:spPr>
                          <a:xfrm rot="-5399999">
                            <a:off x="5519945"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3738" name="Rectangle 3738"/>
                        <wps:cNvSpPr/>
                        <wps:spPr>
                          <a:xfrm rot="-5399999">
                            <a:off x="5534081"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739" name="Rectangle 3739"/>
                        <wps:cNvSpPr/>
                        <wps:spPr>
                          <a:xfrm rot="-5399999">
                            <a:off x="5542493"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740" name="Rectangle 3740"/>
                        <wps:cNvSpPr/>
                        <wps:spPr>
                          <a:xfrm rot="-5399999">
                            <a:off x="5542494"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741" name="Rectangle 3741"/>
                        <wps:cNvSpPr/>
                        <wps:spPr>
                          <a:xfrm rot="-5399999">
                            <a:off x="5531192"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742" name="Rectangle 3742"/>
                        <wps:cNvSpPr/>
                        <wps:spPr>
                          <a:xfrm rot="-5399999">
                            <a:off x="5534081"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743" name="Rectangle 3743"/>
                        <wps:cNvSpPr/>
                        <wps:spPr>
                          <a:xfrm rot="-5399999">
                            <a:off x="5534082"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44" name="Rectangle 3744"/>
                        <wps:cNvSpPr/>
                        <wps:spPr>
                          <a:xfrm rot="-5399999">
                            <a:off x="5542494"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745" name="Rectangle 3745"/>
                        <wps:cNvSpPr/>
                        <wps:spPr>
                          <a:xfrm rot="-5399999">
                            <a:off x="5531192"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746" name="Rectangle 3746"/>
                        <wps:cNvSpPr/>
                        <wps:spPr>
                          <a:xfrm rot="-5399999">
                            <a:off x="5531192"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747" name="Rectangle 3747"/>
                        <wps:cNvSpPr/>
                        <wps:spPr>
                          <a:xfrm rot="-5399999">
                            <a:off x="5542493"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48" name="Rectangle 3748"/>
                        <wps:cNvSpPr/>
                        <wps:spPr>
                          <a:xfrm rot="-5399999">
                            <a:off x="5543860"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749" name="Rectangle 3749"/>
                        <wps:cNvSpPr/>
                        <wps:spPr>
                          <a:xfrm rot="-5399999">
                            <a:off x="5531191"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3750" name="Rectangle 3750"/>
                        <wps:cNvSpPr/>
                        <wps:spPr>
                          <a:xfrm rot="-5399999">
                            <a:off x="5525618" y="265979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751" name="Rectangle 3751"/>
                        <wps:cNvSpPr/>
                        <wps:spPr>
                          <a:xfrm rot="-5399999">
                            <a:off x="5519945" y="260839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3752" name="Rectangle 3752"/>
                        <wps:cNvSpPr/>
                        <wps:spPr>
                          <a:xfrm rot="-5399999">
                            <a:off x="5519942" y="2552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3753" name="Rectangle 3753"/>
                        <wps:cNvSpPr/>
                        <wps:spPr>
                          <a:xfrm rot="-5399999">
                            <a:off x="5519943"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754" name="Rectangle 3754"/>
                        <wps:cNvSpPr/>
                        <wps:spPr>
                          <a:xfrm rot="-5399999">
                            <a:off x="5519944" y="24432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K</w:t>
                              </w:r>
                            </w:p>
                          </w:txbxContent>
                        </wps:txbx>
                        <wps:bodyPr horzOverflow="overflow" vert="horz" lIns="0" tIns="0" rIns="0" bIns="0" rtlCol="0">
                          <a:noAutofit/>
                        </wps:bodyPr>
                      </wps:wsp>
                      <wps:wsp>
                        <wps:cNvPr id="3755" name="Rectangle 3755"/>
                        <wps:cNvSpPr/>
                        <wps:spPr>
                          <a:xfrm rot="-5399999">
                            <a:off x="5531191" y="2398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3756" name="Rectangle 3756"/>
                        <wps:cNvSpPr/>
                        <wps:spPr>
                          <a:xfrm rot="-5399999">
                            <a:off x="5531191" y="2360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3757" name="Rectangle 3757"/>
                        <wps:cNvSpPr/>
                        <wps:spPr>
                          <a:xfrm rot="-5399999">
                            <a:off x="5519942" y="2311217"/>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3758" name="Rectangle 3758"/>
                        <wps:cNvSpPr/>
                        <wps:spPr>
                          <a:xfrm rot="-5399999">
                            <a:off x="5525620" y="22622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Z</w:t>
                              </w:r>
                            </w:p>
                          </w:txbxContent>
                        </wps:txbx>
                        <wps:bodyPr horzOverflow="overflow" vert="horz" lIns="0" tIns="0" rIns="0" bIns="0" rtlCol="0">
                          <a:noAutofit/>
                        </wps:bodyPr>
                      </wps:wsp>
                      <wps:wsp>
                        <wps:cNvPr id="3759" name="Rectangle 3759"/>
                        <wps:cNvSpPr/>
                        <wps:spPr>
                          <a:xfrm rot="-5399999">
                            <a:off x="5528354" y="22180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760" name="Rectangle 3760"/>
                        <wps:cNvSpPr/>
                        <wps:spPr>
                          <a:xfrm rot="-5399999">
                            <a:off x="5528354" y="21761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761" name="Rectangle 3761"/>
                        <wps:cNvSpPr/>
                        <wps:spPr>
                          <a:xfrm rot="-5399999">
                            <a:off x="5522781" y="2128635"/>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62" name="Rectangle 3762"/>
                        <wps:cNvSpPr/>
                        <wps:spPr>
                          <a:xfrm rot="-5399999">
                            <a:off x="5525618" y="20806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763" name="Rectangle 3763"/>
                        <wps:cNvSpPr/>
                        <wps:spPr>
                          <a:xfrm rot="-5399999">
                            <a:off x="5525620" y="20336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Z</w:t>
                              </w:r>
                            </w:p>
                          </w:txbxContent>
                        </wps:txbx>
                        <wps:bodyPr horzOverflow="overflow" vert="horz" lIns="0" tIns="0" rIns="0" bIns="0" rtlCol="0">
                          <a:noAutofit/>
                        </wps:bodyPr>
                      </wps:wsp>
                      <wps:wsp>
                        <wps:cNvPr id="3764" name="Rectangle 3764"/>
                        <wps:cNvSpPr/>
                        <wps:spPr>
                          <a:xfrm rot="-5399999">
                            <a:off x="5508745" y="1969819"/>
                            <a:ext cx="95570"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3765" name="Rectangle 3765"/>
                        <wps:cNvSpPr/>
                        <wps:spPr>
                          <a:xfrm rot="-5399999">
                            <a:off x="5522781" y="1912735"/>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66" name="Rectangle 3766"/>
                        <wps:cNvSpPr/>
                        <wps:spPr>
                          <a:xfrm rot="-5399999">
                            <a:off x="5519944" y="18590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3767" name="Rectangle 3767"/>
                        <wps:cNvSpPr/>
                        <wps:spPr>
                          <a:xfrm rot="-5399999">
                            <a:off x="5531191" y="1814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3768" name="Rectangle 3768"/>
                        <wps:cNvSpPr/>
                        <wps:spPr>
                          <a:xfrm rot="-5399999">
                            <a:off x="5531191" y="1776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3769" name="Rectangle 3769"/>
                        <wps:cNvSpPr/>
                        <wps:spPr>
                          <a:xfrm rot="-5399999">
                            <a:off x="5536817" y="17438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J</w:t>
                              </w:r>
                            </w:p>
                          </w:txbxContent>
                        </wps:txbx>
                        <wps:bodyPr horzOverflow="overflow" vert="horz" lIns="0" tIns="0" rIns="0" bIns="0" rtlCol="0">
                          <a:noAutofit/>
                        </wps:bodyPr>
                      </wps:wsp>
                      <wps:wsp>
                        <wps:cNvPr id="3770" name="Rectangle 3770"/>
                        <wps:cNvSpPr/>
                        <wps:spPr>
                          <a:xfrm rot="-5399999">
                            <a:off x="5519942" y="1697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3771" name="Rectangle 3771"/>
                        <wps:cNvSpPr/>
                        <wps:spPr>
                          <a:xfrm rot="-5399999">
                            <a:off x="5531193" y="1654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3772" name="Rectangle 3772"/>
                        <wps:cNvSpPr/>
                        <wps:spPr>
                          <a:xfrm rot="-5399999">
                            <a:off x="5525618"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773" name="Rectangle 3773"/>
                        <wps:cNvSpPr/>
                        <wps:spPr>
                          <a:xfrm rot="-5399999">
                            <a:off x="5528354" y="15665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3774" name="Rectangle 3774"/>
                        <wps:cNvSpPr/>
                        <wps:spPr>
                          <a:xfrm rot="-5399999">
                            <a:off x="5543862" y="154265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775" name="Rectangle 3775"/>
                        <wps:cNvSpPr/>
                        <wps:spPr>
                          <a:xfrm rot="-5399999">
                            <a:off x="5596143"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3776" name="Rectangle 3776"/>
                        <wps:cNvSpPr/>
                        <wps:spPr>
                          <a:xfrm rot="-5399999">
                            <a:off x="5610282"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777" name="Rectangle 3777"/>
                        <wps:cNvSpPr/>
                        <wps:spPr>
                          <a:xfrm rot="-5399999">
                            <a:off x="5615854"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778" name="Rectangle 3778"/>
                        <wps:cNvSpPr/>
                        <wps:spPr>
                          <a:xfrm rot="-5399999">
                            <a:off x="5618692"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779" name="Rectangle 3779"/>
                        <wps:cNvSpPr/>
                        <wps:spPr>
                          <a:xfrm rot="-5399999">
                            <a:off x="5615854"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3780" name="Rectangle 3780"/>
                        <wps:cNvSpPr/>
                        <wps:spPr>
                          <a:xfrm rot="-5399999">
                            <a:off x="5618693"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781" name="Rectangle 3781"/>
                        <wps:cNvSpPr/>
                        <wps:spPr>
                          <a:xfrm rot="-5399999">
                            <a:off x="5610282"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82" name="Rectangle 3782"/>
                        <wps:cNvSpPr/>
                        <wps:spPr>
                          <a:xfrm rot="-5399999">
                            <a:off x="5610280"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783" name="Rectangle 3783"/>
                        <wps:cNvSpPr/>
                        <wps:spPr>
                          <a:xfrm rot="-5399999">
                            <a:off x="5610281"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84" name="Rectangle 3784"/>
                        <wps:cNvSpPr/>
                        <wps:spPr>
                          <a:xfrm rot="-5399999">
                            <a:off x="5618693"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785" name="Rectangle 3785"/>
                        <wps:cNvSpPr/>
                        <wps:spPr>
                          <a:xfrm rot="-5399999">
                            <a:off x="5607392"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786" name="Rectangle 3786"/>
                        <wps:cNvSpPr/>
                        <wps:spPr>
                          <a:xfrm rot="-5399999">
                            <a:off x="5607392"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787" name="Rectangle 3787"/>
                        <wps:cNvSpPr/>
                        <wps:spPr>
                          <a:xfrm rot="-5399999">
                            <a:off x="5618692"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88" name="Rectangle 3788"/>
                        <wps:cNvSpPr/>
                        <wps:spPr>
                          <a:xfrm rot="-5399999">
                            <a:off x="5620061"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789" name="Rectangle 3789"/>
                        <wps:cNvSpPr/>
                        <wps:spPr>
                          <a:xfrm rot="-5399999">
                            <a:off x="5607392"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3790" name="Rectangle 3790"/>
                        <wps:cNvSpPr/>
                        <wps:spPr>
                          <a:xfrm rot="-5399999">
                            <a:off x="5618693"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791" name="Rectangle 3791"/>
                        <wps:cNvSpPr/>
                        <wps:spPr>
                          <a:xfrm rot="-5399999">
                            <a:off x="5618693"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792" name="Rectangle 3792"/>
                        <wps:cNvSpPr/>
                        <wps:spPr>
                          <a:xfrm rot="-5399999">
                            <a:off x="5607392"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3793" name="Rectangle 3793"/>
                        <wps:cNvSpPr/>
                        <wps:spPr>
                          <a:xfrm rot="-5399999">
                            <a:off x="5613017"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794" name="Rectangle 3794"/>
                        <wps:cNvSpPr/>
                        <wps:spPr>
                          <a:xfrm rot="-5399999">
                            <a:off x="5618693"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95" name="Rectangle 3795"/>
                        <wps:cNvSpPr/>
                        <wps:spPr>
                          <a:xfrm rot="-5399999">
                            <a:off x="5618692"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96" name="Rectangle 3796"/>
                        <wps:cNvSpPr/>
                        <wps:spPr>
                          <a:xfrm rot="-5399999">
                            <a:off x="5618693"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797" name="Rectangle 3797"/>
                        <wps:cNvSpPr/>
                        <wps:spPr>
                          <a:xfrm rot="-5399999">
                            <a:off x="5610282"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798" name="Rectangle 3798"/>
                        <wps:cNvSpPr/>
                        <wps:spPr>
                          <a:xfrm rot="-5399999">
                            <a:off x="5610280"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799" name="Rectangle 3799"/>
                        <wps:cNvSpPr/>
                        <wps:spPr>
                          <a:xfrm rot="-5399999">
                            <a:off x="5607392"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00" name="Rectangle 3800"/>
                        <wps:cNvSpPr/>
                        <wps:spPr>
                          <a:xfrm rot="-5399999">
                            <a:off x="5607391"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01" name="Rectangle 3801"/>
                        <wps:cNvSpPr/>
                        <wps:spPr>
                          <a:xfrm rot="-5399999">
                            <a:off x="5610282"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02" name="Rectangle 3802"/>
                        <wps:cNvSpPr/>
                        <wps:spPr>
                          <a:xfrm rot="-5399999">
                            <a:off x="5618693"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03" name="Rectangle 3803"/>
                        <wps:cNvSpPr/>
                        <wps:spPr>
                          <a:xfrm rot="-5399999">
                            <a:off x="5610280"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04" name="Rectangle 3804"/>
                        <wps:cNvSpPr/>
                        <wps:spPr>
                          <a:xfrm rot="-5399999">
                            <a:off x="5615854"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805" name="Rectangle 3805"/>
                        <wps:cNvSpPr/>
                        <wps:spPr>
                          <a:xfrm rot="-5399999">
                            <a:off x="5618693"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06" name="Rectangle 3806"/>
                        <wps:cNvSpPr/>
                        <wps:spPr>
                          <a:xfrm rot="-5399999">
                            <a:off x="5610282"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07" name="Rectangle 3807"/>
                        <wps:cNvSpPr/>
                        <wps:spPr>
                          <a:xfrm rot="-5399999">
                            <a:off x="5620061"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808" name="Rectangle 3808"/>
                        <wps:cNvSpPr/>
                        <wps:spPr>
                          <a:xfrm rot="-5399999">
                            <a:off x="5613017"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809" name="Rectangle 3809"/>
                        <wps:cNvSpPr/>
                        <wps:spPr>
                          <a:xfrm rot="-5399999">
                            <a:off x="5610282"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10" name="Rectangle 3810"/>
                        <wps:cNvSpPr/>
                        <wps:spPr>
                          <a:xfrm rot="-5399999">
                            <a:off x="5607392"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11" name="Rectangle 3811"/>
                        <wps:cNvSpPr/>
                        <wps:spPr>
                          <a:xfrm rot="-5399999">
                            <a:off x="5610280"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12" name="Rectangle 3812"/>
                        <wps:cNvSpPr/>
                        <wps:spPr>
                          <a:xfrm rot="-5399999">
                            <a:off x="5618693"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13" name="Rectangle 3813"/>
                        <wps:cNvSpPr/>
                        <wps:spPr>
                          <a:xfrm rot="-5399999">
                            <a:off x="5610282"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14" name="Rectangle 3814"/>
                        <wps:cNvSpPr/>
                        <wps:spPr>
                          <a:xfrm rot="-5399999">
                            <a:off x="5610280"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15" name="Rectangle 3815"/>
                        <wps:cNvSpPr/>
                        <wps:spPr>
                          <a:xfrm rot="-5399999">
                            <a:off x="5618693"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16" name="Rectangle 3816"/>
                        <wps:cNvSpPr/>
                        <wps:spPr>
                          <a:xfrm rot="-5399999">
                            <a:off x="5615854"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817" name="Rectangle 3817"/>
                        <wps:cNvSpPr/>
                        <wps:spPr>
                          <a:xfrm rot="-5399999">
                            <a:off x="5607391"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18" name="Rectangle 3818"/>
                        <wps:cNvSpPr/>
                        <wps:spPr>
                          <a:xfrm rot="-5399999">
                            <a:off x="5607391"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19" name="Rectangle 3819"/>
                        <wps:cNvSpPr/>
                        <wps:spPr>
                          <a:xfrm rot="-5399999">
                            <a:off x="5618693"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20" name="Rectangle 3820"/>
                        <wps:cNvSpPr/>
                        <wps:spPr>
                          <a:xfrm rot="-5399999">
                            <a:off x="5610280"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21" name="Rectangle 3821"/>
                        <wps:cNvSpPr/>
                        <wps:spPr>
                          <a:xfrm rot="-5399999">
                            <a:off x="5610282"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22" name="Rectangle 3822"/>
                        <wps:cNvSpPr/>
                        <wps:spPr>
                          <a:xfrm rot="-5399999">
                            <a:off x="5620060"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823" name="Rectangle 3823"/>
                        <wps:cNvSpPr/>
                        <wps:spPr>
                          <a:xfrm rot="-5399999">
                            <a:off x="5610282"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24" name="Rectangle 3824"/>
                        <wps:cNvSpPr/>
                        <wps:spPr>
                          <a:xfrm rot="-5399999">
                            <a:off x="5613017"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825" name="Rectangle 3825"/>
                        <wps:cNvSpPr/>
                        <wps:spPr>
                          <a:xfrm rot="-5399999">
                            <a:off x="5618693"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826" name="Rectangle 3826"/>
                        <wps:cNvSpPr/>
                        <wps:spPr>
                          <a:xfrm rot="-5399999">
                            <a:off x="5620061"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27" name="Rectangle 3827"/>
                        <wps:cNvSpPr/>
                        <wps:spPr>
                          <a:xfrm rot="-5399999">
                            <a:off x="5672343"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28" name="Rectangle 3828"/>
                        <wps:cNvSpPr/>
                        <wps:spPr>
                          <a:xfrm rot="-5399999">
                            <a:off x="5683592"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29" name="Rectangle 3829"/>
                        <wps:cNvSpPr/>
                        <wps:spPr>
                          <a:xfrm rot="-5399999">
                            <a:off x="5686480"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30" name="Rectangle 3830"/>
                        <wps:cNvSpPr/>
                        <wps:spPr>
                          <a:xfrm rot="-5399999">
                            <a:off x="5683592"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3831" name="Rectangle 3831"/>
                        <wps:cNvSpPr/>
                        <wps:spPr>
                          <a:xfrm rot="-5399999">
                            <a:off x="5669557"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3832" name="Rectangle 3832"/>
                        <wps:cNvSpPr/>
                        <wps:spPr>
                          <a:xfrm rot="-5399999">
                            <a:off x="5686482"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33" name="Rectangle 3833"/>
                        <wps:cNvSpPr/>
                        <wps:spPr>
                          <a:xfrm rot="-5399999">
                            <a:off x="5683592"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34" name="Rectangle 3834"/>
                        <wps:cNvSpPr/>
                        <wps:spPr>
                          <a:xfrm rot="-5399999">
                            <a:off x="5694892"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35" name="Rectangle 3835"/>
                        <wps:cNvSpPr/>
                        <wps:spPr>
                          <a:xfrm rot="-5399999">
                            <a:off x="5683592"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36" name="Rectangle 3836"/>
                        <wps:cNvSpPr/>
                        <wps:spPr>
                          <a:xfrm rot="-5399999">
                            <a:off x="5696261"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37" name="Rectangle 3837"/>
                        <wps:cNvSpPr/>
                        <wps:spPr>
                          <a:xfrm rot="-5399999">
                            <a:off x="5692054"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3838" name="Rectangle 3838"/>
                        <wps:cNvSpPr/>
                        <wps:spPr>
                          <a:xfrm rot="-5399999">
                            <a:off x="5694893"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39" name="Rectangle 3839"/>
                        <wps:cNvSpPr/>
                        <wps:spPr>
                          <a:xfrm rot="-5399999">
                            <a:off x="5692054"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840" name="Rectangle 3840"/>
                        <wps:cNvSpPr/>
                        <wps:spPr>
                          <a:xfrm rot="-5399999">
                            <a:off x="5669557"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3841" name="Rectangle 3841"/>
                        <wps:cNvSpPr/>
                        <wps:spPr>
                          <a:xfrm rot="-5399999">
                            <a:off x="5686480"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42" name="Rectangle 3842"/>
                        <wps:cNvSpPr/>
                        <wps:spPr>
                          <a:xfrm rot="-5399999">
                            <a:off x="5683592"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43" name="Rectangle 3843"/>
                        <wps:cNvSpPr/>
                        <wps:spPr>
                          <a:xfrm rot="-5399999">
                            <a:off x="5683592"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44" name="Rectangle 3844"/>
                        <wps:cNvSpPr/>
                        <wps:spPr>
                          <a:xfrm rot="-5399999">
                            <a:off x="5696261"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45" name="Rectangle 3845"/>
                        <wps:cNvSpPr/>
                        <wps:spPr>
                          <a:xfrm rot="-5399999">
                            <a:off x="5686481"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46" name="Rectangle 3846"/>
                        <wps:cNvSpPr/>
                        <wps:spPr>
                          <a:xfrm rot="-5399999">
                            <a:off x="5694893"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47" name="Rectangle 3847"/>
                        <wps:cNvSpPr/>
                        <wps:spPr>
                          <a:xfrm rot="-5399999">
                            <a:off x="5686480"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48" name="Rectangle 3848"/>
                        <wps:cNvSpPr/>
                        <wps:spPr>
                          <a:xfrm rot="-5399999">
                            <a:off x="5686481"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49" name="Rectangle 3849"/>
                        <wps:cNvSpPr/>
                        <wps:spPr>
                          <a:xfrm rot="-5399999">
                            <a:off x="5694893"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50" name="Rectangle 3850"/>
                        <wps:cNvSpPr/>
                        <wps:spPr>
                          <a:xfrm rot="-5399999">
                            <a:off x="5692054"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851" name="Rectangle 3851"/>
                        <wps:cNvSpPr/>
                        <wps:spPr>
                          <a:xfrm rot="-5399999">
                            <a:off x="5683592"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852" name="Rectangle 3852"/>
                        <wps:cNvSpPr/>
                        <wps:spPr>
                          <a:xfrm rot="-5399999">
                            <a:off x="5683592"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53" name="Rectangle 3853"/>
                        <wps:cNvSpPr/>
                        <wps:spPr>
                          <a:xfrm rot="-5399999">
                            <a:off x="5694892"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54" name="Rectangle 3854"/>
                        <wps:cNvSpPr/>
                        <wps:spPr>
                          <a:xfrm rot="-5399999">
                            <a:off x="5686482"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55" name="Rectangle 3855"/>
                        <wps:cNvSpPr/>
                        <wps:spPr>
                          <a:xfrm rot="-5399999">
                            <a:off x="5686482"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56" name="Rectangle 3856"/>
                        <wps:cNvSpPr/>
                        <wps:spPr>
                          <a:xfrm rot="-5399999">
                            <a:off x="5669556"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3857" name="Rectangle 3857"/>
                        <wps:cNvSpPr/>
                        <wps:spPr>
                          <a:xfrm rot="-5399999">
                            <a:off x="5686482"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58" name="Rectangle 3858"/>
                        <wps:cNvSpPr/>
                        <wps:spPr>
                          <a:xfrm rot="-5399999">
                            <a:off x="5683591"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59" name="Rectangle 3859"/>
                        <wps:cNvSpPr/>
                        <wps:spPr>
                          <a:xfrm rot="-5399999">
                            <a:off x="5694893"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60" name="Rectangle 3860"/>
                        <wps:cNvSpPr/>
                        <wps:spPr>
                          <a:xfrm rot="-5399999">
                            <a:off x="5686480"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61" name="Rectangle 3861"/>
                        <wps:cNvSpPr/>
                        <wps:spPr>
                          <a:xfrm rot="-5399999">
                            <a:off x="5696260"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62" name="Rectangle 3862"/>
                        <wps:cNvSpPr/>
                        <wps:spPr>
                          <a:xfrm rot="-5399999">
                            <a:off x="5683591"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63" name="Rectangle 3863"/>
                        <wps:cNvSpPr/>
                        <wps:spPr>
                          <a:xfrm rot="-5399999">
                            <a:off x="5686482"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64" name="Rectangle 3864"/>
                        <wps:cNvSpPr/>
                        <wps:spPr>
                          <a:xfrm rot="-5399999">
                            <a:off x="5689217"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865" name="Rectangle 3865"/>
                        <wps:cNvSpPr/>
                        <wps:spPr>
                          <a:xfrm rot="-5399999">
                            <a:off x="5683591"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866" name="Rectangle 3866"/>
                        <wps:cNvSpPr/>
                        <wps:spPr>
                          <a:xfrm rot="-5399999">
                            <a:off x="5686482"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67" name="Rectangle 3867"/>
                        <wps:cNvSpPr/>
                        <wps:spPr>
                          <a:xfrm rot="-5399999">
                            <a:off x="5696260"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68" name="Rectangle 3868"/>
                        <wps:cNvSpPr/>
                        <wps:spPr>
                          <a:xfrm rot="-5399999">
                            <a:off x="5694893"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69" name="Rectangle 3869"/>
                        <wps:cNvSpPr/>
                        <wps:spPr>
                          <a:xfrm rot="-5399999">
                            <a:off x="5686480"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70" name="Rectangle 3870"/>
                        <wps:cNvSpPr/>
                        <wps:spPr>
                          <a:xfrm rot="-5399999">
                            <a:off x="5696260"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71" name="Rectangle 3871"/>
                        <wps:cNvSpPr/>
                        <wps:spPr>
                          <a:xfrm rot="-5399999">
                            <a:off x="5683591"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3872" name="Rectangle 3872"/>
                        <wps:cNvSpPr/>
                        <wps:spPr>
                          <a:xfrm rot="-5399999">
                            <a:off x="5694893"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73" name="Rectangle 3873"/>
                        <wps:cNvSpPr/>
                        <wps:spPr>
                          <a:xfrm rot="-5399999">
                            <a:off x="5686482"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74" name="Rectangle 3874"/>
                        <wps:cNvSpPr/>
                        <wps:spPr>
                          <a:xfrm rot="-5399999">
                            <a:off x="5694892"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75" name="Rectangle 3875"/>
                        <wps:cNvSpPr/>
                        <wps:spPr>
                          <a:xfrm rot="-5399999">
                            <a:off x="5686482"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76" name="Rectangle 3876"/>
                        <wps:cNvSpPr/>
                        <wps:spPr>
                          <a:xfrm rot="-5399999">
                            <a:off x="5692054"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3877" name="Rectangle 3877"/>
                        <wps:cNvSpPr/>
                        <wps:spPr>
                          <a:xfrm rot="-5399999">
                            <a:off x="5683591"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78" name="Rectangle 3878"/>
                        <wps:cNvSpPr/>
                        <wps:spPr>
                          <a:xfrm rot="-5399999">
                            <a:off x="5692054"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3879" name="Rectangle 3879"/>
                        <wps:cNvSpPr/>
                        <wps:spPr>
                          <a:xfrm rot="-5399999">
                            <a:off x="5669557"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3880" name="Rectangle 3880"/>
                        <wps:cNvSpPr/>
                        <wps:spPr>
                          <a:xfrm rot="-5399999">
                            <a:off x="5686480"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881" name="Rectangle 3881"/>
                        <wps:cNvSpPr/>
                        <wps:spPr>
                          <a:xfrm rot="-5399999">
                            <a:off x="5696260"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82" name="Rectangle 3882"/>
                        <wps:cNvSpPr/>
                        <wps:spPr>
                          <a:xfrm rot="-5399999">
                            <a:off x="5686482"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83" name="Rectangle 3883"/>
                        <wps:cNvSpPr/>
                        <wps:spPr>
                          <a:xfrm rot="-5399999">
                            <a:off x="5689217"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884" name="Rectangle 3884"/>
                        <wps:cNvSpPr/>
                        <wps:spPr>
                          <a:xfrm rot="-5399999">
                            <a:off x="5680754"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3885" name="Rectangle 3885"/>
                        <wps:cNvSpPr/>
                        <wps:spPr>
                          <a:xfrm rot="-5399999">
                            <a:off x="5683592"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3886" name="Rectangle 3886"/>
                        <wps:cNvSpPr/>
                        <wps:spPr>
                          <a:xfrm rot="-5399999">
                            <a:off x="5683592"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3887" name="Rectangle 3887"/>
                        <wps:cNvSpPr/>
                        <wps:spPr>
                          <a:xfrm rot="-5399999">
                            <a:off x="5694892"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888" name="Rectangle 3888"/>
                        <wps:cNvSpPr/>
                        <wps:spPr>
                          <a:xfrm rot="-5399999">
                            <a:off x="5694893"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89" name="Rectangle 3889"/>
                        <wps:cNvSpPr/>
                        <wps:spPr>
                          <a:xfrm rot="-5399999">
                            <a:off x="5686482"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890" name="Rectangle 3890"/>
                        <wps:cNvSpPr/>
                        <wps:spPr>
                          <a:xfrm rot="-5399999">
                            <a:off x="5683592"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91" name="Rectangle 3891"/>
                        <wps:cNvSpPr/>
                        <wps:spPr>
                          <a:xfrm rot="-5399999">
                            <a:off x="5696261"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892" name="Rectangle 3892"/>
                        <wps:cNvSpPr/>
                        <wps:spPr>
                          <a:xfrm rot="-5399999">
                            <a:off x="5672343"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3893" name="Rectangle 3893"/>
                        <wps:cNvSpPr/>
                        <wps:spPr>
                          <a:xfrm rot="-5399999">
                            <a:off x="5686482"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894" name="Rectangle 3894"/>
                        <wps:cNvSpPr/>
                        <wps:spPr>
                          <a:xfrm rot="-5399999">
                            <a:off x="5689217"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3895" name="Rectangle 3895"/>
                        <wps:cNvSpPr/>
                        <wps:spPr>
                          <a:xfrm rot="-5399999">
                            <a:off x="5694893"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3896" name="Rectangle 3896"/>
                        <wps:cNvSpPr/>
                        <wps:spPr>
                          <a:xfrm rot="-5399999">
                            <a:off x="5694892"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897" name="Rectangle 3897"/>
                        <wps:cNvSpPr/>
                        <wps:spPr>
                          <a:xfrm rot="-5399999">
                            <a:off x="5683591"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3898" name="Rectangle 3898"/>
                        <wps:cNvSpPr/>
                        <wps:spPr>
                          <a:xfrm rot="-5399999">
                            <a:off x="5683591"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899" name="Rectangle 3899"/>
                        <wps:cNvSpPr/>
                        <wps:spPr>
                          <a:xfrm rot="-5399999">
                            <a:off x="5686482"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900" name="Rectangle 3900"/>
                        <wps:cNvSpPr/>
                        <wps:spPr>
                          <a:xfrm rot="-5399999">
                            <a:off x="5696260"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01" name="Rectangle 3901"/>
                        <wps:cNvSpPr/>
                        <wps:spPr>
                          <a:xfrm rot="-5399999">
                            <a:off x="5698795"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902" name="Rectangle 3902"/>
                        <wps:cNvSpPr/>
                        <wps:spPr>
                          <a:xfrm rot="-5399999">
                            <a:off x="5696261"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03" name="Rectangle 3903"/>
                        <wps:cNvSpPr/>
                        <wps:spPr>
                          <a:xfrm rot="-5399999">
                            <a:off x="5680755"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3904" name="Rectangle 3904"/>
                        <wps:cNvSpPr/>
                        <wps:spPr>
                          <a:xfrm rot="-5399999">
                            <a:off x="5686482"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3905" name="Rectangle 3905"/>
                        <wps:cNvSpPr/>
                        <wps:spPr>
                          <a:xfrm rot="-5399999">
                            <a:off x="5683592"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3906" name="Rectangle 3906"/>
                        <wps:cNvSpPr/>
                        <wps:spPr>
                          <a:xfrm rot="-5399999">
                            <a:off x="5694892"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907" name="Rectangle 3907"/>
                        <wps:cNvSpPr/>
                        <wps:spPr>
                          <a:xfrm rot="-5399999">
                            <a:off x="5683593"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908" name="Rectangle 3908"/>
                        <wps:cNvSpPr/>
                        <wps:spPr>
                          <a:xfrm rot="-5399999">
                            <a:off x="5686480"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909" name="Rectangle 3909"/>
                        <wps:cNvSpPr/>
                        <wps:spPr>
                          <a:xfrm rot="-5399999">
                            <a:off x="5696260"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10" name="Rectangle 3910"/>
                        <wps:cNvSpPr/>
                        <wps:spPr>
                          <a:xfrm rot="-5399999">
                            <a:off x="5683591"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1</w:t>
                              </w:r>
                            </w:p>
                          </w:txbxContent>
                        </wps:txbx>
                        <wps:bodyPr horzOverflow="overflow" vert="horz" lIns="0" tIns="0" rIns="0" bIns="0" rtlCol="0">
                          <a:noAutofit/>
                        </wps:bodyPr>
                      </wps:wsp>
                      <wps:wsp>
                        <wps:cNvPr id="3911" name="Rectangle 3911"/>
                        <wps:cNvSpPr/>
                        <wps:spPr>
                          <a:xfrm rot="-5399999">
                            <a:off x="5696260"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12" name="Rectangle 3912"/>
                        <wps:cNvSpPr/>
                        <wps:spPr>
                          <a:xfrm rot="-5399999">
                            <a:off x="5683591"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913" name="Rectangle 3913"/>
                        <wps:cNvSpPr/>
                        <wps:spPr>
                          <a:xfrm rot="-5399999">
                            <a:off x="5686482"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3914" name="Rectangle 3914"/>
                        <wps:cNvSpPr/>
                        <wps:spPr>
                          <a:xfrm rot="-5399999">
                            <a:off x="5696261"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15" name="Rectangle 3915"/>
                        <wps:cNvSpPr/>
                        <wps:spPr>
                          <a:xfrm rot="-5399999">
                            <a:off x="5683592"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1</w:t>
                              </w:r>
                            </w:p>
                          </w:txbxContent>
                        </wps:txbx>
                        <wps:bodyPr horzOverflow="overflow" vert="horz" lIns="0" tIns="0" rIns="0" bIns="0" rtlCol="0">
                          <a:noAutofit/>
                        </wps:bodyPr>
                      </wps:wsp>
                      <wps:wsp>
                        <wps:cNvPr id="3916" name="Rectangle 3916"/>
                        <wps:cNvSpPr/>
                        <wps:spPr>
                          <a:xfrm rot="-5399999">
                            <a:off x="5696261"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pic:pic xmlns:pic="http://schemas.openxmlformats.org/drawingml/2006/picture">
                        <pic:nvPicPr>
                          <pic:cNvPr id="3958" name="Picture 3958"/>
                          <pic:cNvPicPr/>
                        </pic:nvPicPr>
                        <pic:blipFill>
                          <a:blip r:embed="rId27"/>
                          <a:stretch>
                            <a:fillRect/>
                          </a:stretch>
                        </pic:blipFill>
                        <pic:spPr>
                          <a:xfrm>
                            <a:off x="0" y="3468180"/>
                            <a:ext cx="5394960" cy="269875"/>
                          </a:xfrm>
                          <a:prstGeom prst="rect">
                            <a:avLst/>
                          </a:prstGeom>
                        </pic:spPr>
                      </pic:pic>
                      <wps:wsp>
                        <wps:cNvPr id="3961" name="Rectangle 3961"/>
                        <wps:cNvSpPr/>
                        <wps:spPr>
                          <a:xfrm rot="-5399999">
                            <a:off x="3989652"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3962" name="Rectangle 3962"/>
                        <wps:cNvSpPr/>
                        <wps:spPr>
                          <a:xfrm rot="-5399999">
                            <a:off x="4202619"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3963" name="Rectangle 3963"/>
                        <wps:cNvSpPr/>
                        <wps:spPr>
                          <a:xfrm rot="-5399999">
                            <a:off x="3184586"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6342" style="width:451.748pt;height:300.935pt;position:absolute;z-index:-2147483554;mso-position-horizontal-relative:text;mso-position-horizontal:absolute;margin-left:107.387pt;mso-position-vertical-relative:text;margin-top:-98.927pt;" coordsize="57371,38218">
                <v:shape id="Picture 3731" style="position:absolute;width:4438;height:4445;left:52832;top:33773;" filled="f">
                  <v:imagedata r:id="rId28"/>
                </v:shape>
                <v:rect id="Rectangle 3732" style="position:absolute;width:674;height:1122;left:55227;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33" style="position:absolute;width:506;height:1122;left:55311;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734" style="position:absolute;width:506;height:1122;left:55311;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735" style="position:absolute;width:253;height:1122;left:55438;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36" style="position:absolute;width:253;height:1122;left:55438;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737" style="position:absolute;width:731;height:1122;left:55199;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3738" style="position:absolute;width:448;height:1122;left:55340;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739" style="position:absolute;width:280;height:1122;left:55424;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740" style="position:absolute;width:280;height:1122;left:55424;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741" style="position:absolute;width:506;height:1122;left:55311;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742" style="position:absolute;width:448;height:1122;left:55340;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743" style="position:absolute;width:448;height:1122;left:55340;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44" style="position:absolute;width:280;height:1122;left:55424;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745" style="position:absolute;width:506;height:1122;left:55311;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746" style="position:absolute;width:506;height:1122;left:55311;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747" style="position:absolute;width:280;height:1122;left:55424;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48" style="position:absolute;width:253;height:1122;left:55438;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749" style="position:absolute;width:506;height:1122;left:55311;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3750" style="position:absolute;width:618;height:1122;left:55256;top:2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751" style="position:absolute;width:731;height:1122;left:55199;top:260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3752" style="position:absolute;width:731;height:1122;left:55199;top:25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3753" style="position:absolute;width:731;height:1122;left:55199;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754" style="position:absolute;width:731;height:1122;left:55199;top:24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K</w:t>
                        </w:r>
                      </w:p>
                    </w:txbxContent>
                  </v:textbox>
                </v:rect>
                <v:rect id="Rectangle 3755" style="position:absolute;width:506;height:1122;left:55311;top:239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3756" style="position:absolute;width:506;height:1122;left:55311;top:236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3757" style="position:absolute;width:731;height:1122;left:55199;top:2311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3758" style="position:absolute;width:618;height:1122;left:55256;top:226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Z</w:t>
                        </w:r>
                      </w:p>
                    </w:txbxContent>
                  </v:textbox>
                </v:rect>
                <v:rect id="Rectangle 3759" style="position:absolute;width:563;height:1122;left:55283;top:221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760" style="position:absolute;width:563;height:1122;left:55283;top:217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761" style="position:absolute;width:674;height:1122;left:55227;top:212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62" style="position:absolute;width:618;height:1122;left:55256;top:2080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763" style="position:absolute;width:618;height:1122;left:55256;top:203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Z</w:t>
                        </w:r>
                      </w:p>
                    </w:txbxContent>
                  </v:textbox>
                </v:rect>
                <v:rect id="Rectangle 3764" style="position:absolute;width:955;height:1122;left:55087;top:196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3765" style="position:absolute;width:674;height:1122;left:55227;top:191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66" style="position:absolute;width:731;height:1122;left:55199;top:185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3767" style="position:absolute;width:506;height:1122;left:55311;top:181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3768" style="position:absolute;width:506;height:1122;left:55311;top:177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3769" style="position:absolute;width:394;height:1122;left:55368;top:174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J</w:t>
                        </w:r>
                      </w:p>
                    </w:txbxContent>
                  </v:textbox>
                </v:rect>
                <v:rect id="Rectangle 3770" style="position:absolute;width:731;height:1122;left:55199;top:169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3771" style="position:absolute;width:506;height:1122;left:55311;top:165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3772" style="position:absolute;width:618;height:1122;left:55256;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773" style="position:absolute;width:563;height:1122;left:55283;top:156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3774" style="position:absolute;width:253;height:1122;left:55438;top:1542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775" style="position:absolute;width:731;height:1122;left:55961;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3776" style="position:absolute;width:448;height:1122;left:56102;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777" style="position:absolute;width:337;height:1122;left:56158;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778" style="position:absolute;width:280;height:1122;left:56186;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779" style="position:absolute;width:337;height:1122;left:56158;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3780" style="position:absolute;width:280;height:1122;left:56186;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781" style="position:absolute;width:448;height:1122;left:56102;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82" style="position:absolute;width:448;height:1122;left:56102;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783" style="position:absolute;width:448;height:1122;left:56102;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84" style="position:absolute;width:280;height:1122;left:56186;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785" style="position:absolute;width:506;height:1122;left:56073;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786" style="position:absolute;width:506;height:1122;left:56073;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787" style="position:absolute;width:280;height:1122;left:56186;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88" style="position:absolute;width:253;height:1122;left:56200;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789" style="position:absolute;width:506;height:1122;left:56073;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3790" style="position:absolute;width:280;height:1122;left:56186;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791" style="position:absolute;width:280;height:1122;left:56186;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792" style="position:absolute;width:506;height:1122;left:56073;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3793" style="position:absolute;width:394;height:1122;left:56130;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794" style="position:absolute;width:280;height:1122;left:56186;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95" style="position:absolute;width:280;height:1122;left:56186;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96" style="position:absolute;width:280;height:1122;left:56186;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797" style="position:absolute;width:448;height:1122;left:56102;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798" style="position:absolute;width:448;height:1122;left:56102;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799" style="position:absolute;width:506;height:1122;left:56073;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00" style="position:absolute;width:506;height:1122;left:56073;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01" style="position:absolute;width:448;height:1122;left:56102;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02" style="position:absolute;width:280;height:1122;left:56186;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03" style="position:absolute;width:448;height:1122;left:56102;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04" style="position:absolute;width:337;height:1122;left:56158;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805" style="position:absolute;width:280;height:1122;left:56186;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06" style="position:absolute;width:448;height:1122;left:56102;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07" style="position:absolute;width:253;height:1122;left:56200;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808" style="position:absolute;width:394;height:1122;left:56130;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809" style="position:absolute;width:448;height:1122;left:56102;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10" style="position:absolute;width:506;height:1122;left:56073;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11" style="position:absolute;width:448;height:1122;left:56102;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12" style="position:absolute;width:280;height:1122;left:56186;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13" style="position:absolute;width:448;height:1122;left:56102;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14" style="position:absolute;width:448;height:1122;left:56102;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15" style="position:absolute;width:280;height:1122;left:56186;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16" style="position:absolute;width:337;height:1122;left:56158;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817" style="position:absolute;width:506;height:1122;left:56073;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18" style="position:absolute;width:506;height:1122;left:56073;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19" style="position:absolute;width:280;height:1122;left:56186;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20" style="position:absolute;width:448;height:1122;left:56102;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21" style="position:absolute;width:448;height:1122;left:56102;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22" style="position:absolute;width:253;height:1122;left:56200;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823" style="position:absolute;width:448;height:1122;left:56102;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24" style="position:absolute;width:394;height:1122;left:56130;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825" style="position:absolute;width:280;height:1122;left:56186;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826" style="position:absolute;width:253;height:1122;left:56200;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27" style="position:absolute;width:731;height:1122;left:5672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28" style="position:absolute;width:506;height:1122;left:56835;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29" style="position:absolute;width:448;height:1122;left:56864;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30" style="position:absolute;width:506;height:1122;left:56835;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3831" style="position:absolute;width:787;height:1122;left:56695;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3832" style="position:absolute;width:448;height:1122;left:56864;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33" style="position:absolute;width:506;height:1122;left:56835;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34" style="position:absolute;width:280;height:1122;left:56948;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35" style="position:absolute;width:506;height:1122;left:56835;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36" style="position:absolute;width:253;height:1122;left:56962;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37" style="position:absolute;width:337;height:1122;left:56920;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3838" style="position:absolute;width:280;height:1122;left:56948;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39" style="position:absolute;width:337;height:1122;left:56920;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840" style="position:absolute;width:787;height:1122;left:56695;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3841" style="position:absolute;width:448;height:1122;left:56864;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42" style="position:absolute;width:506;height:1122;left:56835;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43" style="position:absolute;width:506;height:1122;left:56835;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44" style="position:absolute;width:253;height:1122;left:56962;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45" style="position:absolute;width:448;height:1122;left:56864;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46" style="position:absolute;width:280;height:1122;left:56948;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47" style="position:absolute;width:448;height:1122;left:56864;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48" style="position:absolute;width:448;height:1122;left:56864;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49" style="position:absolute;width:280;height:1122;left:56948;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50" style="position:absolute;width:337;height:1122;left:56920;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851" style="position:absolute;width:506;height:1122;left:56835;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852" style="position:absolute;width:506;height:1122;left:56835;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53" style="position:absolute;width:280;height:1122;left:56948;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54" style="position:absolute;width:448;height:1122;left:56864;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55" style="position:absolute;width:448;height:1122;left:56864;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56" style="position:absolute;width:787;height:1122;left:56695;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3857" style="position:absolute;width:448;height:1122;left:56864;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58" style="position:absolute;width:506;height:1122;left:56835;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59" style="position:absolute;width:280;height:1122;left:56948;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60" style="position:absolute;width:448;height:1122;left:56864;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61" style="position:absolute;width:253;height:1122;left:56962;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62" style="position:absolute;width:506;height:1122;left:56835;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63" style="position:absolute;width:448;height:1122;left:56864;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64" style="position:absolute;width:394;height:1122;left:56892;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865" style="position:absolute;width:506;height:1122;left:56835;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866" style="position:absolute;width:448;height:1122;left:56864;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67" style="position:absolute;width:253;height:1122;left:56962;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68" style="position:absolute;width:280;height:1122;left:56948;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69" style="position:absolute;width:448;height:1122;left:56864;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70" style="position:absolute;width:253;height:1122;left:56962;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71" style="position:absolute;width:506;height:1122;left:56835;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3872" style="position:absolute;width:280;height:1122;left:56948;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73" style="position:absolute;width:448;height:1122;left:56864;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74" style="position:absolute;width:280;height:1122;left:56948;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75" style="position:absolute;width:448;height:1122;left:56864;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76" style="position:absolute;width:337;height:1122;left:56920;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3877" style="position:absolute;width:506;height:1122;left:56835;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78" style="position:absolute;width:337;height:1122;left:56920;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3879" style="position:absolute;width:787;height:1122;left:56695;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3880" style="position:absolute;width:448;height:1122;left:56864;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881" style="position:absolute;width:253;height:1122;left:56962;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82" style="position:absolute;width:448;height:1122;left:56864;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83" style="position:absolute;width:394;height:1122;left:56892;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884" style="position:absolute;width:563;height:1122;left:56807;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3885" style="position:absolute;width:506;height:1122;left:56835;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3886" style="position:absolute;width:506;height:1122;left:56835;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3887" style="position:absolute;width:280;height:1122;left:56948;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888" style="position:absolute;width:280;height:1122;left:56948;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89" style="position:absolute;width:448;height:1122;left:56864;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890" style="position:absolute;width:506;height:1122;left:56835;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91" style="position:absolute;width:253;height:1122;left:56962;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892" style="position:absolute;width:731;height:1122;left:56723;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3893" style="position:absolute;width:448;height:1122;left:56864;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894" style="position:absolute;width:394;height:1122;left:56892;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3895" style="position:absolute;width:280;height:1122;left:56948;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3896" style="position:absolute;width:280;height:1122;left:56948;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897" style="position:absolute;width:506;height:1122;left:56835;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3898" style="position:absolute;width:506;height:1122;left:56835;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899" style="position:absolute;width:448;height:1122;left:56864;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900" style="position:absolute;width:253;height:1122;left:56962;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01" style="position:absolute;width:202;height:1122;left:56987;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902" style="position:absolute;width:253;height:1122;left:56962;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03" style="position:absolute;width:563;height:1122;left:56807;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3904" style="position:absolute;width:448;height:1122;left:56864;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3905" style="position:absolute;width:506;height:1122;left:56835;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3906" style="position:absolute;width:280;height:1122;left:56948;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907" style="position:absolute;width:506;height:1122;left:56835;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908" style="position:absolute;width:448;height:1122;left:56864;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909" style="position:absolute;width:253;height:1122;left:56962;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10" style="position:absolute;width:506;height:1122;left:56835;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1</w:t>
                        </w:r>
                      </w:p>
                    </w:txbxContent>
                  </v:textbox>
                </v:rect>
                <v:rect id="Rectangle 3911" style="position:absolute;width:253;height:1122;left:56962;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12" style="position:absolute;width:506;height:1122;left:56835;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913" style="position:absolute;width:448;height:1122;left:56864;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3914" style="position:absolute;width:253;height:1122;left:56962;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15" style="position:absolute;width:506;height:1122;left:56835;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1</w:t>
                        </w:r>
                      </w:p>
                    </w:txbxContent>
                  </v:textbox>
                </v:rect>
                <v:rect id="Rectangle 3916" style="position:absolute;width:253;height:1122;left:56962;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shape id="Picture 3958" style="position:absolute;width:53949;height:2698;left:0;top:34681;" filled="f">
                  <v:imagedata r:id="rId29"/>
                </v:shape>
                <v:rect id="Rectangle 3961" style="position:absolute;width:24914;height:1132;left:39896;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3962" style="position:absolute;width:22179;height:1132;left:42026;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963" style="position:absolute;width:44064;height:1132;left:31845;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133 </w:t>
                        </w:r>
                      </w:p>
                    </w:txbxContent>
                  </v:textbox>
                </v:rect>
              </v:group>
            </w:pict>
          </mc:Fallback>
        </mc:AlternateContent>
      </w:r>
      <w:r>
        <w:t xml:space="preserve">• </w:t>
      </w:r>
      <w:r>
        <w:t>El contrato basado en el acuerdo marco se adjudica el 29 de abril de 2021, habiéndose hasta ahora realizado 3 prorrogas, se requiere provisión de fondos para dotar de crédito la aplicación presupuestaria correspondiente. El importe de la estimación es de 4</w:t>
      </w:r>
      <w:r>
        <w:t xml:space="preserve">50.000,00 € incluido el 7% de IGIC. </w:t>
      </w:r>
      <w:r>
        <w:rPr>
          <w:sz w:val="23"/>
        </w:rPr>
        <w:t xml:space="preserve"> </w:t>
      </w:r>
    </w:p>
    <w:p w:rsidR="00085BB7" w:rsidRDefault="004441D3">
      <w:pPr>
        <w:spacing w:after="191" w:line="259" w:lineRule="auto"/>
        <w:ind w:left="1455" w:right="0" w:firstLine="0"/>
        <w:jc w:val="left"/>
      </w:pPr>
      <w:r>
        <w:t xml:space="preserve"> </w:t>
      </w:r>
    </w:p>
    <w:p w:rsidR="00085BB7" w:rsidRDefault="004441D3">
      <w:pPr>
        <w:spacing w:after="653"/>
        <w:ind w:left="736" w:right="903"/>
      </w:pPr>
      <w:r>
        <w:t xml:space="preserve">Siendo un gasto específico y determinado ante la imposibilidad de demorarlo a ejercicios posteriores, y no habiendo crédito suficiente en las aplicaciones presupuestarias. </w:t>
      </w:r>
    </w:p>
    <w:p w:rsidR="00085BB7" w:rsidRDefault="004441D3">
      <w:pPr>
        <w:spacing w:after="113" w:line="265" w:lineRule="auto"/>
        <w:ind w:left="548" w:right="1363" w:hanging="10"/>
        <w:jc w:val="center"/>
      </w:pPr>
      <w:r>
        <w:t xml:space="preserve">SE PROPONE: </w:t>
      </w:r>
    </w:p>
    <w:p w:rsidR="00085BB7" w:rsidRDefault="004441D3">
      <w:pPr>
        <w:spacing w:after="9" w:line="249" w:lineRule="auto"/>
        <w:ind w:left="730" w:right="673" w:hanging="10"/>
        <w:jc w:val="left"/>
      </w:pPr>
      <w:r>
        <w:t>Único: Tramitar expediente 101</w:t>
      </w:r>
      <w:r>
        <w:t xml:space="preserve">25/2024 de modificación presupuestaria por Suplemento de Créditos financiado con Remanente de Tesorería para gastos generales, por una cantidad total de 450.000,00 euros, de acuerdo al siguiente detalle: </w:t>
      </w:r>
    </w:p>
    <w:tbl>
      <w:tblPr>
        <w:tblStyle w:val="TableGrid"/>
        <w:tblW w:w="8532" w:type="dxa"/>
        <w:tblInd w:w="747" w:type="dxa"/>
        <w:tblCellMar>
          <w:top w:w="106" w:type="dxa"/>
          <w:left w:w="0" w:type="dxa"/>
          <w:bottom w:w="0" w:type="dxa"/>
          <w:right w:w="1" w:type="dxa"/>
        </w:tblCellMar>
        <w:tblLook w:val="04A0" w:firstRow="1" w:lastRow="0" w:firstColumn="1" w:lastColumn="0" w:noHBand="0" w:noVBand="1"/>
      </w:tblPr>
      <w:tblGrid>
        <w:gridCol w:w="1336"/>
        <w:gridCol w:w="5290"/>
        <w:gridCol w:w="742"/>
        <w:gridCol w:w="1164"/>
      </w:tblGrid>
      <w:tr w:rsidR="00085BB7">
        <w:trPr>
          <w:trHeight w:val="555"/>
        </w:trPr>
        <w:tc>
          <w:tcPr>
            <w:tcW w:w="6626" w:type="dxa"/>
            <w:gridSpan w:val="2"/>
            <w:tcBorders>
              <w:top w:val="single" w:sz="4" w:space="0" w:color="000000"/>
              <w:left w:val="single" w:sz="4" w:space="0" w:color="000000"/>
              <w:bottom w:val="single" w:sz="4" w:space="0" w:color="000000"/>
              <w:right w:val="nil"/>
            </w:tcBorders>
            <w:shd w:val="clear" w:color="auto" w:fill="DADADA"/>
          </w:tcPr>
          <w:p w:rsidR="00085BB7" w:rsidRDefault="00085BB7">
            <w:pPr>
              <w:spacing w:after="160" w:line="259" w:lineRule="auto"/>
              <w:ind w:left="0" w:right="0" w:firstLine="0"/>
              <w:jc w:val="left"/>
            </w:pPr>
          </w:p>
        </w:tc>
        <w:tc>
          <w:tcPr>
            <w:tcW w:w="742" w:type="dxa"/>
            <w:tcBorders>
              <w:top w:val="single" w:sz="4" w:space="0" w:color="000000"/>
              <w:left w:val="nil"/>
              <w:bottom w:val="single" w:sz="4" w:space="0" w:color="000000"/>
              <w:right w:val="nil"/>
            </w:tcBorders>
            <w:shd w:val="clear" w:color="auto" w:fill="DADADA"/>
          </w:tcPr>
          <w:p w:rsidR="00085BB7" w:rsidRDefault="00085BB7">
            <w:pPr>
              <w:spacing w:after="160" w:line="259" w:lineRule="auto"/>
              <w:ind w:left="0" w:right="0" w:firstLine="0"/>
              <w:jc w:val="left"/>
            </w:pPr>
          </w:p>
        </w:tc>
        <w:tc>
          <w:tcPr>
            <w:tcW w:w="1164"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344"/>
        </w:trPr>
        <w:tc>
          <w:tcPr>
            <w:tcW w:w="1336"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70" w:right="0" w:firstLine="0"/>
            </w:pPr>
            <w:r>
              <w:rPr>
                <w:sz w:val="20"/>
              </w:rPr>
              <w:t xml:space="preserve">APLICACIÓN </w:t>
            </w:r>
          </w:p>
        </w:tc>
        <w:tc>
          <w:tcPr>
            <w:tcW w:w="5290" w:type="dxa"/>
            <w:tcBorders>
              <w:top w:val="single" w:sz="4" w:space="0" w:color="000000"/>
              <w:left w:val="single" w:sz="4" w:space="0" w:color="000000"/>
              <w:bottom w:val="single" w:sz="4" w:space="0" w:color="000000"/>
              <w:right w:val="nil"/>
            </w:tcBorders>
            <w:shd w:val="clear" w:color="auto" w:fill="DADADA"/>
          </w:tcPr>
          <w:p w:rsidR="00085BB7" w:rsidRDefault="004441D3">
            <w:pPr>
              <w:spacing w:after="0" w:line="259" w:lineRule="auto"/>
              <w:ind w:left="690" w:right="0" w:firstLine="0"/>
              <w:jc w:val="center"/>
            </w:pPr>
            <w:r>
              <w:rPr>
                <w:sz w:val="20"/>
              </w:rPr>
              <w:t xml:space="preserve">DENOMINACIÓN </w:t>
            </w:r>
          </w:p>
        </w:tc>
        <w:tc>
          <w:tcPr>
            <w:tcW w:w="742"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42" w:right="0" w:firstLine="0"/>
              <w:jc w:val="left"/>
            </w:pPr>
            <w:r>
              <w:rPr>
                <w:sz w:val="20"/>
              </w:rPr>
              <w:t xml:space="preserve">IMPORTE </w:t>
            </w:r>
          </w:p>
        </w:tc>
      </w:tr>
      <w:tr w:rsidR="00085BB7">
        <w:trPr>
          <w:trHeight w:val="348"/>
        </w:trPr>
        <w:tc>
          <w:tcPr>
            <w:tcW w:w="13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pPr>
            <w:r>
              <w:rPr>
                <w:sz w:val="20"/>
              </w:rPr>
              <w:t xml:space="preserve">16500.22100 </w:t>
            </w:r>
          </w:p>
        </w:tc>
        <w:tc>
          <w:tcPr>
            <w:tcW w:w="5290" w:type="dxa"/>
            <w:tcBorders>
              <w:top w:val="single" w:sz="4" w:space="0" w:color="000000"/>
              <w:left w:val="single" w:sz="4" w:space="0" w:color="000000"/>
              <w:bottom w:val="single" w:sz="4" w:space="0" w:color="000000"/>
              <w:right w:val="nil"/>
            </w:tcBorders>
          </w:tcPr>
          <w:p w:rsidR="00085BB7" w:rsidRDefault="004441D3">
            <w:pPr>
              <w:spacing w:after="0" w:line="259" w:lineRule="auto"/>
              <w:ind w:left="72" w:right="0" w:firstLine="0"/>
              <w:jc w:val="left"/>
            </w:pPr>
            <w:r>
              <w:rPr>
                <w:sz w:val="20"/>
              </w:rPr>
              <w:t xml:space="preserve">Suministro de Energía Eléctrica </w:t>
            </w:r>
          </w:p>
        </w:tc>
        <w:tc>
          <w:tcPr>
            <w:tcW w:w="742"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40" w:right="0" w:firstLine="0"/>
              <w:jc w:val="left"/>
            </w:pPr>
            <w:r>
              <w:rPr>
                <w:sz w:val="20"/>
              </w:rPr>
              <w:t>450.000,00</w:t>
            </w:r>
          </w:p>
        </w:tc>
      </w:tr>
      <w:tr w:rsidR="00085BB7">
        <w:trPr>
          <w:trHeight w:val="346"/>
        </w:trPr>
        <w:tc>
          <w:tcPr>
            <w:tcW w:w="6626"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742"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TOTAL </w:t>
            </w:r>
          </w:p>
        </w:tc>
        <w:tc>
          <w:tcPr>
            <w:tcW w:w="116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40" w:right="0" w:firstLine="0"/>
              <w:jc w:val="left"/>
            </w:pPr>
            <w:r>
              <w:rPr>
                <w:sz w:val="20"/>
              </w:rPr>
              <w:t>450.000,00</w:t>
            </w:r>
          </w:p>
        </w:tc>
      </w:tr>
    </w:tbl>
    <w:p w:rsidR="00085BB7" w:rsidRDefault="004441D3">
      <w:pPr>
        <w:spacing w:after="234" w:line="259" w:lineRule="auto"/>
        <w:ind w:left="730" w:right="0" w:hanging="10"/>
        <w:jc w:val="left"/>
      </w:pPr>
      <w:r>
        <w:rPr>
          <w:rFonts w:ascii="Times New Roman" w:eastAsia="Times New Roman" w:hAnsi="Times New Roman" w:cs="Times New Roman"/>
          <w:b/>
          <w:sz w:val="24"/>
        </w:rPr>
        <w:t>“</w:t>
      </w:r>
    </w:p>
    <w:p w:rsidR="00085BB7" w:rsidRDefault="004441D3">
      <w:pPr>
        <w:spacing w:after="500"/>
        <w:ind w:left="736" w:right="1404"/>
      </w:pPr>
      <w:r>
        <w:t xml:space="preserve">     Consta en el expediente Informe de Intervención emitido por Don Nicolás Rojo Garnica, </w:t>
      </w:r>
      <w:r>
        <w:t>que desempeña el puesto de trabajo de Interventor Municipal, de 19 de septiembre de 2024, del siguiente tenor literal:</w:t>
      </w:r>
    </w:p>
    <w:p w:rsidR="00085BB7" w:rsidRDefault="004441D3">
      <w:pPr>
        <w:spacing w:after="145" w:line="265" w:lineRule="auto"/>
        <w:ind w:left="548" w:right="1182" w:hanging="10"/>
        <w:jc w:val="center"/>
      </w:pPr>
      <w:r>
        <w:t>“INFORME</w:t>
      </w:r>
    </w:p>
    <w:p w:rsidR="00085BB7" w:rsidRDefault="004441D3">
      <w:pPr>
        <w:spacing w:after="500"/>
        <w:ind w:left="730" w:right="1405" w:firstLine="708"/>
      </w:pPr>
      <w:r>
        <w:t xml:space="preserve">Vista la propuesta de la Alcaldesa, de tramitación de modificación presupuestaria por </w:t>
      </w:r>
      <w:r>
        <w:t xml:space="preserve">Suplemento de Créditos financiados con remanantes de Tesorería para Gastos Generales, que dice: </w:t>
      </w:r>
    </w:p>
    <w:p w:rsidR="00085BB7" w:rsidRDefault="004441D3">
      <w:pPr>
        <w:spacing w:after="0"/>
        <w:ind w:left="730" w:right="1401" w:firstLine="708"/>
      </w:pPr>
      <w:r>
        <w:t>El Ayuntamiento de Candelaria necesita suplementar créditos a los consignados en el Presupuesto vigente para llevar a cabo el contrato del suministro eléctrico</w:t>
      </w:r>
      <w:r>
        <w:t xml:space="preserve"> vigente, según memorias-propuesta presentada: </w:t>
      </w:r>
    </w:p>
    <w:p w:rsidR="00085BB7" w:rsidRDefault="004441D3">
      <w:pPr>
        <w:spacing w:after="7" w:line="259" w:lineRule="auto"/>
        <w:ind w:left="1455" w:righ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29278" name="Group 129278"/>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3980" name="Rectangle 3980"/>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981" name="Rectangle 3981"/>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982" name="Rectangle 3982"/>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983" name="Rectangle 3983"/>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984" name="Rectangle 3984"/>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85" name="Rectangle 3985"/>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3986" name="Rectangle 3986"/>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987" name="Rectangle 3987"/>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3988" name="Rectangle 3988"/>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989" name="Rectangle 3989"/>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3990" name="Rectangle 3990"/>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991" name="Rectangle 3991"/>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3992" name="Rectangle 3992"/>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3993" name="Rectangle 3993"/>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3994" name="Rectangle 3994"/>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3995" name="Rectangle 3995"/>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3996" name="Rectangle 3996"/>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3997" name="Rectangle 3997"/>
                        <wps:cNvSpPr/>
                        <wps:spPr>
                          <a:xfrm rot="-5399999">
                            <a:off x="341159" y="269729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3998" name="Rectangle 3998"/>
                        <wps:cNvSpPr/>
                        <wps:spPr>
                          <a:xfrm rot="-5399999">
                            <a:off x="341158" y="26490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3999" name="Rectangle 3999"/>
                        <wps:cNvSpPr/>
                        <wps:spPr>
                          <a:xfrm rot="-5399999">
                            <a:off x="341157" y="25944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000" name="Rectangle 4000"/>
                        <wps:cNvSpPr/>
                        <wps:spPr>
                          <a:xfrm rot="-5399999">
                            <a:off x="349568" y="254695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001" name="Rectangle 4001"/>
                        <wps:cNvSpPr/>
                        <wps:spPr>
                          <a:xfrm rot="-5399999">
                            <a:off x="346832" y="25023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02" name="Rectangle 4002"/>
                        <wps:cNvSpPr/>
                        <wps:spPr>
                          <a:xfrm rot="-5399999">
                            <a:off x="352407" y="24608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4003" name="Rectangle 4003"/>
                        <wps:cNvSpPr/>
                        <wps:spPr>
                          <a:xfrm rot="-5399999">
                            <a:off x="341158" y="241154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004" name="Rectangle 4004"/>
                        <wps:cNvSpPr/>
                        <wps:spPr>
                          <a:xfrm rot="-5399999">
                            <a:off x="329958" y="23457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005" name="Rectangle 4005"/>
                        <wps:cNvSpPr/>
                        <wps:spPr>
                          <a:xfrm rot="-5399999">
                            <a:off x="343995" y="2287385"/>
                            <a:ext cx="674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06" name="Rectangle 4006"/>
                        <wps:cNvSpPr/>
                        <wps:spPr>
                          <a:xfrm rot="-5399999">
                            <a:off x="332696" y="2225286"/>
                            <a:ext cx="900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007" name="Rectangle 4007"/>
                        <wps:cNvSpPr/>
                        <wps:spPr>
                          <a:xfrm rot="-5399999">
                            <a:off x="329958" y="21552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008" name="Rectangle 4008"/>
                        <wps:cNvSpPr/>
                        <wps:spPr>
                          <a:xfrm rot="-5399999">
                            <a:off x="341158" y="2094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009" name="Rectangle 4009"/>
                        <wps:cNvSpPr/>
                        <wps:spPr>
                          <a:xfrm rot="-5399999">
                            <a:off x="352407" y="2050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010" name="Rectangle 4010"/>
                        <wps:cNvSpPr/>
                        <wps:spPr>
                          <a:xfrm rot="-5399999">
                            <a:off x="332696" y="1992875"/>
                            <a:ext cx="900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011" name="Rectangle 4011"/>
                        <wps:cNvSpPr/>
                        <wps:spPr>
                          <a:xfrm rot="-5399999">
                            <a:off x="341157" y="19340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012" name="Rectangle 4012"/>
                        <wps:cNvSpPr/>
                        <wps:spPr>
                          <a:xfrm rot="-5399999">
                            <a:off x="352407" y="18893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013" name="Rectangle 4013"/>
                        <wps:cNvSpPr/>
                        <wps:spPr>
                          <a:xfrm rot="-5399999">
                            <a:off x="341158" y="1840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14" name="Rectangle 4014"/>
                        <wps:cNvSpPr/>
                        <wps:spPr>
                          <a:xfrm rot="-5399999">
                            <a:off x="352407" y="1796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015" name="Rectangle 4015"/>
                        <wps:cNvSpPr/>
                        <wps:spPr>
                          <a:xfrm rot="-5399999">
                            <a:off x="346832" y="17530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16" name="Rectangle 4016"/>
                        <wps:cNvSpPr/>
                        <wps:spPr>
                          <a:xfrm rot="-5399999">
                            <a:off x="346832" y="170602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017" name="Rectangle 4017"/>
                        <wps:cNvSpPr/>
                        <wps:spPr>
                          <a:xfrm rot="-5399999">
                            <a:off x="352406" y="166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5</w:t>
                              </w:r>
                            </w:p>
                          </w:txbxContent>
                        </wps:txbx>
                        <wps:bodyPr horzOverflow="overflow" vert="horz" lIns="0" tIns="0" rIns="0" bIns="0" rtlCol="0">
                          <a:noAutofit/>
                        </wps:bodyPr>
                      </wps:wsp>
                      <wps:wsp>
                        <wps:cNvPr id="4018" name="Rectangle 4018"/>
                        <wps:cNvSpPr/>
                        <wps:spPr>
                          <a:xfrm rot="-5399999">
                            <a:off x="349569" y="16249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019" name="Rectangle 4019"/>
                        <wps:cNvSpPr/>
                        <wps:spPr>
                          <a:xfrm rot="-5399999">
                            <a:off x="341158" y="15733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020" name="Rectangle 4020"/>
                        <wps:cNvSpPr/>
                        <wps:spPr>
                          <a:xfrm rot="-5399999">
                            <a:off x="341158" y="15187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021" name="Rectangle 4021"/>
                        <wps:cNvSpPr/>
                        <wps:spPr>
                          <a:xfrm rot="-5399999">
                            <a:off x="349569" y="14725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022" name="Rectangle 4022"/>
                        <wps:cNvSpPr/>
                        <wps:spPr>
                          <a:xfrm rot="-5399999">
                            <a:off x="365076" y="144486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023" name="Rectangle 4023"/>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024" name="Rectangle 4024"/>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25" name="Rectangle 4025"/>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026" name="Rectangle 4026"/>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27" name="Rectangle 4027"/>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028" name="Rectangle 4028"/>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29" name="Rectangle 4029"/>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30" name="Rectangle 4030"/>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31" name="Rectangle 4031"/>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32" name="Rectangle 4032"/>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33" name="Rectangle 4033"/>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034" name="Rectangle 4034"/>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035" name="Rectangle 4035"/>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36" name="Rectangle 4036"/>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037" name="Rectangle 4037"/>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038" name="Rectangle 4038"/>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39" name="Rectangle 4039"/>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40" name="Rectangle 4040"/>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041" name="Rectangle 4041"/>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042" name="Rectangle 4042"/>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43" name="Rectangle 4043"/>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44" name="Rectangle 4044"/>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45" name="Rectangle 4045"/>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46" name="Rectangle 4046"/>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47" name="Rectangle 4047"/>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048" name="Rectangle 4048"/>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049" name="Rectangle 4049"/>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50" name="Rectangle 4050"/>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051" name="Rectangle 4051"/>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52" name="Rectangle 4052"/>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053" name="Rectangle 4053"/>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54" name="Rectangle 4054"/>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55" name="Rectangle 4055"/>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56" name="Rectangle 4056"/>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057" name="Rectangle 4057"/>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58" name="Rectangle 4058"/>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059" name="Rectangle 4059"/>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60" name="Rectangle 4060"/>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061" name="Rectangle 4061"/>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62" name="Rectangle 4062"/>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63" name="Rectangle 4063"/>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64" name="Rectangle 4064"/>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065" name="Rectangle 4065"/>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066" name="Rectangle 4066"/>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067" name="Rectangle 4067"/>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68" name="Rectangle 4068"/>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69" name="Rectangle 4069"/>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70" name="Rectangle 4070"/>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71" name="Rectangle 4071"/>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72" name="Rectangle 4072"/>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073" name="Rectangle 4073"/>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074" name="Rectangle 4074"/>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075" name="Rectangle 4075"/>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076" name="Rectangle 4076"/>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077" name="Rectangle 4077"/>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78" name="Rectangle 4078"/>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079" name="Rectangle 4079"/>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080" name="Rectangle 4080"/>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81" name="Rectangle 4081"/>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082" name="Rectangle 4082"/>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83" name="Rectangle 4083"/>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084" name="Rectangle 4084"/>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085" name="Rectangle 4085"/>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086" name="Rectangle 4086"/>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087" name="Rectangle 4087"/>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088" name="Rectangle 4088"/>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089" name="Rectangle 4089"/>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090" name="Rectangle 4090"/>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091" name="Rectangle 4091"/>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092" name="Rectangle 4092"/>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093" name="Rectangle 4093"/>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94" name="Rectangle 4094"/>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095" name="Rectangle 4095"/>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096" name="Rectangle 4096"/>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097" name="Rectangle 4097"/>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098" name="Rectangle 4098"/>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099" name="Rectangle 4099"/>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100" name="Rectangle 4100"/>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101" name="Rectangle 4101"/>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102" name="Rectangle 4102"/>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103" name="Rectangle 4103"/>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04" name="Rectangle 4104"/>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105" name="Rectangle 4105"/>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06" name="Rectangle 4106"/>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107" name="Rectangle 4107"/>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108" name="Rectangle 4108"/>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09" name="Rectangle 4109"/>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10" name="Rectangle 4110"/>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111" name="Rectangle 4111"/>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12" name="Rectangle 4112"/>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113" name="Rectangle 4113"/>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114" name="Rectangle 4114"/>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15" name="Rectangle 4115"/>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16" name="Rectangle 4116"/>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117" name="Rectangle 4117"/>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18" name="Rectangle 4118"/>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19" name="Rectangle 4119"/>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120" name="Rectangle 4120"/>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121" name="Rectangle 4121"/>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22" name="Rectangle 4122"/>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123" name="Rectangle 4123"/>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24" name="Rectangle 4124"/>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125" name="Rectangle 4125"/>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126" name="Rectangle 4126"/>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127" name="Rectangle 4127"/>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128" name="Rectangle 4128"/>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29" name="Rectangle 4129"/>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30" name="Rectangle 4130"/>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31" name="Rectangle 4131"/>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132" name="Rectangle 4132"/>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133" name="Rectangle 4133"/>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134" name="Rectangle 4134"/>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4135" name="Rectangle 4135"/>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136" name="Rectangle 4136"/>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137" name="Rectangle 4137"/>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138" name="Rectangle 4138"/>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139" name="Rectangle 4139"/>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40" name="Rectangle 4140"/>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141" name="Rectangle 4141"/>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42" name="Rectangle 4142"/>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143" name="Rectangle 4143"/>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144" name="Rectangle 4144"/>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145" name="Rectangle 4145"/>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146" name="Rectangle 4146"/>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147" name="Rectangle 4147"/>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48" name="Rectangle 4148"/>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49" name="Rectangle 4149"/>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150" name="Rectangle 4150"/>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51" name="Rectangle 4151"/>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152" name="Rectangle 4152"/>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4153" name="Rectangle 4153"/>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154" name="Rectangle 4154"/>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155" name="Rectangle 4155"/>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156" name="Rectangle 4156"/>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157" name="Rectangle 4157"/>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58" name="Rectangle 4158"/>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1</w:t>
                              </w:r>
                            </w:p>
                          </w:txbxContent>
                        </wps:txbx>
                        <wps:bodyPr horzOverflow="overflow" vert="horz" lIns="0" tIns="0" rIns="0" bIns="0" rtlCol="0">
                          <a:noAutofit/>
                        </wps:bodyPr>
                      </wps:wsp>
                      <wps:wsp>
                        <wps:cNvPr id="4159" name="Rectangle 4159"/>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60" name="Rectangle 4160"/>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161" name="Rectangle 4161"/>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162" name="Rectangle 4162"/>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163" name="Rectangle 4163"/>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164" name="Rectangle 4164"/>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266" name="Rectangle 426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4267" name="Rectangle 426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268" name="Rectangle 426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9278" style="width:43.9695pt;height:261.085pt;position:absolute;mso-position-horizontal-relative:page;mso-position-horizontal:absolute;margin-left:549.528pt;mso-position-vertical-relative:page;margin-top:512.016pt;" coordsize="5584,33157">
                <v:rect id="Rectangle 3980"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981"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982"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983"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984"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85"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3986"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987"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3988"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989"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3990"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991"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3992"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3993"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3994"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3995"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3996"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3997" style="position:absolute;width:731;height:1122;left:3411;top:269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3998" style="position:absolute;width:731;height:1122;left:3411;top:264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3999" style="position:absolute;width:731;height:1122;left:3411;top:259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000" style="position:absolute;width:563;height:1122;left:3495;top:254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001" style="position:absolute;width:618;height:1122;left:3468;top:250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02" style="position:absolute;width:506;height:1122;left:3524;top:2460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4003" style="position:absolute;width:731;height:1122;left:3411;top:241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004" style="position:absolute;width:955;height:1122;left:3299;top:234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005" style="position:absolute;width:674;height:1122;left:3439;top:228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06" style="position:absolute;width:900;height:1122;left:3326;top:222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007" style="position:absolute;width:955;height:1122;left:3299;top:21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008" style="position:absolute;width:731;height:1122;left:3411;top:209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009" style="position:absolute;width:506;height:1122;left:3524;top:2050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010" style="position:absolute;width:900;height:1122;left:3326;top:199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011" style="position:absolute;width:731;height:1122;left:3411;top:193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012" style="position:absolute;width:506;height:1122;left:3524;top:188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013" style="position:absolute;width:731;height:1122;left:3411;top:18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14" style="position:absolute;width:506;height:1122;left:3524;top:179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015" style="position:absolute;width:618;height:1122;left:3468;top:175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16" style="position:absolute;width:618;height:1122;left:3468;top:17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017" style="position:absolute;width:506;height:1122;left:3524;top:166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5</w:t>
                        </w:r>
                      </w:p>
                    </w:txbxContent>
                  </v:textbox>
                </v:rect>
                <v:rect id="Rectangle 4018" style="position:absolute;width:563;height:1122;left:3495;top:162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019" style="position:absolute;width:731;height:1122;left:3411;top:157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020" style="position:absolute;width:731;height:1122;left:3411;top:151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021" style="position:absolute;width:563;height:1122;left:3495;top:147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022" style="position:absolute;width:253;height:1122;left:3650;top:144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023"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024"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25"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026"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27"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028"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29"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30"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31"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32"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33"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034"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035"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36"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037"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038"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39"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40"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041"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042"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43"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44"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45"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46"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47"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048"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049"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50"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051"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52"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053"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54"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55"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56"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057"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58"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059"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60"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061"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62"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63"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64"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065"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066"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067"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68"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69"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70"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71"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72"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073"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074"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075"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076"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077"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78"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079"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080"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81"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082"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83"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084"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085"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086"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087"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088"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089"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090"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091"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092"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093"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94"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095"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096"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097"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098"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099"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100"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101"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102"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103"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04"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105"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06"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107"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108"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09"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10"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111"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12"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113"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114"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15"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16"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117"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18"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19"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120"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121"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22"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123"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24"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125"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126"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127"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128"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29"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30"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31"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132"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133"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134"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4135"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136"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137"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138"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139"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40"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141"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42"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143"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144"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145"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146"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147"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48"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49"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150"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51"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152"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4153"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154"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155"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156"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157"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58"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1</w:t>
                        </w:r>
                      </w:p>
                    </w:txbxContent>
                  </v:textbox>
                </v:rect>
                <v:rect id="Rectangle 4159"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60"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161"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162"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163"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164"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26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426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6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133 </w:t>
                        </w:r>
                      </w:p>
                    </w:txbxContent>
                  </v:textbox>
                </v:rect>
                <w10:wrap type="square"/>
              </v:group>
            </w:pict>
          </mc:Fallback>
        </mc:AlternateContent>
      </w:r>
      <w:r>
        <w:t xml:space="preserve"> </w:t>
      </w:r>
    </w:p>
    <w:p w:rsidR="00085BB7" w:rsidRDefault="004441D3">
      <w:pPr>
        <w:spacing w:after="35"/>
        <w:ind w:left="1883" w:right="1404" w:hanging="282"/>
      </w:pPr>
      <w:r>
        <w:t xml:space="preserve">• </w:t>
      </w:r>
      <w:r>
        <w:t>El contrato basado en el acuerdo marco se adjudica el 29 de abril de 2021, habiéndose hasta ahora realizado 3 prorrogas, se requiere provisión de fondos para dotar de crédito la aplicación presupuestaria correspondiente. El importe de la estimación es de 4</w:t>
      </w:r>
      <w:r>
        <w:t xml:space="preserve">50.000,00 € incluido el 7% de IGIC. </w:t>
      </w:r>
      <w:r>
        <w:rPr>
          <w:sz w:val="23"/>
        </w:rPr>
        <w:t xml:space="preserve"> </w:t>
      </w:r>
    </w:p>
    <w:p w:rsidR="00085BB7" w:rsidRDefault="004441D3">
      <w:pPr>
        <w:spacing w:after="193" w:line="259" w:lineRule="auto"/>
        <w:ind w:left="1455" w:right="18" w:firstLine="0"/>
        <w:jc w:val="left"/>
      </w:pPr>
      <w:r>
        <w:t xml:space="preserve"> </w:t>
      </w:r>
    </w:p>
    <w:p w:rsidR="00085BB7" w:rsidRDefault="004441D3">
      <w:pPr>
        <w:spacing w:after="586"/>
        <w:ind w:left="730" w:right="903" w:firstLine="720"/>
      </w:pPr>
      <w:r>
        <w:t xml:space="preserve">Siendo un gasto específico y determinado ante la imposibilidad de demorarlo a ejercicios posteriores, y no habiendo crédito suficiente en las aplicaciones presupuestarias. </w:t>
      </w:r>
    </w:p>
    <w:p w:rsidR="00085BB7" w:rsidRDefault="004441D3">
      <w:pPr>
        <w:spacing w:after="105" w:line="265" w:lineRule="auto"/>
        <w:ind w:left="548" w:right="556" w:hanging="10"/>
        <w:jc w:val="center"/>
      </w:pPr>
      <w:r>
        <w:t xml:space="preserve">SE PROPONE: </w:t>
      </w:r>
    </w:p>
    <w:p w:rsidR="00085BB7" w:rsidRDefault="004441D3">
      <w:pPr>
        <w:spacing w:after="10"/>
        <w:ind w:left="736" w:right="903"/>
      </w:pPr>
      <w:r>
        <w:t xml:space="preserve">Único: Tramitar expediente </w:t>
      </w:r>
      <w:r>
        <w:t xml:space="preserve">10125/2024 de modificación presupuestaria por Suplemento de Créditos financiado con Remanente de Tesorería para gastos generales, por una cantidad total de 450.000,00 euros, de acuerdo al siguiente detalle: </w:t>
      </w:r>
    </w:p>
    <w:tbl>
      <w:tblPr>
        <w:tblStyle w:val="TableGrid"/>
        <w:tblW w:w="8532" w:type="dxa"/>
        <w:tblInd w:w="747" w:type="dxa"/>
        <w:tblCellMar>
          <w:top w:w="108" w:type="dxa"/>
          <w:left w:w="0" w:type="dxa"/>
          <w:bottom w:w="0" w:type="dxa"/>
          <w:right w:w="0" w:type="dxa"/>
        </w:tblCellMar>
        <w:tblLook w:val="04A0" w:firstRow="1" w:lastRow="0" w:firstColumn="1" w:lastColumn="0" w:noHBand="0" w:noVBand="1"/>
      </w:tblPr>
      <w:tblGrid>
        <w:gridCol w:w="1336"/>
        <w:gridCol w:w="2356"/>
        <w:gridCol w:w="3010"/>
        <w:gridCol w:w="666"/>
        <w:gridCol w:w="1164"/>
      </w:tblGrid>
      <w:tr w:rsidR="00085BB7">
        <w:trPr>
          <w:trHeight w:val="483"/>
        </w:trPr>
        <w:tc>
          <w:tcPr>
            <w:tcW w:w="3692" w:type="dxa"/>
            <w:gridSpan w:val="2"/>
            <w:tcBorders>
              <w:top w:val="single" w:sz="4" w:space="0" w:color="000000"/>
              <w:left w:val="single" w:sz="4" w:space="0" w:color="000000"/>
              <w:bottom w:val="single" w:sz="4" w:space="0" w:color="000000"/>
              <w:right w:val="nil"/>
            </w:tcBorders>
            <w:shd w:val="clear" w:color="auto" w:fill="DADADA"/>
          </w:tcPr>
          <w:p w:rsidR="00085BB7" w:rsidRDefault="00085BB7">
            <w:pPr>
              <w:spacing w:after="160" w:line="259" w:lineRule="auto"/>
              <w:ind w:left="0" w:right="0" w:firstLine="0"/>
              <w:jc w:val="left"/>
            </w:pPr>
          </w:p>
        </w:tc>
        <w:tc>
          <w:tcPr>
            <w:tcW w:w="3010" w:type="dxa"/>
            <w:tcBorders>
              <w:top w:val="single" w:sz="4" w:space="0" w:color="000000"/>
              <w:left w:val="nil"/>
              <w:bottom w:val="single" w:sz="4" w:space="0" w:color="000000"/>
              <w:right w:val="nil"/>
            </w:tcBorders>
            <w:shd w:val="clear" w:color="auto" w:fill="DADADA"/>
          </w:tcPr>
          <w:p w:rsidR="00085BB7" w:rsidRDefault="00085BB7">
            <w:pPr>
              <w:spacing w:after="160" w:line="259" w:lineRule="auto"/>
              <w:ind w:left="0" w:right="0" w:firstLine="0"/>
              <w:jc w:val="left"/>
            </w:pPr>
          </w:p>
        </w:tc>
        <w:tc>
          <w:tcPr>
            <w:tcW w:w="1830" w:type="dxa"/>
            <w:gridSpan w:val="2"/>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506"/>
        </w:trPr>
        <w:tc>
          <w:tcPr>
            <w:tcW w:w="1336"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70" w:right="0" w:firstLine="0"/>
            </w:pPr>
            <w:r>
              <w:rPr>
                <w:sz w:val="20"/>
              </w:rPr>
              <w:t xml:space="preserve">APLICACIÓN </w:t>
            </w:r>
          </w:p>
        </w:tc>
        <w:tc>
          <w:tcPr>
            <w:tcW w:w="2356" w:type="dxa"/>
            <w:tcBorders>
              <w:top w:val="single" w:sz="4" w:space="0" w:color="000000"/>
              <w:left w:val="single" w:sz="4" w:space="0" w:color="000000"/>
              <w:bottom w:val="single" w:sz="4" w:space="0" w:color="000000"/>
              <w:right w:val="nil"/>
            </w:tcBorders>
            <w:shd w:val="clear" w:color="auto" w:fill="DADADA"/>
          </w:tcPr>
          <w:p w:rsidR="00085BB7" w:rsidRDefault="00085BB7">
            <w:pPr>
              <w:spacing w:after="160" w:line="259" w:lineRule="auto"/>
              <w:ind w:left="0" w:right="0" w:firstLine="0"/>
              <w:jc w:val="left"/>
            </w:pPr>
          </w:p>
        </w:tc>
        <w:tc>
          <w:tcPr>
            <w:tcW w:w="3010" w:type="dxa"/>
            <w:tcBorders>
              <w:top w:val="single" w:sz="4" w:space="0" w:color="000000"/>
              <w:left w:val="nil"/>
              <w:bottom w:val="single" w:sz="4" w:space="0" w:color="000000"/>
              <w:right w:val="nil"/>
            </w:tcBorders>
            <w:shd w:val="clear" w:color="auto" w:fill="DADADA"/>
            <w:vAlign w:val="center"/>
          </w:tcPr>
          <w:p w:rsidR="00085BB7" w:rsidRDefault="004441D3">
            <w:pPr>
              <w:spacing w:after="0" w:line="259" w:lineRule="auto"/>
              <w:ind w:left="0" w:right="0" w:firstLine="0"/>
              <w:jc w:val="left"/>
            </w:pPr>
            <w:r>
              <w:rPr>
                <w:sz w:val="20"/>
              </w:rPr>
              <w:t xml:space="preserve">DENOMINACIÓN </w:t>
            </w:r>
          </w:p>
        </w:tc>
        <w:tc>
          <w:tcPr>
            <w:tcW w:w="666"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142" w:right="0" w:firstLine="0"/>
              <w:jc w:val="left"/>
            </w:pPr>
            <w:r>
              <w:rPr>
                <w:sz w:val="20"/>
              </w:rPr>
              <w:t xml:space="preserve">IMPORTE </w:t>
            </w:r>
          </w:p>
        </w:tc>
      </w:tr>
      <w:tr w:rsidR="00085BB7">
        <w:trPr>
          <w:trHeight w:val="590"/>
        </w:trPr>
        <w:tc>
          <w:tcPr>
            <w:tcW w:w="13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pPr>
            <w:r>
              <w:rPr>
                <w:sz w:val="20"/>
              </w:rPr>
              <w:t xml:space="preserve">16500.22100 </w:t>
            </w:r>
          </w:p>
        </w:tc>
        <w:tc>
          <w:tcPr>
            <w:tcW w:w="2356"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Suministro de Energía Eléctrica. </w:t>
            </w:r>
          </w:p>
        </w:tc>
        <w:tc>
          <w:tcPr>
            <w:tcW w:w="301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666"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16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40" w:right="0" w:firstLine="0"/>
              <w:jc w:val="left"/>
            </w:pPr>
            <w:r>
              <w:rPr>
                <w:sz w:val="20"/>
              </w:rPr>
              <w:t>450.000,00</w:t>
            </w:r>
          </w:p>
        </w:tc>
      </w:tr>
      <w:tr w:rsidR="00085BB7">
        <w:trPr>
          <w:trHeight w:val="506"/>
        </w:trPr>
        <w:tc>
          <w:tcPr>
            <w:tcW w:w="3692" w:type="dxa"/>
            <w:gridSpan w:val="2"/>
            <w:tcBorders>
              <w:top w:val="single" w:sz="4" w:space="0" w:color="000000"/>
              <w:left w:val="single" w:sz="4" w:space="0" w:color="000000"/>
              <w:bottom w:val="nil"/>
              <w:right w:val="nil"/>
            </w:tcBorders>
          </w:tcPr>
          <w:p w:rsidR="00085BB7" w:rsidRDefault="00085BB7">
            <w:pPr>
              <w:spacing w:after="160" w:line="259" w:lineRule="auto"/>
              <w:ind w:left="0" w:right="0" w:firstLine="0"/>
              <w:jc w:val="left"/>
            </w:pPr>
          </w:p>
        </w:tc>
        <w:tc>
          <w:tcPr>
            <w:tcW w:w="301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666"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0" w:right="0" w:firstLine="0"/>
            </w:pPr>
            <w:r>
              <w:rPr>
                <w:sz w:val="20"/>
              </w:rPr>
              <w:t xml:space="preserve">TOTAL </w:t>
            </w:r>
          </w:p>
        </w:tc>
        <w:tc>
          <w:tcPr>
            <w:tcW w:w="1164"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140" w:right="0" w:firstLine="0"/>
              <w:jc w:val="left"/>
            </w:pPr>
            <w:r>
              <w:rPr>
                <w:sz w:val="20"/>
              </w:rPr>
              <w:t>450.000,00</w:t>
            </w:r>
          </w:p>
        </w:tc>
      </w:tr>
    </w:tbl>
    <w:p w:rsidR="00085BB7" w:rsidRDefault="004441D3">
      <w:pPr>
        <w:spacing w:after="3" w:line="259" w:lineRule="auto"/>
        <w:ind w:left="738" w:right="18" w:hanging="10"/>
        <w:jc w:val="left"/>
      </w:pPr>
      <w:r>
        <w:rPr>
          <w:rFonts w:ascii="Times New Roman" w:eastAsia="Times New Roman" w:hAnsi="Times New Roman" w:cs="Times New Roman"/>
          <w:sz w:val="24"/>
        </w:rPr>
        <w:t>.</w:t>
      </w:r>
    </w:p>
    <w:p w:rsidR="00085BB7" w:rsidRDefault="004441D3">
      <w:pPr>
        <w:spacing w:after="3" w:line="259" w:lineRule="auto"/>
        <w:ind w:left="738" w:right="18" w:hanging="10"/>
        <w:jc w:val="left"/>
      </w:pPr>
      <w:r>
        <w:rPr>
          <w:rFonts w:ascii="Times New Roman" w:eastAsia="Times New Roman" w:hAnsi="Times New Roman" w:cs="Times New Roman"/>
          <w:sz w:val="24"/>
        </w:rPr>
        <w:t xml:space="preserve">“ </w:t>
      </w:r>
    </w:p>
    <w:p w:rsidR="00085BB7" w:rsidRDefault="004441D3">
      <w:pPr>
        <w:spacing w:after="0" w:line="259" w:lineRule="auto"/>
        <w:ind w:left="1455" w:right="0" w:firstLine="0"/>
        <w:jc w:val="left"/>
      </w:pPr>
      <w:r>
        <w:rPr>
          <w:rFonts w:ascii="Times New Roman" w:eastAsia="Times New Roman" w:hAnsi="Times New Roman" w:cs="Times New Roman"/>
          <w:sz w:val="24"/>
        </w:rPr>
        <w:t xml:space="preserve"> </w:t>
      </w:r>
    </w:p>
    <w:p w:rsidR="00085BB7" w:rsidRDefault="004441D3">
      <w:pPr>
        <w:spacing w:after="458"/>
        <w:ind w:left="730" w:right="1404" w:firstLine="708"/>
      </w:pPr>
      <w:r>
        <w:t xml:space="preserve">Vista las Memorias, informes técnicos, proyectos de obra y presupuestos, de las </w:t>
      </w:r>
      <w:r>
        <w:t>actuaciones que se quieren llevar a cabo, en la que se justifican la necesidad y urgencia de la modificación presupuestaria, requisito que se establece en la base 9ª del Presupuesto General, y siendo un gasto específico y determinado, ante la imposibilidad</w:t>
      </w:r>
      <w:r>
        <w:t xml:space="preserve"> de demorarlo a ejercicios posteriores, y no habiendo crédito suficiente en las aplicaciones presupuestarias. </w:t>
      </w:r>
    </w:p>
    <w:p w:rsidR="00085BB7" w:rsidRDefault="004441D3">
      <w:pPr>
        <w:ind w:left="736" w:right="1400"/>
      </w:pPr>
      <w:r>
        <w:t xml:space="preserve">PRIMERO. Para el año 2024 se reactivan las reglas fiscales suspendidas desde el año 2020. El Acuerdo del Consejo de Ministros de 12 de diciembre </w:t>
      </w:r>
      <w:r>
        <w:t>de 2023, pendiente de aprobación por las Cortes Generales, fija los objetivos de estabilidad y el techo de gasto no financiero para las Administraciones Públicas en el periodo 2024-2026, acordando una situación de equilibrio presupuestario para las Corpora</w:t>
      </w:r>
      <w:r>
        <w:t xml:space="preserve">ciones Locales. </w:t>
      </w:r>
    </w:p>
    <w:p w:rsidR="00085BB7" w:rsidRDefault="004441D3">
      <w:pPr>
        <w:ind w:left="736" w:right="1402"/>
      </w:pPr>
      <w:r>
        <w:t xml:space="preserve"> En este contexto y dado que durante los ejercicios 2022 y 2023 en que se han mantenido la suspensión de las reglas fiscales para las entidades locales, se extienden los efectos de la suspensión hasta la liquidación del ejercicio 2023.  Po</w:t>
      </w:r>
      <w:r>
        <w:t>r tanto, en el año 2024 no se aplica, respecto al eventual superávit de 2023, el artículo 32 de la Ley Orgánica 2/2012, de 27 de abril, de Estabilidad Presupuestaria y Sostenibilidad Financiera, relativo al destino del superávit presupuestario, debido a qu</w:t>
      </w:r>
      <w:r>
        <w:t xml:space="preserve">e en 2023 estaban suspendidas las reglas fiscales. </w:t>
      </w:r>
    </w:p>
    <w:p w:rsidR="00085BB7" w:rsidRDefault="004441D3">
      <w:pPr>
        <w:ind w:left="736" w:right="1407"/>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25822" name="Group 125822"/>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4275" name="Rectangle 4275"/>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276" name="Rectangle 4276"/>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277" name="Rectangle 4277"/>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278" name="Rectangle 4278"/>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279" name="Rectangle 4279"/>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280" name="Rectangle 4280"/>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281" name="Rectangle 4281"/>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282" name="Rectangle 4282"/>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283" name="Rectangle 4283"/>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284" name="Rectangle 4284"/>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285" name="Rectangle 4285"/>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286" name="Rectangle 4286"/>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287" name="Rectangle 4287"/>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288" name="Rectangle 4288"/>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289" name="Rectangle 4289"/>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290" name="Rectangle 4290"/>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291" name="Rectangle 4291"/>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292" name="Rectangle 4292"/>
                        <wps:cNvSpPr/>
                        <wps:spPr>
                          <a:xfrm rot="-5399999">
                            <a:off x="341159" y="269729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293" name="Rectangle 4293"/>
                        <wps:cNvSpPr/>
                        <wps:spPr>
                          <a:xfrm rot="-5399999">
                            <a:off x="341158" y="26490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294" name="Rectangle 4294"/>
                        <wps:cNvSpPr/>
                        <wps:spPr>
                          <a:xfrm rot="-5399999">
                            <a:off x="341157" y="25944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295" name="Rectangle 4295"/>
                        <wps:cNvSpPr/>
                        <wps:spPr>
                          <a:xfrm rot="-5399999">
                            <a:off x="349568" y="254695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296" name="Rectangle 4296"/>
                        <wps:cNvSpPr/>
                        <wps:spPr>
                          <a:xfrm rot="-5399999">
                            <a:off x="346832" y="25023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297" name="Rectangle 4297"/>
                        <wps:cNvSpPr/>
                        <wps:spPr>
                          <a:xfrm rot="-5399999">
                            <a:off x="352407" y="24608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4298" name="Rectangle 4298"/>
                        <wps:cNvSpPr/>
                        <wps:spPr>
                          <a:xfrm rot="-5399999">
                            <a:off x="341158" y="241154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299" name="Rectangle 4299"/>
                        <wps:cNvSpPr/>
                        <wps:spPr>
                          <a:xfrm rot="-5399999">
                            <a:off x="329958" y="23457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300" name="Rectangle 4300"/>
                        <wps:cNvSpPr/>
                        <wps:spPr>
                          <a:xfrm rot="-5399999">
                            <a:off x="343995" y="2287385"/>
                            <a:ext cx="674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01" name="Rectangle 4301"/>
                        <wps:cNvSpPr/>
                        <wps:spPr>
                          <a:xfrm rot="-5399999">
                            <a:off x="332696" y="2225286"/>
                            <a:ext cx="900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302" name="Rectangle 4302"/>
                        <wps:cNvSpPr/>
                        <wps:spPr>
                          <a:xfrm rot="-5399999">
                            <a:off x="329958" y="21552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303" name="Rectangle 4303"/>
                        <wps:cNvSpPr/>
                        <wps:spPr>
                          <a:xfrm rot="-5399999">
                            <a:off x="341158" y="2094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304" name="Rectangle 4304"/>
                        <wps:cNvSpPr/>
                        <wps:spPr>
                          <a:xfrm rot="-5399999">
                            <a:off x="352407" y="2050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305" name="Rectangle 4305"/>
                        <wps:cNvSpPr/>
                        <wps:spPr>
                          <a:xfrm rot="-5399999">
                            <a:off x="332696" y="1992875"/>
                            <a:ext cx="900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306" name="Rectangle 4306"/>
                        <wps:cNvSpPr/>
                        <wps:spPr>
                          <a:xfrm rot="-5399999">
                            <a:off x="341157" y="19340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07" name="Rectangle 4307"/>
                        <wps:cNvSpPr/>
                        <wps:spPr>
                          <a:xfrm rot="-5399999">
                            <a:off x="352407" y="18893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308" name="Rectangle 4308"/>
                        <wps:cNvSpPr/>
                        <wps:spPr>
                          <a:xfrm rot="-5399999">
                            <a:off x="341158" y="1840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09" name="Rectangle 4309"/>
                        <wps:cNvSpPr/>
                        <wps:spPr>
                          <a:xfrm rot="-5399999">
                            <a:off x="352407" y="1796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310" name="Rectangle 4310"/>
                        <wps:cNvSpPr/>
                        <wps:spPr>
                          <a:xfrm rot="-5399999">
                            <a:off x="346832" y="17530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11" name="Rectangle 4311"/>
                        <wps:cNvSpPr/>
                        <wps:spPr>
                          <a:xfrm rot="-5399999">
                            <a:off x="346832" y="170602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312" name="Rectangle 4312"/>
                        <wps:cNvSpPr/>
                        <wps:spPr>
                          <a:xfrm rot="-5399999">
                            <a:off x="352406" y="166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5</w:t>
                              </w:r>
                            </w:p>
                          </w:txbxContent>
                        </wps:txbx>
                        <wps:bodyPr horzOverflow="overflow" vert="horz" lIns="0" tIns="0" rIns="0" bIns="0" rtlCol="0">
                          <a:noAutofit/>
                        </wps:bodyPr>
                      </wps:wsp>
                      <wps:wsp>
                        <wps:cNvPr id="4313" name="Rectangle 4313"/>
                        <wps:cNvSpPr/>
                        <wps:spPr>
                          <a:xfrm rot="-5399999">
                            <a:off x="349569" y="16249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314" name="Rectangle 4314"/>
                        <wps:cNvSpPr/>
                        <wps:spPr>
                          <a:xfrm rot="-5399999">
                            <a:off x="341158" y="15733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315" name="Rectangle 4315"/>
                        <wps:cNvSpPr/>
                        <wps:spPr>
                          <a:xfrm rot="-5399999">
                            <a:off x="341158" y="15187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316" name="Rectangle 4316"/>
                        <wps:cNvSpPr/>
                        <wps:spPr>
                          <a:xfrm rot="-5399999">
                            <a:off x="349569" y="14725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317" name="Rectangle 4317"/>
                        <wps:cNvSpPr/>
                        <wps:spPr>
                          <a:xfrm rot="-5399999">
                            <a:off x="365076" y="144486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318" name="Rectangle 4318"/>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319" name="Rectangle 4319"/>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20" name="Rectangle 4320"/>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321" name="Rectangle 4321"/>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22" name="Rectangle 4322"/>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323" name="Rectangle 4323"/>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24" name="Rectangle 4324"/>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25" name="Rectangle 4325"/>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26" name="Rectangle 4326"/>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27" name="Rectangle 4327"/>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28" name="Rectangle 4328"/>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329" name="Rectangle 4329"/>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30" name="Rectangle 4330"/>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31" name="Rectangle 4331"/>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332" name="Rectangle 4332"/>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333" name="Rectangle 4333"/>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334" name="Rectangle 4334"/>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335" name="Rectangle 4335"/>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336" name="Rectangle 4336"/>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337" name="Rectangle 4337"/>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38" name="Rectangle 4338"/>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39" name="Rectangle 4339"/>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40" name="Rectangle 4340"/>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41" name="Rectangle 4341"/>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42" name="Rectangle 4342"/>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43" name="Rectangle 4343"/>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344" name="Rectangle 4344"/>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45" name="Rectangle 4345"/>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346" name="Rectangle 4346"/>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47" name="Rectangle 4347"/>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348" name="Rectangle 4348"/>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49" name="Rectangle 4349"/>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50" name="Rectangle 4350"/>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51" name="Rectangle 4351"/>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352" name="Rectangle 4352"/>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53" name="Rectangle 4353"/>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354" name="Rectangle 4354"/>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55" name="Rectangle 4355"/>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356" name="Rectangle 4356"/>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57" name="Rectangle 4357"/>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58" name="Rectangle 4358"/>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359" name="Rectangle 4359"/>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360" name="Rectangle 4360"/>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361" name="Rectangle 4361"/>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62" name="Rectangle 4362"/>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63" name="Rectangle 4363"/>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64" name="Rectangle 4364"/>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65" name="Rectangle 4365"/>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66" name="Rectangle 4366"/>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67" name="Rectangle 4367"/>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368" name="Rectangle 4368"/>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369" name="Rectangle 4369"/>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370" name="Rectangle 4370"/>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371" name="Rectangle 4371"/>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372" name="Rectangle 4372"/>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73" name="Rectangle 4373"/>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374" name="Rectangle 4374"/>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375" name="Rectangle 4375"/>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76" name="Rectangle 4376"/>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77" name="Rectangle 4377"/>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378" name="Rectangle 4378"/>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379" name="Rectangle 4379"/>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380" name="Rectangle 4380"/>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381" name="Rectangle 4381"/>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82" name="Rectangle 4382"/>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383" name="Rectangle 4383"/>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384" name="Rectangle 4384"/>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85" name="Rectangle 4385"/>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386" name="Rectangle 4386"/>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387" name="Rectangle 4387"/>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388" name="Rectangle 4388"/>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89" name="Rectangle 4389"/>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390" name="Rectangle 4390"/>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391" name="Rectangle 4391"/>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92" name="Rectangle 4392"/>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393" name="Rectangle 4393"/>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394" name="Rectangle 4394"/>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395" name="Rectangle 4395"/>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396" name="Rectangle 4396"/>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397" name="Rectangle 4397"/>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398" name="Rectangle 4398"/>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399" name="Rectangle 4399"/>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400" name="Rectangle 4400"/>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01" name="Rectangle 4401"/>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402" name="Rectangle 4402"/>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403" name="Rectangle 4403"/>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04" name="Rectangle 4404"/>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05" name="Rectangle 4405"/>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406" name="Rectangle 4406"/>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07" name="Rectangle 4407"/>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408" name="Rectangle 4408"/>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409" name="Rectangle 4409"/>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10" name="Rectangle 4410"/>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11" name="Rectangle 4411"/>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412" name="Rectangle 4412"/>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13" name="Rectangle 4413"/>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14" name="Rectangle 4414"/>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415" name="Rectangle 4415"/>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416" name="Rectangle 4416"/>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17" name="Rectangle 4417"/>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418" name="Rectangle 4418"/>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19" name="Rectangle 4419"/>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420" name="Rectangle 4420"/>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421" name="Rectangle 4421"/>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422" name="Rectangle 4422"/>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423" name="Rectangle 4423"/>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24" name="Rectangle 4424"/>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25" name="Rectangle 4425"/>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26" name="Rectangle 4426"/>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427" name="Rectangle 4427"/>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428" name="Rectangle 4428"/>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429" name="Rectangle 4429"/>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4430" name="Rectangle 4430"/>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431" name="Rectangle 4431"/>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432" name="Rectangle 4432"/>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433" name="Rectangle 4433"/>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434" name="Rectangle 4434"/>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35" name="Rectangle 4435"/>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436" name="Rectangle 4436"/>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37" name="Rectangle 4437"/>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438" name="Rectangle 4438"/>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439" name="Rectangle 4439"/>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440" name="Rectangle 4440"/>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441" name="Rectangle 4441"/>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442" name="Rectangle 4442"/>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43" name="Rectangle 4443"/>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44" name="Rectangle 4444"/>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445" name="Rectangle 4445"/>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46" name="Rectangle 4446"/>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447" name="Rectangle 4447"/>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4448" name="Rectangle 4448"/>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449" name="Rectangle 4449"/>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450" name="Rectangle 4450"/>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451" name="Rectangle 4451"/>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452" name="Rectangle 4452"/>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53" name="Rectangle 4453"/>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454" name="Rectangle 4454"/>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55" name="Rectangle 4455"/>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456" name="Rectangle 4456"/>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457" name="Rectangle 4457"/>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458" name="Rectangle 4458"/>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459" name="Rectangle 4459"/>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556" name="Rectangle 455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4557" name="Rectangle 455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558" name="Rectangle 455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822" style="width:43.9695pt;height:261.085pt;position:absolute;mso-position-horizontal-relative:page;mso-position-horizontal:absolute;margin-left:549.528pt;mso-position-vertical-relative:page;margin-top:512.016pt;" coordsize="5584,33157">
                <v:rect id="Rectangle 4275"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276"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277"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278"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279"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280"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281"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282"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283"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284"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285"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286"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287"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288"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289"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290"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291"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292" style="position:absolute;width:731;height:1122;left:3411;top:269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293" style="position:absolute;width:731;height:1122;left:3411;top:264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294" style="position:absolute;width:731;height:1122;left:3411;top:259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295" style="position:absolute;width:563;height:1122;left:3495;top:254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296" style="position:absolute;width:618;height:1122;left:3468;top:250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297" style="position:absolute;width:506;height:1122;left:3524;top:2460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4298" style="position:absolute;width:731;height:1122;left:3411;top:241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299" style="position:absolute;width:955;height:1122;left:3299;top:234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300" style="position:absolute;width:674;height:1122;left:3439;top:228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01" style="position:absolute;width:900;height:1122;left:3326;top:222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302" style="position:absolute;width:955;height:1122;left:3299;top:21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303" style="position:absolute;width:731;height:1122;left:3411;top:209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304" style="position:absolute;width:506;height:1122;left:3524;top:2050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305" style="position:absolute;width:900;height:1122;left:3326;top:199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306" style="position:absolute;width:731;height:1122;left:3411;top:193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07" style="position:absolute;width:506;height:1122;left:3524;top:188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308" style="position:absolute;width:731;height:1122;left:3411;top:18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09" style="position:absolute;width:506;height:1122;left:3524;top:179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310" style="position:absolute;width:618;height:1122;left:3468;top:175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11" style="position:absolute;width:618;height:1122;left:3468;top:17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312" style="position:absolute;width:506;height:1122;left:3524;top:166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5</w:t>
                        </w:r>
                      </w:p>
                    </w:txbxContent>
                  </v:textbox>
                </v:rect>
                <v:rect id="Rectangle 4313" style="position:absolute;width:563;height:1122;left:3495;top:162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314" style="position:absolute;width:731;height:1122;left:3411;top:157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315" style="position:absolute;width:731;height:1122;left:3411;top:151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316" style="position:absolute;width:563;height:1122;left:3495;top:147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317" style="position:absolute;width:253;height:1122;left:3650;top:144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318"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319"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20"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321"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22"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323"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24"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25"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26"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27"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28"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329"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30"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31"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332"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333"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334"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335"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336"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337"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38"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39"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40"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41"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42"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43"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344"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45"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346"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47"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348"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49"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50"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51"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352"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53"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354"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55"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356"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57"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58"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359"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360"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361"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62"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63"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64"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65"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66"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67"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368"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369"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370"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371"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372"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73"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374"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375"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76"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77"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378"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379"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380"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381"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82"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383"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384"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85"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386"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387"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388"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89"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390"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391"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92"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393"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394"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395"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396"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397"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398"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399"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400"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01"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402"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403"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04"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05"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406"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07"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408"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409"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10"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11"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412"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13"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14"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415"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416"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17"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418"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19"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420"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421"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422"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423"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24"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25"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26"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427"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428"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429"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4430"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431"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432"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433"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434"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35"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436"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37"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438"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439"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440"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441"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442"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43"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44"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445"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46"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447"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4448"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449"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450"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451"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452"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53"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454"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55"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456"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457"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458"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459"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55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45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133 </w:t>
                        </w:r>
                      </w:p>
                    </w:txbxContent>
                  </v:textbox>
                </v:rect>
                <w10:wrap type="square"/>
              </v:group>
            </w:pict>
          </mc:Fallback>
        </mc:AlternateContent>
      </w:r>
      <w:r>
        <w:t xml:space="preserve"> La suspensión de las reglas fiscales ha supuesto que el superávit no tenga que dedicarse a amortizar deuda, aun siendo posible realizar esta amortización si la EELL lo considera. La regla del artículo 32 de la LOEPSF puede no aplicarse a partir del moment</w:t>
      </w:r>
      <w:r>
        <w:t xml:space="preserve">o en que se han suspendido las reglas fiscales, ya que estas son el fundamento de aquella regla. Regla que conecta con el objetivo de estabilidad presupuestaria y con el de deuda pública.  </w:t>
      </w:r>
    </w:p>
    <w:p w:rsidR="00085BB7" w:rsidRDefault="004441D3">
      <w:pPr>
        <w:spacing w:after="10"/>
        <w:ind w:left="736" w:right="1407"/>
      </w:pPr>
      <w:r>
        <w:t xml:space="preserve"> Al no ser aplicable la regla general, tampoco es necesaria la reg</w:t>
      </w:r>
      <w:r>
        <w:t xml:space="preserve">la especial de destinar el superávit a inversiones financieramente sostenibles, salvo las excepciones siguientes, o mediante norma posterior que prorrogue íntegramente la DA 6ª de la LOEPSF. </w:t>
      </w:r>
    </w:p>
    <w:p w:rsidR="00085BB7" w:rsidRDefault="004441D3">
      <w:pPr>
        <w:spacing w:after="20" w:line="259" w:lineRule="auto"/>
        <w:ind w:left="747"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085BB7" w:rsidRDefault="004441D3">
      <w:pPr>
        <w:spacing w:after="101"/>
        <w:ind w:left="736" w:right="903"/>
      </w:pPr>
      <w:r>
        <w:t xml:space="preserve">SEGUNDO. La legislación aplicable es la siguiente: </w:t>
      </w:r>
    </w:p>
    <w:p w:rsidR="00085BB7" w:rsidRDefault="004441D3">
      <w:pPr>
        <w:numPr>
          <w:ilvl w:val="0"/>
          <w:numId w:val="7"/>
        </w:numPr>
        <w:spacing w:after="104"/>
        <w:ind w:right="903" w:hanging="360"/>
      </w:pPr>
      <w:r>
        <w:t>Los artí</w:t>
      </w:r>
      <w:r>
        <w:t xml:space="preserve">culos 169, 170 y 172 a 177 del Real Decreto Legislativo 2/2004, de 5 de marzo, por el que se aprueba el Texto Refundido de la Ley Reguladora de las Haciendas Locales.  </w:t>
      </w:r>
    </w:p>
    <w:p w:rsidR="00085BB7" w:rsidRDefault="004441D3">
      <w:pPr>
        <w:numPr>
          <w:ilvl w:val="0"/>
          <w:numId w:val="7"/>
        </w:numPr>
        <w:spacing w:after="107"/>
        <w:ind w:right="903" w:hanging="360"/>
      </w:pPr>
      <w:r>
        <w:t>Los artículos 34 a 38 del Real Decreto 500/1990, de 20 de abril, por el que se desarrol</w:t>
      </w:r>
      <w:r>
        <w:t xml:space="preserve">la el Capítulo I, del Título VI, de la Ley 39/1988, de 28 de diciembre, Reguladora de las Haciendas Locales, en materia de presupuestos. </w:t>
      </w:r>
    </w:p>
    <w:p w:rsidR="00085BB7" w:rsidRDefault="004441D3">
      <w:pPr>
        <w:numPr>
          <w:ilvl w:val="0"/>
          <w:numId w:val="7"/>
        </w:numPr>
        <w:spacing w:after="106"/>
        <w:ind w:right="903" w:hanging="360"/>
      </w:pPr>
      <w:r>
        <w:t>Los artículos 3, 4, 11, 12, 13, 21, 23 y 32 de la Ley Orgánica 2/2012, de 27 de abril, de Estabilidad Presupuestaria y</w:t>
      </w:r>
      <w:r>
        <w:t xml:space="preserve"> Sostenibilidad Financiera.  </w:t>
      </w:r>
    </w:p>
    <w:p w:rsidR="00085BB7" w:rsidRDefault="004441D3">
      <w:pPr>
        <w:numPr>
          <w:ilvl w:val="0"/>
          <w:numId w:val="7"/>
        </w:numPr>
        <w:spacing w:after="109"/>
        <w:ind w:right="903" w:hanging="360"/>
      </w:pPr>
      <w:r>
        <w:t xml:space="preserve">El artículo 16.2 del Real Decreto 1463/2007, de 2 de noviembre, por el que se aprueba el Reglamento de Desarrollo de la Ley 18/2001, de 12 de noviembre, de Estabilidad Presupuestaria, en su Aplicación a las Entidades Locales. </w:t>
      </w:r>
    </w:p>
    <w:p w:rsidR="00085BB7" w:rsidRDefault="004441D3">
      <w:pPr>
        <w:numPr>
          <w:ilvl w:val="0"/>
          <w:numId w:val="7"/>
        </w:numPr>
        <w:spacing w:after="109"/>
        <w:ind w:right="903" w:hanging="360"/>
      </w:pPr>
      <w:r>
        <w:t xml:space="preserve">El artículo 22.2.e) de la Ley 7/1985, de 2 de abril, Reguladora de las Bases del Régimen Local. </w:t>
      </w:r>
    </w:p>
    <w:p w:rsidR="00085BB7" w:rsidRDefault="004441D3">
      <w:pPr>
        <w:numPr>
          <w:ilvl w:val="0"/>
          <w:numId w:val="7"/>
        </w:numPr>
        <w:spacing w:after="143"/>
        <w:ind w:right="903" w:hanging="360"/>
      </w:pPr>
      <w:r>
        <w:t xml:space="preserve">La Disposición Adicional 6.ª de la Ley Orgánica 2/2012, de 27 de abril, de Estabilidad Presupuestaria y Sostenibilidad Financiera. </w:t>
      </w:r>
    </w:p>
    <w:p w:rsidR="00085BB7" w:rsidRDefault="004441D3">
      <w:pPr>
        <w:numPr>
          <w:ilvl w:val="0"/>
          <w:numId w:val="7"/>
        </w:numPr>
        <w:spacing w:after="0"/>
        <w:ind w:right="903" w:hanging="360"/>
      </w:pPr>
      <w:r>
        <w:t>La Orden EHA/3565/2008, de</w:t>
      </w:r>
      <w:r>
        <w:t xml:space="preserve"> 3 de diciembre, por la que se aprueba la estructura de presupuestos de las entidades locales. - Resolución de 14 de septiembre de 2009, de la Dirección General de Coordinación Financiera con las Comunidades Autónomas y con las </w:t>
      </w:r>
    </w:p>
    <w:p w:rsidR="00085BB7" w:rsidRDefault="004441D3">
      <w:pPr>
        <w:spacing w:after="111" w:line="249" w:lineRule="auto"/>
        <w:ind w:left="730" w:right="673" w:hanging="10"/>
        <w:jc w:val="left"/>
      </w:pPr>
      <w:r>
        <w:t xml:space="preserve">Entidades Locales, por la que se Dictan Medidas para el Desarrollo de la Orden EHA/3565/2008, de 3 de diciembre, por la que se Aprueba la Estructura de los Presupuestos de las Entidades Locales. </w:t>
      </w:r>
    </w:p>
    <w:p w:rsidR="00085BB7" w:rsidRDefault="004441D3">
      <w:pPr>
        <w:numPr>
          <w:ilvl w:val="0"/>
          <w:numId w:val="7"/>
        </w:numPr>
        <w:spacing w:after="105"/>
        <w:ind w:right="903" w:hanging="360"/>
      </w:pPr>
      <w:r>
        <w:t xml:space="preserve">La Disposición Adicional 16.ª del Texto Refundido de la Ley </w:t>
      </w:r>
      <w:r>
        <w:t xml:space="preserve">Reguladora de las Haciendas Locales.  </w:t>
      </w:r>
    </w:p>
    <w:p w:rsidR="00085BB7" w:rsidRDefault="004441D3">
      <w:pPr>
        <w:numPr>
          <w:ilvl w:val="0"/>
          <w:numId w:val="7"/>
        </w:numPr>
        <w:spacing w:after="10"/>
        <w:ind w:right="903" w:hanging="360"/>
      </w:pPr>
      <w:r>
        <w:t xml:space="preserve">Acuerdo del Congreso de los Diputados del 13 de octubre de 2020, relativo al </w:t>
      </w:r>
    </w:p>
    <w:p w:rsidR="00085BB7" w:rsidRDefault="004441D3">
      <w:pPr>
        <w:spacing w:after="0"/>
        <w:ind w:left="1483" w:right="1404"/>
      </w:pPr>
      <w:r>
        <w:t>Objetivo de Estabilidad Presupuestaria, según acuerdo del Consejo de Ministros de 6 de octubre de 2020 de “Someter a la deliberación del Pl</w:t>
      </w:r>
      <w:r>
        <w:t xml:space="preserve">eno, a los efectos previstos en los artículos 135.4 de la Constitución y 11.3 de la Ley Orgánica 2/2012, de 27 de abril, de Estabilidad Presupuestaria y Sostenibilidad </w:t>
      </w:r>
    </w:p>
    <w:p w:rsidR="00085BB7" w:rsidRDefault="004441D3">
      <w:pPr>
        <w:spacing w:after="10"/>
        <w:ind w:left="1483" w:right="903"/>
      </w:pPr>
      <w:r>
        <w:t xml:space="preserve">Financiera y publicar en el Boletín Oficial de las Cortes Generales.” </w:t>
      </w:r>
    </w:p>
    <w:p w:rsidR="00085BB7" w:rsidRDefault="004441D3">
      <w:pPr>
        <w:spacing w:after="0" w:line="259" w:lineRule="auto"/>
        <w:ind w:left="747" w:right="0" w:firstLine="0"/>
        <w:jc w:val="left"/>
      </w:pPr>
      <w:r>
        <w:t xml:space="preserve"> </w:t>
      </w:r>
    </w:p>
    <w:p w:rsidR="00085BB7" w:rsidRDefault="004441D3">
      <w:pPr>
        <w:spacing w:after="10"/>
        <w:ind w:left="736" w:right="903"/>
      </w:pPr>
      <w:r>
        <w:t>TERCERO: Consi</w:t>
      </w:r>
      <w:r>
        <w:t xml:space="preserve">derando que el artículo 177 del Real Decreto Legislativo 2/2004, de </w:t>
      </w:r>
    </w:p>
    <w:p w:rsidR="00085BB7" w:rsidRDefault="004441D3">
      <w:pPr>
        <w:spacing w:after="0"/>
        <w:ind w:left="736" w:right="1405"/>
      </w:pPr>
      <w:r>
        <w:t>5 de marzo, por el que se aprueba el texto refundido de la Ley Reguladora de las Haciendas Locales, regula los expedientes de modificación presupuestaria mediante créditos extraordinarios</w:t>
      </w:r>
      <w:r>
        <w:t xml:space="preserve"> y suplementos de crédito, al señalar que: </w:t>
      </w:r>
    </w:p>
    <w:p w:rsidR="00085BB7" w:rsidRDefault="004441D3">
      <w:pPr>
        <w:numPr>
          <w:ilvl w:val="0"/>
          <w:numId w:val="8"/>
        </w:numPr>
        <w:spacing w:after="0"/>
        <w:ind w:right="1404" w:hanging="348"/>
      </w:pPr>
      <w:r>
        <w:t>Cuando haya de realizarse algún gasto que no pueda demorarse hasta el ejercicio siguiente, y sea insuficiente en el presupuesto de la corporación el crédito consignado, el presidente de la corporación ordenará la</w:t>
      </w:r>
      <w:r>
        <w:t xml:space="preserve"> incoación del expediente de suplemento de crédito.  </w:t>
      </w:r>
    </w:p>
    <w:p w:rsidR="00085BB7" w:rsidRDefault="004441D3">
      <w:pPr>
        <w:numPr>
          <w:ilvl w:val="0"/>
          <w:numId w:val="8"/>
        </w:numPr>
        <w:spacing w:after="0"/>
        <w:ind w:right="1404" w:hanging="348"/>
      </w:pPr>
      <w:r>
        <w:t xml:space="preserve">El expediente, que habrá de ser previamente informado por la Intervención, se someterá a la aprobación del Pleno de la corporación, con sujeción a los mismos trámites y requisitos que los presupuestos. </w:t>
      </w:r>
      <w:r>
        <w:t xml:space="preserve">Serán, asimismo, de aplicación, las normas sobre información, reclamación y publicidad de los presupuestos a que se refiere el artículo 169 de esta ley.  </w:t>
      </w:r>
    </w:p>
    <w:p w:rsidR="00085BB7" w:rsidRDefault="004441D3">
      <w:pPr>
        <w:numPr>
          <w:ilvl w:val="0"/>
          <w:numId w:val="8"/>
        </w:numPr>
        <w:spacing w:after="1"/>
        <w:ind w:right="1404" w:hanging="348"/>
      </w:pPr>
      <w:r>
        <w:t>El expediente deberá especificar la concreta partida presupuestaria a incrementar y el medio o recurs</w:t>
      </w:r>
      <w:r>
        <w:t xml:space="preserve">o que ha de financiar el aumento que se propone. </w:t>
      </w:r>
    </w:p>
    <w:p w:rsidR="00085BB7" w:rsidRDefault="004441D3">
      <w:pPr>
        <w:numPr>
          <w:ilvl w:val="0"/>
          <w:numId w:val="8"/>
        </w:numPr>
        <w:spacing w:after="0"/>
        <w:ind w:right="1404" w:hanging="34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25725" name="Group 125725"/>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4563" name="Rectangle 4563"/>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564" name="Rectangle 4564"/>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565" name="Rectangle 4565"/>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566" name="Rectangle 4566"/>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567" name="Rectangle 4567"/>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568" name="Rectangle 4568"/>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569" name="Rectangle 4569"/>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570" name="Rectangle 4570"/>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571" name="Rectangle 4571"/>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572" name="Rectangle 4572"/>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573" name="Rectangle 4573"/>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574" name="Rectangle 4574"/>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575" name="Rectangle 4575"/>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576" name="Rectangle 4576"/>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577" name="Rectangle 4577"/>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578" name="Rectangle 4578"/>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579" name="Rectangle 4579"/>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580" name="Rectangle 4580"/>
                        <wps:cNvSpPr/>
                        <wps:spPr>
                          <a:xfrm rot="-5399999">
                            <a:off x="341159" y="269729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581" name="Rectangle 4581"/>
                        <wps:cNvSpPr/>
                        <wps:spPr>
                          <a:xfrm rot="-5399999">
                            <a:off x="341158" y="26490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582" name="Rectangle 4582"/>
                        <wps:cNvSpPr/>
                        <wps:spPr>
                          <a:xfrm rot="-5399999">
                            <a:off x="341157" y="25944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583" name="Rectangle 4583"/>
                        <wps:cNvSpPr/>
                        <wps:spPr>
                          <a:xfrm rot="-5399999">
                            <a:off x="349568" y="254695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584" name="Rectangle 4584"/>
                        <wps:cNvSpPr/>
                        <wps:spPr>
                          <a:xfrm rot="-5399999">
                            <a:off x="346832" y="25023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585" name="Rectangle 4585"/>
                        <wps:cNvSpPr/>
                        <wps:spPr>
                          <a:xfrm rot="-5399999">
                            <a:off x="352407" y="24608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4586" name="Rectangle 4586"/>
                        <wps:cNvSpPr/>
                        <wps:spPr>
                          <a:xfrm rot="-5399999">
                            <a:off x="341158" y="241154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587" name="Rectangle 4587"/>
                        <wps:cNvSpPr/>
                        <wps:spPr>
                          <a:xfrm rot="-5399999">
                            <a:off x="329958" y="23457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588" name="Rectangle 4588"/>
                        <wps:cNvSpPr/>
                        <wps:spPr>
                          <a:xfrm rot="-5399999">
                            <a:off x="343995" y="2287385"/>
                            <a:ext cx="674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589" name="Rectangle 4589"/>
                        <wps:cNvSpPr/>
                        <wps:spPr>
                          <a:xfrm rot="-5399999">
                            <a:off x="332696" y="2225286"/>
                            <a:ext cx="900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590" name="Rectangle 4590"/>
                        <wps:cNvSpPr/>
                        <wps:spPr>
                          <a:xfrm rot="-5399999">
                            <a:off x="329958" y="2155239"/>
                            <a:ext cx="955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w:t>
                              </w:r>
                            </w:p>
                          </w:txbxContent>
                        </wps:txbx>
                        <wps:bodyPr horzOverflow="overflow" vert="horz" lIns="0" tIns="0" rIns="0" bIns="0" rtlCol="0">
                          <a:noAutofit/>
                        </wps:bodyPr>
                      </wps:wsp>
                      <wps:wsp>
                        <wps:cNvPr id="4591" name="Rectangle 4591"/>
                        <wps:cNvSpPr/>
                        <wps:spPr>
                          <a:xfrm rot="-5399999">
                            <a:off x="341158" y="2094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592" name="Rectangle 4592"/>
                        <wps:cNvSpPr/>
                        <wps:spPr>
                          <a:xfrm rot="-5399999">
                            <a:off x="352407" y="2050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593" name="Rectangle 4593"/>
                        <wps:cNvSpPr/>
                        <wps:spPr>
                          <a:xfrm rot="-5399999">
                            <a:off x="332696" y="1992875"/>
                            <a:ext cx="900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594" name="Rectangle 4594"/>
                        <wps:cNvSpPr/>
                        <wps:spPr>
                          <a:xfrm rot="-5399999">
                            <a:off x="341157" y="193402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595" name="Rectangle 4595"/>
                        <wps:cNvSpPr/>
                        <wps:spPr>
                          <a:xfrm rot="-5399999">
                            <a:off x="352407" y="188939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4596" name="Rectangle 4596"/>
                        <wps:cNvSpPr/>
                        <wps:spPr>
                          <a:xfrm rot="-5399999">
                            <a:off x="341158" y="18400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597" name="Rectangle 4597"/>
                        <wps:cNvSpPr/>
                        <wps:spPr>
                          <a:xfrm rot="-5399999">
                            <a:off x="352407" y="179668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598" name="Rectangle 4598"/>
                        <wps:cNvSpPr/>
                        <wps:spPr>
                          <a:xfrm rot="-5399999">
                            <a:off x="346832" y="175301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599" name="Rectangle 4599"/>
                        <wps:cNvSpPr/>
                        <wps:spPr>
                          <a:xfrm rot="-5399999">
                            <a:off x="346832" y="170602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600" name="Rectangle 4600"/>
                        <wps:cNvSpPr/>
                        <wps:spPr>
                          <a:xfrm rot="-5399999">
                            <a:off x="352406" y="166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5</w:t>
                              </w:r>
                            </w:p>
                          </w:txbxContent>
                        </wps:txbx>
                        <wps:bodyPr horzOverflow="overflow" vert="horz" lIns="0" tIns="0" rIns="0" bIns="0" rtlCol="0">
                          <a:noAutofit/>
                        </wps:bodyPr>
                      </wps:wsp>
                      <wps:wsp>
                        <wps:cNvPr id="4601" name="Rectangle 4601"/>
                        <wps:cNvSpPr/>
                        <wps:spPr>
                          <a:xfrm rot="-5399999">
                            <a:off x="349569" y="16249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602" name="Rectangle 4602"/>
                        <wps:cNvSpPr/>
                        <wps:spPr>
                          <a:xfrm rot="-5399999">
                            <a:off x="341158" y="157334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03" name="Rectangle 4603"/>
                        <wps:cNvSpPr/>
                        <wps:spPr>
                          <a:xfrm rot="-5399999">
                            <a:off x="341158" y="151873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604" name="Rectangle 4604"/>
                        <wps:cNvSpPr/>
                        <wps:spPr>
                          <a:xfrm rot="-5399999">
                            <a:off x="349569" y="14725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605" name="Rectangle 4605"/>
                        <wps:cNvSpPr/>
                        <wps:spPr>
                          <a:xfrm rot="-5399999">
                            <a:off x="365076" y="144486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06" name="Rectangle 4606"/>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607" name="Rectangle 4607"/>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08" name="Rectangle 4608"/>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609" name="Rectangle 4609"/>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10" name="Rectangle 4610"/>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611" name="Rectangle 4611"/>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12" name="Rectangle 4612"/>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13" name="Rectangle 4613"/>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14" name="Rectangle 4614"/>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15" name="Rectangle 4615"/>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16" name="Rectangle 4616"/>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617" name="Rectangle 4617"/>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18" name="Rectangle 4618"/>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19" name="Rectangle 4619"/>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20" name="Rectangle 4620"/>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621" name="Rectangle 4621"/>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22" name="Rectangle 4622"/>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23" name="Rectangle 4623"/>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624" name="Rectangle 4624"/>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625" name="Rectangle 4625"/>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26" name="Rectangle 4626"/>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27" name="Rectangle 4627"/>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28" name="Rectangle 4628"/>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29" name="Rectangle 4629"/>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30" name="Rectangle 4630"/>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31" name="Rectangle 4631"/>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32" name="Rectangle 4632"/>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33" name="Rectangle 4633"/>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634" name="Rectangle 4634"/>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35" name="Rectangle 4635"/>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636" name="Rectangle 4636"/>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37" name="Rectangle 4637"/>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38" name="Rectangle 4638"/>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39" name="Rectangle 4639"/>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640" name="Rectangle 4640"/>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41" name="Rectangle 4641"/>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42" name="Rectangle 4642"/>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43" name="Rectangle 4643"/>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644" name="Rectangle 4644"/>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45" name="Rectangle 4645"/>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46" name="Rectangle 4646"/>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47" name="Rectangle 4647"/>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648" name="Rectangle 4648"/>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649" name="Rectangle 4649"/>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50" name="Rectangle 4650"/>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51" name="Rectangle 4651"/>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52" name="Rectangle 4652"/>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53" name="Rectangle 4653"/>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54" name="Rectangle 4654"/>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55" name="Rectangle 4655"/>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656" name="Rectangle 4656"/>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657" name="Rectangle 4657"/>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58" name="Rectangle 4658"/>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59" name="Rectangle 4659"/>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660" name="Rectangle 4660"/>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61" name="Rectangle 4661"/>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662" name="Rectangle 4662"/>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663" name="Rectangle 4663"/>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64" name="Rectangle 4664"/>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65" name="Rectangle 4665"/>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66" name="Rectangle 4666"/>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667" name="Rectangle 4667"/>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68" name="Rectangle 4668"/>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669" name="Rectangle 4669"/>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70" name="Rectangle 4670"/>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671" name="Rectangle 4671"/>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672" name="Rectangle 4672"/>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73" name="Rectangle 4673"/>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74" name="Rectangle 4674"/>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675" name="Rectangle 4675"/>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76" name="Rectangle 4676"/>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77" name="Rectangle 4677"/>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678" name="Rectangle 4678"/>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79" name="Rectangle 4679"/>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80" name="Rectangle 4680"/>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81" name="Rectangle 4681"/>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682" name="Rectangle 4682"/>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683" name="Rectangle 4683"/>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84" name="Rectangle 4684"/>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685" name="Rectangle 4685"/>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686" name="Rectangle 4686"/>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687" name="Rectangle 4687"/>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688" name="Rectangle 4688"/>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89" name="Rectangle 4689"/>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690" name="Rectangle 4690"/>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691" name="Rectangle 4691"/>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92" name="Rectangle 4692"/>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93" name="Rectangle 4693"/>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94" name="Rectangle 4694"/>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95" name="Rectangle 4695"/>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696" name="Rectangle 4696"/>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697" name="Rectangle 4697"/>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698" name="Rectangle 4698"/>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699" name="Rectangle 4699"/>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700" name="Rectangle 4700"/>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01" name="Rectangle 4701"/>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02" name="Rectangle 4702"/>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703" name="Rectangle 4703"/>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704" name="Rectangle 4704"/>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05" name="Rectangle 4705"/>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706" name="Rectangle 4706"/>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07" name="Rectangle 4707"/>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708" name="Rectangle 4708"/>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709" name="Rectangle 4709"/>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710" name="Rectangle 4710"/>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711" name="Rectangle 4711"/>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12" name="Rectangle 4712"/>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13" name="Rectangle 4713"/>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714" name="Rectangle 4714"/>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715" name="Rectangle 4715"/>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716" name="Rectangle 4716"/>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717" name="Rectangle 4717"/>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4718" name="Rectangle 4718"/>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719" name="Rectangle 4719"/>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720" name="Rectangle 4720"/>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721" name="Rectangle 4721"/>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722" name="Rectangle 4722"/>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23" name="Rectangle 4723"/>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724" name="Rectangle 4724"/>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725" name="Rectangle 4725"/>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726" name="Rectangle 4726"/>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727" name="Rectangle 4727"/>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728" name="Rectangle 4728"/>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729" name="Rectangle 4729"/>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730" name="Rectangle 4730"/>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31" name="Rectangle 4731"/>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32" name="Rectangle 4732"/>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733" name="Rectangle 4733"/>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34" name="Rectangle 4734"/>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735" name="Rectangle 4735"/>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4736" name="Rectangle 4736"/>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737" name="Rectangle 4737"/>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738" name="Rectangle 4738"/>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739" name="Rectangle 4739"/>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740" name="Rectangle 4740"/>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41" name="Rectangle 4741"/>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4742" name="Rectangle 4742"/>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43" name="Rectangle 4743"/>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744" name="Rectangle 4744"/>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745" name="Rectangle 4745"/>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746" name="Rectangle 4746"/>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747" name="Rectangle 4747"/>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858" name="Rectangle 485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4859" name="Rectangle 485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4860" name="Rectangle 486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5725" style="width:43.9695pt;height:261.085pt;position:absolute;mso-position-horizontal-relative:page;mso-position-horizontal:absolute;margin-left:549.528pt;mso-position-vertical-relative:page;margin-top:512.016pt;" coordsize="5584,33157">
                <v:rect id="Rectangle 4563"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564"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565"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566"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567"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568"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569"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570"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571"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572"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573"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574"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575"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576"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577"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578"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579"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580" style="position:absolute;width:731;height:1122;left:3411;top:269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581" style="position:absolute;width:731;height:1122;left:3411;top:264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582" style="position:absolute;width:731;height:1122;left:3411;top:259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583" style="position:absolute;width:563;height:1122;left:3495;top:254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584" style="position:absolute;width:618;height:1122;left:3468;top:2502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585" style="position:absolute;width:506;height:1122;left:3524;top:2460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4586" style="position:absolute;width:731;height:1122;left:3411;top:241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587" style="position:absolute;width:955;height:1122;left:3299;top:2345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588" style="position:absolute;width:674;height:1122;left:3439;top:228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589" style="position:absolute;width:900;height:1122;left:3326;top:222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590" style="position:absolute;width:955;height:1122;left:3299;top:21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w:t>
                        </w:r>
                      </w:p>
                    </w:txbxContent>
                  </v:textbox>
                </v:rect>
                <v:rect id="Rectangle 4591" style="position:absolute;width:731;height:1122;left:3411;top:209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592" style="position:absolute;width:506;height:1122;left:3524;top:2050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593" style="position:absolute;width:900;height:1122;left:3326;top:199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594" style="position:absolute;width:731;height:1122;left:3411;top:193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595" style="position:absolute;width:506;height:1122;left:3524;top:188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4596" style="position:absolute;width:731;height:1122;left:3411;top:18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597" style="position:absolute;width:506;height:1122;left:3524;top:1796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598" style="position:absolute;width:618;height:1122;left:3468;top:175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599" style="position:absolute;width:618;height:1122;left:3468;top:17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600" style="position:absolute;width:506;height:1122;left:3524;top:166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5</w:t>
                        </w:r>
                      </w:p>
                    </w:txbxContent>
                  </v:textbox>
                </v:rect>
                <v:rect id="Rectangle 4601" style="position:absolute;width:563;height:1122;left:3495;top:162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602" style="position:absolute;width:731;height:1122;left:3411;top:157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03" style="position:absolute;width:731;height:1122;left:3411;top:151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604" style="position:absolute;width:563;height:1122;left:3495;top:147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605" style="position:absolute;width:253;height:1122;left:3650;top:144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06"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607"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08"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609"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10"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611"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12"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13"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14"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15"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16"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617"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18"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19"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20"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621"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22"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23"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624"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625"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26"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27"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28"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29"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30"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31"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32"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33"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634"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35"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636"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37"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38"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39"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640"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41"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42"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43"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644"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45"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46"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47"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648"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649"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50"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51"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52"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53"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54"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55"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656"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657"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58"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59"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660"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61"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662"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663"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64"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65"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66"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667"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68"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669"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70"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671"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672"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73"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74"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675"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76"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77"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678"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79"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80"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81"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682"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683"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84"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685"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686"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687"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688"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89"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690"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691"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92"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93"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94"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95"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696"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697"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698"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699"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700"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01"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02"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703"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704"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05"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706"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07"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708"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709"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710"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711"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12"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13"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714"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715"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716"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717"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4718"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719"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720"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721"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722"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23"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724"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725"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726"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727"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728"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729"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730"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31"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32"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733"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34"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735"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4736"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737"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738"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739"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740"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41"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4742"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43"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744"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745"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746"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747"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85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485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86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133 </w:t>
                        </w:r>
                      </w:p>
                    </w:txbxContent>
                  </v:textbox>
                </v:rect>
                <w10:wrap type="square"/>
              </v:group>
            </w:pict>
          </mc:Fallback>
        </mc:AlternateContent>
      </w:r>
      <w:r>
        <w:t>Dicho aumento se financiará con cargo al remanente líquido de tesorería, con nuevos o mayores ingresos recaudados sobre los totales previstos en el presupuesto corriente, y mediante anulaciones o bajas de créditos de gastos de otras partidas del presupuest</w:t>
      </w:r>
      <w: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t xml:space="preserve">finalista.  </w:t>
      </w:r>
    </w:p>
    <w:p w:rsidR="00085BB7" w:rsidRDefault="004441D3">
      <w:pPr>
        <w:spacing w:after="0" w:line="259" w:lineRule="auto"/>
        <w:ind w:left="747" w:right="0" w:firstLine="0"/>
        <w:jc w:val="left"/>
      </w:pPr>
      <w:r>
        <w:t xml:space="preserve"> </w:t>
      </w:r>
    </w:p>
    <w:p w:rsidR="00085BB7" w:rsidRDefault="004441D3">
      <w:pPr>
        <w:ind w:left="736" w:right="903"/>
      </w:pPr>
      <w:r>
        <w:t xml:space="preserve">CUARTO: Vista la Liquidación del Presupuesto general 2023, aprobada por decreto 1127/2024 de 24/04/2023, donde se aprueba un Remanente de Tesorería para gastos Generales (RTGG) por un importe de 19.502.729,45€. </w:t>
      </w:r>
    </w:p>
    <w:p w:rsidR="00085BB7" w:rsidRDefault="004441D3">
      <w:pPr>
        <w:ind w:left="736" w:right="903"/>
      </w:pPr>
      <w:r>
        <w:t xml:space="preserve"> Visto Expediente 3632/2024 d</w:t>
      </w:r>
      <w:r>
        <w:t xml:space="preserve">e Incorporación de Créditos financiados con RTGG, por un importe total de 8.596.560,74€ </w:t>
      </w:r>
    </w:p>
    <w:p w:rsidR="00085BB7" w:rsidRDefault="004441D3">
      <w:pPr>
        <w:spacing w:after="288"/>
        <w:ind w:left="736" w:right="903"/>
      </w:pPr>
      <w:r>
        <w:t xml:space="preserve"> Visto Expediente 7739/2024 de Créditos Extraordinarios por importe de 4.144.936,45€, aprobado en el Pleno de 25 de julio de 2024. </w:t>
      </w:r>
    </w:p>
    <w:p w:rsidR="00085BB7" w:rsidRDefault="004441D3">
      <w:pPr>
        <w:tabs>
          <w:tab w:val="center" w:pos="733"/>
          <w:tab w:val="center" w:pos="5241"/>
        </w:tabs>
        <w:spacing w:after="10" w:line="250" w:lineRule="auto"/>
        <w:ind w:left="0" w:right="0" w:firstLine="0"/>
        <w:jc w:val="left"/>
      </w:pPr>
      <w:r>
        <w:rPr>
          <w:rFonts w:ascii="Calibri" w:eastAsia="Calibri" w:hAnsi="Calibri" w:cs="Calibri"/>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sz w:val="24"/>
        </w:rPr>
        <w:t xml:space="preserve">Visto el expediente 7740/2024 de Suplementos de créditos por importe de </w:t>
      </w:r>
    </w:p>
    <w:p w:rsidR="00085BB7" w:rsidRDefault="004441D3">
      <w:pPr>
        <w:spacing w:after="10" w:line="250" w:lineRule="auto"/>
        <w:ind w:left="738" w:hanging="10"/>
      </w:pPr>
      <w:r>
        <w:rPr>
          <w:sz w:val="24"/>
        </w:rPr>
        <w:t xml:space="preserve">3.683.920,32€, aprobado en el pleno de 25 de julio de 2024 </w:t>
      </w:r>
    </w:p>
    <w:p w:rsidR="00085BB7" w:rsidRDefault="004441D3">
      <w:pPr>
        <w:spacing w:after="0" w:line="250" w:lineRule="auto"/>
        <w:ind w:left="738" w:hanging="10"/>
      </w:pPr>
      <w:r>
        <w:rPr>
          <w:sz w:val="24"/>
        </w:rPr>
        <w:t xml:space="preserve"> Queda un disponible de Remanente de Tesorería para gastos Generales (RTGG) de 3.077.311,94€. </w:t>
      </w:r>
    </w:p>
    <w:p w:rsidR="00085BB7" w:rsidRDefault="004441D3">
      <w:pPr>
        <w:spacing w:after="0" w:line="259" w:lineRule="auto"/>
        <w:ind w:left="747" w:right="18" w:firstLine="0"/>
        <w:jc w:val="left"/>
      </w:pPr>
      <w:r>
        <w:rPr>
          <w:sz w:val="24"/>
        </w:rPr>
        <w:t xml:space="preserve"> </w:t>
      </w:r>
      <w:r>
        <w:rPr>
          <w:sz w:val="24"/>
        </w:rPr>
        <w:tab/>
        <w:t xml:space="preserve"> </w:t>
      </w:r>
    </w:p>
    <w:p w:rsidR="00085BB7" w:rsidRDefault="004441D3">
      <w:pPr>
        <w:spacing w:after="423" w:line="250" w:lineRule="auto"/>
        <w:ind w:left="738" w:hanging="10"/>
      </w:pPr>
      <w:r>
        <w:rPr>
          <w:sz w:val="24"/>
        </w:rPr>
        <w:t>QUINTO: Que el expedient</w:t>
      </w:r>
      <w:r>
        <w:rPr>
          <w:sz w:val="24"/>
        </w:rPr>
        <w:t xml:space="preserve">e de modificación presupuestaria nº 10125/2024 de modificación presupuestaria por Suplementos de Créditos financiado con Remanente de Tesorería para gastos generales, por una cantidad total de 450.000,00 euros, de acuerdo al siguiente </w:t>
      </w:r>
      <w:r>
        <w:t xml:space="preserve">detalle:  </w:t>
      </w:r>
    </w:p>
    <w:p w:rsidR="00085BB7" w:rsidRDefault="004441D3">
      <w:pPr>
        <w:spacing w:after="0" w:line="259" w:lineRule="auto"/>
        <w:ind w:left="0" w:right="1913" w:firstLine="0"/>
        <w:jc w:val="right"/>
      </w:pPr>
      <w:r>
        <w:t xml:space="preserve"> </w:t>
      </w:r>
    </w:p>
    <w:p w:rsidR="00085BB7" w:rsidRDefault="004441D3">
      <w:pPr>
        <w:tabs>
          <w:tab w:val="center" w:pos="5073"/>
          <w:tab w:val="center" w:pos="8799"/>
        </w:tabs>
        <w:spacing w:after="95"/>
        <w:ind w:left="0" w:right="0" w:firstLine="0"/>
        <w:jc w:val="left"/>
      </w:pPr>
      <w:r>
        <w:rPr>
          <w:rFonts w:ascii="Calibri" w:eastAsia="Calibri" w:hAnsi="Calibri" w:cs="Calibri"/>
        </w:rPr>
        <w:tab/>
      </w:r>
      <w:r>
        <w:t xml:space="preserve">Estado </w:t>
      </w:r>
      <w:r>
        <w:t>de gastos</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085BB7" w:rsidRDefault="004441D3">
      <w:pPr>
        <w:spacing w:after="0" w:line="259" w:lineRule="auto"/>
        <w:ind w:left="817" w:righ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580" w:type="dxa"/>
        <w:tblInd w:w="747" w:type="dxa"/>
        <w:tblCellMar>
          <w:top w:w="110" w:type="dxa"/>
          <w:left w:w="0" w:type="dxa"/>
          <w:bottom w:w="0" w:type="dxa"/>
          <w:right w:w="0" w:type="dxa"/>
        </w:tblCellMar>
        <w:tblLook w:val="04A0" w:firstRow="1" w:lastRow="0" w:firstColumn="1" w:lastColumn="0" w:noHBand="0" w:noVBand="1"/>
      </w:tblPr>
      <w:tblGrid>
        <w:gridCol w:w="1336"/>
        <w:gridCol w:w="2220"/>
        <w:gridCol w:w="3186"/>
        <w:gridCol w:w="668"/>
        <w:gridCol w:w="1170"/>
      </w:tblGrid>
      <w:tr w:rsidR="00085BB7">
        <w:trPr>
          <w:trHeight w:val="487"/>
        </w:trPr>
        <w:tc>
          <w:tcPr>
            <w:tcW w:w="3556" w:type="dxa"/>
            <w:gridSpan w:val="2"/>
            <w:tcBorders>
              <w:top w:val="single" w:sz="4" w:space="0" w:color="000000"/>
              <w:left w:val="single" w:sz="4" w:space="0" w:color="000000"/>
              <w:bottom w:val="single" w:sz="4" w:space="0" w:color="000000"/>
              <w:right w:val="nil"/>
            </w:tcBorders>
            <w:shd w:val="clear" w:color="auto" w:fill="DADADA"/>
          </w:tcPr>
          <w:p w:rsidR="00085BB7" w:rsidRDefault="00085BB7">
            <w:pPr>
              <w:spacing w:after="160" w:line="259" w:lineRule="auto"/>
              <w:ind w:left="0" w:right="0" w:firstLine="0"/>
              <w:jc w:val="left"/>
            </w:pPr>
          </w:p>
        </w:tc>
        <w:tc>
          <w:tcPr>
            <w:tcW w:w="3186" w:type="dxa"/>
            <w:tcBorders>
              <w:top w:val="single" w:sz="4" w:space="0" w:color="000000"/>
              <w:left w:val="nil"/>
              <w:bottom w:val="single" w:sz="4" w:space="0" w:color="000000"/>
              <w:right w:val="nil"/>
            </w:tcBorders>
            <w:shd w:val="clear" w:color="auto" w:fill="DADADA"/>
          </w:tcPr>
          <w:p w:rsidR="00085BB7" w:rsidRDefault="00085BB7">
            <w:pPr>
              <w:spacing w:after="160" w:line="259" w:lineRule="auto"/>
              <w:ind w:left="0" w:right="0" w:firstLine="0"/>
              <w:jc w:val="left"/>
            </w:pPr>
          </w:p>
        </w:tc>
        <w:tc>
          <w:tcPr>
            <w:tcW w:w="1838" w:type="dxa"/>
            <w:gridSpan w:val="2"/>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508"/>
        </w:trPr>
        <w:tc>
          <w:tcPr>
            <w:tcW w:w="1336"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70" w:right="0" w:firstLine="0"/>
            </w:pPr>
            <w:r>
              <w:rPr>
                <w:sz w:val="20"/>
              </w:rPr>
              <w:t xml:space="preserve">APLICACIÓN </w:t>
            </w:r>
          </w:p>
        </w:tc>
        <w:tc>
          <w:tcPr>
            <w:tcW w:w="2220" w:type="dxa"/>
            <w:tcBorders>
              <w:top w:val="single" w:sz="4" w:space="0" w:color="000000"/>
              <w:left w:val="single" w:sz="4" w:space="0" w:color="000000"/>
              <w:bottom w:val="single" w:sz="4" w:space="0" w:color="000000"/>
              <w:right w:val="nil"/>
            </w:tcBorders>
            <w:shd w:val="clear" w:color="auto" w:fill="DADADA"/>
          </w:tcPr>
          <w:p w:rsidR="00085BB7" w:rsidRDefault="00085BB7">
            <w:pPr>
              <w:spacing w:after="160" w:line="259" w:lineRule="auto"/>
              <w:ind w:left="0" w:right="0" w:firstLine="0"/>
              <w:jc w:val="left"/>
            </w:pPr>
          </w:p>
        </w:tc>
        <w:tc>
          <w:tcPr>
            <w:tcW w:w="3186" w:type="dxa"/>
            <w:tcBorders>
              <w:top w:val="single" w:sz="4" w:space="0" w:color="000000"/>
              <w:left w:val="nil"/>
              <w:bottom w:val="single" w:sz="4" w:space="0" w:color="000000"/>
              <w:right w:val="nil"/>
            </w:tcBorders>
            <w:shd w:val="clear" w:color="auto" w:fill="DADADA"/>
            <w:vAlign w:val="center"/>
          </w:tcPr>
          <w:p w:rsidR="00085BB7" w:rsidRDefault="004441D3">
            <w:pPr>
              <w:spacing w:after="0" w:line="259" w:lineRule="auto"/>
              <w:ind w:left="164" w:right="0" w:firstLine="0"/>
              <w:jc w:val="left"/>
            </w:pPr>
            <w:r>
              <w:rPr>
                <w:sz w:val="20"/>
              </w:rPr>
              <w:t xml:space="preserve">DENOMINACIÓN </w:t>
            </w:r>
          </w:p>
        </w:tc>
        <w:tc>
          <w:tcPr>
            <w:tcW w:w="668"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170"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144" w:right="0" w:firstLine="0"/>
              <w:jc w:val="left"/>
            </w:pPr>
            <w:r>
              <w:rPr>
                <w:sz w:val="20"/>
              </w:rPr>
              <w:t xml:space="preserve">IMPORTE </w:t>
            </w:r>
          </w:p>
        </w:tc>
      </w:tr>
      <w:tr w:rsidR="00085BB7">
        <w:trPr>
          <w:trHeight w:val="592"/>
        </w:trPr>
        <w:tc>
          <w:tcPr>
            <w:tcW w:w="13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pPr>
            <w:r>
              <w:rPr>
                <w:sz w:val="20"/>
              </w:rPr>
              <w:t xml:space="preserve">16500.22100 </w:t>
            </w:r>
          </w:p>
        </w:tc>
        <w:tc>
          <w:tcPr>
            <w:tcW w:w="2220"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Suministro de Energía </w:t>
            </w:r>
          </w:p>
          <w:p w:rsidR="00085BB7" w:rsidRDefault="004441D3">
            <w:pPr>
              <w:spacing w:after="0" w:line="259" w:lineRule="auto"/>
              <w:ind w:left="74" w:right="0" w:firstLine="0"/>
              <w:jc w:val="left"/>
            </w:pPr>
            <w:r>
              <w:rPr>
                <w:sz w:val="20"/>
              </w:rPr>
              <w:t xml:space="preserve">Eléctrica  </w:t>
            </w:r>
          </w:p>
        </w:tc>
        <w:tc>
          <w:tcPr>
            <w:tcW w:w="3186"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66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17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46" w:right="0" w:firstLine="0"/>
              <w:jc w:val="left"/>
            </w:pPr>
            <w:r>
              <w:rPr>
                <w:sz w:val="20"/>
              </w:rPr>
              <w:t>450.000,00</w:t>
            </w:r>
          </w:p>
        </w:tc>
      </w:tr>
      <w:tr w:rsidR="00085BB7">
        <w:trPr>
          <w:trHeight w:val="510"/>
        </w:trPr>
        <w:tc>
          <w:tcPr>
            <w:tcW w:w="3556"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3186"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668"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0" w:right="0" w:firstLine="0"/>
            </w:pPr>
            <w:r>
              <w:rPr>
                <w:sz w:val="20"/>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146" w:right="0" w:firstLine="0"/>
              <w:jc w:val="left"/>
            </w:pPr>
            <w:r>
              <w:rPr>
                <w:sz w:val="20"/>
              </w:rPr>
              <w:t>450.000,00</w:t>
            </w:r>
          </w:p>
        </w:tc>
      </w:tr>
    </w:tbl>
    <w:p w:rsidR="00085BB7" w:rsidRDefault="004441D3">
      <w:pPr>
        <w:spacing w:after="0" w:line="259" w:lineRule="auto"/>
        <w:ind w:left="0" w:right="573" w:firstLine="0"/>
        <w:jc w:val="center"/>
      </w:pPr>
      <w:r>
        <w:rPr>
          <w:sz w:val="20"/>
        </w:rPr>
        <w:t xml:space="preserve">Estado de Ingresos  </w:t>
      </w:r>
    </w:p>
    <w:tbl>
      <w:tblPr>
        <w:tblStyle w:val="TableGrid"/>
        <w:tblW w:w="8580" w:type="dxa"/>
        <w:tblInd w:w="747" w:type="dxa"/>
        <w:tblCellMar>
          <w:top w:w="110" w:type="dxa"/>
          <w:left w:w="70" w:type="dxa"/>
          <w:bottom w:w="0" w:type="dxa"/>
          <w:right w:w="1" w:type="dxa"/>
        </w:tblCellMar>
        <w:tblLook w:val="04A0" w:firstRow="1" w:lastRow="0" w:firstColumn="1" w:lastColumn="0" w:noHBand="0" w:noVBand="1"/>
      </w:tblPr>
      <w:tblGrid>
        <w:gridCol w:w="1336"/>
        <w:gridCol w:w="6074"/>
        <w:gridCol w:w="1170"/>
      </w:tblGrid>
      <w:tr w:rsidR="00085BB7">
        <w:trPr>
          <w:trHeight w:val="350"/>
        </w:trPr>
        <w:tc>
          <w:tcPr>
            <w:tcW w:w="1336"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0" w:firstLine="0"/>
            </w:pPr>
            <w:r>
              <w:rPr>
                <w:sz w:val="20"/>
              </w:rPr>
              <w:t xml:space="preserve">APLICACIÓN </w:t>
            </w:r>
          </w:p>
        </w:tc>
        <w:tc>
          <w:tcPr>
            <w:tcW w:w="6074"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126" w:firstLine="0"/>
              <w:jc w:val="center"/>
            </w:pPr>
            <w:r>
              <w:rPr>
                <w:sz w:val="20"/>
              </w:rPr>
              <w:t xml:space="preserve">DENOMINACIÓN </w:t>
            </w:r>
          </w:p>
        </w:tc>
        <w:tc>
          <w:tcPr>
            <w:tcW w:w="117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74" w:right="0" w:firstLine="0"/>
              <w:jc w:val="left"/>
            </w:pPr>
            <w:r>
              <w:rPr>
                <w:sz w:val="20"/>
              </w:rPr>
              <w:t xml:space="preserve">IMPORTE </w:t>
            </w:r>
          </w:p>
        </w:tc>
      </w:tr>
      <w:tr w:rsidR="00085BB7">
        <w:trPr>
          <w:trHeight w:val="352"/>
        </w:trPr>
        <w:tc>
          <w:tcPr>
            <w:tcW w:w="13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87000 </w:t>
            </w:r>
          </w:p>
        </w:tc>
        <w:tc>
          <w:tcPr>
            <w:tcW w:w="607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left"/>
            </w:pPr>
            <w:r>
              <w:rPr>
                <w:sz w:val="20"/>
              </w:rPr>
              <w:t xml:space="preserve">REMANENTE DE TESORERIA PARA GASTOS GENERALES  </w:t>
            </w:r>
          </w:p>
        </w:tc>
        <w:tc>
          <w:tcPr>
            <w:tcW w:w="117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6" w:right="0" w:firstLine="0"/>
              <w:jc w:val="left"/>
            </w:pPr>
            <w:r>
              <w:rPr>
                <w:sz w:val="20"/>
              </w:rPr>
              <w:t>450.000,00</w:t>
            </w:r>
          </w:p>
        </w:tc>
      </w:tr>
      <w:tr w:rsidR="00085BB7">
        <w:trPr>
          <w:trHeight w:val="350"/>
        </w:trPr>
        <w:tc>
          <w:tcPr>
            <w:tcW w:w="133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  </w:t>
            </w:r>
          </w:p>
        </w:tc>
        <w:tc>
          <w:tcPr>
            <w:tcW w:w="607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19" w:firstLine="0"/>
              <w:jc w:val="right"/>
            </w:pPr>
            <w:r>
              <w:rPr>
                <w:sz w:val="20"/>
              </w:rPr>
              <w:t xml:space="preserve">TOTAL </w:t>
            </w:r>
          </w:p>
        </w:tc>
        <w:tc>
          <w:tcPr>
            <w:tcW w:w="117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6" w:right="0" w:firstLine="0"/>
              <w:jc w:val="left"/>
            </w:pPr>
            <w:r>
              <w:rPr>
                <w:sz w:val="20"/>
              </w:rPr>
              <w:t>450.000,00</w:t>
            </w:r>
          </w:p>
        </w:tc>
      </w:tr>
    </w:tbl>
    <w:p w:rsidR="00085BB7" w:rsidRDefault="004441D3">
      <w:pPr>
        <w:spacing w:after="234" w:line="259" w:lineRule="auto"/>
        <w:ind w:left="730" w:right="0" w:hanging="10"/>
        <w:jc w:val="left"/>
      </w:pPr>
      <w:r>
        <w:rPr>
          <w:rFonts w:ascii="Times New Roman" w:eastAsia="Times New Roman" w:hAnsi="Times New Roman" w:cs="Times New Roman"/>
          <w:b/>
          <w:sz w:val="24"/>
        </w:rPr>
        <w:t>“</w:t>
      </w:r>
    </w:p>
    <w:p w:rsidR="00085BB7" w:rsidRDefault="004441D3">
      <w:pPr>
        <w:spacing w:after="751"/>
        <w:ind w:left="736" w:right="903"/>
      </w:pPr>
      <w:r>
        <w:t xml:space="preserve">    Consta en el expediente propuesta del Concejal delegado de Hacienda, D. Airam Pérez Chinea, de fecha 19 de septiembre de 2024, que transcrito literalmente dice:</w:t>
      </w:r>
    </w:p>
    <w:p w:rsidR="00085BB7" w:rsidRDefault="004441D3">
      <w:pPr>
        <w:spacing w:after="0" w:line="265" w:lineRule="auto"/>
        <w:ind w:left="548" w:right="1200" w:hanging="10"/>
        <w:jc w:val="center"/>
      </w:pPr>
      <w:r>
        <w:t>“Propuesta de la Concejalía de Hacienda</w:t>
      </w:r>
    </w:p>
    <w:p w:rsidR="00085BB7" w:rsidRDefault="004441D3">
      <w:pPr>
        <w:spacing w:after="115" w:line="259" w:lineRule="auto"/>
        <w:ind w:left="747" w:right="0" w:firstLine="0"/>
        <w:jc w:val="left"/>
      </w:pPr>
      <w:r>
        <w:t xml:space="preserve">  </w:t>
      </w:r>
    </w:p>
    <w:p w:rsidR="00085BB7" w:rsidRDefault="004441D3">
      <w:pPr>
        <w:spacing w:after="130"/>
        <w:ind w:left="730" w:right="903" w:firstLine="70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33107" name="Group 133107"/>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4897" name="Rectangle 4897"/>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898" name="Rectangle 4898"/>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899" name="Rectangle 4899"/>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900" name="Rectangle 4900"/>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01" name="Rectangle 4901"/>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902" name="Rectangle 4902"/>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903" name="Rectangle 4903"/>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04" name="Rectangle 4904"/>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905" name="Rectangle 4905"/>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06" name="Rectangle 4906"/>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907" name="Rectangle 4907"/>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08" name="Rectangle 4908"/>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09" name="Rectangle 4909"/>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10" name="Rectangle 4910"/>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911" name="Rectangle 4911"/>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12" name="Rectangle 4912"/>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13" name="Rectangle 4913"/>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914" name="Rectangle 4914"/>
                        <wps:cNvSpPr/>
                        <wps:spPr>
                          <a:xfrm rot="-5399999">
                            <a:off x="352406"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915" name="Rectangle 4915"/>
                        <wps:cNvSpPr/>
                        <wps:spPr>
                          <a:xfrm rot="-5399999">
                            <a:off x="352406" y="2665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4916" name="Rectangle 4916"/>
                        <wps:cNvSpPr/>
                        <wps:spPr>
                          <a:xfrm rot="-5399999">
                            <a:off x="352406" y="26272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4917" name="Rectangle 4917"/>
                        <wps:cNvSpPr/>
                        <wps:spPr>
                          <a:xfrm rot="-5399999">
                            <a:off x="352406" y="25891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4918" name="Rectangle 4918"/>
                        <wps:cNvSpPr/>
                        <wps:spPr>
                          <a:xfrm rot="-5399999">
                            <a:off x="349569" y="25482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919" name="Rectangle 4919"/>
                        <wps:cNvSpPr/>
                        <wps:spPr>
                          <a:xfrm rot="-5399999">
                            <a:off x="341157"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920" name="Rectangle 4920"/>
                        <wps:cNvSpPr/>
                        <wps:spPr>
                          <a:xfrm rot="-5399999">
                            <a:off x="352407" y="24545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4921" name="Rectangle 4921"/>
                        <wps:cNvSpPr/>
                        <wps:spPr>
                          <a:xfrm rot="-5399999">
                            <a:off x="352407" y="2416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4922" name="Rectangle 4922"/>
                        <wps:cNvSpPr/>
                        <wps:spPr>
                          <a:xfrm rot="-5399999">
                            <a:off x="341158" y="23670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923" name="Rectangle 4923"/>
                        <wps:cNvSpPr/>
                        <wps:spPr>
                          <a:xfrm rot="-5399999">
                            <a:off x="352406" y="2322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4924" name="Rectangle 4924"/>
                        <wps:cNvSpPr/>
                        <wps:spPr>
                          <a:xfrm rot="-5399999">
                            <a:off x="341157" y="2273116"/>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925" name="Rectangle 4925"/>
                        <wps:cNvSpPr/>
                        <wps:spPr>
                          <a:xfrm rot="-5399999">
                            <a:off x="346834" y="2224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926" name="Rectangle 4926"/>
                        <wps:cNvSpPr/>
                        <wps:spPr>
                          <a:xfrm rot="-5399999">
                            <a:off x="341157" y="2171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27" name="Rectangle 4927"/>
                        <wps:cNvSpPr/>
                        <wps:spPr>
                          <a:xfrm rot="-5399999">
                            <a:off x="352406" y="212815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4928" name="Rectangle 4928"/>
                        <wps:cNvSpPr/>
                        <wps:spPr>
                          <a:xfrm rot="-5399999">
                            <a:off x="341157" y="2078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4929" name="Rectangle 4929"/>
                        <wps:cNvSpPr/>
                        <wps:spPr>
                          <a:xfrm rot="-5399999">
                            <a:off x="341158" y="20241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4930" name="Rectangle 4930"/>
                        <wps:cNvSpPr/>
                        <wps:spPr>
                          <a:xfrm rot="-5399999">
                            <a:off x="352406" y="1979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4931" name="Rectangle 4931"/>
                        <wps:cNvSpPr/>
                        <wps:spPr>
                          <a:xfrm rot="-5399999">
                            <a:off x="352406" y="1941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4932" name="Rectangle 4932"/>
                        <wps:cNvSpPr/>
                        <wps:spPr>
                          <a:xfrm rot="-5399999">
                            <a:off x="341157" y="18921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933" name="Rectangle 4933"/>
                        <wps:cNvSpPr/>
                        <wps:spPr>
                          <a:xfrm rot="-5399999">
                            <a:off x="346834" y="1843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934" name="Rectangle 4934"/>
                        <wps:cNvSpPr/>
                        <wps:spPr>
                          <a:xfrm rot="-5399999">
                            <a:off x="352406" y="18017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4935" name="Rectangle 4935"/>
                        <wps:cNvSpPr/>
                        <wps:spPr>
                          <a:xfrm rot="-5399999">
                            <a:off x="352406" y="1763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4936" name="Rectangle 4936"/>
                        <wps:cNvSpPr/>
                        <wps:spPr>
                          <a:xfrm rot="-5399999">
                            <a:off x="341157" y="17143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4937" name="Rectangle 4937"/>
                        <wps:cNvSpPr/>
                        <wps:spPr>
                          <a:xfrm rot="-5399999">
                            <a:off x="341157" y="16597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38" name="Rectangle 4938"/>
                        <wps:cNvSpPr/>
                        <wps:spPr>
                          <a:xfrm rot="-5399999">
                            <a:off x="346832"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39" name="Rectangle 4939"/>
                        <wps:cNvSpPr/>
                        <wps:spPr>
                          <a:xfrm rot="-5399999">
                            <a:off x="365075" y="1582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940" name="Rectangle 4940"/>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4941" name="Rectangle 4941"/>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42" name="Rectangle 4942"/>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943" name="Rectangle 4943"/>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44" name="Rectangle 4944"/>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4945" name="Rectangle 4945"/>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46" name="Rectangle 4946"/>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47" name="Rectangle 4947"/>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48" name="Rectangle 4948"/>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49" name="Rectangle 4949"/>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50" name="Rectangle 4950"/>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4951" name="Rectangle 4951"/>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52" name="Rectangle 4952"/>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53" name="Rectangle 4953"/>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954" name="Rectangle 4954"/>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4955" name="Rectangle 4955"/>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956" name="Rectangle 4956"/>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957" name="Rectangle 4957"/>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4958" name="Rectangle 4958"/>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959" name="Rectangle 4959"/>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60" name="Rectangle 4960"/>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61" name="Rectangle 4961"/>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62" name="Rectangle 4962"/>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63" name="Rectangle 4963"/>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64" name="Rectangle 4964"/>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65" name="Rectangle 4965"/>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966" name="Rectangle 4966"/>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67" name="Rectangle 4967"/>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968" name="Rectangle 4968"/>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69" name="Rectangle 4969"/>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970" name="Rectangle 4970"/>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71" name="Rectangle 4971"/>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72" name="Rectangle 4972"/>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73" name="Rectangle 4973"/>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974" name="Rectangle 4974"/>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75" name="Rectangle 4975"/>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976" name="Rectangle 4976"/>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77" name="Rectangle 4977"/>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4978" name="Rectangle 4978"/>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79" name="Rectangle 4979"/>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80" name="Rectangle 4980"/>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4981" name="Rectangle 4981"/>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4982" name="Rectangle 4982"/>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983" name="Rectangle 4983"/>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84" name="Rectangle 4984"/>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4985" name="Rectangle 4985"/>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86" name="Rectangle 4986"/>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4987" name="Rectangle 4987"/>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88" name="Rectangle 4988"/>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89" name="Rectangle 4989"/>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4990" name="Rectangle 4990"/>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4991" name="Rectangle 4991"/>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4992" name="Rectangle 4992"/>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4993" name="Rectangle 4993"/>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4994" name="Rectangle 4994"/>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4995" name="Rectangle 4995"/>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4996" name="Rectangle 4996"/>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4997" name="Rectangle 4997"/>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4998" name="Rectangle 4998"/>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4999" name="Rectangle 4999"/>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000" name="Rectangle 5000"/>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001" name="Rectangle 5001"/>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02" name="Rectangle 5002"/>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003" name="Rectangle 5003"/>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004" name="Rectangle 5004"/>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005" name="Rectangle 5005"/>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006" name="Rectangle 5006"/>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07" name="Rectangle 5007"/>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008" name="Rectangle 5008"/>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009" name="Rectangle 5009"/>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10" name="Rectangle 5010"/>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11" name="Rectangle 5011"/>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012" name="Rectangle 5012"/>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13" name="Rectangle 5013"/>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014" name="Rectangle 5014"/>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015" name="Rectangle 5015"/>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016" name="Rectangle 5016"/>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017" name="Rectangle 5017"/>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018" name="Rectangle 5018"/>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019" name="Rectangle 5019"/>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020" name="Rectangle 5020"/>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21" name="Rectangle 5021"/>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022" name="Rectangle 5022"/>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23" name="Rectangle 5023"/>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024" name="Rectangle 5024"/>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025" name="Rectangle 5025"/>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26" name="Rectangle 5026"/>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27" name="Rectangle 5027"/>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028" name="Rectangle 5028"/>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29" name="Rectangle 5029"/>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030" name="Rectangle 5030"/>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031" name="Rectangle 5031"/>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32" name="Rectangle 5032"/>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33" name="Rectangle 5033"/>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034" name="Rectangle 5034"/>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35" name="Rectangle 5035"/>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36" name="Rectangle 5036"/>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037" name="Rectangle 5037"/>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038" name="Rectangle 5038"/>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39" name="Rectangle 5039"/>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040" name="Rectangle 5040"/>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41" name="Rectangle 5041"/>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042" name="Rectangle 5042"/>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043" name="Rectangle 5043"/>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044" name="Rectangle 5044"/>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045" name="Rectangle 5045"/>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46" name="Rectangle 5046"/>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47" name="Rectangle 5047"/>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48" name="Rectangle 5048"/>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049" name="Rectangle 5049"/>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050" name="Rectangle 5050"/>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051" name="Rectangle 5051"/>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5052" name="Rectangle 5052"/>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053" name="Rectangle 5053"/>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054" name="Rectangle 5054"/>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055" name="Rectangle 5055"/>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056" name="Rectangle 5056"/>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57" name="Rectangle 5057"/>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058" name="Rectangle 5058"/>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59" name="Rectangle 5059"/>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060" name="Rectangle 5060"/>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061" name="Rectangle 5061"/>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062" name="Rectangle 5062"/>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063" name="Rectangle 5063"/>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064" name="Rectangle 5064"/>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65" name="Rectangle 5065"/>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66" name="Rectangle 5066"/>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067" name="Rectangle 5067"/>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68" name="Rectangle 5068"/>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069" name="Rectangle 5069"/>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5070" name="Rectangle 5070"/>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071" name="Rectangle 5071"/>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072" name="Rectangle 5072"/>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073" name="Rectangle 5073"/>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074" name="Rectangle 5074"/>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75" name="Rectangle 5075"/>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1</w:t>
                              </w:r>
                            </w:p>
                          </w:txbxContent>
                        </wps:txbx>
                        <wps:bodyPr horzOverflow="overflow" vert="horz" lIns="0" tIns="0" rIns="0" bIns="0" rtlCol="0">
                          <a:noAutofit/>
                        </wps:bodyPr>
                      </wps:wsp>
                      <wps:wsp>
                        <wps:cNvPr id="5076" name="Rectangle 5076"/>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77" name="Rectangle 5077"/>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078" name="Rectangle 5078"/>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079" name="Rectangle 5079"/>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080" name="Rectangle 5080"/>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081" name="Rectangle 5081"/>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194" name="Rectangle 5194"/>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5195" name="Rectangle 5195"/>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196" name="Rectangle 5196"/>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29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3107" style="width:43.9695pt;height:261.085pt;position:absolute;mso-position-horizontal-relative:page;mso-position-horizontal:absolute;margin-left:549.528pt;mso-position-vertical-relative:page;margin-top:512.016pt;" coordsize="5584,33157">
                <v:rect id="Rectangle 4897"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898"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899"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900"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01"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902"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903"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04"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905"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06"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907"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08"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09"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10"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911"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12"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13"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914" style="position:absolute;width:506;height:1122;left:3524;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915" style="position:absolute;width:506;height:1122;left:3524;top:266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4916" style="position:absolute;width:506;height:1122;left:3524;top:26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4917" style="position:absolute;width:506;height:1122;left:3524;top:258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4918" style="position:absolute;width:563;height:1122;left:3495;top:254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919" style="position:absolute;width:731;height:1122;left:3411;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920" style="position:absolute;width:506;height:1122;left:3524;top:245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4921" style="position:absolute;width:506;height:1122;left:3524;top:24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4922" style="position:absolute;width:731;height:1122;left:3411;top:236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923" style="position:absolute;width:506;height:1122;left:3524;top:232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4924" style="position:absolute;width:731;height:1122;left:3411;top:227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925" style="position:absolute;width:618;height:1122;left:3468;top:22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926" style="position:absolute;width:731;height:1122;left:341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27" style="position:absolute;width:506;height:1122;left:3524;top:212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4928" style="position:absolute;width:731;height:1122;left:3411;top:207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4929" style="position:absolute;width:731;height:1122;left:3411;top:20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4930" style="position:absolute;width:506;height:1122;left:3524;top:197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4931" style="position:absolute;width:506;height:1122;left:3524;top:19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4932" style="position:absolute;width:731;height:1122;left:3411;top:18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933" style="position:absolute;width:618;height:1122;left:3468;top:18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934" style="position:absolute;width:506;height:1122;left:3524;top:180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4935" style="position:absolute;width:506;height:1122;left:3524;top:176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4936" style="position:absolute;width:731;height:1122;left:3411;top:171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4937" style="position:absolute;width:731;height:1122;left:3411;top:1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38" style="position:absolute;width:618;height:1122;left:3468;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39" style="position:absolute;width:253;height:1122;left:3650;top:158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940"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4941"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42"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943"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44"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4945"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46"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47"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48"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49"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50"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4951"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52"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53"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954"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4955"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956"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957"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4958"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959"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60"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61"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62"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63"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64"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65"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966"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67"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968"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69"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970"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71"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72"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73"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974"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75"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976"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77"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4978"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79"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80"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4981"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4982"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983"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84"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4985"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86"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4987"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88"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89"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4990"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4991"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4992"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4993"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4994"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4995"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4996"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4997"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4998"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4999"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000"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001"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02"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003"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004"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005"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006"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07"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008"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009"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10"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11"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012"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13"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014"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015"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016"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017"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018"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019"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020"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21"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022"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23"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024"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025"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26"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27"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028"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29"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030"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031"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32"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33"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034"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35"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36"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037"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038"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39"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040"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41"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042"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043"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044"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045"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46"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47"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48"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049"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050"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051"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5052"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053"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054"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055"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056"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57"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058"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59"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060"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061"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062"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063"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064"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65"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66"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067"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68"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069"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5070"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071"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072"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073"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074"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75"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1</w:t>
                        </w:r>
                      </w:p>
                    </w:txbxContent>
                  </v:textbox>
                </v:rect>
                <v:rect id="Rectangle 5076"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77"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078"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079"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080"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081"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194"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519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19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133 </w:t>
                        </w:r>
                      </w:p>
                    </w:txbxContent>
                  </v:textbox>
                </v:rect>
                <w10:wrap type="square"/>
              </v:group>
            </w:pict>
          </mc:Fallback>
        </mc:AlternateContent>
      </w:r>
      <w:r>
        <w:t xml:space="preserve">Dado expediente 10125/2024 de Suplemento de Créditos, y visto informe de la Intervención General que se transcribe a continuación: </w:t>
      </w:r>
    </w:p>
    <w:p w:rsidR="00085BB7" w:rsidRDefault="004441D3">
      <w:pPr>
        <w:spacing w:after="522"/>
        <w:ind w:left="730" w:right="1403" w:firstLine="708"/>
      </w:pPr>
      <w:r>
        <w:t>“Vista la propuesta de la Alcaldesa, de tramitación de modificación presupuestaria por Suplemento de Créditos financiados co</w:t>
      </w:r>
      <w:r>
        <w:t xml:space="preserve">n remanantes de Tesorería para Gastos Generales, que dice: </w:t>
      </w:r>
    </w:p>
    <w:p w:rsidR="00085BB7" w:rsidRDefault="004441D3">
      <w:pPr>
        <w:spacing w:after="0"/>
        <w:ind w:left="730" w:right="903" w:firstLine="708"/>
      </w:pPr>
      <w:r>
        <w:t>El Ayuntamiento de Candelaria necesita créditos extraordinarios a los consignados en el Presupuesto vigente para llevar a cabo el contrato del suministro eléctrico vigente, según memorias-propuest</w:t>
      </w:r>
      <w:r>
        <w:t xml:space="preserve">a presentada: </w:t>
      </w:r>
    </w:p>
    <w:p w:rsidR="00085BB7" w:rsidRDefault="004441D3">
      <w:pPr>
        <w:spacing w:after="7" w:line="259" w:lineRule="auto"/>
        <w:ind w:left="1455" w:right="18" w:firstLine="0"/>
        <w:jc w:val="left"/>
      </w:pPr>
      <w:r>
        <w:t xml:space="preserve"> </w:t>
      </w:r>
    </w:p>
    <w:p w:rsidR="00085BB7" w:rsidRDefault="004441D3">
      <w:pPr>
        <w:spacing w:after="37"/>
        <w:ind w:left="1883" w:right="903" w:hanging="282"/>
      </w:pPr>
      <w:r>
        <w:t xml:space="preserve">• El contrato basado en el acuerdo marco se adjudica el 29 de abril de 2021, habiéndose hasta ahora realizado 3 prorrogas, se requiere provisión de fondos para dotar de crédito la aplicación presupuestaria correspondiente. El importe de </w:t>
      </w:r>
      <w:r>
        <w:t xml:space="preserve">la estimación es de 450.000,00 € incluido el 7% de IGIC. </w:t>
      </w:r>
      <w:r>
        <w:rPr>
          <w:sz w:val="23"/>
        </w:rPr>
        <w:t xml:space="preserve"> </w:t>
      </w:r>
    </w:p>
    <w:p w:rsidR="00085BB7" w:rsidRDefault="004441D3">
      <w:pPr>
        <w:spacing w:after="129" w:line="259" w:lineRule="auto"/>
        <w:ind w:left="1455" w:right="18" w:firstLine="0"/>
        <w:jc w:val="left"/>
      </w:pPr>
      <w:r>
        <w:t xml:space="preserve"> </w:t>
      </w:r>
    </w:p>
    <w:p w:rsidR="00085BB7" w:rsidRDefault="004441D3">
      <w:pPr>
        <w:spacing w:after="538"/>
        <w:ind w:left="730" w:right="903" w:firstLine="720"/>
      </w:pPr>
      <w:r>
        <w:t xml:space="preserve">Siendo un gasto específico y determinado ante la imposibilidad de demorarlo a ejercicios posteriores, y no habiendo crédito suficiente en las aplicaciónes presupuestarias. </w:t>
      </w:r>
    </w:p>
    <w:p w:rsidR="00085BB7" w:rsidRDefault="004441D3">
      <w:pPr>
        <w:spacing w:after="109" w:line="265" w:lineRule="auto"/>
        <w:ind w:left="548" w:right="556" w:hanging="10"/>
        <w:jc w:val="center"/>
      </w:pPr>
      <w:r>
        <w:t xml:space="preserve">SE PROPONE: </w:t>
      </w:r>
    </w:p>
    <w:p w:rsidR="00085BB7" w:rsidRDefault="004441D3">
      <w:pPr>
        <w:spacing w:after="0"/>
        <w:ind w:left="736" w:right="903"/>
      </w:pPr>
      <w:r>
        <w:t>Único: Tr</w:t>
      </w:r>
      <w:r>
        <w:t xml:space="preserve">amitar expediente 10125/2024 de modificación presupuestaria por Suplemento de Créditos financiado con Remanente de Tesorería para gastos generales, por una cantidad total de 450.000,00 euros, de acuerdo al siguiente detalle: </w:t>
      </w:r>
    </w:p>
    <w:p w:rsidR="00085BB7" w:rsidRDefault="004441D3">
      <w:pPr>
        <w:spacing w:after="0" w:line="259" w:lineRule="auto"/>
        <w:ind w:left="887" w:right="18"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688" w:type="dxa"/>
        <w:tblInd w:w="817" w:type="dxa"/>
        <w:tblCellMar>
          <w:top w:w="86" w:type="dxa"/>
          <w:left w:w="0" w:type="dxa"/>
          <w:bottom w:w="0" w:type="dxa"/>
          <w:right w:w="0" w:type="dxa"/>
        </w:tblCellMar>
        <w:tblLook w:val="04A0" w:firstRow="1" w:lastRow="0" w:firstColumn="1" w:lastColumn="0" w:noHBand="0" w:noVBand="1"/>
      </w:tblPr>
      <w:tblGrid>
        <w:gridCol w:w="1330"/>
        <w:gridCol w:w="5598"/>
        <w:gridCol w:w="668"/>
        <w:gridCol w:w="1092"/>
      </w:tblGrid>
      <w:tr w:rsidR="00085BB7">
        <w:trPr>
          <w:trHeight w:val="531"/>
        </w:trPr>
        <w:tc>
          <w:tcPr>
            <w:tcW w:w="8688" w:type="dxa"/>
            <w:gridSpan w:val="4"/>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 w:right="0" w:firstLine="0"/>
              <w:jc w:val="center"/>
            </w:pPr>
            <w:r>
              <w:rPr>
                <w:rFonts w:ascii="Times New Roman" w:eastAsia="Times New Roman" w:hAnsi="Times New Roman" w:cs="Times New Roman"/>
                <w:b/>
                <w:sz w:val="18"/>
              </w:rPr>
              <w:t xml:space="preserve"> </w:t>
            </w:r>
          </w:p>
        </w:tc>
      </w:tr>
      <w:tr w:rsidR="00085BB7">
        <w:trPr>
          <w:trHeight w:val="484"/>
        </w:trPr>
        <w:tc>
          <w:tcPr>
            <w:tcW w:w="133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70" w:right="0" w:firstLine="0"/>
            </w:pPr>
            <w:r>
              <w:rPr>
                <w:sz w:val="20"/>
              </w:rPr>
              <w:t xml:space="preserve">APLICACIÓN </w:t>
            </w:r>
          </w:p>
        </w:tc>
        <w:tc>
          <w:tcPr>
            <w:tcW w:w="5598" w:type="dxa"/>
            <w:tcBorders>
              <w:top w:val="single" w:sz="4" w:space="0" w:color="000000"/>
              <w:left w:val="single" w:sz="4" w:space="0" w:color="000000"/>
              <w:bottom w:val="single" w:sz="4" w:space="0" w:color="000000"/>
              <w:right w:val="nil"/>
            </w:tcBorders>
            <w:shd w:val="clear" w:color="auto" w:fill="DADADA"/>
          </w:tcPr>
          <w:p w:rsidR="00085BB7" w:rsidRDefault="004441D3">
            <w:pPr>
              <w:spacing w:after="0" w:line="259" w:lineRule="auto"/>
              <w:ind w:left="615" w:right="0" w:firstLine="0"/>
              <w:jc w:val="center"/>
            </w:pPr>
            <w:r>
              <w:rPr>
                <w:sz w:val="20"/>
              </w:rPr>
              <w:t xml:space="preserve">DENOMINACIÓN </w:t>
            </w:r>
          </w:p>
        </w:tc>
        <w:tc>
          <w:tcPr>
            <w:tcW w:w="668"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092"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12" w:right="0" w:firstLine="0"/>
            </w:pPr>
            <w:r>
              <w:rPr>
                <w:sz w:val="20"/>
              </w:rPr>
              <w:t xml:space="preserve">IMPORTE </w:t>
            </w:r>
          </w:p>
        </w:tc>
      </w:tr>
      <w:tr w:rsidR="00085BB7">
        <w:trPr>
          <w:trHeight w:val="488"/>
        </w:trPr>
        <w:tc>
          <w:tcPr>
            <w:tcW w:w="133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pPr>
            <w:r>
              <w:rPr>
                <w:sz w:val="20"/>
              </w:rPr>
              <w:t xml:space="preserve">16500.22100 </w:t>
            </w:r>
          </w:p>
        </w:tc>
        <w:tc>
          <w:tcPr>
            <w:tcW w:w="5598"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Suministro de Energía Eléctrica. </w:t>
            </w:r>
          </w:p>
        </w:tc>
        <w:tc>
          <w:tcPr>
            <w:tcW w:w="66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0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4" w:right="0" w:firstLine="0"/>
            </w:pPr>
            <w:r>
              <w:rPr>
                <w:sz w:val="20"/>
              </w:rPr>
              <w:t>450.000,00</w:t>
            </w:r>
          </w:p>
        </w:tc>
      </w:tr>
      <w:tr w:rsidR="00085BB7">
        <w:trPr>
          <w:trHeight w:val="484"/>
        </w:trPr>
        <w:tc>
          <w:tcPr>
            <w:tcW w:w="6928"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668"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TOTAL </w:t>
            </w:r>
          </w:p>
        </w:tc>
        <w:tc>
          <w:tcPr>
            <w:tcW w:w="10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4" w:right="0" w:firstLine="0"/>
            </w:pPr>
            <w:r>
              <w:rPr>
                <w:sz w:val="20"/>
              </w:rPr>
              <w:t>450.000,00</w:t>
            </w:r>
          </w:p>
        </w:tc>
      </w:tr>
    </w:tbl>
    <w:p w:rsidR="00085BB7" w:rsidRDefault="004441D3">
      <w:pPr>
        <w:spacing w:after="3" w:line="259" w:lineRule="auto"/>
        <w:ind w:left="738" w:right="18" w:hanging="10"/>
        <w:jc w:val="left"/>
      </w:pPr>
      <w:r>
        <w:rPr>
          <w:rFonts w:ascii="Times New Roman" w:eastAsia="Times New Roman" w:hAnsi="Times New Roman" w:cs="Times New Roman"/>
          <w:sz w:val="24"/>
        </w:rPr>
        <w:t xml:space="preserve">.“ </w:t>
      </w:r>
    </w:p>
    <w:p w:rsidR="00085BB7" w:rsidRDefault="004441D3">
      <w:pPr>
        <w:ind w:left="730" w:right="1404" w:firstLine="708"/>
      </w:pPr>
      <w:r>
        <w:t xml:space="preserve">Vista las Memorias, informes técnicos, proyectos de obra y presupuestos, de las </w:t>
      </w:r>
      <w:r>
        <w:t>actuaciones que se quieren llevar a cabo, en la que se justifican la necesidad y urgencia de la modificación presupuestaria, requisito que se establece en la base 9ª del Presupuesto General, y siendo un gasto específico y determinado, ante la imposibilidad</w:t>
      </w:r>
      <w:r>
        <w:t xml:space="preserve"> de demorarlo a ejercicios posteriores, y no habiendo crédito suficiente en las aplicaciones presupuestarias. </w:t>
      </w:r>
    </w:p>
    <w:p w:rsidR="00085BB7" w:rsidRDefault="004441D3">
      <w:pPr>
        <w:spacing w:after="86"/>
        <w:ind w:left="736" w:right="1400"/>
      </w:pPr>
      <w:r>
        <w:t xml:space="preserve">PRIMERO. Para el año 2024 se reactivan las reglas fiscales suspendidas desde el año 2020. El Acuerdo del Consejo de Ministros de 12 de diciembre </w:t>
      </w:r>
      <w:r>
        <w:t>de 2023, pendiente de aprobación por las Cortes Generales, fija los objetivos de estabilidad y el techo de gasto no financiero para las Administraciones Públicas en el periodo 2024-2026, acordando una situación de equilibrio presupuestario para las Corpora</w:t>
      </w:r>
      <w:r>
        <w:t xml:space="preserve">ciones Locales. </w:t>
      </w:r>
    </w:p>
    <w:p w:rsidR="00085BB7" w:rsidRDefault="004441D3">
      <w:pPr>
        <w:spacing w:after="500"/>
        <w:ind w:left="736" w:right="1402"/>
      </w:pPr>
      <w:r>
        <w:t xml:space="preserve"> En este contexto y dado que durante los ejercicios 2022 y 2023 en que se han mantenido la suspensión de las reglas fiscales para las entidades locales, se extienden los efectos de la suspensión hasta la liquidación del ejercicio 2023.  Po</w:t>
      </w:r>
      <w:r>
        <w:t>r tanto, en el año 2024 no se aplica, respecto al eventual superávit de 2023, el artículo 32 de la Ley Orgánica 2/2012, de 27 de abril, de Estabilidad Presupuestaria y Sostenibilidad Financiera, relativo al destino del superávit presupuestario, debido a qu</w:t>
      </w:r>
      <w:r>
        <w:t xml:space="preserve">e en 2023 estaban suspendidas las reglas fiscales. </w:t>
      </w:r>
    </w:p>
    <w:p w:rsidR="00085BB7" w:rsidRDefault="004441D3">
      <w:pPr>
        <w:spacing w:after="268"/>
        <w:ind w:left="736" w:right="1407"/>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27005" name="Group 127005"/>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5209" name="Rectangle 5209"/>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10" name="Rectangle 5210"/>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211" name="Rectangle 5211"/>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212" name="Rectangle 5212"/>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13" name="Rectangle 5213"/>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214" name="Rectangle 5214"/>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215" name="Rectangle 5215"/>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16" name="Rectangle 5216"/>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217" name="Rectangle 5217"/>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18" name="Rectangle 5218"/>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219" name="Rectangle 5219"/>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20" name="Rectangle 5220"/>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21" name="Rectangle 5221"/>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22" name="Rectangle 5222"/>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223" name="Rectangle 5223"/>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24" name="Rectangle 5224"/>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25" name="Rectangle 5225"/>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226" name="Rectangle 5226"/>
                        <wps:cNvSpPr/>
                        <wps:spPr>
                          <a:xfrm rot="-5399999">
                            <a:off x="352406"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227" name="Rectangle 5227"/>
                        <wps:cNvSpPr/>
                        <wps:spPr>
                          <a:xfrm rot="-5399999">
                            <a:off x="352406" y="2665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228" name="Rectangle 5228"/>
                        <wps:cNvSpPr/>
                        <wps:spPr>
                          <a:xfrm rot="-5399999">
                            <a:off x="352406" y="26272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229" name="Rectangle 5229"/>
                        <wps:cNvSpPr/>
                        <wps:spPr>
                          <a:xfrm rot="-5399999">
                            <a:off x="352406" y="25891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230" name="Rectangle 5230"/>
                        <wps:cNvSpPr/>
                        <wps:spPr>
                          <a:xfrm rot="-5399999">
                            <a:off x="349569" y="25482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231" name="Rectangle 5231"/>
                        <wps:cNvSpPr/>
                        <wps:spPr>
                          <a:xfrm rot="-5399999">
                            <a:off x="341157"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232" name="Rectangle 5232"/>
                        <wps:cNvSpPr/>
                        <wps:spPr>
                          <a:xfrm rot="-5399999">
                            <a:off x="352407" y="24545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5233" name="Rectangle 5233"/>
                        <wps:cNvSpPr/>
                        <wps:spPr>
                          <a:xfrm rot="-5399999">
                            <a:off x="352407" y="2416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234" name="Rectangle 5234"/>
                        <wps:cNvSpPr/>
                        <wps:spPr>
                          <a:xfrm rot="-5399999">
                            <a:off x="341158" y="23670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235" name="Rectangle 5235"/>
                        <wps:cNvSpPr/>
                        <wps:spPr>
                          <a:xfrm rot="-5399999">
                            <a:off x="352406" y="2322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236" name="Rectangle 5236"/>
                        <wps:cNvSpPr/>
                        <wps:spPr>
                          <a:xfrm rot="-5399999">
                            <a:off x="341157" y="2273116"/>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237" name="Rectangle 5237"/>
                        <wps:cNvSpPr/>
                        <wps:spPr>
                          <a:xfrm rot="-5399999">
                            <a:off x="346834" y="2224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238" name="Rectangle 5238"/>
                        <wps:cNvSpPr/>
                        <wps:spPr>
                          <a:xfrm rot="-5399999">
                            <a:off x="341157" y="2171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39" name="Rectangle 5239"/>
                        <wps:cNvSpPr/>
                        <wps:spPr>
                          <a:xfrm rot="-5399999">
                            <a:off x="352406" y="212815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240" name="Rectangle 5240"/>
                        <wps:cNvSpPr/>
                        <wps:spPr>
                          <a:xfrm rot="-5399999">
                            <a:off x="341157" y="2078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241" name="Rectangle 5241"/>
                        <wps:cNvSpPr/>
                        <wps:spPr>
                          <a:xfrm rot="-5399999">
                            <a:off x="341158" y="20241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5242" name="Rectangle 5242"/>
                        <wps:cNvSpPr/>
                        <wps:spPr>
                          <a:xfrm rot="-5399999">
                            <a:off x="352406" y="1979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243" name="Rectangle 5243"/>
                        <wps:cNvSpPr/>
                        <wps:spPr>
                          <a:xfrm rot="-5399999">
                            <a:off x="352406" y="1941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244" name="Rectangle 5244"/>
                        <wps:cNvSpPr/>
                        <wps:spPr>
                          <a:xfrm rot="-5399999">
                            <a:off x="341157" y="18921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245" name="Rectangle 5245"/>
                        <wps:cNvSpPr/>
                        <wps:spPr>
                          <a:xfrm rot="-5399999">
                            <a:off x="346834" y="1843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246" name="Rectangle 5246"/>
                        <wps:cNvSpPr/>
                        <wps:spPr>
                          <a:xfrm rot="-5399999">
                            <a:off x="352406" y="18017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247" name="Rectangle 5247"/>
                        <wps:cNvSpPr/>
                        <wps:spPr>
                          <a:xfrm rot="-5399999">
                            <a:off x="352406" y="1763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248" name="Rectangle 5248"/>
                        <wps:cNvSpPr/>
                        <wps:spPr>
                          <a:xfrm rot="-5399999">
                            <a:off x="341157" y="17143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249" name="Rectangle 5249"/>
                        <wps:cNvSpPr/>
                        <wps:spPr>
                          <a:xfrm rot="-5399999">
                            <a:off x="341157" y="16597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50" name="Rectangle 5250"/>
                        <wps:cNvSpPr/>
                        <wps:spPr>
                          <a:xfrm rot="-5399999">
                            <a:off x="346832"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51" name="Rectangle 5251"/>
                        <wps:cNvSpPr/>
                        <wps:spPr>
                          <a:xfrm rot="-5399999">
                            <a:off x="365075" y="1582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252" name="Rectangle 5252"/>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253" name="Rectangle 5253"/>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54" name="Rectangle 5254"/>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255" name="Rectangle 5255"/>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56" name="Rectangle 5256"/>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257" name="Rectangle 5257"/>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58" name="Rectangle 5258"/>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59" name="Rectangle 5259"/>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60" name="Rectangle 5260"/>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61" name="Rectangle 5261"/>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62" name="Rectangle 5262"/>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263" name="Rectangle 5263"/>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64" name="Rectangle 5264"/>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65" name="Rectangle 5265"/>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266" name="Rectangle 5266"/>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267" name="Rectangle 5267"/>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268" name="Rectangle 5268"/>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269" name="Rectangle 5269"/>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270" name="Rectangle 5270"/>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271" name="Rectangle 5271"/>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72" name="Rectangle 5272"/>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73" name="Rectangle 5273"/>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74" name="Rectangle 5274"/>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75" name="Rectangle 5275"/>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76" name="Rectangle 5276"/>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77" name="Rectangle 5277"/>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278" name="Rectangle 5278"/>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79" name="Rectangle 5279"/>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280" name="Rectangle 5280"/>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81" name="Rectangle 5281"/>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282" name="Rectangle 5282"/>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83" name="Rectangle 5283"/>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84" name="Rectangle 5284"/>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285" name="Rectangle 5285"/>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286" name="Rectangle 5286"/>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87" name="Rectangle 5287"/>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288" name="Rectangle 5288"/>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89" name="Rectangle 5289"/>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290" name="Rectangle 5290"/>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291" name="Rectangle 5291"/>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92" name="Rectangle 5292"/>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293" name="Rectangle 5293"/>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294" name="Rectangle 5294"/>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295" name="Rectangle 5295"/>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296" name="Rectangle 5296"/>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297" name="Rectangle 5297"/>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298" name="Rectangle 5298"/>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299" name="Rectangle 5299"/>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300" name="Rectangle 5300"/>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01" name="Rectangle 5301"/>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302" name="Rectangle 5302"/>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303" name="Rectangle 5303"/>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04" name="Rectangle 5304"/>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305" name="Rectangle 5305"/>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06" name="Rectangle 5306"/>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307" name="Rectangle 5307"/>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308" name="Rectangle 5308"/>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309" name="Rectangle 5309"/>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10" name="Rectangle 5310"/>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311" name="Rectangle 5311"/>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312" name="Rectangle 5312"/>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13" name="Rectangle 5313"/>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14" name="Rectangle 5314"/>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315" name="Rectangle 5315"/>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316" name="Rectangle 5316"/>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317" name="Rectangle 5317"/>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318" name="Rectangle 5318"/>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19" name="Rectangle 5319"/>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320" name="Rectangle 5320"/>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21" name="Rectangle 5321"/>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22" name="Rectangle 5322"/>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23" name="Rectangle 5323"/>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324" name="Rectangle 5324"/>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25" name="Rectangle 5325"/>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326" name="Rectangle 5326"/>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327" name="Rectangle 5327"/>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328" name="Rectangle 5328"/>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329" name="Rectangle 5329"/>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330" name="Rectangle 5330"/>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331" name="Rectangle 5331"/>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332" name="Rectangle 5332"/>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33" name="Rectangle 5333"/>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334" name="Rectangle 5334"/>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35" name="Rectangle 5335"/>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336" name="Rectangle 5336"/>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337" name="Rectangle 5337"/>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38" name="Rectangle 5338"/>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39" name="Rectangle 5339"/>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340" name="Rectangle 5340"/>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41" name="Rectangle 5341"/>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342" name="Rectangle 5342"/>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343" name="Rectangle 5343"/>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44" name="Rectangle 5344"/>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45" name="Rectangle 5345"/>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346" name="Rectangle 5346"/>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47" name="Rectangle 5347"/>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48" name="Rectangle 5348"/>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349" name="Rectangle 5349"/>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350" name="Rectangle 5350"/>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51" name="Rectangle 5351"/>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352" name="Rectangle 5352"/>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53" name="Rectangle 5353"/>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354" name="Rectangle 5354"/>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55" name="Rectangle 5355"/>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356" name="Rectangle 5356"/>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357" name="Rectangle 5357"/>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58" name="Rectangle 5358"/>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59" name="Rectangle 5359"/>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60" name="Rectangle 5360"/>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361" name="Rectangle 5361"/>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362" name="Rectangle 5362"/>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363" name="Rectangle 5363"/>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5364" name="Rectangle 5364"/>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365" name="Rectangle 5365"/>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366" name="Rectangle 5366"/>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367" name="Rectangle 5367"/>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68" name="Rectangle 5368"/>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69" name="Rectangle 5369"/>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370" name="Rectangle 5370"/>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71" name="Rectangle 5371"/>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372" name="Rectangle 5372"/>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373" name="Rectangle 5373"/>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374" name="Rectangle 5374"/>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375" name="Rectangle 5375"/>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376" name="Rectangle 5376"/>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77" name="Rectangle 5377"/>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78" name="Rectangle 5378"/>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379" name="Rectangle 5379"/>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80" name="Rectangle 5380"/>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381" name="Rectangle 5381"/>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5382" name="Rectangle 5382"/>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383" name="Rectangle 5383"/>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384" name="Rectangle 5384"/>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385" name="Rectangle 5385"/>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386" name="Rectangle 5386"/>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87" name="Rectangle 5387"/>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2</w:t>
                              </w:r>
                            </w:p>
                          </w:txbxContent>
                        </wps:txbx>
                        <wps:bodyPr horzOverflow="overflow" vert="horz" lIns="0" tIns="0" rIns="0" bIns="0" rtlCol="0">
                          <a:noAutofit/>
                        </wps:bodyPr>
                      </wps:wsp>
                      <wps:wsp>
                        <wps:cNvPr id="5388" name="Rectangle 5388"/>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89" name="Rectangle 5389"/>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390" name="Rectangle 5390"/>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391" name="Rectangle 5391"/>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392" name="Rectangle 5392"/>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393" name="Rectangle 5393"/>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506" name="Rectangle 550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5507" name="Rectangle 550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508" name="Rectangle 550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27005" style="width:43.9695pt;height:261.085pt;position:absolute;mso-position-horizontal-relative:page;mso-position-horizontal:absolute;margin-left:549.528pt;mso-position-vertical-relative:page;margin-top:512.016pt;" coordsize="5584,33157">
                <v:rect id="Rectangle 5209"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10"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211"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212"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13"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214"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215"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16"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217"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18"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219"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20"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21"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22"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223"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24"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25"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226" style="position:absolute;width:506;height:1122;left:3524;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227" style="position:absolute;width:506;height:1122;left:3524;top:266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228" style="position:absolute;width:506;height:1122;left:3524;top:26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229" style="position:absolute;width:506;height:1122;left:3524;top:258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230" style="position:absolute;width:563;height:1122;left:3495;top:254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231" style="position:absolute;width:731;height:1122;left:3411;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232" style="position:absolute;width:506;height:1122;left:3524;top:245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5233" style="position:absolute;width:506;height:1122;left:3524;top:24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234" style="position:absolute;width:731;height:1122;left:3411;top:236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235" style="position:absolute;width:506;height:1122;left:3524;top:232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236" style="position:absolute;width:731;height:1122;left:3411;top:227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237" style="position:absolute;width:618;height:1122;left:3468;top:22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238" style="position:absolute;width:731;height:1122;left:341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39" style="position:absolute;width:506;height:1122;left:3524;top:212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240" style="position:absolute;width:731;height:1122;left:3411;top:207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241" style="position:absolute;width:731;height:1122;left:3411;top:20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5242" style="position:absolute;width:506;height:1122;left:3524;top:197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243" style="position:absolute;width:506;height:1122;left:3524;top:19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244" style="position:absolute;width:731;height:1122;left:3411;top:18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245" style="position:absolute;width:618;height:1122;left:3468;top:18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246" style="position:absolute;width:506;height:1122;left:3524;top:180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247" style="position:absolute;width:506;height:1122;left:3524;top:176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248" style="position:absolute;width:731;height:1122;left:3411;top:171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249" style="position:absolute;width:731;height:1122;left:3411;top:1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50" style="position:absolute;width:618;height:1122;left:3468;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51" style="position:absolute;width:253;height:1122;left:3650;top:158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252"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253"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54"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255"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56"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257"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58"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59"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60"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61"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62"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263"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64"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65"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266"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267"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268"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269"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270"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271"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72"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73"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74"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75"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76"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77"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278"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79"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280"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81"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282"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83"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84"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285"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286"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87"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288"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89"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290"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291"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92"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293"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294"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295"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296"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297"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298"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299"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300"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01"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302"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303"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04"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305"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06"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307"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308"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309"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10"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311"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312"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13"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14"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315"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316"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317"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318"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19"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320"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21"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22"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23"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324"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25"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326"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327"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328"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329"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330"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331"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332"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33"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334"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35"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336"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337"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38"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39"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340"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41"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342"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343"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44"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45"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346"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47"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48"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349"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350"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51"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352"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53"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354"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55"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356"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357"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58"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59"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60"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361"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362"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363"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5364"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365"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366"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367"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68"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69"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370"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71"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372"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373"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374"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375"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376"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77"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78"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379"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80"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381"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5382"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383"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384"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385"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386"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87"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2</w:t>
                        </w:r>
                      </w:p>
                    </w:txbxContent>
                  </v:textbox>
                </v:rect>
                <v:rect id="Rectangle 5388"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89"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390"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391"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392"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393"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50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55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5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133 </w:t>
                        </w:r>
                      </w:p>
                    </w:txbxContent>
                  </v:textbox>
                </v:rect>
                <w10:wrap type="square"/>
              </v:group>
            </w:pict>
          </mc:Fallback>
        </mc:AlternateContent>
      </w:r>
      <w:r>
        <w:t xml:space="preserve"> La suspensión de las reglas fiscales ha supuesto que el superávit no tenga que dedicarse a amortizar deuda, aun siendo posible realizar esta amortización si la EELL lo considera. La regla del artículo 32 de la LOEPSF puede no aplicarse a partir del moment</w:t>
      </w:r>
      <w:r>
        <w:t xml:space="preserve">o en que se han suspendido las reglas fiscales, ya que estas son el fundamento de aquella regla. Regla que conecta con el objetivo de estabilidad presupuestaria y con el de deuda pública.  </w:t>
      </w:r>
    </w:p>
    <w:p w:rsidR="00085BB7" w:rsidRDefault="004441D3">
      <w:pPr>
        <w:spacing w:after="0"/>
        <w:ind w:left="736" w:right="903"/>
      </w:pPr>
      <w:r>
        <w:t xml:space="preserve"> Al no ser aplicable la regla general, tampoco es necesaria la reg</w:t>
      </w:r>
      <w:r>
        <w:t xml:space="preserve">la especial de destinar el superávit a inversiones financieramente sostenibles, salvo las excepciones siguientes, o mediante norma posterior que prorrogue íntegramente la DA 6ª de la LOEPSF. </w:t>
      </w:r>
    </w:p>
    <w:p w:rsidR="00085BB7" w:rsidRDefault="004441D3">
      <w:pPr>
        <w:spacing w:after="40" w:line="259" w:lineRule="auto"/>
        <w:ind w:left="747" w:right="18" w:firstLine="0"/>
        <w:jc w:val="left"/>
      </w:pPr>
      <w:r>
        <w:t xml:space="preserve"> </w:t>
      </w:r>
      <w:r>
        <w:tab/>
        <w:t xml:space="preserve"> </w:t>
      </w:r>
    </w:p>
    <w:p w:rsidR="00085BB7" w:rsidRDefault="004441D3">
      <w:pPr>
        <w:spacing w:after="43"/>
        <w:ind w:left="736" w:right="903"/>
      </w:pPr>
      <w:r>
        <w:t xml:space="preserve">SEGUNDO. La legislación aplicable es la siguiente: </w:t>
      </w:r>
    </w:p>
    <w:p w:rsidR="00085BB7" w:rsidRDefault="004441D3">
      <w:pPr>
        <w:numPr>
          <w:ilvl w:val="0"/>
          <w:numId w:val="9"/>
        </w:numPr>
        <w:spacing w:after="49"/>
        <w:ind w:right="903" w:hanging="360"/>
      </w:pPr>
      <w:r>
        <w:t xml:space="preserve">Los artículos 169, 170 y 172 a 177 del Real Decreto Legislativo 2/2004, de 5 de marzo, por el que se aprueba el Texto Refundido de la Ley Reguladora de las Haciendas Locales.  </w:t>
      </w:r>
    </w:p>
    <w:p w:rsidR="00085BB7" w:rsidRDefault="004441D3">
      <w:pPr>
        <w:numPr>
          <w:ilvl w:val="0"/>
          <w:numId w:val="9"/>
        </w:numPr>
        <w:spacing w:after="45"/>
        <w:ind w:right="903" w:hanging="360"/>
      </w:pPr>
      <w:r>
        <w:t xml:space="preserve">Los artículos 34 a 38 del Real Decreto 500/1990, de 20 de abril, por el que se </w:t>
      </w:r>
      <w:r>
        <w:t xml:space="preserve">desarrolla el Capítulo I, del Título VI, de la Ley 39/1988, de 28 de diciembre, Reguladora de las Haciendas Locales, en materia de presupuestos. </w:t>
      </w:r>
    </w:p>
    <w:p w:rsidR="00085BB7" w:rsidRDefault="004441D3">
      <w:pPr>
        <w:numPr>
          <w:ilvl w:val="0"/>
          <w:numId w:val="9"/>
        </w:numPr>
        <w:spacing w:after="45"/>
        <w:ind w:right="903" w:hanging="360"/>
      </w:pPr>
      <w:r>
        <w:t>Los artículos 3, 4, 11, 12, 13, 21, 23 y 32 de la Ley Orgánica 2/2012, de 27 de abril, de Estabilidad Presupue</w:t>
      </w:r>
      <w:r>
        <w:t xml:space="preserve">staria y Sostenibilidad Financiera.  </w:t>
      </w:r>
    </w:p>
    <w:p w:rsidR="00085BB7" w:rsidRDefault="004441D3">
      <w:pPr>
        <w:numPr>
          <w:ilvl w:val="0"/>
          <w:numId w:val="9"/>
        </w:numPr>
        <w:spacing w:after="45"/>
        <w:ind w:right="903" w:hanging="360"/>
      </w:pPr>
      <w:r>
        <w:t>El artículo 16.2 del Real Decreto 1463/2007, de 2 de noviembre, por el que se aprueba el Reglamento de Desarrollo de la Ley 18/2001, de 12 de noviembre, de Estabilidad Presupuestaria, en su Aplicación a las Entidades L</w:t>
      </w:r>
      <w:r>
        <w:t xml:space="preserve">ocales. </w:t>
      </w:r>
    </w:p>
    <w:p w:rsidR="00085BB7" w:rsidRDefault="004441D3">
      <w:pPr>
        <w:numPr>
          <w:ilvl w:val="0"/>
          <w:numId w:val="9"/>
        </w:numPr>
        <w:spacing w:after="44"/>
        <w:ind w:right="903" w:hanging="360"/>
      </w:pPr>
      <w:r>
        <w:t xml:space="preserve">El artículo 22.2.e) de la Ley 7/1985, de 2 de abril, Reguladora de las Bases del Régimen Local. </w:t>
      </w:r>
    </w:p>
    <w:p w:rsidR="00085BB7" w:rsidRDefault="004441D3">
      <w:pPr>
        <w:numPr>
          <w:ilvl w:val="0"/>
          <w:numId w:val="9"/>
        </w:numPr>
        <w:spacing w:after="49"/>
        <w:ind w:right="903" w:hanging="360"/>
      </w:pPr>
      <w:r>
        <w:t xml:space="preserve">La Disposición Adicional 6.ª de la Ley Orgánica 2/2012, de 27 de abril, de Estabilidad Presupuestaria y Sostenibilidad Financiera. </w:t>
      </w:r>
    </w:p>
    <w:p w:rsidR="00085BB7" w:rsidRDefault="004441D3">
      <w:pPr>
        <w:numPr>
          <w:ilvl w:val="0"/>
          <w:numId w:val="9"/>
        </w:numPr>
        <w:spacing w:after="0"/>
        <w:ind w:right="903" w:hanging="360"/>
      </w:pPr>
      <w:r>
        <w:t xml:space="preserve">La Orden EHA/3565/2008, de 3 de diciembre, por la que se aprueba la estructura de presupuestos de las entidades locales. - Resolución de 14 de septiembre de 2009, de la Dirección General de Coordinación Financiera con las Comunidades Autónomas y con las </w:t>
      </w:r>
    </w:p>
    <w:p w:rsidR="00085BB7" w:rsidRDefault="004441D3">
      <w:pPr>
        <w:spacing w:after="49"/>
        <w:ind w:left="736" w:right="1405"/>
      </w:pPr>
      <w:r>
        <w:t>E</w:t>
      </w:r>
      <w:r>
        <w:t xml:space="preserve">ntidades Locales, por la que se Dictan Medidas para el Desarrollo de la Orden EHA/3565/2008, de 3 de diciembre, por la que se Aprueba la Estructura de los Presupuestos de las Entidades Locales. </w:t>
      </w:r>
    </w:p>
    <w:p w:rsidR="00085BB7" w:rsidRDefault="004441D3">
      <w:pPr>
        <w:numPr>
          <w:ilvl w:val="0"/>
          <w:numId w:val="9"/>
        </w:numPr>
        <w:spacing w:after="45"/>
        <w:ind w:right="903" w:hanging="360"/>
      </w:pPr>
      <w:r>
        <w:t>La Disposición Adicional 16.ª del Texto Refundido de la Ley R</w:t>
      </w:r>
      <w:r>
        <w:t xml:space="preserve">eguladora de las Haciendas Locales.  </w:t>
      </w:r>
    </w:p>
    <w:p w:rsidR="00085BB7" w:rsidRDefault="004441D3">
      <w:pPr>
        <w:numPr>
          <w:ilvl w:val="0"/>
          <w:numId w:val="9"/>
        </w:numPr>
        <w:spacing w:after="10"/>
        <w:ind w:right="903" w:hanging="360"/>
      </w:pPr>
      <w:r>
        <w:t xml:space="preserve">Acuerdo del Congreso de los Diputados del 13 de octubre de 2020, relativo al Objetivo de </w:t>
      </w:r>
    </w:p>
    <w:p w:rsidR="00085BB7" w:rsidRDefault="004441D3">
      <w:pPr>
        <w:spacing w:after="45"/>
        <w:ind w:left="736" w:right="1406"/>
      </w:pPr>
      <w:r>
        <w:t>Estabilidad Presupuestaria, según acuerdo del Consejo de Ministros de 6 de octubre de 2020 de “Someter a la deliberación del Ple</w:t>
      </w:r>
      <w:r>
        <w:t xml:space="preserve">no, a los efectos previstos en los artículos 135.4 de la Constitución y 11.3 de la Ley Orgánica 2/2012, de 27 de abril, de Estabilidad Presupuestaria y Sostenibilidad Financiera y publicar en el Boletín Oficial de las Cortes Generales.” </w:t>
      </w:r>
    </w:p>
    <w:p w:rsidR="00085BB7" w:rsidRDefault="004441D3">
      <w:pPr>
        <w:spacing w:after="0" w:line="259" w:lineRule="auto"/>
        <w:ind w:left="747" w:right="0" w:firstLine="0"/>
        <w:jc w:val="left"/>
      </w:pPr>
      <w:r>
        <w:t xml:space="preserve"> </w:t>
      </w:r>
    </w:p>
    <w:p w:rsidR="00085BB7" w:rsidRDefault="004441D3">
      <w:pPr>
        <w:spacing w:after="0"/>
        <w:ind w:left="736" w:right="1405"/>
      </w:pPr>
      <w:r>
        <w:t>TERCERO: Considerando que el artículo 177 del Real Decreto Legislativo 2/2004, de 5 de marzo, por el que se aprueba el texto refundido de la Ley Reguladora de las Haciendas Locales, regula los expedientes de modificación presupuestaria mediante créditos ex</w:t>
      </w:r>
      <w:r>
        <w:t xml:space="preserve">traordinarios y suplementos de crédito, al señalar que: </w:t>
      </w:r>
    </w:p>
    <w:p w:rsidR="00085BB7" w:rsidRDefault="004441D3">
      <w:pPr>
        <w:numPr>
          <w:ilvl w:val="0"/>
          <w:numId w:val="10"/>
        </w:numPr>
        <w:spacing w:after="0"/>
        <w:ind w:right="1309" w:hanging="360"/>
      </w:pPr>
      <w:r>
        <w:t>Cuando haya de realizarse algún gasto que no pueda demorarse hasta el ejercicio siguiente, y sea insuficiente en el presupuesto de la corporación el crédito consignado, el presidente de la corporació</w:t>
      </w:r>
      <w:r>
        <w:t xml:space="preserve">n ordenará la incoación del expediente de suplemento de crédito.  </w:t>
      </w:r>
    </w:p>
    <w:p w:rsidR="00085BB7" w:rsidRDefault="004441D3">
      <w:pPr>
        <w:numPr>
          <w:ilvl w:val="0"/>
          <w:numId w:val="10"/>
        </w:numPr>
        <w:spacing w:after="0"/>
        <w:ind w:right="1309" w:hanging="360"/>
      </w:pPr>
      <w:r>
        <w:t>El expediente, que habrá de ser previamente informado por la Intervención, se someterá a la aprobación del Pleno de la corporación, con sujeción a los mismos trámites y requisitos que los p</w:t>
      </w:r>
      <w:r>
        <w:t xml:space="preserve">resupuestos. Serán, asimismo, de aplicación, las normas sobre información, reclamación y publicidad de los presupuestos a que se refiere el artículo 169 de esta ley.  </w:t>
      </w:r>
    </w:p>
    <w:p w:rsidR="00085BB7" w:rsidRDefault="004441D3">
      <w:pPr>
        <w:numPr>
          <w:ilvl w:val="0"/>
          <w:numId w:val="10"/>
        </w:numPr>
        <w:spacing w:after="0"/>
        <w:ind w:right="1309" w:hanging="360"/>
      </w:pPr>
      <w:r>
        <w:t>El expediente deberá especificar la concreta partida presupuestaria a incrementar y el m</w:t>
      </w:r>
      <w:r>
        <w:t xml:space="preserve">edio o recurso que ha de financiar el aumento que se propone. </w:t>
      </w:r>
    </w:p>
    <w:p w:rsidR="00085BB7" w:rsidRDefault="004441D3">
      <w:pPr>
        <w:numPr>
          <w:ilvl w:val="0"/>
          <w:numId w:val="10"/>
        </w:numPr>
        <w:spacing w:after="0"/>
        <w:ind w:right="1309" w:hanging="36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32799" name="Group 132799"/>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5515" name="Rectangle 5515"/>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16" name="Rectangle 5516"/>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517" name="Rectangle 5517"/>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518" name="Rectangle 5518"/>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19" name="Rectangle 5519"/>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520" name="Rectangle 5520"/>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521" name="Rectangle 5521"/>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22" name="Rectangle 5522"/>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523" name="Rectangle 5523"/>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24" name="Rectangle 5524"/>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525" name="Rectangle 5525"/>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26" name="Rectangle 5526"/>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27" name="Rectangle 5527"/>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28" name="Rectangle 5528"/>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529" name="Rectangle 5529"/>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530" name="Rectangle 5530"/>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31" name="Rectangle 5531"/>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532" name="Rectangle 5532"/>
                        <wps:cNvSpPr/>
                        <wps:spPr>
                          <a:xfrm rot="-5399999">
                            <a:off x="352406"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533" name="Rectangle 5533"/>
                        <wps:cNvSpPr/>
                        <wps:spPr>
                          <a:xfrm rot="-5399999">
                            <a:off x="352406" y="2665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534" name="Rectangle 5534"/>
                        <wps:cNvSpPr/>
                        <wps:spPr>
                          <a:xfrm rot="-5399999">
                            <a:off x="352406" y="26272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535" name="Rectangle 5535"/>
                        <wps:cNvSpPr/>
                        <wps:spPr>
                          <a:xfrm rot="-5399999">
                            <a:off x="352406" y="25891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536" name="Rectangle 5536"/>
                        <wps:cNvSpPr/>
                        <wps:spPr>
                          <a:xfrm rot="-5399999">
                            <a:off x="349569" y="25482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537" name="Rectangle 5537"/>
                        <wps:cNvSpPr/>
                        <wps:spPr>
                          <a:xfrm rot="-5399999">
                            <a:off x="341157"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538" name="Rectangle 5538"/>
                        <wps:cNvSpPr/>
                        <wps:spPr>
                          <a:xfrm rot="-5399999">
                            <a:off x="352407" y="24545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5539" name="Rectangle 5539"/>
                        <wps:cNvSpPr/>
                        <wps:spPr>
                          <a:xfrm rot="-5399999">
                            <a:off x="352407" y="2416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540" name="Rectangle 5540"/>
                        <wps:cNvSpPr/>
                        <wps:spPr>
                          <a:xfrm rot="-5399999">
                            <a:off x="341158" y="23670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541" name="Rectangle 5541"/>
                        <wps:cNvSpPr/>
                        <wps:spPr>
                          <a:xfrm rot="-5399999">
                            <a:off x="352406" y="2322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542" name="Rectangle 5542"/>
                        <wps:cNvSpPr/>
                        <wps:spPr>
                          <a:xfrm rot="-5399999">
                            <a:off x="341157" y="2273116"/>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543" name="Rectangle 5543"/>
                        <wps:cNvSpPr/>
                        <wps:spPr>
                          <a:xfrm rot="-5399999">
                            <a:off x="346834" y="2224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544" name="Rectangle 5544"/>
                        <wps:cNvSpPr/>
                        <wps:spPr>
                          <a:xfrm rot="-5399999">
                            <a:off x="341157" y="2171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545" name="Rectangle 5545"/>
                        <wps:cNvSpPr/>
                        <wps:spPr>
                          <a:xfrm rot="-5399999">
                            <a:off x="352406" y="212815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546" name="Rectangle 5546"/>
                        <wps:cNvSpPr/>
                        <wps:spPr>
                          <a:xfrm rot="-5399999">
                            <a:off x="341157" y="2078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547" name="Rectangle 5547"/>
                        <wps:cNvSpPr/>
                        <wps:spPr>
                          <a:xfrm rot="-5399999">
                            <a:off x="341158" y="20241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5548" name="Rectangle 5548"/>
                        <wps:cNvSpPr/>
                        <wps:spPr>
                          <a:xfrm rot="-5399999">
                            <a:off x="352406" y="1979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549" name="Rectangle 5549"/>
                        <wps:cNvSpPr/>
                        <wps:spPr>
                          <a:xfrm rot="-5399999">
                            <a:off x="352406" y="1941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550" name="Rectangle 5550"/>
                        <wps:cNvSpPr/>
                        <wps:spPr>
                          <a:xfrm rot="-5399999">
                            <a:off x="341157" y="18921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551" name="Rectangle 5551"/>
                        <wps:cNvSpPr/>
                        <wps:spPr>
                          <a:xfrm rot="-5399999">
                            <a:off x="346834" y="1843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552" name="Rectangle 5552"/>
                        <wps:cNvSpPr/>
                        <wps:spPr>
                          <a:xfrm rot="-5399999">
                            <a:off x="352406" y="18017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553" name="Rectangle 5553"/>
                        <wps:cNvSpPr/>
                        <wps:spPr>
                          <a:xfrm rot="-5399999">
                            <a:off x="352406" y="1763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554" name="Rectangle 5554"/>
                        <wps:cNvSpPr/>
                        <wps:spPr>
                          <a:xfrm rot="-5399999">
                            <a:off x="341157" y="17143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555" name="Rectangle 5555"/>
                        <wps:cNvSpPr/>
                        <wps:spPr>
                          <a:xfrm rot="-5399999">
                            <a:off x="341157" y="16597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556" name="Rectangle 5556"/>
                        <wps:cNvSpPr/>
                        <wps:spPr>
                          <a:xfrm rot="-5399999">
                            <a:off x="346832"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57" name="Rectangle 5557"/>
                        <wps:cNvSpPr/>
                        <wps:spPr>
                          <a:xfrm rot="-5399999">
                            <a:off x="365075" y="1582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558" name="Rectangle 5558"/>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559" name="Rectangle 5559"/>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60" name="Rectangle 5560"/>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561" name="Rectangle 5561"/>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62" name="Rectangle 5562"/>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563" name="Rectangle 5563"/>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64" name="Rectangle 5564"/>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65" name="Rectangle 5565"/>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66" name="Rectangle 5566"/>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67" name="Rectangle 5567"/>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68" name="Rectangle 5568"/>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569" name="Rectangle 5569"/>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570" name="Rectangle 5570"/>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71" name="Rectangle 5571"/>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572" name="Rectangle 5572"/>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573" name="Rectangle 5573"/>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574" name="Rectangle 5574"/>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575" name="Rectangle 5575"/>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576" name="Rectangle 5576"/>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577" name="Rectangle 5577"/>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78" name="Rectangle 5578"/>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79" name="Rectangle 5579"/>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80" name="Rectangle 5580"/>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81" name="Rectangle 5581"/>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82" name="Rectangle 5582"/>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583" name="Rectangle 5583"/>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584" name="Rectangle 5584"/>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85" name="Rectangle 5585"/>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586" name="Rectangle 5586"/>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87" name="Rectangle 5587"/>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588" name="Rectangle 5588"/>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589" name="Rectangle 5589"/>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590" name="Rectangle 5590"/>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591" name="Rectangle 5591"/>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592" name="Rectangle 5592"/>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93" name="Rectangle 5593"/>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594" name="Rectangle 5594"/>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95" name="Rectangle 5595"/>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596" name="Rectangle 5596"/>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597" name="Rectangle 5597"/>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598" name="Rectangle 5598"/>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599" name="Rectangle 5599"/>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600" name="Rectangle 5600"/>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01" name="Rectangle 5601"/>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02" name="Rectangle 5602"/>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03" name="Rectangle 5603"/>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604" name="Rectangle 5604"/>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05" name="Rectangle 5605"/>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606" name="Rectangle 5606"/>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07" name="Rectangle 5607"/>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608" name="Rectangle 5608"/>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609" name="Rectangle 5609"/>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10" name="Rectangle 5610"/>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611" name="Rectangle 5611"/>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12" name="Rectangle 5612"/>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613" name="Rectangle 5613"/>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614" name="Rectangle 5614"/>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615" name="Rectangle 5615"/>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16" name="Rectangle 5616"/>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17" name="Rectangle 5617"/>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618" name="Rectangle 5618"/>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19" name="Rectangle 5619"/>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20" name="Rectangle 5620"/>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621" name="Rectangle 5621"/>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22" name="Rectangle 5622"/>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623" name="Rectangle 5623"/>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624" name="Rectangle 5624"/>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25" name="Rectangle 5625"/>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626" name="Rectangle 5626"/>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27" name="Rectangle 5627"/>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28" name="Rectangle 5628"/>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29" name="Rectangle 5629"/>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630" name="Rectangle 5630"/>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31" name="Rectangle 5631"/>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632" name="Rectangle 5632"/>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633" name="Rectangle 5633"/>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634" name="Rectangle 5634"/>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635" name="Rectangle 5635"/>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36" name="Rectangle 5636"/>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37" name="Rectangle 5637"/>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638" name="Rectangle 5638"/>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39" name="Rectangle 5639"/>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640" name="Rectangle 5640"/>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41" name="Rectangle 5641"/>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42" name="Rectangle 5642"/>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643" name="Rectangle 5643"/>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44" name="Rectangle 5644"/>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45" name="Rectangle 5645"/>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646" name="Rectangle 5646"/>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47" name="Rectangle 5647"/>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648" name="Rectangle 5648"/>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649" name="Rectangle 5649"/>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50" name="Rectangle 5650"/>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51" name="Rectangle 5651"/>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652" name="Rectangle 5652"/>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53" name="Rectangle 5653"/>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54" name="Rectangle 5654"/>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655" name="Rectangle 5655"/>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656" name="Rectangle 5656"/>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57" name="Rectangle 5657"/>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658" name="Rectangle 5658"/>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59" name="Rectangle 5659"/>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660" name="Rectangle 5660"/>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61" name="Rectangle 5661"/>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662" name="Rectangle 5662"/>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663" name="Rectangle 5663"/>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64" name="Rectangle 5664"/>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65" name="Rectangle 5665"/>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66" name="Rectangle 5666"/>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667" name="Rectangle 5667"/>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668" name="Rectangle 5668"/>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669" name="Rectangle 5669"/>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5670" name="Rectangle 5670"/>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671" name="Rectangle 5671"/>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72" name="Rectangle 5672"/>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673" name="Rectangle 5673"/>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74" name="Rectangle 5674"/>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75" name="Rectangle 5675"/>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676" name="Rectangle 5676"/>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77" name="Rectangle 5677"/>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678" name="Rectangle 5678"/>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679" name="Rectangle 5679"/>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80" name="Rectangle 5680"/>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681" name="Rectangle 5681"/>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82" name="Rectangle 5682"/>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83" name="Rectangle 5683"/>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84" name="Rectangle 5684"/>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685" name="Rectangle 5685"/>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86" name="Rectangle 5686"/>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687" name="Rectangle 5687"/>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5688" name="Rectangle 5688"/>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689" name="Rectangle 5689"/>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690" name="Rectangle 5690"/>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691" name="Rectangle 5691"/>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692" name="Rectangle 5692"/>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93" name="Rectangle 5693"/>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694" name="Rectangle 5694"/>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95" name="Rectangle 5695"/>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696" name="Rectangle 5696"/>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697" name="Rectangle 5697"/>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698" name="Rectangle 5698"/>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699" name="Rectangle 5699"/>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826" name="Rectangle 582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5827" name="Rectangle 582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5828" name="Rectangle 582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799" style="width:43.9695pt;height:261.085pt;position:absolute;mso-position-horizontal-relative:page;mso-position-horizontal:absolute;margin-left:549.528pt;mso-position-vertical-relative:page;margin-top:512.016pt;" coordsize="5584,33157">
                <v:rect id="Rectangle 5515"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16"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517"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518"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19"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520"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521"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22"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523"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24"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525"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26"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27"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28"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529"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530"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31"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532" style="position:absolute;width:506;height:1122;left:3524;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533" style="position:absolute;width:506;height:1122;left:3524;top:266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534" style="position:absolute;width:506;height:1122;left:3524;top:26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535" style="position:absolute;width:506;height:1122;left:3524;top:258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536" style="position:absolute;width:563;height:1122;left:3495;top:254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537" style="position:absolute;width:731;height:1122;left:3411;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538" style="position:absolute;width:506;height:1122;left:3524;top:245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5539" style="position:absolute;width:506;height:1122;left:3524;top:24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540" style="position:absolute;width:731;height:1122;left:3411;top:236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541" style="position:absolute;width:506;height:1122;left:3524;top:232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542" style="position:absolute;width:731;height:1122;left:3411;top:227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543" style="position:absolute;width:618;height:1122;left:3468;top:22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544" style="position:absolute;width:731;height:1122;left:341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545" style="position:absolute;width:506;height:1122;left:3524;top:212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546" style="position:absolute;width:731;height:1122;left:3411;top:207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547" style="position:absolute;width:731;height:1122;left:3411;top:20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5548" style="position:absolute;width:506;height:1122;left:3524;top:197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549" style="position:absolute;width:506;height:1122;left:3524;top:19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550" style="position:absolute;width:731;height:1122;left:3411;top:18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551" style="position:absolute;width:618;height:1122;left:3468;top:18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552" style="position:absolute;width:506;height:1122;left:3524;top:180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553" style="position:absolute;width:506;height:1122;left:3524;top:176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554" style="position:absolute;width:731;height:1122;left:3411;top:171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555" style="position:absolute;width:731;height:1122;left:3411;top:1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556" style="position:absolute;width:618;height:1122;left:3468;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57" style="position:absolute;width:253;height:1122;left:3650;top:158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558"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559"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60"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561"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62"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563"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64"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65"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66"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67"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68"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569"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570"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71"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572"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573"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574"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575"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576"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577"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78"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79"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80"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81"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82"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583"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584"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85"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586"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87"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588"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589"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590"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591"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592"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93"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594"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95"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596"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597"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598"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599"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600"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01"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02"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03"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604"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05"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606"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07"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608"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609"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10"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611"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12"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613"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614"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615"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16"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17"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618"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19"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20"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621"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22"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623"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624"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25"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626"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27"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28"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29"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630"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31"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632"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633"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634"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635"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36"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37"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638"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39"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640"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41"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42"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643"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44"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45"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646"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47"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648"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649"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50"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51"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652"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53"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54"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655"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656"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57"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658"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59"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660"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61"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662"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663"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64"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65"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66"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667"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668"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669"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5670"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671"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72"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673"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74"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75"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676"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77"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678"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679"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80"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681"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82"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83"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84"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685"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86"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687"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5688"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689"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690"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691"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692"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93"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694"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95"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696"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697"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698"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699"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82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58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8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133 </w:t>
                        </w:r>
                      </w:p>
                    </w:txbxContent>
                  </v:textbox>
                </v:rect>
                <w10:wrap type="square"/>
              </v:group>
            </w:pict>
          </mc:Fallback>
        </mc:AlternateContent>
      </w:r>
      <w:r>
        <w:t>Dicho aumento se financiará con cargo al remanente líquido de tesorería, con nuevos o mayores ingresos recaudados sobre los totales previstos en el presupuesto corriente, y mediante anulaciones o bajas de créditos de gastos de otras partidas del presupuest</w:t>
      </w:r>
      <w: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t xml:space="preserve">finalista.  </w:t>
      </w:r>
    </w:p>
    <w:p w:rsidR="00085BB7" w:rsidRDefault="004441D3">
      <w:pPr>
        <w:spacing w:after="0" w:line="259" w:lineRule="auto"/>
        <w:ind w:left="747" w:right="18" w:firstLine="0"/>
        <w:jc w:val="left"/>
      </w:pPr>
      <w:r>
        <w:t xml:space="preserve"> </w:t>
      </w:r>
    </w:p>
    <w:p w:rsidR="00085BB7" w:rsidRDefault="004441D3">
      <w:pPr>
        <w:spacing w:after="0"/>
        <w:ind w:left="736" w:right="903"/>
      </w:pPr>
      <w:r>
        <w:t xml:space="preserve">CUARTO: Vista la Liquidación del Presupuesto general 2023, aprobada por decreto 1127/2024 de 24/04/2023, donde se aprueba un Remanente de Tesorería para gastos Generales (RTGG) por un importe de 19.502.729,45€. </w:t>
      </w:r>
    </w:p>
    <w:p w:rsidR="00085BB7" w:rsidRDefault="004441D3">
      <w:pPr>
        <w:spacing w:after="0"/>
        <w:ind w:left="736" w:right="903"/>
      </w:pPr>
      <w:r>
        <w:t xml:space="preserve"> Visto Expediente 3632/2024 de Incorporación de Créditos financiados con RTGG, por un importe total de 8.596.560,74€ </w:t>
      </w:r>
    </w:p>
    <w:p w:rsidR="00085BB7" w:rsidRDefault="004441D3">
      <w:pPr>
        <w:ind w:left="736" w:right="903"/>
      </w:pPr>
      <w:r>
        <w:t xml:space="preserve"> Visto Expediente 7739/2024 de Créditos Extraordinarios por importe de 4.144.936,45€, aprobado en el Pleno de 25 de julio de 2024. </w:t>
      </w:r>
    </w:p>
    <w:p w:rsidR="00085BB7" w:rsidRDefault="004441D3">
      <w:pPr>
        <w:spacing w:after="0"/>
        <w:ind w:left="736" w:right="903"/>
      </w:pPr>
      <w:r>
        <w:t xml:space="preserve"> Visto</w:t>
      </w:r>
      <w:r>
        <w:t xml:space="preserve"> el expediente 7740/2024 de Suplementos de créditos por importe de 3.683.920,32€, aprobado en el pleno de 25 de julio de 2024 Queda un disponible de Remanente de Tesorería para gastos Generales (RTGG) de 3.077.311,94€. </w:t>
      </w:r>
    </w:p>
    <w:p w:rsidR="00085BB7" w:rsidRDefault="004441D3">
      <w:pPr>
        <w:spacing w:after="0" w:line="259" w:lineRule="auto"/>
        <w:ind w:left="747" w:right="18" w:firstLine="0"/>
        <w:jc w:val="left"/>
      </w:pPr>
      <w:r>
        <w:t xml:space="preserve"> </w:t>
      </w:r>
      <w:r>
        <w:tab/>
        <w:t xml:space="preserve"> </w:t>
      </w:r>
    </w:p>
    <w:p w:rsidR="00085BB7" w:rsidRDefault="004441D3">
      <w:pPr>
        <w:spacing w:after="82"/>
        <w:ind w:left="736" w:right="903"/>
      </w:pPr>
      <w:r>
        <w:t>QUINTO: Que el expediente de mod</w:t>
      </w:r>
      <w:r>
        <w:t xml:space="preserve">ificación presupuestaria nº 10125/2024 de modificación presupuestaria por Suplementos de Créditos financiado con Remanente de Tesorería para gastos generales, por una cantidad total de 450.000,00 euros, de acuerdo al siguiente detalle:  </w:t>
      </w:r>
    </w:p>
    <w:p w:rsidR="00085BB7" w:rsidRDefault="004441D3">
      <w:pPr>
        <w:spacing w:after="0" w:line="259" w:lineRule="auto"/>
        <w:ind w:left="887" w:right="1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085BB7" w:rsidRDefault="004441D3">
      <w:pPr>
        <w:spacing w:after="124" w:line="259" w:lineRule="auto"/>
        <w:ind w:left="887" w:right="18"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p w:rsidR="00085BB7" w:rsidRDefault="004441D3">
      <w:pPr>
        <w:tabs>
          <w:tab w:val="center" w:pos="735"/>
          <w:tab w:val="center" w:pos="5261"/>
          <w:tab w:val="center" w:pos="8997"/>
        </w:tabs>
        <w:spacing w:after="10"/>
        <w:ind w:left="0" w:right="0" w:firstLine="0"/>
        <w:jc w:val="left"/>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Est</w:t>
      </w:r>
      <w:r>
        <w:t xml:space="preserve">ado de gastos </w:t>
      </w:r>
      <w:r>
        <w:tab/>
        <w:t xml:space="preserve"> </w:t>
      </w:r>
    </w:p>
    <w:p w:rsidR="00085BB7" w:rsidRDefault="004441D3">
      <w:pPr>
        <w:spacing w:after="0" w:line="259" w:lineRule="auto"/>
        <w:ind w:left="0" w:right="1779" w:firstLine="0"/>
        <w:jc w:val="right"/>
      </w:pPr>
      <w:r>
        <w:rPr>
          <w:rFonts w:ascii="Times New Roman" w:eastAsia="Times New Roman" w:hAnsi="Times New Roman" w:cs="Times New Roman"/>
          <w:sz w:val="18"/>
        </w:rPr>
        <w:t xml:space="preserve"> </w:t>
      </w:r>
    </w:p>
    <w:p w:rsidR="00085BB7" w:rsidRDefault="004441D3">
      <w:pPr>
        <w:spacing w:after="0" w:line="259" w:lineRule="auto"/>
        <w:ind w:left="1595" w:righ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bl>
      <w:tblPr>
        <w:tblStyle w:val="TableGrid"/>
        <w:tblW w:w="8730" w:type="dxa"/>
        <w:tblInd w:w="817" w:type="dxa"/>
        <w:tblCellMar>
          <w:top w:w="92" w:type="dxa"/>
          <w:left w:w="0" w:type="dxa"/>
          <w:bottom w:w="18" w:type="dxa"/>
          <w:right w:w="0" w:type="dxa"/>
        </w:tblCellMar>
        <w:tblLook w:val="04A0" w:firstRow="1" w:lastRow="0" w:firstColumn="1" w:lastColumn="0" w:noHBand="0" w:noVBand="1"/>
      </w:tblPr>
      <w:tblGrid>
        <w:gridCol w:w="1330"/>
        <w:gridCol w:w="5640"/>
        <w:gridCol w:w="668"/>
        <w:gridCol w:w="1092"/>
      </w:tblGrid>
      <w:tr w:rsidR="00085BB7">
        <w:trPr>
          <w:trHeight w:val="467"/>
        </w:trPr>
        <w:tc>
          <w:tcPr>
            <w:tcW w:w="6970" w:type="dxa"/>
            <w:gridSpan w:val="2"/>
            <w:tcBorders>
              <w:top w:val="single" w:sz="4" w:space="0" w:color="000000"/>
              <w:left w:val="single" w:sz="4" w:space="0" w:color="000000"/>
              <w:bottom w:val="single" w:sz="4" w:space="0" w:color="000000"/>
              <w:right w:val="nil"/>
            </w:tcBorders>
            <w:shd w:val="clear" w:color="auto" w:fill="DADADA"/>
            <w:vAlign w:val="bottom"/>
          </w:tcPr>
          <w:p w:rsidR="00085BB7" w:rsidRDefault="004441D3">
            <w:pPr>
              <w:spacing w:after="0" w:line="259" w:lineRule="auto"/>
              <w:ind w:left="1763" w:right="0"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b/>
                <w:sz w:val="18"/>
              </w:rPr>
              <w:t xml:space="preserve"> </w:t>
            </w:r>
          </w:p>
        </w:tc>
        <w:tc>
          <w:tcPr>
            <w:tcW w:w="1760" w:type="dxa"/>
            <w:gridSpan w:val="2"/>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488"/>
        </w:trPr>
        <w:tc>
          <w:tcPr>
            <w:tcW w:w="133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70" w:right="0" w:firstLine="0"/>
            </w:pPr>
            <w:r>
              <w:rPr>
                <w:sz w:val="20"/>
              </w:rPr>
              <w:t xml:space="preserve">APLICACIÓN </w:t>
            </w:r>
          </w:p>
        </w:tc>
        <w:tc>
          <w:tcPr>
            <w:tcW w:w="5640" w:type="dxa"/>
            <w:tcBorders>
              <w:top w:val="single" w:sz="4" w:space="0" w:color="000000"/>
              <w:left w:val="single" w:sz="4" w:space="0" w:color="000000"/>
              <w:bottom w:val="single" w:sz="4" w:space="0" w:color="000000"/>
              <w:right w:val="nil"/>
            </w:tcBorders>
            <w:shd w:val="clear" w:color="auto" w:fill="DADADA"/>
          </w:tcPr>
          <w:p w:rsidR="00085BB7" w:rsidRDefault="004441D3">
            <w:pPr>
              <w:spacing w:after="0" w:line="259" w:lineRule="auto"/>
              <w:ind w:left="613" w:right="0" w:firstLine="0"/>
              <w:jc w:val="center"/>
            </w:pPr>
            <w:r>
              <w:rPr>
                <w:sz w:val="20"/>
              </w:rPr>
              <w:t xml:space="preserve">DENOMINACIÓN </w:t>
            </w:r>
          </w:p>
        </w:tc>
        <w:tc>
          <w:tcPr>
            <w:tcW w:w="668"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092"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12" w:right="0" w:firstLine="0"/>
            </w:pPr>
            <w:r>
              <w:rPr>
                <w:sz w:val="20"/>
              </w:rPr>
              <w:t xml:space="preserve">IMPORTE </w:t>
            </w:r>
          </w:p>
        </w:tc>
      </w:tr>
      <w:tr w:rsidR="00085BB7">
        <w:trPr>
          <w:trHeight w:val="492"/>
        </w:trPr>
        <w:tc>
          <w:tcPr>
            <w:tcW w:w="133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pPr>
            <w:r>
              <w:rPr>
                <w:sz w:val="20"/>
              </w:rPr>
              <w:t xml:space="preserve">16500.22100 </w:t>
            </w:r>
          </w:p>
        </w:tc>
        <w:tc>
          <w:tcPr>
            <w:tcW w:w="5640"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Suministro de Energía Eléctrica  </w:t>
            </w:r>
          </w:p>
        </w:tc>
        <w:tc>
          <w:tcPr>
            <w:tcW w:w="66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0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4" w:right="0" w:firstLine="0"/>
            </w:pPr>
            <w:r>
              <w:rPr>
                <w:sz w:val="20"/>
              </w:rPr>
              <w:t>450.000,00</w:t>
            </w:r>
          </w:p>
        </w:tc>
      </w:tr>
      <w:tr w:rsidR="00085BB7">
        <w:trPr>
          <w:trHeight w:val="490"/>
        </w:trPr>
        <w:tc>
          <w:tcPr>
            <w:tcW w:w="6970"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668"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TOTAL </w:t>
            </w:r>
          </w:p>
        </w:tc>
        <w:tc>
          <w:tcPr>
            <w:tcW w:w="10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4" w:right="0" w:firstLine="0"/>
            </w:pPr>
            <w:r>
              <w:rPr>
                <w:sz w:val="20"/>
              </w:rPr>
              <w:t>450.000,00</w:t>
            </w:r>
          </w:p>
        </w:tc>
      </w:tr>
    </w:tbl>
    <w:p w:rsidR="00085BB7" w:rsidRDefault="004441D3">
      <w:pPr>
        <w:spacing w:after="50" w:line="259" w:lineRule="auto"/>
        <w:ind w:left="2007" w:right="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085BB7" w:rsidRDefault="004441D3">
      <w:pPr>
        <w:spacing w:after="471" w:line="259" w:lineRule="auto"/>
        <w:ind w:left="735" w:right="0" w:firstLine="0"/>
        <w:jc w:val="left"/>
      </w:pPr>
      <w:r>
        <w:rPr>
          <w:rFonts w:ascii="Times New Roman" w:eastAsia="Times New Roman" w:hAnsi="Times New Roman" w:cs="Times New Roman"/>
          <w:sz w:val="18"/>
        </w:rPr>
        <w:t xml:space="preserve"> </w:t>
      </w:r>
    </w:p>
    <w:p w:rsidR="00085BB7" w:rsidRDefault="004441D3">
      <w:pPr>
        <w:spacing w:after="0" w:line="265" w:lineRule="auto"/>
        <w:ind w:left="548" w:right="1202" w:hanging="10"/>
        <w:jc w:val="center"/>
      </w:pPr>
      <w:r>
        <w:t>Estado de Ingresos</w:t>
      </w:r>
    </w:p>
    <w:p w:rsidR="00085BB7" w:rsidRDefault="004441D3">
      <w:pPr>
        <w:spacing w:after="0" w:line="259" w:lineRule="auto"/>
        <w:ind w:left="887" w:righ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730" w:type="dxa"/>
        <w:tblInd w:w="817" w:type="dxa"/>
        <w:tblCellMar>
          <w:top w:w="86" w:type="dxa"/>
          <w:left w:w="70" w:type="dxa"/>
          <w:bottom w:w="0" w:type="dxa"/>
          <w:right w:w="0" w:type="dxa"/>
        </w:tblCellMar>
        <w:tblLook w:val="04A0" w:firstRow="1" w:lastRow="0" w:firstColumn="1" w:lastColumn="0" w:noHBand="0" w:noVBand="1"/>
      </w:tblPr>
      <w:tblGrid>
        <w:gridCol w:w="1330"/>
        <w:gridCol w:w="6310"/>
        <w:gridCol w:w="1090"/>
      </w:tblGrid>
      <w:tr w:rsidR="00085BB7">
        <w:trPr>
          <w:trHeight w:val="325"/>
        </w:trPr>
        <w:tc>
          <w:tcPr>
            <w:tcW w:w="133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0" w:firstLine="0"/>
            </w:pPr>
            <w:r>
              <w:rPr>
                <w:sz w:val="20"/>
              </w:rPr>
              <w:t xml:space="preserve">APLICACIÓN </w:t>
            </w:r>
          </w:p>
        </w:tc>
        <w:tc>
          <w:tcPr>
            <w:tcW w:w="631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125" w:firstLine="0"/>
              <w:jc w:val="center"/>
            </w:pPr>
            <w:r>
              <w:rPr>
                <w:sz w:val="20"/>
              </w:rPr>
              <w:t xml:space="preserve">DENOMINACIÓN </w:t>
            </w:r>
          </w:p>
        </w:tc>
        <w:tc>
          <w:tcPr>
            <w:tcW w:w="1090"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42" w:right="0" w:firstLine="0"/>
            </w:pPr>
            <w:r>
              <w:rPr>
                <w:sz w:val="20"/>
              </w:rPr>
              <w:t xml:space="preserve">IMPORTE </w:t>
            </w:r>
          </w:p>
        </w:tc>
      </w:tr>
      <w:tr w:rsidR="00085BB7">
        <w:trPr>
          <w:trHeight w:val="328"/>
        </w:trPr>
        <w:tc>
          <w:tcPr>
            <w:tcW w:w="133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87000 </w:t>
            </w:r>
          </w:p>
        </w:tc>
        <w:tc>
          <w:tcPr>
            <w:tcW w:w="631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jc w:val="left"/>
            </w:pPr>
            <w:r>
              <w:rPr>
                <w:sz w:val="20"/>
              </w:rPr>
              <w:t xml:space="preserve">REMANENTE DE TESORERIA PARA GASTOS GENERALES  </w:t>
            </w:r>
          </w:p>
        </w:tc>
        <w:tc>
          <w:tcPr>
            <w:tcW w:w="109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2" w:right="0" w:firstLine="0"/>
            </w:pPr>
            <w:r>
              <w:rPr>
                <w:sz w:val="20"/>
              </w:rPr>
              <w:t>450.000,00</w:t>
            </w:r>
          </w:p>
        </w:tc>
      </w:tr>
      <w:tr w:rsidR="00085BB7">
        <w:trPr>
          <w:trHeight w:val="326"/>
        </w:trPr>
        <w:tc>
          <w:tcPr>
            <w:tcW w:w="133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  </w:t>
            </w:r>
          </w:p>
        </w:tc>
        <w:tc>
          <w:tcPr>
            <w:tcW w:w="631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17" w:firstLine="0"/>
              <w:jc w:val="right"/>
            </w:pPr>
            <w:r>
              <w:rPr>
                <w:sz w:val="20"/>
              </w:rPr>
              <w:t xml:space="preserve">TOTAL </w:t>
            </w:r>
          </w:p>
        </w:tc>
        <w:tc>
          <w:tcPr>
            <w:tcW w:w="1090"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pPr>
            <w:r>
              <w:rPr>
                <w:sz w:val="20"/>
              </w:rPr>
              <w:t>450.000,00</w:t>
            </w:r>
          </w:p>
        </w:tc>
      </w:tr>
    </w:tbl>
    <w:p w:rsidR="00085BB7" w:rsidRDefault="004441D3">
      <w:pPr>
        <w:spacing w:after="81" w:line="259" w:lineRule="auto"/>
        <w:ind w:left="735" w:right="0" w:firstLine="0"/>
        <w:jc w:val="left"/>
      </w:pPr>
      <w:r>
        <w:rPr>
          <w:rFonts w:ascii="Times New Roman" w:eastAsia="Times New Roman" w:hAnsi="Times New Roman" w:cs="Times New Roman"/>
          <w:sz w:val="18"/>
        </w:rPr>
        <w:t xml:space="preserve">…/…” </w:t>
      </w:r>
    </w:p>
    <w:p w:rsidR="00085BB7" w:rsidRDefault="004441D3">
      <w:pPr>
        <w:spacing w:after="0" w:line="259" w:lineRule="auto"/>
        <w:ind w:left="747" w:right="0" w:firstLine="0"/>
        <w:jc w:val="left"/>
      </w:pPr>
      <w:r>
        <w:rPr>
          <w:rFonts w:ascii="Times New Roman" w:eastAsia="Times New Roman" w:hAnsi="Times New Roman" w:cs="Times New Roman"/>
          <w:b/>
          <w:sz w:val="24"/>
        </w:rPr>
        <w:t xml:space="preserve"> </w:t>
      </w:r>
    </w:p>
    <w:p w:rsidR="00085BB7" w:rsidRDefault="004441D3">
      <w:pPr>
        <w:spacing w:after="0" w:line="259" w:lineRule="auto"/>
        <w:ind w:left="747" w:right="0" w:firstLine="0"/>
        <w:jc w:val="left"/>
      </w:pPr>
      <w:r>
        <w:rPr>
          <w:rFonts w:ascii="Times New Roman" w:eastAsia="Times New Roman" w:hAnsi="Times New Roman" w:cs="Times New Roman"/>
          <w:b/>
          <w:sz w:val="24"/>
        </w:rPr>
        <w:t xml:space="preserve"> </w:t>
      </w:r>
    </w:p>
    <w:p w:rsidR="00085BB7" w:rsidRDefault="004441D3">
      <w:pPr>
        <w:spacing w:after="0"/>
        <w:ind w:left="736" w:right="903"/>
      </w:pPr>
      <w:r>
        <w:t xml:space="preserve">     Este Concejal Delegado de Hacienda, PROPONE al Pleno la adopción del siguiente ACUERDO: </w:t>
      </w:r>
    </w:p>
    <w:p w:rsidR="00085BB7" w:rsidRDefault="004441D3">
      <w:pPr>
        <w:spacing w:after="0" w:line="259" w:lineRule="auto"/>
        <w:ind w:left="747" w:right="0" w:firstLine="0"/>
        <w:jc w:val="left"/>
      </w:pPr>
      <w:r>
        <w:t xml:space="preserve"> </w:t>
      </w:r>
    </w:p>
    <w:p w:rsidR="00085BB7" w:rsidRDefault="004441D3">
      <w:pPr>
        <w:spacing w:after="288"/>
        <w:ind w:left="736" w:right="1400"/>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35351" name="Group 135351"/>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5867" name="Rectangle 5867"/>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868" name="Rectangle 5868"/>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869" name="Rectangle 5869"/>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870" name="Rectangle 5870"/>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871" name="Rectangle 5871"/>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872" name="Rectangle 5872"/>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873" name="Rectangle 5873"/>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874" name="Rectangle 5874"/>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875" name="Rectangle 5875"/>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876" name="Rectangle 5876"/>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877" name="Rectangle 5877"/>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878" name="Rectangle 5878"/>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879" name="Rectangle 5879"/>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880" name="Rectangle 5880"/>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881" name="Rectangle 5881"/>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882" name="Rectangle 5882"/>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883" name="Rectangle 5883"/>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884" name="Rectangle 5884"/>
                        <wps:cNvSpPr/>
                        <wps:spPr>
                          <a:xfrm rot="-5399999">
                            <a:off x="352406"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885" name="Rectangle 5885"/>
                        <wps:cNvSpPr/>
                        <wps:spPr>
                          <a:xfrm rot="-5399999">
                            <a:off x="352406" y="2665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886" name="Rectangle 5886"/>
                        <wps:cNvSpPr/>
                        <wps:spPr>
                          <a:xfrm rot="-5399999">
                            <a:off x="352406" y="26272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887" name="Rectangle 5887"/>
                        <wps:cNvSpPr/>
                        <wps:spPr>
                          <a:xfrm rot="-5399999">
                            <a:off x="352406" y="25891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888" name="Rectangle 5888"/>
                        <wps:cNvSpPr/>
                        <wps:spPr>
                          <a:xfrm rot="-5399999">
                            <a:off x="349569" y="25482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889" name="Rectangle 5889"/>
                        <wps:cNvSpPr/>
                        <wps:spPr>
                          <a:xfrm rot="-5399999">
                            <a:off x="341157"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890" name="Rectangle 5890"/>
                        <wps:cNvSpPr/>
                        <wps:spPr>
                          <a:xfrm rot="-5399999">
                            <a:off x="352407" y="24545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5891" name="Rectangle 5891"/>
                        <wps:cNvSpPr/>
                        <wps:spPr>
                          <a:xfrm rot="-5399999">
                            <a:off x="352407" y="2416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5892" name="Rectangle 5892"/>
                        <wps:cNvSpPr/>
                        <wps:spPr>
                          <a:xfrm rot="-5399999">
                            <a:off x="341158" y="23670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893" name="Rectangle 5893"/>
                        <wps:cNvSpPr/>
                        <wps:spPr>
                          <a:xfrm rot="-5399999">
                            <a:off x="352406" y="2322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894" name="Rectangle 5894"/>
                        <wps:cNvSpPr/>
                        <wps:spPr>
                          <a:xfrm rot="-5399999">
                            <a:off x="341157" y="2273116"/>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895" name="Rectangle 5895"/>
                        <wps:cNvSpPr/>
                        <wps:spPr>
                          <a:xfrm rot="-5399999">
                            <a:off x="346834" y="2224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896" name="Rectangle 5896"/>
                        <wps:cNvSpPr/>
                        <wps:spPr>
                          <a:xfrm rot="-5399999">
                            <a:off x="341157" y="2171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897" name="Rectangle 5897"/>
                        <wps:cNvSpPr/>
                        <wps:spPr>
                          <a:xfrm rot="-5399999">
                            <a:off x="352406" y="212815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898" name="Rectangle 5898"/>
                        <wps:cNvSpPr/>
                        <wps:spPr>
                          <a:xfrm rot="-5399999">
                            <a:off x="341157" y="2078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5899" name="Rectangle 5899"/>
                        <wps:cNvSpPr/>
                        <wps:spPr>
                          <a:xfrm rot="-5399999">
                            <a:off x="341158" y="20241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5900" name="Rectangle 5900"/>
                        <wps:cNvSpPr/>
                        <wps:spPr>
                          <a:xfrm rot="-5399999">
                            <a:off x="352406" y="1979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901" name="Rectangle 5901"/>
                        <wps:cNvSpPr/>
                        <wps:spPr>
                          <a:xfrm rot="-5399999">
                            <a:off x="352406" y="1941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5902" name="Rectangle 5902"/>
                        <wps:cNvSpPr/>
                        <wps:spPr>
                          <a:xfrm rot="-5399999">
                            <a:off x="341157" y="18921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903" name="Rectangle 5903"/>
                        <wps:cNvSpPr/>
                        <wps:spPr>
                          <a:xfrm rot="-5399999">
                            <a:off x="346834" y="1843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04" name="Rectangle 5904"/>
                        <wps:cNvSpPr/>
                        <wps:spPr>
                          <a:xfrm rot="-5399999">
                            <a:off x="352406" y="18017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5905" name="Rectangle 5905"/>
                        <wps:cNvSpPr/>
                        <wps:spPr>
                          <a:xfrm rot="-5399999">
                            <a:off x="352406" y="1763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5906" name="Rectangle 5906"/>
                        <wps:cNvSpPr/>
                        <wps:spPr>
                          <a:xfrm rot="-5399999">
                            <a:off x="341157" y="17143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5907" name="Rectangle 5907"/>
                        <wps:cNvSpPr/>
                        <wps:spPr>
                          <a:xfrm rot="-5399999">
                            <a:off x="341157" y="16597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08" name="Rectangle 5908"/>
                        <wps:cNvSpPr/>
                        <wps:spPr>
                          <a:xfrm rot="-5399999">
                            <a:off x="346832"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09" name="Rectangle 5909"/>
                        <wps:cNvSpPr/>
                        <wps:spPr>
                          <a:xfrm rot="-5399999">
                            <a:off x="365075" y="1582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10" name="Rectangle 5910"/>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5911" name="Rectangle 5911"/>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12" name="Rectangle 5912"/>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913" name="Rectangle 5913"/>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14" name="Rectangle 5914"/>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915" name="Rectangle 5915"/>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16" name="Rectangle 5916"/>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17" name="Rectangle 5917"/>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18" name="Rectangle 5918"/>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19" name="Rectangle 5919"/>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20" name="Rectangle 5920"/>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921" name="Rectangle 5921"/>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22" name="Rectangle 5922"/>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23" name="Rectangle 5923"/>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24" name="Rectangle 5924"/>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5925" name="Rectangle 5925"/>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26" name="Rectangle 5926"/>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27" name="Rectangle 5927"/>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5928" name="Rectangle 5928"/>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929" name="Rectangle 5929"/>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30" name="Rectangle 5930"/>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31" name="Rectangle 5931"/>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32" name="Rectangle 5932"/>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33" name="Rectangle 5933"/>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34" name="Rectangle 5934"/>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35" name="Rectangle 5935"/>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936" name="Rectangle 5936"/>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37" name="Rectangle 5937"/>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938" name="Rectangle 5938"/>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39" name="Rectangle 5939"/>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940" name="Rectangle 5940"/>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41" name="Rectangle 5941"/>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42" name="Rectangle 5942"/>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43" name="Rectangle 5943"/>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944" name="Rectangle 5944"/>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45" name="Rectangle 5945"/>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946" name="Rectangle 5946"/>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47" name="Rectangle 5947"/>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948" name="Rectangle 5948"/>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49" name="Rectangle 5949"/>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50" name="Rectangle 5950"/>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51" name="Rectangle 5951"/>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952" name="Rectangle 5952"/>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953" name="Rectangle 5953"/>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54" name="Rectangle 5954"/>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55" name="Rectangle 5955"/>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56" name="Rectangle 5956"/>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57" name="Rectangle 5957"/>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58" name="Rectangle 5958"/>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59" name="Rectangle 5959"/>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5960" name="Rectangle 5960"/>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5961" name="Rectangle 5961"/>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62" name="Rectangle 5962"/>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963" name="Rectangle 5963"/>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964" name="Rectangle 5964"/>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65" name="Rectangle 5965"/>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5966" name="Rectangle 5966"/>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967" name="Rectangle 5967"/>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68" name="Rectangle 5968"/>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69" name="Rectangle 5969"/>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70" name="Rectangle 5970"/>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971" name="Rectangle 5971"/>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72" name="Rectangle 5972"/>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5973" name="Rectangle 5973"/>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74" name="Rectangle 5974"/>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975" name="Rectangle 5975"/>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976" name="Rectangle 5976"/>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77" name="Rectangle 5977"/>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978" name="Rectangle 5978"/>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5979" name="Rectangle 5979"/>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80" name="Rectangle 5980"/>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81" name="Rectangle 5981"/>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5982" name="Rectangle 5982"/>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83" name="Rectangle 5983"/>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84" name="Rectangle 5984"/>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85" name="Rectangle 5985"/>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5986" name="Rectangle 5986"/>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5987" name="Rectangle 5987"/>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88" name="Rectangle 5988"/>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5989" name="Rectangle 5989"/>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5990" name="Rectangle 5990"/>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5991" name="Rectangle 5991"/>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5992" name="Rectangle 5992"/>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93" name="Rectangle 5993"/>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5994" name="Rectangle 5994"/>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5995" name="Rectangle 5995"/>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96" name="Rectangle 5996"/>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5997" name="Rectangle 5997"/>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5998" name="Rectangle 5998"/>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5999" name="Rectangle 5999"/>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000" name="Rectangle 6000"/>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001" name="Rectangle 6001"/>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002" name="Rectangle 6002"/>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03" name="Rectangle 6003"/>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004" name="Rectangle 6004"/>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05" name="Rectangle 6005"/>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06" name="Rectangle 6006"/>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007" name="Rectangle 6007"/>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008" name="Rectangle 6008"/>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09" name="Rectangle 6009"/>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010" name="Rectangle 6010"/>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11" name="Rectangle 6011"/>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6012" name="Rectangle 6012"/>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013" name="Rectangle 6013"/>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014" name="Rectangle 6014"/>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6015" name="Rectangle 6015"/>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16" name="Rectangle 6016"/>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17" name="Rectangle 6017"/>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018" name="Rectangle 6018"/>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019" name="Rectangle 6019"/>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020" name="Rectangle 6020"/>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6021" name="Rectangle 6021"/>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6022" name="Rectangle 6022"/>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023" name="Rectangle 6023"/>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024" name="Rectangle 6024"/>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025" name="Rectangle 6025"/>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026" name="Rectangle 6026"/>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27" name="Rectangle 6027"/>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6028" name="Rectangle 6028"/>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029" name="Rectangle 6029"/>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030" name="Rectangle 6030"/>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031" name="Rectangle 6031"/>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032" name="Rectangle 6032"/>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033" name="Rectangle 6033"/>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034" name="Rectangle 6034"/>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35" name="Rectangle 6035"/>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36" name="Rectangle 6036"/>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037" name="Rectangle 6037"/>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38" name="Rectangle 6038"/>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039" name="Rectangle 6039"/>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6040" name="Rectangle 6040"/>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6041" name="Rectangle 6041"/>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042" name="Rectangle 6042"/>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043" name="Rectangle 6043"/>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044" name="Rectangle 6044"/>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45" name="Rectangle 6045"/>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046" name="Rectangle 6046"/>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47" name="Rectangle 6047"/>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048" name="Rectangle 6048"/>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049" name="Rectangle 6049"/>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050" name="Rectangle 6050"/>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051" name="Rectangle 6051"/>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199" name="Rectangle 619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200" name="Rectangle 620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201" name="Rectangle 620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5351" style="width:43.9695pt;height:261.085pt;position:absolute;mso-position-horizontal-relative:page;mso-position-horizontal:absolute;margin-left:549.528pt;mso-position-vertical-relative:page;margin-top:512.016pt;" coordsize="5584,33157">
                <v:rect id="Rectangle 5867"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868"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869"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870"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871"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872"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873"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874"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875"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876"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877"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878"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879"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880"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881"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882"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883"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884" style="position:absolute;width:506;height:1122;left:3524;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885" style="position:absolute;width:506;height:1122;left:3524;top:266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886" style="position:absolute;width:506;height:1122;left:3524;top:26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887" style="position:absolute;width:506;height:1122;left:3524;top:258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888" style="position:absolute;width:563;height:1122;left:3495;top:254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889" style="position:absolute;width:731;height:1122;left:3411;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890" style="position:absolute;width:506;height:1122;left:3524;top:245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5891" style="position:absolute;width:506;height:1122;left:3524;top:24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5892" style="position:absolute;width:731;height:1122;left:3411;top:236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893" style="position:absolute;width:506;height:1122;left:3524;top:232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894" style="position:absolute;width:731;height:1122;left:3411;top:227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895" style="position:absolute;width:618;height:1122;left:3468;top:22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896" style="position:absolute;width:731;height:1122;left:341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897" style="position:absolute;width:506;height:1122;left:3524;top:212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898" style="position:absolute;width:731;height:1122;left:3411;top:207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5899" style="position:absolute;width:731;height:1122;left:3411;top:20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5900" style="position:absolute;width:506;height:1122;left:3524;top:197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901" style="position:absolute;width:506;height:1122;left:3524;top:19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5902" style="position:absolute;width:731;height:1122;left:3411;top:18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903" style="position:absolute;width:618;height:1122;left:3468;top:18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04" style="position:absolute;width:506;height:1122;left:3524;top:180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5905" style="position:absolute;width:506;height:1122;left:3524;top:176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5906" style="position:absolute;width:731;height:1122;left:3411;top:171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5907" style="position:absolute;width:731;height:1122;left:3411;top:1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08" style="position:absolute;width:618;height:1122;left:3468;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09" style="position:absolute;width:253;height:1122;left:3650;top:158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10"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5911"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12"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913"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14"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915"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16"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17"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18"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19"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20"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921"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22"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23"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24"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5925"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26"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27"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5928"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929"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30"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31"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32"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33"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34"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35"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936"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37"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938"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39"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940"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41"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42"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43"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944"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45"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946"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47"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948"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49"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50"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51"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952"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953"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54"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55"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56"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57"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58"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59"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5960"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5961"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62"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963"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964"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65"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5966"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967"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68"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69"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70"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971"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72"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5973"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74"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975"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976"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77"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978"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5979"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80"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81"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5982"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83"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84"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85"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5986"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5987"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88"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5989"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5990"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5991"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5992"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93"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5994"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5995"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96"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5997"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5998"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5999"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000"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001"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002"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03"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004"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05"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06"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007"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008"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09"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010"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11"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6012"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013"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014"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6015"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16"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17"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018"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019"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020"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6021"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6022"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023"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024"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025"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026"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27"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6028"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029"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030"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031"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032"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033"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034"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35"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36"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037"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38"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039"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6040"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6041"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042"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043"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044"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45"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046"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47"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048"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049"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050"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051"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19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2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2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133 </w:t>
                        </w:r>
                      </w:p>
                    </w:txbxContent>
                  </v:textbox>
                </v:rect>
                <w10:wrap type="square"/>
              </v:group>
            </w:pict>
          </mc:Fallback>
        </mc:AlternateContent>
      </w:r>
      <w:r>
        <w:t xml:space="preserve">PRIMERO. - Aprobar expediente de modificación presupuestaria nº 10.125/2024 de modificación presupuestaria </w:t>
      </w:r>
      <w:r>
        <w:t xml:space="preserve">por Suplementos de Créditos financiado con Remanente de Tesorería para gastos generales, por una cantidad total 450.000,00 euros, de acuerdo al siguiente detalle: </w:t>
      </w:r>
    </w:p>
    <w:p w:rsidR="00085BB7" w:rsidRDefault="004441D3">
      <w:pPr>
        <w:spacing w:after="31" w:line="259" w:lineRule="auto"/>
        <w:ind w:left="747" w:right="0" w:firstLine="0"/>
        <w:jc w:val="left"/>
      </w:pPr>
      <w:r>
        <w:rPr>
          <w:rFonts w:ascii="Times New Roman" w:eastAsia="Times New Roman" w:hAnsi="Times New Roman" w:cs="Times New Roman"/>
          <w:sz w:val="24"/>
        </w:rPr>
        <w:t xml:space="preserve"> </w:t>
      </w:r>
    </w:p>
    <w:p w:rsidR="00085BB7" w:rsidRDefault="004441D3">
      <w:pPr>
        <w:tabs>
          <w:tab w:val="center" w:pos="735"/>
          <w:tab w:val="center" w:pos="4861"/>
          <w:tab w:val="center" w:pos="8405"/>
        </w:tabs>
        <w:spacing w:after="10"/>
        <w:ind w:left="0" w:righ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t xml:space="preserve">Estado de gastos </w:t>
      </w:r>
      <w:r>
        <w:tab/>
        <w:t xml:space="preserve"> </w:t>
      </w:r>
    </w:p>
    <w:p w:rsidR="00085BB7" w:rsidRDefault="004441D3">
      <w:pPr>
        <w:spacing w:after="0" w:line="259" w:lineRule="auto"/>
        <w:ind w:left="887" w:right="0" w:firstLine="0"/>
        <w:jc w:val="left"/>
      </w:pPr>
      <w:r>
        <w:t xml:space="preserve"> </w:t>
      </w:r>
      <w:r>
        <w:tab/>
        <w:t xml:space="preserve"> </w:t>
      </w:r>
      <w:r>
        <w:tab/>
        <w:t xml:space="preserve"> </w:t>
      </w:r>
    </w:p>
    <w:tbl>
      <w:tblPr>
        <w:tblStyle w:val="TableGrid"/>
        <w:tblW w:w="8476" w:type="dxa"/>
        <w:tblInd w:w="817" w:type="dxa"/>
        <w:tblCellMar>
          <w:top w:w="0" w:type="dxa"/>
          <w:left w:w="70" w:type="dxa"/>
          <w:bottom w:w="18" w:type="dxa"/>
          <w:right w:w="0" w:type="dxa"/>
        </w:tblCellMar>
        <w:tblLook w:val="04A0" w:firstRow="1" w:lastRow="0" w:firstColumn="1" w:lastColumn="0" w:noHBand="0" w:noVBand="1"/>
      </w:tblPr>
      <w:tblGrid>
        <w:gridCol w:w="1396"/>
        <w:gridCol w:w="4622"/>
        <w:gridCol w:w="744"/>
        <w:gridCol w:w="1714"/>
      </w:tblGrid>
      <w:tr w:rsidR="00085BB7">
        <w:trPr>
          <w:trHeight w:val="549"/>
        </w:trPr>
        <w:tc>
          <w:tcPr>
            <w:tcW w:w="6018" w:type="dxa"/>
            <w:gridSpan w:val="2"/>
            <w:tcBorders>
              <w:top w:val="single" w:sz="4" w:space="0" w:color="000000"/>
              <w:left w:val="single" w:sz="4" w:space="0" w:color="000000"/>
              <w:bottom w:val="single" w:sz="4" w:space="0" w:color="000000"/>
              <w:right w:val="nil"/>
            </w:tcBorders>
            <w:shd w:val="clear" w:color="auto" w:fill="DADADA"/>
            <w:vAlign w:val="bottom"/>
          </w:tcPr>
          <w:p w:rsidR="00085BB7" w:rsidRDefault="004441D3">
            <w:pPr>
              <w:spacing w:after="0" w:line="259" w:lineRule="auto"/>
              <w:ind w:left="2441" w:right="0" w:firstLine="0"/>
              <w:jc w:val="center"/>
            </w:pPr>
            <w:r>
              <w:rPr>
                <w:rFonts w:ascii="Times New Roman" w:eastAsia="Times New Roman" w:hAnsi="Times New Roman" w:cs="Times New Roman"/>
                <w:b/>
                <w:sz w:val="18"/>
              </w:rPr>
              <w:t xml:space="preserve"> </w:t>
            </w:r>
          </w:p>
        </w:tc>
        <w:tc>
          <w:tcPr>
            <w:tcW w:w="744" w:type="dxa"/>
            <w:tcBorders>
              <w:top w:val="single" w:sz="4" w:space="0" w:color="000000"/>
              <w:left w:val="nil"/>
              <w:bottom w:val="single" w:sz="4" w:space="0" w:color="000000"/>
              <w:right w:val="nil"/>
            </w:tcBorders>
            <w:shd w:val="clear" w:color="auto" w:fill="DADADA"/>
          </w:tcPr>
          <w:p w:rsidR="00085BB7" w:rsidRDefault="00085BB7">
            <w:pPr>
              <w:spacing w:after="160" w:line="259" w:lineRule="auto"/>
              <w:ind w:left="0" w:right="0" w:firstLine="0"/>
              <w:jc w:val="left"/>
            </w:pPr>
          </w:p>
        </w:tc>
        <w:tc>
          <w:tcPr>
            <w:tcW w:w="1714"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500"/>
        </w:trPr>
        <w:tc>
          <w:tcPr>
            <w:tcW w:w="1396"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62" w:right="0" w:firstLine="0"/>
              <w:jc w:val="left"/>
            </w:pPr>
            <w:r>
              <w:rPr>
                <w:sz w:val="20"/>
              </w:rPr>
              <w:t xml:space="preserve">APLICACIÓN </w:t>
            </w:r>
          </w:p>
        </w:tc>
        <w:tc>
          <w:tcPr>
            <w:tcW w:w="4622" w:type="dxa"/>
            <w:tcBorders>
              <w:top w:val="single" w:sz="4" w:space="0" w:color="000000"/>
              <w:left w:val="single" w:sz="4" w:space="0" w:color="000000"/>
              <w:bottom w:val="single" w:sz="4" w:space="0" w:color="000000"/>
              <w:right w:val="nil"/>
            </w:tcBorders>
            <w:shd w:val="clear" w:color="auto" w:fill="DADADA"/>
            <w:vAlign w:val="center"/>
          </w:tcPr>
          <w:p w:rsidR="00085BB7" w:rsidRDefault="004441D3">
            <w:pPr>
              <w:spacing w:after="0" w:line="259" w:lineRule="auto"/>
              <w:ind w:left="619" w:right="0" w:firstLine="0"/>
              <w:jc w:val="center"/>
            </w:pPr>
            <w:r>
              <w:rPr>
                <w:sz w:val="20"/>
              </w:rPr>
              <w:t xml:space="preserve">DENOMINACIÓN </w:t>
            </w:r>
          </w:p>
        </w:tc>
        <w:tc>
          <w:tcPr>
            <w:tcW w:w="744"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0" w:right="125" w:firstLine="0"/>
              <w:jc w:val="center"/>
            </w:pPr>
            <w:r>
              <w:rPr>
                <w:sz w:val="20"/>
              </w:rPr>
              <w:t xml:space="preserve">IMPORTE </w:t>
            </w:r>
          </w:p>
        </w:tc>
      </w:tr>
      <w:tr w:rsidR="00085BB7">
        <w:trPr>
          <w:trHeight w:val="502"/>
        </w:trPr>
        <w:tc>
          <w:tcPr>
            <w:tcW w:w="1396"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0" w:firstLine="0"/>
              <w:jc w:val="left"/>
            </w:pPr>
            <w:r>
              <w:rPr>
                <w:sz w:val="20"/>
              </w:rPr>
              <w:t xml:space="preserve">16500.22100 </w:t>
            </w:r>
          </w:p>
        </w:tc>
        <w:tc>
          <w:tcPr>
            <w:tcW w:w="4622" w:type="dxa"/>
            <w:tcBorders>
              <w:top w:val="single" w:sz="4" w:space="0" w:color="000000"/>
              <w:left w:val="single" w:sz="4" w:space="0" w:color="000000"/>
              <w:bottom w:val="single" w:sz="4" w:space="0" w:color="000000"/>
              <w:right w:val="nil"/>
            </w:tcBorders>
            <w:vAlign w:val="center"/>
          </w:tcPr>
          <w:p w:rsidR="00085BB7" w:rsidRDefault="004441D3">
            <w:pPr>
              <w:spacing w:after="0" w:line="259" w:lineRule="auto"/>
              <w:ind w:left="4" w:right="0" w:firstLine="0"/>
              <w:jc w:val="left"/>
            </w:pPr>
            <w:r>
              <w:rPr>
                <w:sz w:val="20"/>
              </w:rPr>
              <w:t xml:space="preserve">Suminstro de Energía Eléctrica </w:t>
            </w:r>
          </w:p>
        </w:tc>
        <w:tc>
          <w:tcPr>
            <w:tcW w:w="744"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124" w:firstLine="0"/>
              <w:jc w:val="right"/>
            </w:pPr>
            <w:r>
              <w:rPr>
                <w:sz w:val="20"/>
              </w:rPr>
              <w:t xml:space="preserve">450.000,00 </w:t>
            </w:r>
          </w:p>
        </w:tc>
      </w:tr>
      <w:tr w:rsidR="00085BB7">
        <w:trPr>
          <w:trHeight w:val="502"/>
        </w:trPr>
        <w:tc>
          <w:tcPr>
            <w:tcW w:w="6018"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744"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4" w:right="0" w:firstLine="0"/>
            </w:pPr>
            <w:r>
              <w:rPr>
                <w:sz w:val="20"/>
              </w:rPr>
              <w:t xml:space="preserve">TOTAL </w:t>
            </w:r>
          </w:p>
        </w:tc>
        <w:tc>
          <w:tcPr>
            <w:tcW w:w="1714"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124" w:firstLine="0"/>
              <w:jc w:val="right"/>
            </w:pPr>
            <w:r>
              <w:rPr>
                <w:sz w:val="20"/>
              </w:rPr>
              <w:t xml:space="preserve">450.000,00 </w:t>
            </w:r>
          </w:p>
        </w:tc>
      </w:tr>
    </w:tbl>
    <w:p w:rsidR="00085BB7" w:rsidRDefault="004441D3">
      <w:pPr>
        <w:spacing w:after="98" w:line="259" w:lineRule="auto"/>
        <w:ind w:left="887" w:right="1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085BB7" w:rsidRDefault="004441D3">
      <w:pPr>
        <w:tabs>
          <w:tab w:val="center" w:pos="735"/>
          <w:tab w:val="center" w:pos="4829"/>
          <w:tab w:val="center" w:pos="8405"/>
        </w:tabs>
        <w:spacing w:after="10"/>
        <w:ind w:left="0" w:righ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t xml:space="preserve">Estado de Ingresos  </w:t>
      </w:r>
      <w:r>
        <w:tab/>
        <w:t xml:space="preserve"> </w:t>
      </w:r>
    </w:p>
    <w:p w:rsidR="00085BB7" w:rsidRDefault="004441D3">
      <w:pPr>
        <w:spacing w:after="0" w:line="259" w:lineRule="auto"/>
        <w:ind w:left="887" w:right="18"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476" w:type="dxa"/>
        <w:tblInd w:w="817" w:type="dxa"/>
        <w:tblCellMar>
          <w:top w:w="99" w:type="dxa"/>
          <w:left w:w="0" w:type="dxa"/>
          <w:bottom w:w="0" w:type="dxa"/>
          <w:right w:w="0" w:type="dxa"/>
        </w:tblCellMar>
        <w:tblLook w:val="04A0" w:firstRow="1" w:lastRow="0" w:firstColumn="1" w:lastColumn="0" w:noHBand="0" w:noVBand="1"/>
      </w:tblPr>
      <w:tblGrid>
        <w:gridCol w:w="1392"/>
        <w:gridCol w:w="4626"/>
        <w:gridCol w:w="742"/>
        <w:gridCol w:w="1716"/>
      </w:tblGrid>
      <w:tr w:rsidR="00085BB7">
        <w:trPr>
          <w:trHeight w:val="339"/>
        </w:trPr>
        <w:tc>
          <w:tcPr>
            <w:tcW w:w="1392"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32" w:right="0" w:firstLine="0"/>
              <w:jc w:val="left"/>
            </w:pPr>
            <w:r>
              <w:rPr>
                <w:sz w:val="20"/>
              </w:rPr>
              <w:t xml:space="preserve">APLICACIÓN </w:t>
            </w:r>
          </w:p>
        </w:tc>
        <w:tc>
          <w:tcPr>
            <w:tcW w:w="4626" w:type="dxa"/>
            <w:tcBorders>
              <w:top w:val="single" w:sz="4" w:space="0" w:color="000000"/>
              <w:left w:val="single" w:sz="4" w:space="0" w:color="000000"/>
              <w:bottom w:val="single" w:sz="4" w:space="0" w:color="000000"/>
              <w:right w:val="nil"/>
            </w:tcBorders>
            <w:shd w:val="clear" w:color="auto" w:fill="DADADA"/>
          </w:tcPr>
          <w:p w:rsidR="00085BB7" w:rsidRDefault="004441D3">
            <w:pPr>
              <w:spacing w:after="0" w:line="259" w:lineRule="auto"/>
              <w:ind w:left="689" w:right="0" w:firstLine="0"/>
              <w:jc w:val="center"/>
            </w:pPr>
            <w:r>
              <w:rPr>
                <w:sz w:val="20"/>
              </w:rPr>
              <w:t xml:space="preserve">DENOMINACIÓN </w:t>
            </w:r>
          </w:p>
        </w:tc>
        <w:tc>
          <w:tcPr>
            <w:tcW w:w="742"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716"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55" w:firstLine="0"/>
              <w:jc w:val="center"/>
            </w:pPr>
            <w:r>
              <w:rPr>
                <w:sz w:val="20"/>
              </w:rPr>
              <w:t xml:space="preserve">IMPORTE </w:t>
            </w:r>
          </w:p>
        </w:tc>
      </w:tr>
      <w:tr w:rsidR="00085BB7">
        <w:trPr>
          <w:trHeight w:val="580"/>
        </w:trPr>
        <w:tc>
          <w:tcPr>
            <w:tcW w:w="13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jc w:val="left"/>
            </w:pPr>
            <w:r>
              <w:rPr>
                <w:sz w:val="20"/>
              </w:rPr>
              <w:t xml:space="preserve">87000 </w:t>
            </w:r>
          </w:p>
        </w:tc>
        <w:tc>
          <w:tcPr>
            <w:tcW w:w="4626"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REMANENTE DE TESORERIA PARA GASTOS GENERALES  </w:t>
            </w:r>
          </w:p>
        </w:tc>
        <w:tc>
          <w:tcPr>
            <w:tcW w:w="742"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7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24" w:firstLine="0"/>
              <w:jc w:val="right"/>
            </w:pPr>
            <w:r>
              <w:rPr>
                <w:sz w:val="20"/>
              </w:rPr>
              <w:t xml:space="preserve">450.000,00 </w:t>
            </w:r>
          </w:p>
        </w:tc>
      </w:tr>
      <w:tr w:rsidR="00085BB7">
        <w:trPr>
          <w:trHeight w:val="340"/>
        </w:trPr>
        <w:tc>
          <w:tcPr>
            <w:tcW w:w="13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jc w:val="left"/>
            </w:pPr>
            <w:r>
              <w:rPr>
                <w:sz w:val="20"/>
              </w:rPr>
              <w:t xml:space="preserve">  </w:t>
            </w:r>
          </w:p>
        </w:tc>
        <w:tc>
          <w:tcPr>
            <w:tcW w:w="4626" w:type="dxa"/>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742"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TOTAL </w:t>
            </w:r>
          </w:p>
        </w:tc>
        <w:tc>
          <w:tcPr>
            <w:tcW w:w="17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24" w:firstLine="0"/>
              <w:jc w:val="right"/>
            </w:pPr>
            <w:r>
              <w:rPr>
                <w:sz w:val="20"/>
              </w:rPr>
              <w:t xml:space="preserve">450.000,00 </w:t>
            </w:r>
          </w:p>
        </w:tc>
      </w:tr>
    </w:tbl>
    <w:p w:rsidR="00085BB7" w:rsidRDefault="004441D3">
      <w:pPr>
        <w:spacing w:after="30" w:line="259" w:lineRule="auto"/>
        <w:ind w:left="747" w:right="18" w:firstLine="0"/>
        <w:jc w:val="left"/>
      </w:pPr>
      <w:r>
        <w:rPr>
          <w:rFonts w:ascii="Times New Roman" w:eastAsia="Times New Roman" w:hAnsi="Times New Roman" w:cs="Times New Roman"/>
          <w:sz w:val="24"/>
        </w:rPr>
        <w:t xml:space="preserve"> </w:t>
      </w:r>
    </w:p>
    <w:p w:rsidR="00085BB7" w:rsidRDefault="004441D3">
      <w:pPr>
        <w:spacing w:after="6" w:line="259" w:lineRule="auto"/>
        <w:ind w:left="747" w:right="18" w:firstLine="0"/>
        <w:jc w:val="left"/>
      </w:pPr>
      <w:r>
        <w:rPr>
          <w:rFonts w:ascii="Times New Roman" w:eastAsia="Times New Roman" w:hAnsi="Times New Roman" w:cs="Times New Roman"/>
          <w:sz w:val="24"/>
        </w:rPr>
        <w:t xml:space="preserve"> </w:t>
      </w:r>
    </w:p>
    <w:p w:rsidR="00085BB7" w:rsidRDefault="004441D3">
      <w:pPr>
        <w:spacing w:after="0"/>
        <w:ind w:left="736" w:right="903"/>
      </w:pPr>
      <w:r>
        <w:t xml:space="preserve">SEGUNDO. - Exponer este expediente al público mediante anuncio publicado en el Boletín Oficial de la Provincia, por 15 días, durante los cuales los interesados podrán examinarlo y presentar reclamaciones ante el Pleno. </w:t>
      </w:r>
    </w:p>
    <w:p w:rsidR="00085BB7" w:rsidRDefault="004441D3">
      <w:pPr>
        <w:spacing w:after="0" w:line="259" w:lineRule="auto"/>
        <w:ind w:left="0" w:right="1901" w:firstLine="0"/>
        <w:jc w:val="right"/>
      </w:pPr>
      <w:r>
        <w:t xml:space="preserve"> </w:t>
      </w:r>
    </w:p>
    <w:p w:rsidR="00085BB7" w:rsidRDefault="004441D3">
      <w:pPr>
        <w:spacing w:after="0" w:line="259" w:lineRule="auto"/>
        <w:ind w:left="1455" w:right="0" w:firstLine="0"/>
        <w:jc w:val="left"/>
      </w:pPr>
      <w:r>
        <w:t xml:space="preserve"> </w:t>
      </w:r>
    </w:p>
    <w:p w:rsidR="00085BB7" w:rsidRDefault="004441D3">
      <w:pPr>
        <w:spacing w:after="1096"/>
        <w:ind w:left="736" w:right="1404"/>
      </w:pPr>
      <w:r>
        <w:t>TERCERO. - El expediente se cons</w:t>
      </w:r>
      <w:r>
        <w:t>iderará definitivamente aprobado si durante el citado plazo no se hubiesen presentado reclamaciones, en caso contrario el Pleno dispondrá de un mes para resolverlas. El expediente definitivamente aprobado, será insertado en el boletín oficial de la provinc</w:t>
      </w:r>
      <w:r>
        <w:t>ia.”</w:t>
      </w:r>
    </w:p>
    <w:p w:rsidR="00085BB7" w:rsidRDefault="004441D3">
      <w:pPr>
        <w:spacing w:after="497"/>
        <w:ind w:left="736" w:right="903"/>
      </w:pPr>
      <w:r>
        <w:t>DICTAMEN FAVORABLE DE LA COMISIÓN INFORMATIVA DE HACIENDA, RECURSOS HUMANOS Y SERVICIOS GENERALES DE 23 DE SEPTIEMBRE DE 2024.</w:t>
      </w:r>
    </w:p>
    <w:p w:rsidR="00085BB7" w:rsidRDefault="004441D3">
      <w:pPr>
        <w:ind w:left="736" w:right="903"/>
      </w:pPr>
      <w:r>
        <w:t>Votos a favor: 4.</w:t>
      </w:r>
    </w:p>
    <w:p w:rsidR="00085BB7" w:rsidRDefault="004441D3">
      <w:pPr>
        <w:spacing w:after="497"/>
        <w:ind w:left="736" w:right="903"/>
      </w:pPr>
      <w:r>
        <w:t>Los 4 concejales del Grupo Socialista: D. Airam Pérez Chinea, D ª Margarita Eva Tendero Barroso, Dª Mónica</w:t>
      </w:r>
      <w:r>
        <w:t xml:space="preserve"> Montserrat Yanes Delgado, D. Olegario Francisco Alonso Bello.</w:t>
      </w:r>
    </w:p>
    <w:p w:rsidR="00085BB7" w:rsidRDefault="004441D3">
      <w:pPr>
        <w:ind w:left="736" w:right="903"/>
      </w:pPr>
      <w:r>
        <w:t>Votos en contra: 0.</w:t>
      </w:r>
    </w:p>
    <w:p w:rsidR="00085BB7" w:rsidRDefault="004441D3">
      <w:pPr>
        <w:ind w:left="736" w:right="903"/>
      </w:pPr>
      <w:r>
        <w:t>Abstenciones: 3:</w:t>
      </w:r>
    </w:p>
    <w:p w:rsidR="00085BB7" w:rsidRDefault="004441D3">
      <w:pPr>
        <w:ind w:left="736" w:right="903"/>
      </w:pPr>
      <w:r>
        <w:t>Los 2 concejales del Grupo Popular; D. Jacobo López Fariña, Dª Raquel Martín Castro.</w:t>
      </w:r>
    </w:p>
    <w:p w:rsidR="00085BB7" w:rsidRDefault="004441D3">
      <w:pPr>
        <w:spacing w:after="749"/>
        <w:ind w:left="736" w:right="903"/>
      </w:pPr>
      <w:r>
        <w:t>1 del concejal del Grupo Mixto: D. José Fierros Sierra (USP).</w:t>
      </w:r>
    </w:p>
    <w:p w:rsidR="00085BB7" w:rsidRDefault="004441D3">
      <w:pPr>
        <w:spacing w:after="521"/>
        <w:ind w:left="736" w:right="3713"/>
      </w:pPr>
      <w:r>
        <w:t xml:space="preserve">JUNTA DE PORTAVOCES DE 23 DE SEPTIEMBRE DE 2024. Quedó oída. </w:t>
      </w:r>
    </w:p>
    <w:p w:rsidR="00085BB7" w:rsidRDefault="004441D3">
      <w:pPr>
        <w:spacing w:after="479" w:line="265" w:lineRule="auto"/>
        <w:ind w:left="548" w:right="1062" w:hanging="10"/>
        <w:jc w:val="center"/>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column">
                  <wp:posOffset>6542599</wp:posOffset>
                </wp:positionH>
                <wp:positionV relativeFrom="paragraph">
                  <wp:posOffset>-38442</wp:posOffset>
                </wp:positionV>
                <wp:extent cx="237530" cy="3313100"/>
                <wp:effectExtent l="0" t="0" r="0" b="0"/>
                <wp:wrapSquare wrapText="bothSides"/>
                <wp:docPr id="132336" name="Group 13233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274" name="Rectangle 6274"/>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275" name="Rectangle 6275"/>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276" name="Rectangle 6276"/>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Gestiona | Página 33 de 1</w:t>
                              </w:r>
                              <w:r>
                                <w:rPr>
                                  <w:sz w:val="12"/>
                                </w:rPr>
                                <w:t xml:space="preserve">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2336" style="width:18.7031pt;height:260.874pt;position:absolute;mso-position-horizontal-relative:text;mso-position-horizontal:absolute;margin-left:515.165pt;mso-position-vertical-relative:text;margin-top:-3.02698pt;" coordsize="2375,33131">
                <v:rect id="Rectangle 6274"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27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27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133 </w:t>
                        </w:r>
                      </w:p>
                    </w:txbxContent>
                  </v:textbox>
                </v:rect>
                <w10:wrap type="square"/>
              </v:group>
            </w:pict>
          </mc:Fallback>
        </mc:AlternateContent>
      </w:r>
      <w:r>
        <w:t>VOTACIÓN EN EL PLENO DE 26 DE SEPTIEMBRE DE 2024.</w:t>
      </w:r>
    </w:p>
    <w:p w:rsidR="00085BB7" w:rsidRDefault="004441D3">
      <w:pPr>
        <w:spacing w:after="10"/>
        <w:ind w:left="736" w:right="903"/>
      </w:pPr>
      <w:r>
        <w:t>Votos a favor: 11.</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w:t>
      </w:r>
    </w:p>
    <w:p w:rsidR="00085BB7" w:rsidRDefault="004441D3">
      <w:pPr>
        <w:ind w:left="736" w:right="903"/>
      </w:pPr>
      <w:r>
        <w:t xml:space="preserve">Reinaldo José Triviño Blanco, Don Manuel Alberto González Pestano, Doña Margarita Eva Tendero Barroso, Don Airam Pérez Chinea, Doña María del Carmen Clemente Díaz, Don Olegario Francisco Alonso Bello, Doña Mónica Monserrat Yanes Delgado. </w:t>
      </w:r>
    </w:p>
    <w:p w:rsidR="00085BB7" w:rsidRDefault="004441D3">
      <w:pPr>
        <w:ind w:left="736" w:right="903"/>
      </w:pPr>
      <w:r>
        <w:t xml:space="preserve">Votos en contra: </w:t>
      </w:r>
      <w:r>
        <w:t>0</w:t>
      </w:r>
    </w:p>
    <w:p w:rsidR="00085BB7" w:rsidRDefault="004441D3">
      <w:pPr>
        <w:spacing w:after="10"/>
        <w:ind w:left="736" w:right="903"/>
      </w:pPr>
      <w:r>
        <w:t>Abstenciones: 10:</w:t>
      </w:r>
    </w:p>
    <w:p w:rsidR="00085BB7" w:rsidRDefault="004441D3">
      <w:pPr>
        <w:ind w:left="736" w:right="903"/>
      </w:pPr>
      <w:r>
        <w:t xml:space="preserve">6 concejales del Grupo Popular: Don Jacobo López Fariña, Doña Raquel Martín Castro, Don David Crego Cháves, Doña María Carlota Díaz González, Don José Daniel Sosa González, y Doña Shaila Castellano Batista. </w:t>
      </w:r>
    </w:p>
    <w:p w:rsidR="00085BB7" w:rsidRDefault="004441D3">
      <w:pPr>
        <w:spacing w:after="9"/>
        <w:ind w:left="736" w:right="903"/>
      </w:pPr>
      <w:r>
        <w:t>4 concejales del Grupo Mixto: Doña Ángela Cruz Perera y Don Emilio Jesús Atienzar Armas, (CC), D. José Fierros Sierra (USP), Don José Tortosa Pallarés (VOX).</w:t>
      </w:r>
    </w:p>
    <w:p w:rsidR="00085BB7" w:rsidRDefault="004441D3">
      <w:pPr>
        <w:spacing w:after="0" w:line="259" w:lineRule="auto"/>
        <w:ind w:left="735" w:firstLine="0"/>
        <w:jc w:val="left"/>
      </w:pPr>
      <w:r>
        <w:rPr>
          <w:rFonts w:ascii="Times New Roman" w:eastAsia="Times New Roman" w:hAnsi="Times New Roman" w:cs="Times New Roman"/>
          <w:b/>
          <w:sz w:val="24"/>
        </w:rPr>
        <w:t xml:space="preserve">                          </w:t>
      </w:r>
    </w:p>
    <w:p w:rsidR="00085BB7" w:rsidRDefault="004441D3">
      <w:pPr>
        <w:spacing w:after="93" w:line="265" w:lineRule="auto"/>
        <w:ind w:left="548" w:right="1205" w:hanging="10"/>
        <w:jc w:val="center"/>
      </w:pPr>
      <w:r>
        <w:t>ACUERDO DEL PLENO DE 26 DE SEPTIEMBRE DE 2024.</w:t>
      </w:r>
    </w:p>
    <w:p w:rsidR="00085BB7" w:rsidRDefault="004441D3">
      <w:pPr>
        <w:spacing w:after="0"/>
        <w:ind w:left="736" w:right="1400"/>
      </w:pPr>
      <w:r>
        <w:t>PRIMERO. - Aprobar exped</w:t>
      </w:r>
      <w:r>
        <w:t xml:space="preserve">iente de modificación presupuestaria nº 10.125/2024 de modificación presupuestaria por Suplementos de Créditos financiado con Remanente de Tesorería para gastos generales, por una cantidad total 450.000,00 euros, de acuerdo al siguiente detalle: </w:t>
      </w:r>
    </w:p>
    <w:p w:rsidR="00085BB7" w:rsidRDefault="004441D3">
      <w:pPr>
        <w:spacing w:after="51" w:line="259" w:lineRule="auto"/>
        <w:ind w:left="747" w:right="0" w:firstLine="0"/>
        <w:jc w:val="left"/>
      </w:pPr>
      <w:r>
        <w:t xml:space="preserve"> </w:t>
      </w:r>
    </w:p>
    <w:p w:rsidR="00085BB7" w:rsidRDefault="004441D3">
      <w:pPr>
        <w:spacing w:after="7" w:line="265" w:lineRule="auto"/>
        <w:ind w:left="548" w:right="1189" w:hanging="10"/>
        <w:jc w:val="center"/>
      </w:pPr>
      <w:r>
        <w:t xml:space="preserve">Estado </w:t>
      </w:r>
      <w:r>
        <w:t>de gastos</w:t>
      </w:r>
    </w:p>
    <w:p w:rsidR="00085BB7" w:rsidRDefault="004441D3">
      <w:pPr>
        <w:spacing w:after="0" w:line="259" w:lineRule="auto"/>
        <w:ind w:left="887" w:righ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476" w:type="dxa"/>
        <w:tblInd w:w="817" w:type="dxa"/>
        <w:tblCellMar>
          <w:top w:w="0" w:type="dxa"/>
          <w:left w:w="70" w:type="dxa"/>
          <w:bottom w:w="18" w:type="dxa"/>
          <w:right w:w="0" w:type="dxa"/>
        </w:tblCellMar>
        <w:tblLook w:val="04A0" w:firstRow="1" w:lastRow="0" w:firstColumn="1" w:lastColumn="0" w:noHBand="0" w:noVBand="1"/>
      </w:tblPr>
      <w:tblGrid>
        <w:gridCol w:w="1396"/>
        <w:gridCol w:w="4622"/>
        <w:gridCol w:w="744"/>
        <w:gridCol w:w="1714"/>
      </w:tblGrid>
      <w:tr w:rsidR="00085BB7">
        <w:trPr>
          <w:trHeight w:val="549"/>
        </w:trPr>
        <w:tc>
          <w:tcPr>
            <w:tcW w:w="6018" w:type="dxa"/>
            <w:gridSpan w:val="2"/>
            <w:tcBorders>
              <w:top w:val="single" w:sz="4" w:space="0" w:color="000000"/>
              <w:left w:val="single" w:sz="4" w:space="0" w:color="000000"/>
              <w:bottom w:val="single" w:sz="4" w:space="0" w:color="000000"/>
              <w:right w:val="nil"/>
            </w:tcBorders>
            <w:shd w:val="clear" w:color="auto" w:fill="DADADA"/>
            <w:vAlign w:val="bottom"/>
          </w:tcPr>
          <w:p w:rsidR="00085BB7" w:rsidRDefault="004441D3">
            <w:pPr>
              <w:spacing w:after="0" w:line="259" w:lineRule="auto"/>
              <w:ind w:left="2441" w:right="0" w:firstLine="0"/>
              <w:jc w:val="center"/>
            </w:pPr>
            <w:r>
              <w:rPr>
                <w:rFonts w:ascii="Times New Roman" w:eastAsia="Times New Roman" w:hAnsi="Times New Roman" w:cs="Times New Roman"/>
                <w:b/>
                <w:sz w:val="18"/>
              </w:rPr>
              <w:t xml:space="preserve"> </w:t>
            </w:r>
          </w:p>
        </w:tc>
        <w:tc>
          <w:tcPr>
            <w:tcW w:w="744" w:type="dxa"/>
            <w:tcBorders>
              <w:top w:val="single" w:sz="4" w:space="0" w:color="000000"/>
              <w:left w:val="nil"/>
              <w:bottom w:val="single" w:sz="4" w:space="0" w:color="000000"/>
              <w:right w:val="nil"/>
            </w:tcBorders>
            <w:shd w:val="clear" w:color="auto" w:fill="DADADA"/>
          </w:tcPr>
          <w:p w:rsidR="00085BB7" w:rsidRDefault="00085BB7">
            <w:pPr>
              <w:spacing w:after="160" w:line="259" w:lineRule="auto"/>
              <w:ind w:left="0" w:right="0" w:firstLine="0"/>
              <w:jc w:val="left"/>
            </w:pPr>
          </w:p>
        </w:tc>
        <w:tc>
          <w:tcPr>
            <w:tcW w:w="1714"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r>
      <w:tr w:rsidR="00085BB7">
        <w:trPr>
          <w:trHeight w:val="500"/>
        </w:trPr>
        <w:tc>
          <w:tcPr>
            <w:tcW w:w="1396"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62" w:right="0" w:firstLine="0"/>
              <w:jc w:val="left"/>
            </w:pPr>
            <w:r>
              <w:rPr>
                <w:sz w:val="20"/>
              </w:rPr>
              <w:t xml:space="preserve">APLICACIÓN </w:t>
            </w:r>
          </w:p>
        </w:tc>
        <w:tc>
          <w:tcPr>
            <w:tcW w:w="4622" w:type="dxa"/>
            <w:tcBorders>
              <w:top w:val="single" w:sz="4" w:space="0" w:color="000000"/>
              <w:left w:val="single" w:sz="4" w:space="0" w:color="000000"/>
              <w:bottom w:val="single" w:sz="4" w:space="0" w:color="000000"/>
              <w:right w:val="nil"/>
            </w:tcBorders>
            <w:shd w:val="clear" w:color="auto" w:fill="DADADA"/>
            <w:vAlign w:val="center"/>
          </w:tcPr>
          <w:p w:rsidR="00085BB7" w:rsidRDefault="004441D3">
            <w:pPr>
              <w:spacing w:after="0" w:line="259" w:lineRule="auto"/>
              <w:ind w:left="619" w:right="0" w:firstLine="0"/>
              <w:jc w:val="center"/>
            </w:pPr>
            <w:r>
              <w:rPr>
                <w:sz w:val="20"/>
              </w:rPr>
              <w:t xml:space="preserve">DENOMINACIÓN </w:t>
            </w:r>
          </w:p>
        </w:tc>
        <w:tc>
          <w:tcPr>
            <w:tcW w:w="744"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shd w:val="clear" w:color="auto" w:fill="DADADA"/>
            <w:vAlign w:val="center"/>
          </w:tcPr>
          <w:p w:rsidR="00085BB7" w:rsidRDefault="004441D3">
            <w:pPr>
              <w:spacing w:after="0" w:line="259" w:lineRule="auto"/>
              <w:ind w:left="0" w:right="125" w:firstLine="0"/>
              <w:jc w:val="center"/>
            </w:pPr>
            <w:r>
              <w:rPr>
                <w:sz w:val="20"/>
              </w:rPr>
              <w:t xml:space="preserve">IMPORTE </w:t>
            </w:r>
          </w:p>
        </w:tc>
      </w:tr>
      <w:tr w:rsidR="00085BB7">
        <w:trPr>
          <w:trHeight w:val="502"/>
        </w:trPr>
        <w:tc>
          <w:tcPr>
            <w:tcW w:w="1396"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0" w:firstLine="0"/>
              <w:jc w:val="left"/>
            </w:pPr>
            <w:r>
              <w:rPr>
                <w:sz w:val="20"/>
              </w:rPr>
              <w:t xml:space="preserve">16500.22100 </w:t>
            </w:r>
          </w:p>
        </w:tc>
        <w:tc>
          <w:tcPr>
            <w:tcW w:w="4622" w:type="dxa"/>
            <w:tcBorders>
              <w:top w:val="single" w:sz="4" w:space="0" w:color="000000"/>
              <w:left w:val="single" w:sz="4" w:space="0" w:color="000000"/>
              <w:bottom w:val="single" w:sz="4" w:space="0" w:color="000000"/>
              <w:right w:val="nil"/>
            </w:tcBorders>
            <w:vAlign w:val="center"/>
          </w:tcPr>
          <w:p w:rsidR="00085BB7" w:rsidRDefault="004441D3">
            <w:pPr>
              <w:spacing w:after="0" w:line="259" w:lineRule="auto"/>
              <w:ind w:left="4" w:right="0" w:firstLine="0"/>
              <w:jc w:val="left"/>
            </w:pPr>
            <w:r>
              <w:rPr>
                <w:sz w:val="20"/>
              </w:rPr>
              <w:t xml:space="preserve">Suministro de Energía Eléctrica </w:t>
            </w:r>
          </w:p>
        </w:tc>
        <w:tc>
          <w:tcPr>
            <w:tcW w:w="744"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714"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124" w:firstLine="0"/>
              <w:jc w:val="right"/>
            </w:pPr>
            <w:r>
              <w:rPr>
                <w:sz w:val="20"/>
              </w:rPr>
              <w:t xml:space="preserve">450.000,00 </w:t>
            </w:r>
          </w:p>
        </w:tc>
      </w:tr>
      <w:tr w:rsidR="00085BB7">
        <w:trPr>
          <w:trHeight w:val="502"/>
        </w:trPr>
        <w:tc>
          <w:tcPr>
            <w:tcW w:w="6018" w:type="dxa"/>
            <w:gridSpan w:val="2"/>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744"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4" w:right="0" w:firstLine="0"/>
            </w:pPr>
            <w:r>
              <w:rPr>
                <w:sz w:val="20"/>
              </w:rPr>
              <w:t xml:space="preserve">TOTAL </w:t>
            </w:r>
          </w:p>
        </w:tc>
        <w:tc>
          <w:tcPr>
            <w:tcW w:w="1714" w:type="dxa"/>
            <w:tcBorders>
              <w:top w:val="single" w:sz="4" w:space="0" w:color="000000"/>
              <w:left w:val="single" w:sz="4" w:space="0" w:color="000000"/>
              <w:bottom w:val="single" w:sz="4" w:space="0" w:color="000000"/>
              <w:right w:val="single" w:sz="4" w:space="0" w:color="000000"/>
            </w:tcBorders>
            <w:vAlign w:val="center"/>
          </w:tcPr>
          <w:p w:rsidR="00085BB7" w:rsidRDefault="004441D3">
            <w:pPr>
              <w:spacing w:after="0" w:line="259" w:lineRule="auto"/>
              <w:ind w:left="0" w:right="124" w:firstLine="0"/>
              <w:jc w:val="right"/>
            </w:pPr>
            <w:r>
              <w:rPr>
                <w:sz w:val="20"/>
              </w:rPr>
              <w:t xml:space="preserve">450.000,00 </w:t>
            </w:r>
          </w:p>
        </w:tc>
      </w:tr>
    </w:tbl>
    <w:p w:rsidR="00085BB7" w:rsidRDefault="004441D3">
      <w:pPr>
        <w:spacing w:after="110" w:line="259" w:lineRule="auto"/>
        <w:ind w:left="887" w:right="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p w:rsidR="00085BB7" w:rsidRDefault="004441D3">
      <w:pPr>
        <w:tabs>
          <w:tab w:val="center" w:pos="735"/>
          <w:tab w:val="center" w:pos="4829"/>
          <w:tab w:val="center" w:pos="8405"/>
        </w:tabs>
        <w:spacing w:after="10"/>
        <w:ind w:left="0" w:right="0" w:firstLine="0"/>
        <w:jc w:val="left"/>
      </w:pPr>
      <w:r>
        <w:rPr>
          <w:rFonts w:ascii="Calibri" w:eastAsia="Calibri" w:hAnsi="Calibri" w:cs="Calibri"/>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t xml:space="preserve">Estado de Ingresos  </w:t>
      </w:r>
      <w:r>
        <w:tab/>
        <w:t xml:space="preserve"> </w:t>
      </w:r>
    </w:p>
    <w:p w:rsidR="00085BB7" w:rsidRDefault="004441D3">
      <w:pPr>
        <w:spacing w:after="0" w:line="259" w:lineRule="auto"/>
        <w:ind w:left="887" w:righ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bl>
      <w:tblPr>
        <w:tblStyle w:val="TableGrid"/>
        <w:tblW w:w="8476" w:type="dxa"/>
        <w:tblInd w:w="817" w:type="dxa"/>
        <w:tblCellMar>
          <w:top w:w="99" w:type="dxa"/>
          <w:left w:w="0" w:type="dxa"/>
          <w:bottom w:w="0" w:type="dxa"/>
          <w:right w:w="0" w:type="dxa"/>
        </w:tblCellMar>
        <w:tblLook w:val="04A0" w:firstRow="1" w:lastRow="0" w:firstColumn="1" w:lastColumn="0" w:noHBand="0" w:noVBand="1"/>
      </w:tblPr>
      <w:tblGrid>
        <w:gridCol w:w="1392"/>
        <w:gridCol w:w="4626"/>
        <w:gridCol w:w="742"/>
        <w:gridCol w:w="1716"/>
      </w:tblGrid>
      <w:tr w:rsidR="00085BB7">
        <w:trPr>
          <w:trHeight w:val="340"/>
        </w:trPr>
        <w:tc>
          <w:tcPr>
            <w:tcW w:w="1392"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132" w:right="0" w:firstLine="0"/>
              <w:jc w:val="left"/>
            </w:pPr>
            <w:r>
              <w:rPr>
                <w:sz w:val="20"/>
              </w:rPr>
              <w:t xml:space="preserve">APLICACIÓN </w:t>
            </w:r>
          </w:p>
        </w:tc>
        <w:tc>
          <w:tcPr>
            <w:tcW w:w="4626" w:type="dxa"/>
            <w:tcBorders>
              <w:top w:val="single" w:sz="4" w:space="0" w:color="000000"/>
              <w:left w:val="single" w:sz="4" w:space="0" w:color="000000"/>
              <w:bottom w:val="single" w:sz="4" w:space="0" w:color="000000"/>
              <w:right w:val="nil"/>
            </w:tcBorders>
            <w:shd w:val="clear" w:color="auto" w:fill="DADADA"/>
          </w:tcPr>
          <w:p w:rsidR="00085BB7" w:rsidRDefault="004441D3">
            <w:pPr>
              <w:spacing w:after="0" w:line="259" w:lineRule="auto"/>
              <w:ind w:left="689" w:right="0" w:firstLine="0"/>
              <w:jc w:val="center"/>
            </w:pPr>
            <w:r>
              <w:rPr>
                <w:sz w:val="20"/>
              </w:rPr>
              <w:t xml:space="preserve">DENOMINACIÓN </w:t>
            </w:r>
          </w:p>
        </w:tc>
        <w:tc>
          <w:tcPr>
            <w:tcW w:w="742" w:type="dxa"/>
            <w:tcBorders>
              <w:top w:val="single" w:sz="4" w:space="0" w:color="000000"/>
              <w:left w:val="nil"/>
              <w:bottom w:val="single" w:sz="4" w:space="0" w:color="000000"/>
              <w:right w:val="single" w:sz="4" w:space="0" w:color="000000"/>
            </w:tcBorders>
            <w:shd w:val="clear" w:color="auto" w:fill="DADADA"/>
          </w:tcPr>
          <w:p w:rsidR="00085BB7" w:rsidRDefault="00085BB7">
            <w:pPr>
              <w:spacing w:after="160" w:line="259" w:lineRule="auto"/>
              <w:ind w:left="0" w:right="0" w:firstLine="0"/>
              <w:jc w:val="left"/>
            </w:pPr>
          </w:p>
        </w:tc>
        <w:tc>
          <w:tcPr>
            <w:tcW w:w="1716" w:type="dxa"/>
            <w:tcBorders>
              <w:top w:val="single" w:sz="4" w:space="0" w:color="000000"/>
              <w:left w:val="single" w:sz="4" w:space="0" w:color="000000"/>
              <w:bottom w:val="single" w:sz="4" w:space="0" w:color="000000"/>
              <w:right w:val="single" w:sz="4" w:space="0" w:color="000000"/>
            </w:tcBorders>
            <w:shd w:val="clear" w:color="auto" w:fill="DADADA"/>
          </w:tcPr>
          <w:p w:rsidR="00085BB7" w:rsidRDefault="004441D3">
            <w:pPr>
              <w:spacing w:after="0" w:line="259" w:lineRule="auto"/>
              <w:ind w:left="0" w:right="55" w:firstLine="0"/>
              <w:jc w:val="center"/>
            </w:pPr>
            <w:r>
              <w:rPr>
                <w:sz w:val="20"/>
              </w:rPr>
              <w:t xml:space="preserve">IMPORTE </w:t>
            </w:r>
          </w:p>
        </w:tc>
      </w:tr>
      <w:tr w:rsidR="00085BB7">
        <w:trPr>
          <w:trHeight w:val="580"/>
        </w:trPr>
        <w:tc>
          <w:tcPr>
            <w:tcW w:w="13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jc w:val="left"/>
            </w:pPr>
            <w:r>
              <w:rPr>
                <w:sz w:val="20"/>
              </w:rPr>
              <w:t xml:space="preserve">87000 </w:t>
            </w:r>
          </w:p>
        </w:tc>
        <w:tc>
          <w:tcPr>
            <w:tcW w:w="4626" w:type="dxa"/>
            <w:tcBorders>
              <w:top w:val="single" w:sz="4" w:space="0" w:color="000000"/>
              <w:left w:val="single" w:sz="4" w:space="0" w:color="000000"/>
              <w:bottom w:val="single" w:sz="4" w:space="0" w:color="000000"/>
              <w:right w:val="nil"/>
            </w:tcBorders>
          </w:tcPr>
          <w:p w:rsidR="00085BB7" w:rsidRDefault="004441D3">
            <w:pPr>
              <w:spacing w:after="0" w:line="259" w:lineRule="auto"/>
              <w:ind w:left="74" w:right="0" w:firstLine="0"/>
              <w:jc w:val="left"/>
            </w:pPr>
            <w:r>
              <w:rPr>
                <w:sz w:val="20"/>
              </w:rPr>
              <w:t xml:space="preserve">REMANENTE DE TESORERIA PARA GASTOS GENERALES  </w:t>
            </w:r>
          </w:p>
        </w:tc>
        <w:tc>
          <w:tcPr>
            <w:tcW w:w="742"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7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24" w:firstLine="0"/>
              <w:jc w:val="right"/>
            </w:pPr>
            <w:r>
              <w:rPr>
                <w:sz w:val="20"/>
              </w:rPr>
              <w:t xml:space="preserve">450.000,00 </w:t>
            </w:r>
          </w:p>
        </w:tc>
      </w:tr>
      <w:tr w:rsidR="00085BB7">
        <w:trPr>
          <w:trHeight w:val="340"/>
        </w:trPr>
        <w:tc>
          <w:tcPr>
            <w:tcW w:w="139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0" w:right="0" w:firstLine="0"/>
              <w:jc w:val="left"/>
            </w:pPr>
            <w:r>
              <w:rPr>
                <w:sz w:val="20"/>
              </w:rPr>
              <w:t xml:space="preserve">  </w:t>
            </w:r>
          </w:p>
        </w:tc>
        <w:tc>
          <w:tcPr>
            <w:tcW w:w="4626" w:type="dxa"/>
            <w:tcBorders>
              <w:top w:val="single" w:sz="4" w:space="0" w:color="000000"/>
              <w:left w:val="single" w:sz="4" w:space="0" w:color="000000"/>
              <w:bottom w:val="single" w:sz="4" w:space="0" w:color="000000"/>
              <w:right w:val="nil"/>
            </w:tcBorders>
          </w:tcPr>
          <w:p w:rsidR="00085BB7" w:rsidRDefault="00085BB7">
            <w:pPr>
              <w:spacing w:after="160" w:line="259" w:lineRule="auto"/>
              <w:ind w:left="0" w:right="0" w:firstLine="0"/>
              <w:jc w:val="left"/>
            </w:pPr>
          </w:p>
        </w:tc>
        <w:tc>
          <w:tcPr>
            <w:tcW w:w="742"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TOTAL </w:t>
            </w:r>
          </w:p>
        </w:tc>
        <w:tc>
          <w:tcPr>
            <w:tcW w:w="171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24" w:firstLine="0"/>
              <w:jc w:val="right"/>
            </w:pPr>
            <w:r>
              <w:rPr>
                <w:sz w:val="20"/>
              </w:rPr>
              <w:t xml:space="preserve">450.000,00 </w:t>
            </w:r>
          </w:p>
        </w:tc>
      </w:tr>
    </w:tbl>
    <w:p w:rsidR="00085BB7" w:rsidRDefault="004441D3">
      <w:pPr>
        <w:spacing w:after="30" w:line="259" w:lineRule="auto"/>
        <w:ind w:left="747" w:right="0" w:firstLine="0"/>
        <w:jc w:val="left"/>
      </w:pPr>
      <w:r>
        <w:rPr>
          <w:rFonts w:ascii="Times New Roman" w:eastAsia="Times New Roman" w:hAnsi="Times New Roman" w:cs="Times New Roman"/>
          <w:sz w:val="24"/>
        </w:rPr>
        <w:t xml:space="preserve"> </w:t>
      </w:r>
    </w:p>
    <w:p w:rsidR="00085BB7" w:rsidRDefault="004441D3">
      <w:pPr>
        <w:spacing w:after="6" w:line="259" w:lineRule="auto"/>
        <w:ind w:left="747" w:right="0"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6979011</wp:posOffset>
                </wp:positionH>
                <wp:positionV relativeFrom="page">
                  <wp:posOffset>6502600</wp:posOffset>
                </wp:positionV>
                <wp:extent cx="558412" cy="3315780"/>
                <wp:effectExtent l="0" t="0" r="0" b="0"/>
                <wp:wrapSquare wrapText="bothSides"/>
                <wp:docPr id="136055" name="Group 136055"/>
                <wp:cNvGraphicFramePr/>
                <a:graphic xmlns:a="http://schemas.openxmlformats.org/drawingml/2006/main">
                  <a:graphicData uri="http://schemas.microsoft.com/office/word/2010/wordprocessingGroup">
                    <wpg:wgp>
                      <wpg:cNvGrpSpPr/>
                      <wpg:grpSpPr>
                        <a:xfrm>
                          <a:off x="0" y="0"/>
                          <a:ext cx="558412" cy="3315780"/>
                          <a:chOff x="0" y="0"/>
                          <a:chExt cx="558412" cy="3315780"/>
                        </a:xfrm>
                      </wpg:grpSpPr>
                      <wps:wsp>
                        <wps:cNvPr id="6301" name="Rectangle 6301"/>
                        <wps:cNvSpPr/>
                        <wps:spPr>
                          <a:xfrm rot="-5399999">
                            <a:off x="343995" y="3225916"/>
                            <a:ext cx="674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02" name="Rectangle 6302"/>
                        <wps:cNvSpPr/>
                        <wps:spPr>
                          <a:xfrm rot="-5399999">
                            <a:off x="352406" y="31835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6303" name="Rectangle 6303"/>
                        <wps:cNvSpPr/>
                        <wps:spPr>
                          <a:xfrm rot="-5399999">
                            <a:off x="352406" y="31454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304" name="Rectangle 6304"/>
                        <wps:cNvSpPr/>
                        <wps:spPr>
                          <a:xfrm rot="-5399999">
                            <a:off x="365075" y="3119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05" name="Rectangle 6305"/>
                        <wps:cNvSpPr/>
                        <wps:spPr>
                          <a:xfrm rot="-5399999">
                            <a:off x="365075" y="31009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306" name="Rectangle 6306"/>
                        <wps:cNvSpPr/>
                        <wps:spPr>
                          <a:xfrm rot="-5399999">
                            <a:off x="341159" y="3059248"/>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6307" name="Rectangle 6307"/>
                        <wps:cNvSpPr/>
                        <wps:spPr>
                          <a:xfrm rot="-5399999">
                            <a:off x="355295" y="30263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08" name="Rectangle 6308"/>
                        <wps:cNvSpPr/>
                        <wps:spPr>
                          <a:xfrm rot="-5399999">
                            <a:off x="363707" y="30005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309" name="Rectangle 6309"/>
                        <wps:cNvSpPr/>
                        <wps:spPr>
                          <a:xfrm rot="-5399999">
                            <a:off x="363708" y="2980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10" name="Rectangle 6310"/>
                        <wps:cNvSpPr/>
                        <wps:spPr>
                          <a:xfrm rot="-5399999">
                            <a:off x="352406" y="2947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311" name="Rectangle 6311"/>
                        <wps:cNvSpPr/>
                        <wps:spPr>
                          <a:xfrm rot="-5399999">
                            <a:off x="355295" y="291209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12" name="Rectangle 6312"/>
                        <wps:cNvSpPr/>
                        <wps:spPr>
                          <a:xfrm rot="-5399999">
                            <a:off x="355296" y="2877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13" name="Rectangle 6313"/>
                        <wps:cNvSpPr/>
                        <wps:spPr>
                          <a:xfrm rot="-5399999">
                            <a:off x="363708" y="285319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14" name="Rectangle 6314"/>
                        <wps:cNvSpPr/>
                        <wps:spPr>
                          <a:xfrm rot="-5399999">
                            <a:off x="3524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6315" name="Rectangle 6315"/>
                        <wps:cNvSpPr/>
                        <wps:spPr>
                          <a:xfrm rot="-5399999">
                            <a:off x="352406" y="2782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16" name="Rectangle 6316"/>
                        <wps:cNvSpPr/>
                        <wps:spPr>
                          <a:xfrm rot="-5399999">
                            <a:off x="363707" y="27554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17" name="Rectangle 6317"/>
                        <wps:cNvSpPr/>
                        <wps:spPr>
                          <a:xfrm rot="-5399999">
                            <a:off x="365075" y="27351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318" name="Rectangle 6318"/>
                        <wps:cNvSpPr/>
                        <wps:spPr>
                          <a:xfrm rot="-5399999">
                            <a:off x="352406" y="2703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319" name="Rectangle 6319"/>
                        <wps:cNvSpPr/>
                        <wps:spPr>
                          <a:xfrm rot="-5399999">
                            <a:off x="352406" y="26653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6320" name="Rectangle 6320"/>
                        <wps:cNvSpPr/>
                        <wps:spPr>
                          <a:xfrm rot="-5399999">
                            <a:off x="352406" y="26272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6321" name="Rectangle 6321"/>
                        <wps:cNvSpPr/>
                        <wps:spPr>
                          <a:xfrm rot="-5399999">
                            <a:off x="352406" y="25891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6322" name="Rectangle 6322"/>
                        <wps:cNvSpPr/>
                        <wps:spPr>
                          <a:xfrm rot="-5399999">
                            <a:off x="349569" y="2548230"/>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323" name="Rectangle 6323"/>
                        <wps:cNvSpPr/>
                        <wps:spPr>
                          <a:xfrm rot="-5399999">
                            <a:off x="341157" y="24979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6324" name="Rectangle 6324"/>
                        <wps:cNvSpPr/>
                        <wps:spPr>
                          <a:xfrm rot="-5399999">
                            <a:off x="352407" y="24545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7</w:t>
                              </w:r>
                            </w:p>
                          </w:txbxContent>
                        </wps:txbx>
                        <wps:bodyPr horzOverflow="overflow" vert="horz" lIns="0" tIns="0" rIns="0" bIns="0" rtlCol="0">
                          <a:noAutofit/>
                        </wps:bodyPr>
                      </wps:wsp>
                      <wps:wsp>
                        <wps:cNvPr id="6325" name="Rectangle 6325"/>
                        <wps:cNvSpPr/>
                        <wps:spPr>
                          <a:xfrm rot="-5399999">
                            <a:off x="352407" y="241644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326" name="Rectangle 6326"/>
                        <wps:cNvSpPr/>
                        <wps:spPr>
                          <a:xfrm rot="-5399999">
                            <a:off x="341158" y="2367098"/>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6327" name="Rectangle 6327"/>
                        <wps:cNvSpPr/>
                        <wps:spPr>
                          <a:xfrm rot="-5399999">
                            <a:off x="352406" y="2322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6328" name="Rectangle 6328"/>
                        <wps:cNvSpPr/>
                        <wps:spPr>
                          <a:xfrm rot="-5399999">
                            <a:off x="341157" y="2273116"/>
                            <a:ext cx="73172"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6329" name="Rectangle 6329"/>
                        <wps:cNvSpPr/>
                        <wps:spPr>
                          <a:xfrm rot="-5399999">
                            <a:off x="346834" y="2224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330" name="Rectangle 6330"/>
                        <wps:cNvSpPr/>
                        <wps:spPr>
                          <a:xfrm rot="-5399999">
                            <a:off x="341157" y="21715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31" name="Rectangle 6331"/>
                        <wps:cNvSpPr/>
                        <wps:spPr>
                          <a:xfrm rot="-5399999">
                            <a:off x="352406" y="212815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6332" name="Rectangle 6332"/>
                        <wps:cNvSpPr/>
                        <wps:spPr>
                          <a:xfrm rot="-5399999">
                            <a:off x="341157" y="20788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X</w:t>
                              </w:r>
                            </w:p>
                          </w:txbxContent>
                        </wps:txbx>
                        <wps:bodyPr horzOverflow="overflow" vert="horz" lIns="0" tIns="0" rIns="0" bIns="0" rtlCol="0">
                          <a:noAutofit/>
                        </wps:bodyPr>
                      </wps:wsp>
                      <wps:wsp>
                        <wps:cNvPr id="6333" name="Rectangle 6333"/>
                        <wps:cNvSpPr/>
                        <wps:spPr>
                          <a:xfrm rot="-5399999">
                            <a:off x="341158" y="202419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Y</w:t>
                              </w:r>
                            </w:p>
                          </w:txbxContent>
                        </wps:txbx>
                        <wps:bodyPr horzOverflow="overflow" vert="horz" lIns="0" tIns="0" rIns="0" bIns="0" rtlCol="0">
                          <a:noAutofit/>
                        </wps:bodyPr>
                      </wps:wsp>
                      <wps:wsp>
                        <wps:cNvPr id="6334" name="Rectangle 6334"/>
                        <wps:cNvSpPr/>
                        <wps:spPr>
                          <a:xfrm rot="-5399999">
                            <a:off x="352406" y="19795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6335" name="Rectangle 6335"/>
                        <wps:cNvSpPr/>
                        <wps:spPr>
                          <a:xfrm rot="-5399999">
                            <a:off x="352406" y="19414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6</w:t>
                              </w:r>
                            </w:p>
                          </w:txbxContent>
                        </wps:txbx>
                        <wps:bodyPr horzOverflow="overflow" vert="horz" lIns="0" tIns="0" rIns="0" bIns="0" rtlCol="0">
                          <a:noAutofit/>
                        </wps:bodyPr>
                      </wps:wsp>
                      <wps:wsp>
                        <wps:cNvPr id="6336" name="Rectangle 6336"/>
                        <wps:cNvSpPr/>
                        <wps:spPr>
                          <a:xfrm rot="-5399999">
                            <a:off x="341157" y="18921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6337" name="Rectangle 6337"/>
                        <wps:cNvSpPr/>
                        <wps:spPr>
                          <a:xfrm rot="-5399999">
                            <a:off x="346834" y="1843183"/>
                            <a:ext cx="6182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338" name="Rectangle 6338"/>
                        <wps:cNvSpPr/>
                        <wps:spPr>
                          <a:xfrm rot="-5399999">
                            <a:off x="352406" y="18017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3</w:t>
                              </w:r>
                            </w:p>
                          </w:txbxContent>
                        </wps:txbx>
                        <wps:bodyPr horzOverflow="overflow" vert="horz" lIns="0" tIns="0" rIns="0" bIns="0" rtlCol="0">
                          <a:noAutofit/>
                        </wps:bodyPr>
                      </wps:wsp>
                      <wps:wsp>
                        <wps:cNvPr id="6339" name="Rectangle 6339"/>
                        <wps:cNvSpPr/>
                        <wps:spPr>
                          <a:xfrm rot="-5399999">
                            <a:off x="352406" y="17636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9</w:t>
                              </w:r>
                            </w:p>
                          </w:txbxContent>
                        </wps:txbx>
                        <wps:bodyPr horzOverflow="overflow" vert="horz" lIns="0" tIns="0" rIns="0" bIns="0" rtlCol="0">
                          <a:noAutofit/>
                        </wps:bodyPr>
                      </wps:wsp>
                      <wps:wsp>
                        <wps:cNvPr id="6340" name="Rectangle 6340"/>
                        <wps:cNvSpPr/>
                        <wps:spPr>
                          <a:xfrm rot="-5399999">
                            <a:off x="341157" y="171431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6341" name="Rectangle 6341"/>
                        <wps:cNvSpPr/>
                        <wps:spPr>
                          <a:xfrm rot="-5399999">
                            <a:off x="341157" y="1659707"/>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42" name="Rectangle 6342"/>
                        <wps:cNvSpPr/>
                        <wps:spPr>
                          <a:xfrm rot="-5399999">
                            <a:off x="346832" y="1610773"/>
                            <a:ext cx="6182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43" name="Rectangle 6343"/>
                        <wps:cNvSpPr/>
                        <wps:spPr>
                          <a:xfrm rot="-5399999">
                            <a:off x="365075" y="1582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344" name="Rectangle 6344"/>
                        <wps:cNvSpPr/>
                        <wps:spPr>
                          <a:xfrm rot="-5399999">
                            <a:off x="4173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V</w:t>
                              </w:r>
                            </w:p>
                          </w:txbxContent>
                        </wps:txbx>
                        <wps:bodyPr horzOverflow="overflow" vert="horz" lIns="0" tIns="0" rIns="0" bIns="0" rtlCol="0">
                          <a:noAutofit/>
                        </wps:bodyPr>
                      </wps:wsp>
                      <wps:wsp>
                        <wps:cNvPr id="6345" name="Rectangle 6345"/>
                        <wps:cNvSpPr/>
                        <wps:spPr>
                          <a:xfrm rot="-5399999">
                            <a:off x="431496" y="3188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46" name="Rectangle 6346"/>
                        <wps:cNvSpPr/>
                        <wps:spPr>
                          <a:xfrm rot="-5399999">
                            <a:off x="437069" y="31602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347" name="Rectangle 6347"/>
                        <wps:cNvSpPr/>
                        <wps:spPr>
                          <a:xfrm rot="-5399999">
                            <a:off x="439906" y="31376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48" name="Rectangle 6348"/>
                        <wps:cNvSpPr/>
                        <wps:spPr>
                          <a:xfrm rot="-5399999">
                            <a:off x="437069" y="311451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6349" name="Rectangle 6349"/>
                        <wps:cNvSpPr/>
                        <wps:spPr>
                          <a:xfrm rot="-5399999">
                            <a:off x="439907" y="309195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50" name="Rectangle 6350"/>
                        <wps:cNvSpPr/>
                        <wps:spPr>
                          <a:xfrm rot="-5399999">
                            <a:off x="431496" y="30619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51" name="Rectangle 6351"/>
                        <wps:cNvSpPr/>
                        <wps:spPr>
                          <a:xfrm rot="-5399999">
                            <a:off x="431494" y="30276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52" name="Rectangle 6352"/>
                        <wps:cNvSpPr/>
                        <wps:spPr>
                          <a:xfrm rot="-5399999">
                            <a:off x="431495" y="29946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53" name="Rectangle 6353"/>
                        <wps:cNvSpPr/>
                        <wps:spPr>
                          <a:xfrm rot="-5399999">
                            <a:off x="439907" y="29687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54" name="Rectangle 6354"/>
                        <wps:cNvSpPr/>
                        <wps:spPr>
                          <a:xfrm rot="-5399999">
                            <a:off x="428606" y="2935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6355" name="Rectangle 6355"/>
                        <wps:cNvSpPr/>
                        <wps:spPr>
                          <a:xfrm rot="-5399999">
                            <a:off x="428606" y="2897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56" name="Rectangle 6356"/>
                        <wps:cNvSpPr/>
                        <wps:spPr>
                          <a:xfrm rot="-5399999">
                            <a:off x="439906" y="2870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57" name="Rectangle 6357"/>
                        <wps:cNvSpPr/>
                        <wps:spPr>
                          <a:xfrm rot="-5399999">
                            <a:off x="441275" y="28520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358" name="Rectangle 6358"/>
                        <wps:cNvSpPr/>
                        <wps:spPr>
                          <a:xfrm rot="-5399999">
                            <a:off x="428606" y="2820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h</w:t>
                              </w:r>
                            </w:p>
                          </w:txbxContent>
                        </wps:txbx>
                        <wps:bodyPr horzOverflow="overflow" vert="horz" lIns="0" tIns="0" rIns="0" bIns="0" rtlCol="0">
                          <a:noAutofit/>
                        </wps:bodyPr>
                      </wps:wsp>
                      <wps:wsp>
                        <wps:cNvPr id="6359" name="Rectangle 6359"/>
                        <wps:cNvSpPr/>
                        <wps:spPr>
                          <a:xfrm rot="-5399999">
                            <a:off x="439907" y="27935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360" name="Rectangle 6360"/>
                        <wps:cNvSpPr/>
                        <wps:spPr>
                          <a:xfrm rot="-5399999">
                            <a:off x="439907" y="27719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361" name="Rectangle 6361"/>
                        <wps:cNvSpPr/>
                        <wps:spPr>
                          <a:xfrm rot="-5399999">
                            <a:off x="428606" y="27390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362" name="Rectangle 6362"/>
                        <wps:cNvSpPr/>
                        <wps:spPr>
                          <a:xfrm rot="-5399999">
                            <a:off x="434232" y="27065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363" name="Rectangle 6363"/>
                        <wps:cNvSpPr/>
                        <wps:spPr>
                          <a:xfrm rot="-5399999">
                            <a:off x="439907" y="26830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64" name="Rectangle 6364"/>
                        <wps:cNvSpPr/>
                        <wps:spPr>
                          <a:xfrm rot="-5399999">
                            <a:off x="439906" y="26614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65" name="Rectangle 6365"/>
                        <wps:cNvSpPr/>
                        <wps:spPr>
                          <a:xfrm rot="-5399999">
                            <a:off x="439907" y="26411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66" name="Rectangle 6366"/>
                        <wps:cNvSpPr/>
                        <wps:spPr>
                          <a:xfrm rot="-5399999">
                            <a:off x="431496" y="26111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67" name="Rectangle 6367"/>
                        <wps:cNvSpPr/>
                        <wps:spPr>
                          <a:xfrm rot="-5399999">
                            <a:off x="431494" y="25768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68" name="Rectangle 6368"/>
                        <wps:cNvSpPr/>
                        <wps:spPr>
                          <a:xfrm rot="-5399999">
                            <a:off x="428606" y="25409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69" name="Rectangle 6369"/>
                        <wps:cNvSpPr/>
                        <wps:spPr>
                          <a:xfrm rot="-5399999">
                            <a:off x="428605" y="2502806"/>
                            <a:ext cx="506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370" name="Rectangle 6370"/>
                        <wps:cNvSpPr/>
                        <wps:spPr>
                          <a:xfrm rot="-5399999">
                            <a:off x="431496" y="24675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71" name="Rectangle 6371"/>
                        <wps:cNvSpPr/>
                        <wps:spPr>
                          <a:xfrm rot="-5399999">
                            <a:off x="439907" y="24417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372" name="Rectangle 6372"/>
                        <wps:cNvSpPr/>
                        <wps:spPr>
                          <a:xfrm rot="-5399999">
                            <a:off x="431494" y="24117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73" name="Rectangle 6373"/>
                        <wps:cNvSpPr/>
                        <wps:spPr>
                          <a:xfrm rot="-5399999">
                            <a:off x="437068" y="238426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374" name="Rectangle 6374"/>
                        <wps:cNvSpPr/>
                        <wps:spPr>
                          <a:xfrm rot="-5399999">
                            <a:off x="439907" y="23617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75" name="Rectangle 6375"/>
                        <wps:cNvSpPr/>
                        <wps:spPr>
                          <a:xfrm rot="-5399999">
                            <a:off x="431496" y="2331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76" name="Rectangle 6376"/>
                        <wps:cNvSpPr/>
                        <wps:spPr>
                          <a:xfrm rot="-5399999">
                            <a:off x="441275" y="2307195"/>
                            <a:ext cx="2533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77" name="Rectangle 6377"/>
                        <wps:cNvSpPr/>
                        <wps:spPr>
                          <a:xfrm rot="-5399999">
                            <a:off x="434232" y="228110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378" name="Rectangle 6378"/>
                        <wps:cNvSpPr/>
                        <wps:spPr>
                          <a:xfrm rot="-5399999">
                            <a:off x="431496" y="2249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79" name="Rectangle 6379"/>
                        <wps:cNvSpPr/>
                        <wps:spPr>
                          <a:xfrm rot="-5399999">
                            <a:off x="428606" y="2211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380" name="Rectangle 6380"/>
                        <wps:cNvSpPr/>
                        <wps:spPr>
                          <a:xfrm rot="-5399999">
                            <a:off x="431494" y="21767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81" name="Rectangle 6381"/>
                        <wps:cNvSpPr/>
                        <wps:spPr>
                          <a:xfrm rot="-5399999">
                            <a:off x="439907" y="21521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382" name="Rectangle 6382"/>
                        <wps:cNvSpPr/>
                        <wps:spPr>
                          <a:xfrm rot="-5399999">
                            <a:off x="431496" y="2122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83" name="Rectangle 6383"/>
                        <wps:cNvSpPr/>
                        <wps:spPr>
                          <a:xfrm rot="-5399999">
                            <a:off x="431494" y="20878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84" name="Rectangle 6384"/>
                        <wps:cNvSpPr/>
                        <wps:spPr>
                          <a:xfrm rot="-5399999">
                            <a:off x="439907" y="20632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385" name="Rectangle 6385"/>
                        <wps:cNvSpPr/>
                        <wps:spPr>
                          <a:xfrm rot="-5399999">
                            <a:off x="437068" y="203882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386" name="Rectangle 6386"/>
                        <wps:cNvSpPr/>
                        <wps:spPr>
                          <a:xfrm rot="-5399999">
                            <a:off x="428606" y="20049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387" name="Rectangle 6387"/>
                        <wps:cNvSpPr/>
                        <wps:spPr>
                          <a:xfrm rot="-5399999">
                            <a:off x="428606" y="19668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388" name="Rectangle 6388"/>
                        <wps:cNvSpPr/>
                        <wps:spPr>
                          <a:xfrm rot="-5399999">
                            <a:off x="439907" y="1940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389" name="Rectangle 6389"/>
                        <wps:cNvSpPr/>
                        <wps:spPr>
                          <a:xfrm rot="-5399999">
                            <a:off x="431494" y="1910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90" name="Rectangle 6390"/>
                        <wps:cNvSpPr/>
                        <wps:spPr>
                          <a:xfrm rot="-5399999">
                            <a:off x="431496" y="18770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391" name="Rectangle 6391"/>
                        <wps:cNvSpPr/>
                        <wps:spPr>
                          <a:xfrm rot="-5399999">
                            <a:off x="441275" y="18525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92" name="Rectangle 6392"/>
                        <wps:cNvSpPr/>
                        <wps:spPr>
                          <a:xfrm rot="-5399999">
                            <a:off x="431496" y="18237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393" name="Rectangle 6393"/>
                        <wps:cNvSpPr/>
                        <wps:spPr>
                          <a:xfrm rot="-5399999">
                            <a:off x="434232" y="17921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394" name="Rectangle 6394"/>
                        <wps:cNvSpPr/>
                        <wps:spPr>
                          <a:xfrm rot="-5399999">
                            <a:off x="439907" y="17686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395" name="Rectangle 6395"/>
                        <wps:cNvSpPr/>
                        <wps:spPr>
                          <a:xfrm rot="-5399999">
                            <a:off x="441275" y="17483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396" name="Rectangle 6396"/>
                        <wps:cNvSpPr/>
                        <wps:spPr>
                          <a:xfrm rot="-5399999">
                            <a:off x="493557" y="3221807"/>
                            <a:ext cx="73172"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397" name="Rectangle 6397"/>
                        <wps:cNvSpPr/>
                        <wps:spPr>
                          <a:xfrm rot="-5399999">
                            <a:off x="504806" y="31771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398" name="Rectangle 6398"/>
                        <wps:cNvSpPr/>
                        <wps:spPr>
                          <a:xfrm rot="-5399999">
                            <a:off x="507694" y="31419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399" name="Rectangle 6399"/>
                        <wps:cNvSpPr/>
                        <wps:spPr>
                          <a:xfrm rot="-5399999">
                            <a:off x="504806" y="31060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6400" name="Rectangle 6400"/>
                        <wps:cNvSpPr/>
                        <wps:spPr>
                          <a:xfrm rot="-5399999">
                            <a:off x="490771" y="3053921"/>
                            <a:ext cx="787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6401" name="Rectangle 6401"/>
                        <wps:cNvSpPr/>
                        <wps:spPr>
                          <a:xfrm rot="-5399999">
                            <a:off x="507696" y="30111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02" name="Rectangle 6402"/>
                        <wps:cNvSpPr/>
                        <wps:spPr>
                          <a:xfrm rot="-5399999">
                            <a:off x="504806" y="29739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403" name="Rectangle 6403"/>
                        <wps:cNvSpPr/>
                        <wps:spPr>
                          <a:xfrm rot="-5399999">
                            <a:off x="516106" y="29471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404" name="Rectangle 6404"/>
                        <wps:cNvSpPr/>
                        <wps:spPr>
                          <a:xfrm rot="-5399999">
                            <a:off x="504806" y="291555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405" name="Rectangle 6405"/>
                        <wps:cNvSpPr/>
                        <wps:spPr>
                          <a:xfrm rot="-5399999">
                            <a:off x="517475" y="289012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06" name="Rectangle 6406"/>
                        <wps:cNvSpPr/>
                        <wps:spPr>
                          <a:xfrm rot="-5399999">
                            <a:off x="513269" y="286686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6407" name="Rectangle 6407"/>
                        <wps:cNvSpPr/>
                        <wps:spPr>
                          <a:xfrm rot="-5399999">
                            <a:off x="516107" y="2844307"/>
                            <a:ext cx="28074"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408" name="Rectangle 6408"/>
                        <wps:cNvSpPr/>
                        <wps:spPr>
                          <a:xfrm rot="-5399999">
                            <a:off x="513268" y="2819879"/>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409" name="Rectangle 6409"/>
                        <wps:cNvSpPr/>
                        <wps:spPr>
                          <a:xfrm rot="-5399999">
                            <a:off x="490771" y="2771981"/>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6410" name="Rectangle 6410"/>
                        <wps:cNvSpPr/>
                        <wps:spPr>
                          <a:xfrm rot="-5399999">
                            <a:off x="507694" y="27292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11" name="Rectangle 6411"/>
                        <wps:cNvSpPr/>
                        <wps:spPr>
                          <a:xfrm rot="-5399999">
                            <a:off x="504806" y="26933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412" name="Rectangle 6412"/>
                        <wps:cNvSpPr/>
                        <wps:spPr>
                          <a:xfrm rot="-5399999">
                            <a:off x="504806" y="265520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413" name="Rectangle 6413"/>
                        <wps:cNvSpPr/>
                        <wps:spPr>
                          <a:xfrm rot="-5399999">
                            <a:off x="517475" y="262977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14" name="Rectangle 6414"/>
                        <wps:cNvSpPr/>
                        <wps:spPr>
                          <a:xfrm rot="-5399999">
                            <a:off x="507695" y="26009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15" name="Rectangle 6415"/>
                        <wps:cNvSpPr/>
                        <wps:spPr>
                          <a:xfrm rot="-5399999">
                            <a:off x="516107" y="25750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416" name="Rectangle 6416"/>
                        <wps:cNvSpPr/>
                        <wps:spPr>
                          <a:xfrm rot="-5399999">
                            <a:off x="507694" y="25450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17" name="Rectangle 6417"/>
                        <wps:cNvSpPr/>
                        <wps:spPr>
                          <a:xfrm rot="-5399999">
                            <a:off x="507695" y="251204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418" name="Rectangle 6418"/>
                        <wps:cNvSpPr/>
                        <wps:spPr>
                          <a:xfrm rot="-5399999">
                            <a:off x="516107" y="24861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419" name="Rectangle 6419"/>
                        <wps:cNvSpPr/>
                        <wps:spPr>
                          <a:xfrm rot="-5399999">
                            <a:off x="513269" y="2461740"/>
                            <a:ext cx="337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420" name="Rectangle 6420"/>
                        <wps:cNvSpPr/>
                        <wps:spPr>
                          <a:xfrm rot="-5399999">
                            <a:off x="504806" y="24278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ó</w:t>
                              </w:r>
                            </w:p>
                          </w:txbxContent>
                        </wps:txbx>
                        <wps:bodyPr horzOverflow="overflow" vert="horz" lIns="0" tIns="0" rIns="0" bIns="0" rtlCol="0">
                          <a:noAutofit/>
                        </wps:bodyPr>
                      </wps:wsp>
                      <wps:wsp>
                        <wps:cNvPr id="6421" name="Rectangle 6421"/>
                        <wps:cNvSpPr/>
                        <wps:spPr>
                          <a:xfrm rot="-5399999">
                            <a:off x="504806" y="23897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422" name="Rectangle 6422"/>
                        <wps:cNvSpPr/>
                        <wps:spPr>
                          <a:xfrm rot="-5399999">
                            <a:off x="516106" y="23629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423" name="Rectangle 6423"/>
                        <wps:cNvSpPr/>
                        <wps:spPr>
                          <a:xfrm rot="-5399999">
                            <a:off x="507696" y="2334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424" name="Rectangle 6424"/>
                        <wps:cNvSpPr/>
                        <wps:spPr>
                          <a:xfrm rot="-5399999">
                            <a:off x="507696" y="2299955"/>
                            <a:ext cx="44897" cy="112234"/>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25" name="Rectangle 6425"/>
                        <wps:cNvSpPr/>
                        <wps:spPr>
                          <a:xfrm rot="-5399999">
                            <a:off x="490770" y="224874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6426" name="Rectangle 6426"/>
                        <wps:cNvSpPr/>
                        <wps:spPr>
                          <a:xfrm rot="-5399999">
                            <a:off x="507696" y="2207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27" name="Rectangle 6427"/>
                        <wps:cNvSpPr/>
                        <wps:spPr>
                          <a:xfrm rot="-5399999">
                            <a:off x="504806" y="2170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428" name="Rectangle 6428"/>
                        <wps:cNvSpPr/>
                        <wps:spPr>
                          <a:xfrm rot="-5399999">
                            <a:off x="516107" y="21432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429" name="Rectangle 6429"/>
                        <wps:cNvSpPr/>
                        <wps:spPr>
                          <a:xfrm rot="-5399999">
                            <a:off x="507694" y="21132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30" name="Rectangle 6430"/>
                        <wps:cNvSpPr/>
                        <wps:spPr>
                          <a:xfrm rot="-5399999">
                            <a:off x="517475" y="20900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31" name="Rectangle 6431"/>
                        <wps:cNvSpPr/>
                        <wps:spPr>
                          <a:xfrm rot="-5399999">
                            <a:off x="504806" y="20583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432" name="Rectangle 6432"/>
                        <wps:cNvSpPr/>
                        <wps:spPr>
                          <a:xfrm rot="-5399999">
                            <a:off x="507696" y="20230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33" name="Rectangle 6433"/>
                        <wps:cNvSpPr/>
                        <wps:spPr>
                          <a:xfrm rot="-5399999">
                            <a:off x="510431" y="199154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434" name="Rectangle 6434"/>
                        <wps:cNvSpPr/>
                        <wps:spPr>
                          <a:xfrm rot="-5399999">
                            <a:off x="504806" y="19567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435" name="Rectangle 6435"/>
                        <wps:cNvSpPr/>
                        <wps:spPr>
                          <a:xfrm rot="-5399999">
                            <a:off x="507696" y="19214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36" name="Rectangle 6436"/>
                        <wps:cNvSpPr/>
                        <wps:spPr>
                          <a:xfrm rot="-5399999">
                            <a:off x="517475" y="18969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37" name="Rectangle 6437"/>
                        <wps:cNvSpPr/>
                        <wps:spPr>
                          <a:xfrm rot="-5399999">
                            <a:off x="516107" y="187656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438" name="Rectangle 6438"/>
                        <wps:cNvSpPr/>
                        <wps:spPr>
                          <a:xfrm rot="-5399999">
                            <a:off x="507694" y="184656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39" name="Rectangle 6439"/>
                        <wps:cNvSpPr/>
                        <wps:spPr>
                          <a:xfrm rot="-5399999">
                            <a:off x="517475" y="182332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40" name="Rectangle 6440"/>
                        <wps:cNvSpPr/>
                        <wps:spPr>
                          <a:xfrm rot="-5399999">
                            <a:off x="504806" y="17916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441" name="Rectangle 6441"/>
                        <wps:cNvSpPr/>
                        <wps:spPr>
                          <a:xfrm rot="-5399999">
                            <a:off x="516107" y="176480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442" name="Rectangle 6442"/>
                        <wps:cNvSpPr/>
                        <wps:spPr>
                          <a:xfrm rot="-5399999">
                            <a:off x="507696" y="17348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43" name="Rectangle 6443"/>
                        <wps:cNvSpPr/>
                        <wps:spPr>
                          <a:xfrm rot="-5399999">
                            <a:off x="516106" y="17089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444" name="Rectangle 6444"/>
                        <wps:cNvSpPr/>
                        <wps:spPr>
                          <a:xfrm rot="-5399999">
                            <a:off x="507696" y="16801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45" name="Rectangle 6445"/>
                        <wps:cNvSpPr/>
                        <wps:spPr>
                          <a:xfrm rot="-5399999">
                            <a:off x="513268" y="16514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f</w:t>
                              </w:r>
                            </w:p>
                          </w:txbxContent>
                        </wps:txbx>
                        <wps:bodyPr horzOverflow="overflow" vert="horz" lIns="0" tIns="0" rIns="0" bIns="0" rtlCol="0">
                          <a:noAutofit/>
                        </wps:bodyPr>
                      </wps:wsp>
                      <wps:wsp>
                        <wps:cNvPr id="6446" name="Rectangle 6446"/>
                        <wps:cNvSpPr/>
                        <wps:spPr>
                          <a:xfrm rot="-5399999">
                            <a:off x="504806" y="16176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447" name="Rectangle 6447"/>
                        <wps:cNvSpPr/>
                        <wps:spPr>
                          <a:xfrm rot="-5399999">
                            <a:off x="513268" y="1587979"/>
                            <a:ext cx="3374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r</w:t>
                              </w:r>
                            </w:p>
                          </w:txbxContent>
                        </wps:txbx>
                        <wps:bodyPr horzOverflow="overflow" vert="horz" lIns="0" tIns="0" rIns="0" bIns="0" rtlCol="0">
                          <a:noAutofit/>
                        </wps:bodyPr>
                      </wps:wsp>
                      <wps:wsp>
                        <wps:cNvPr id="6448" name="Rectangle 6448"/>
                        <wps:cNvSpPr/>
                        <wps:spPr>
                          <a:xfrm rot="-5399999">
                            <a:off x="490771" y="1540080"/>
                            <a:ext cx="7874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m</w:t>
                              </w:r>
                            </w:p>
                          </w:txbxContent>
                        </wps:txbx>
                        <wps:bodyPr horzOverflow="overflow" vert="horz" lIns="0" tIns="0" rIns="0" bIns="0" rtlCol="0">
                          <a:noAutofit/>
                        </wps:bodyPr>
                      </wps:wsp>
                      <wps:wsp>
                        <wps:cNvPr id="6449" name="Rectangle 6449"/>
                        <wps:cNvSpPr/>
                        <wps:spPr>
                          <a:xfrm rot="-5399999">
                            <a:off x="507694" y="1497315"/>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50" name="Rectangle 6450"/>
                        <wps:cNvSpPr/>
                        <wps:spPr>
                          <a:xfrm rot="-5399999">
                            <a:off x="517475" y="1474074"/>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51" name="Rectangle 6451"/>
                        <wps:cNvSpPr/>
                        <wps:spPr>
                          <a:xfrm rot="-5399999">
                            <a:off x="507696" y="144524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52" name="Rectangle 6452"/>
                        <wps:cNvSpPr/>
                        <wps:spPr>
                          <a:xfrm rot="-5399999">
                            <a:off x="510431" y="141369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453" name="Rectangle 6453"/>
                        <wps:cNvSpPr/>
                        <wps:spPr>
                          <a:xfrm rot="-5399999">
                            <a:off x="501969" y="1376019"/>
                            <a:ext cx="5634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454" name="Rectangle 6454"/>
                        <wps:cNvSpPr/>
                        <wps:spPr>
                          <a:xfrm rot="-5399999">
                            <a:off x="504806" y="13356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u</w:t>
                              </w:r>
                            </w:p>
                          </w:txbxContent>
                        </wps:txbx>
                        <wps:bodyPr horzOverflow="overflow" vert="horz" lIns="0" tIns="0" rIns="0" bIns="0" rtlCol="0">
                          <a:noAutofit/>
                        </wps:bodyPr>
                      </wps:wsp>
                      <wps:wsp>
                        <wps:cNvPr id="6455" name="Rectangle 6455"/>
                        <wps:cNvSpPr/>
                        <wps:spPr>
                          <a:xfrm rot="-5399999">
                            <a:off x="504806" y="12975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b</w:t>
                              </w:r>
                            </w:p>
                          </w:txbxContent>
                        </wps:txbx>
                        <wps:bodyPr horzOverflow="overflow" vert="horz" lIns="0" tIns="0" rIns="0" bIns="0" rtlCol="0">
                          <a:noAutofit/>
                        </wps:bodyPr>
                      </wps:wsp>
                      <wps:wsp>
                        <wps:cNvPr id="6456" name="Rectangle 6456"/>
                        <wps:cNvSpPr/>
                        <wps:spPr>
                          <a:xfrm rot="-5399999">
                            <a:off x="516106" y="12707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l</w:t>
                              </w:r>
                            </w:p>
                          </w:txbxContent>
                        </wps:txbx>
                        <wps:bodyPr horzOverflow="overflow" vert="horz" lIns="0" tIns="0" rIns="0" bIns="0" rtlCol="0">
                          <a:noAutofit/>
                        </wps:bodyPr>
                      </wps:wsp>
                      <wps:wsp>
                        <wps:cNvPr id="6457" name="Rectangle 6457"/>
                        <wps:cNvSpPr/>
                        <wps:spPr>
                          <a:xfrm rot="-5399999">
                            <a:off x="516107" y="1250456"/>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458" name="Rectangle 6458"/>
                        <wps:cNvSpPr/>
                        <wps:spPr>
                          <a:xfrm rot="-5399999">
                            <a:off x="507696" y="122045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c</w:t>
                              </w:r>
                            </w:p>
                          </w:txbxContent>
                        </wps:txbx>
                        <wps:bodyPr horzOverflow="overflow" vert="horz" lIns="0" tIns="0" rIns="0" bIns="0" rtlCol="0">
                          <a:noAutofit/>
                        </wps:bodyPr>
                      </wps:wsp>
                      <wps:wsp>
                        <wps:cNvPr id="6459" name="Rectangle 6459"/>
                        <wps:cNvSpPr/>
                        <wps:spPr>
                          <a:xfrm rot="-5399999">
                            <a:off x="504806" y="11832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460" name="Rectangle 6460"/>
                        <wps:cNvSpPr/>
                        <wps:spPr>
                          <a:xfrm rot="-5399999">
                            <a:off x="517475" y="11578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61" name="Rectangle 6461"/>
                        <wps:cNvSpPr/>
                        <wps:spPr>
                          <a:xfrm rot="-5399999">
                            <a:off x="493557" y="1114879"/>
                            <a:ext cx="73171"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6462" name="Rectangle 6462"/>
                        <wps:cNvSpPr/>
                        <wps:spPr>
                          <a:xfrm rot="-5399999">
                            <a:off x="507696" y="1074406"/>
                            <a:ext cx="4489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63" name="Rectangle 6463"/>
                        <wps:cNvSpPr/>
                        <wps:spPr>
                          <a:xfrm rot="-5399999">
                            <a:off x="510432" y="1042852"/>
                            <a:ext cx="3942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s</w:t>
                              </w:r>
                            </w:p>
                          </w:txbxContent>
                        </wps:txbx>
                        <wps:bodyPr horzOverflow="overflow" vert="horz" lIns="0" tIns="0" rIns="0" bIns="0" rtlCol="0">
                          <a:noAutofit/>
                        </wps:bodyPr>
                      </wps:wsp>
                      <wps:wsp>
                        <wps:cNvPr id="6464" name="Rectangle 6464"/>
                        <wps:cNvSpPr/>
                        <wps:spPr>
                          <a:xfrm rot="-5399999">
                            <a:off x="516107" y="101931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t</w:t>
                              </w:r>
                            </w:p>
                          </w:txbxContent>
                        </wps:txbx>
                        <wps:bodyPr horzOverflow="overflow" vert="horz" lIns="0" tIns="0" rIns="0" bIns="0" rtlCol="0">
                          <a:noAutofit/>
                        </wps:bodyPr>
                      </wps:wsp>
                      <wps:wsp>
                        <wps:cNvPr id="6465" name="Rectangle 6465"/>
                        <wps:cNvSpPr/>
                        <wps:spPr>
                          <a:xfrm rot="-5399999">
                            <a:off x="516106" y="99772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466" name="Rectangle 6466"/>
                        <wps:cNvSpPr/>
                        <wps:spPr>
                          <a:xfrm rot="-5399999">
                            <a:off x="504806" y="9661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o</w:t>
                              </w:r>
                            </w:p>
                          </w:txbxContent>
                        </wps:txbx>
                        <wps:bodyPr horzOverflow="overflow" vert="horz" lIns="0" tIns="0" rIns="0" bIns="0" rtlCol="0">
                          <a:noAutofit/>
                        </wps:bodyPr>
                      </wps:wsp>
                      <wps:wsp>
                        <wps:cNvPr id="6467" name="Rectangle 6467"/>
                        <wps:cNvSpPr/>
                        <wps:spPr>
                          <a:xfrm rot="-5399999">
                            <a:off x="504806" y="92800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468" name="Rectangle 6468"/>
                        <wps:cNvSpPr/>
                        <wps:spPr>
                          <a:xfrm rot="-5399999">
                            <a:off x="507696" y="89279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69" name="Rectangle 6469"/>
                        <wps:cNvSpPr/>
                        <wps:spPr>
                          <a:xfrm rot="-5399999">
                            <a:off x="517475" y="8682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70" name="Rectangle 6470"/>
                        <wps:cNvSpPr/>
                        <wps:spPr>
                          <a:xfrm rot="-5399999">
                            <a:off x="520009" y="851769"/>
                            <a:ext cx="20269"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w:t>
                              </w:r>
                            </w:p>
                          </w:txbxContent>
                        </wps:txbx>
                        <wps:bodyPr horzOverflow="overflow" vert="horz" lIns="0" tIns="0" rIns="0" bIns="0" rtlCol="0">
                          <a:noAutofit/>
                        </wps:bodyPr>
                      </wps:wsp>
                      <wps:wsp>
                        <wps:cNvPr id="6471" name="Rectangle 6471"/>
                        <wps:cNvSpPr/>
                        <wps:spPr>
                          <a:xfrm rot="-5399999">
                            <a:off x="517475" y="8339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72" name="Rectangle 6472"/>
                        <wps:cNvSpPr/>
                        <wps:spPr>
                          <a:xfrm rot="-5399999">
                            <a:off x="501969" y="799439"/>
                            <a:ext cx="56348"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P</w:t>
                              </w:r>
                            </w:p>
                          </w:txbxContent>
                        </wps:txbx>
                        <wps:bodyPr horzOverflow="overflow" vert="horz" lIns="0" tIns="0" rIns="0" bIns="0" rtlCol="0">
                          <a:noAutofit/>
                        </wps:bodyPr>
                      </wps:wsp>
                      <wps:wsp>
                        <wps:cNvPr id="6473" name="Rectangle 6473"/>
                        <wps:cNvSpPr/>
                        <wps:spPr>
                          <a:xfrm rot="-5399999">
                            <a:off x="507696" y="7632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á</w:t>
                              </w:r>
                            </w:p>
                          </w:txbxContent>
                        </wps:txbx>
                        <wps:bodyPr horzOverflow="overflow" vert="horz" lIns="0" tIns="0" rIns="0" bIns="0" rtlCol="0">
                          <a:noAutofit/>
                        </wps:bodyPr>
                      </wps:wsp>
                      <wps:wsp>
                        <wps:cNvPr id="6474" name="Rectangle 6474"/>
                        <wps:cNvSpPr/>
                        <wps:spPr>
                          <a:xfrm rot="-5399999">
                            <a:off x="504806" y="72607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g</w:t>
                              </w:r>
                            </w:p>
                          </w:txbxContent>
                        </wps:txbx>
                        <wps:bodyPr horzOverflow="overflow" vert="horz" lIns="0" tIns="0" rIns="0" bIns="0" rtlCol="0">
                          <a:noAutofit/>
                        </wps:bodyPr>
                      </wps:wsp>
                      <wps:wsp>
                        <wps:cNvPr id="6475" name="Rectangle 6475"/>
                        <wps:cNvSpPr/>
                        <wps:spPr>
                          <a:xfrm rot="-5399999">
                            <a:off x="516106" y="699277"/>
                            <a:ext cx="280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i</w:t>
                              </w:r>
                            </w:p>
                          </w:txbxContent>
                        </wps:txbx>
                        <wps:bodyPr horzOverflow="overflow" vert="horz" lIns="0" tIns="0" rIns="0" bIns="0" rtlCol="0">
                          <a:noAutofit/>
                        </wps:bodyPr>
                      </wps:wsp>
                      <wps:wsp>
                        <wps:cNvPr id="6476" name="Rectangle 6476"/>
                        <wps:cNvSpPr/>
                        <wps:spPr>
                          <a:xfrm rot="-5399999">
                            <a:off x="504807" y="666386"/>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n</w:t>
                              </w:r>
                            </w:p>
                          </w:txbxContent>
                        </wps:txbx>
                        <wps:bodyPr horzOverflow="overflow" vert="horz" lIns="0" tIns="0" rIns="0" bIns="0" rtlCol="0">
                          <a:noAutofit/>
                        </wps:bodyPr>
                      </wps:wsp>
                      <wps:wsp>
                        <wps:cNvPr id="6477" name="Rectangle 6477"/>
                        <wps:cNvSpPr/>
                        <wps:spPr>
                          <a:xfrm rot="-5399999">
                            <a:off x="507695" y="631175"/>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a</w:t>
                              </w:r>
                            </w:p>
                          </w:txbxContent>
                        </wps:txbx>
                        <wps:bodyPr horzOverflow="overflow" vert="horz" lIns="0" tIns="0" rIns="0" bIns="0" rtlCol="0">
                          <a:noAutofit/>
                        </wps:bodyPr>
                      </wps:wsp>
                      <wps:wsp>
                        <wps:cNvPr id="6478" name="Rectangle 6478"/>
                        <wps:cNvSpPr/>
                        <wps:spPr>
                          <a:xfrm rot="-5399999">
                            <a:off x="517475" y="60793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79" name="Rectangle 6479"/>
                        <wps:cNvSpPr/>
                        <wps:spPr>
                          <a:xfrm rot="-5399999">
                            <a:off x="504806" y="57621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480" name="Rectangle 6480"/>
                        <wps:cNvSpPr/>
                        <wps:spPr>
                          <a:xfrm rot="-5399999">
                            <a:off x="517475" y="55078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81" name="Rectangle 6481"/>
                        <wps:cNvSpPr/>
                        <wps:spPr>
                          <a:xfrm rot="-5399999">
                            <a:off x="504806" y="51906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d</w:t>
                              </w:r>
                            </w:p>
                          </w:txbxContent>
                        </wps:txbx>
                        <wps:bodyPr horzOverflow="overflow" vert="horz" lIns="0" tIns="0" rIns="0" bIns="0" rtlCol="0">
                          <a:noAutofit/>
                        </wps:bodyPr>
                      </wps:wsp>
                      <wps:wsp>
                        <wps:cNvPr id="6482" name="Rectangle 6482"/>
                        <wps:cNvSpPr/>
                        <wps:spPr>
                          <a:xfrm rot="-5399999">
                            <a:off x="507696" y="483856"/>
                            <a:ext cx="44896"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e</w:t>
                              </w:r>
                            </w:p>
                          </w:txbxContent>
                        </wps:txbx>
                        <wps:bodyPr horzOverflow="overflow" vert="horz" lIns="0" tIns="0" rIns="0" bIns="0" rtlCol="0">
                          <a:noAutofit/>
                        </wps:bodyPr>
                      </wps:wsp>
                      <wps:wsp>
                        <wps:cNvPr id="6483" name="Rectangle 6483"/>
                        <wps:cNvSpPr/>
                        <wps:spPr>
                          <a:xfrm rot="-5399999">
                            <a:off x="517475" y="45934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484" name="Rectangle 6484"/>
                        <wps:cNvSpPr/>
                        <wps:spPr>
                          <a:xfrm rot="-5399999">
                            <a:off x="504806" y="427627"/>
                            <a:ext cx="50673"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4</w:t>
                              </w:r>
                            </w:p>
                          </w:txbxContent>
                        </wps:txbx>
                        <wps:bodyPr horzOverflow="overflow" vert="horz" lIns="0" tIns="0" rIns="0" bIns="0" rtlCol="0">
                          <a:noAutofit/>
                        </wps:bodyPr>
                      </wps:wsp>
                      <wps:wsp>
                        <wps:cNvPr id="6485" name="Rectangle 6485"/>
                        <wps:cNvSpPr/>
                        <wps:spPr>
                          <a:xfrm rot="-5399999">
                            <a:off x="517475" y="402195"/>
                            <a:ext cx="25337" cy="112233"/>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12"/>
                                </w:rPr>
                                <w:t xml:space="preserve"> </w:t>
                              </w:r>
                            </w:p>
                          </w:txbxContent>
                        </wps:txbx>
                        <wps:bodyPr horzOverflow="overflow" vert="horz" lIns="0" tIns="0" rIns="0" bIns="0" rtlCol="0">
                          <a:noAutofit/>
                        </wps:bodyPr>
                      </wps:wsp>
                      <wps:wsp>
                        <wps:cNvPr id="6590" name="Rectangle 659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591" name="Rectangle 659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592" name="Rectangle 659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6055" style="width:43.9695pt;height:261.085pt;position:absolute;mso-position-horizontal-relative:page;mso-position-horizontal:absolute;margin-left:549.528pt;mso-position-vertical-relative:page;margin-top:512.016pt;" coordsize="5584,33157">
                <v:rect id="Rectangle 6301" style="position:absolute;width:674;height:1122;left:3439;top:3225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02" style="position:absolute;width:506;height:1122;left:3524;top:318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6303" style="position:absolute;width:506;height:1122;left:3524;top:314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304" style="position:absolute;width:253;height:1122;left:3650;top:311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05" style="position:absolute;width:253;height:1122;left:3650;top:31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306" style="position:absolute;width:731;height:1122;left:3411;top:305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6307" style="position:absolute;width:448;height:1122;left:3552;top:302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08" style="position:absolute;width:280;height:1122;left:3637;top:3000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309" style="position:absolute;width:280;height:1122;left:3637;top:29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10" style="position:absolute;width:506;height:1122;left:3524;top:294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311" style="position:absolute;width:448;height:1122;left:3552;top:29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12" style="position:absolute;width:448;height:1122;left:3552;top:287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13" style="position:absolute;width:280;height:1122;left:3637;top:285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14" style="position:absolute;width:506;height:1122;left:3524;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6315" style="position:absolute;width:506;height:1122;left:3524;top:2782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16" style="position:absolute;width:280;height:1122;left:3637;top:2755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17" style="position:absolute;width:253;height:1122;left:3650;top:2735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318" style="position:absolute;width:506;height:1122;left:3524;top:2703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319" style="position:absolute;width:506;height:1122;left:3524;top:2665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6320" style="position:absolute;width:506;height:1122;left:3524;top:262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6321" style="position:absolute;width:506;height:1122;left:3524;top:258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6322" style="position:absolute;width:563;height:1122;left:3495;top:254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323" style="position:absolute;width:731;height:1122;left:3411;top:249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6324" style="position:absolute;width:506;height:1122;left:3524;top:245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7</w:t>
                        </w:r>
                      </w:p>
                    </w:txbxContent>
                  </v:textbox>
                </v:rect>
                <v:rect id="Rectangle 6325" style="position:absolute;width:506;height:1122;left:3524;top:2416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326" style="position:absolute;width:731;height:1122;left:3411;top:236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6327" style="position:absolute;width:506;height:1122;left:3524;top:2322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6328" style="position:absolute;width:731;height:1122;left:3411;top:227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6329" style="position:absolute;width:618;height:1122;left:3468;top:22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330" style="position:absolute;width:731;height:1122;left:3411;top:217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31" style="position:absolute;width:506;height:1122;left:3524;top:2128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6332" style="position:absolute;width:731;height:1122;left:3411;top:207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X</w:t>
                        </w:r>
                      </w:p>
                    </w:txbxContent>
                  </v:textbox>
                </v:rect>
                <v:rect id="Rectangle 6333" style="position:absolute;width:731;height:1122;left:3411;top:2024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Y</w:t>
                        </w:r>
                      </w:p>
                    </w:txbxContent>
                  </v:textbox>
                </v:rect>
                <v:rect id="Rectangle 6334" style="position:absolute;width:506;height:1122;left:3524;top:1979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6335" style="position:absolute;width:506;height:1122;left:3524;top:194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6</w:t>
                        </w:r>
                      </w:p>
                    </w:txbxContent>
                  </v:textbox>
                </v:rect>
                <v:rect id="Rectangle 6336" style="position:absolute;width:731;height:1122;left:3411;top:18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6337" style="position:absolute;width:618;height:1122;left:3468;top:1843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338" style="position:absolute;width:506;height:1122;left:3524;top:180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3</w:t>
                        </w:r>
                      </w:p>
                    </w:txbxContent>
                  </v:textbox>
                </v:rect>
                <v:rect id="Rectangle 6339" style="position:absolute;width:506;height:1122;left:3524;top:176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9</w:t>
                        </w:r>
                      </w:p>
                    </w:txbxContent>
                  </v:textbox>
                </v:rect>
                <v:rect id="Rectangle 6340" style="position:absolute;width:731;height:1122;left:3411;top:171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6341" style="position:absolute;width:731;height:1122;left:3411;top:165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42" style="position:absolute;width:618;height:1122;left:3468;top:161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43" style="position:absolute;width:253;height:1122;left:3650;top:158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344" style="position:absolute;width:731;height:1122;left:4173;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V</w:t>
                        </w:r>
                      </w:p>
                    </w:txbxContent>
                  </v:textbox>
                </v:rect>
                <v:rect id="Rectangle 6345" style="position:absolute;width:448;height:1122;left:4314;top:318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46" style="position:absolute;width:337;height:1122;left:4370;top:3160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347" style="position:absolute;width:280;height:1122;left:4399;top:313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48" style="position:absolute;width:337;height:1122;left:4370;top:3114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6349" style="position:absolute;width:280;height:1122;left:4399;top:309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50" style="position:absolute;width:448;height:1122;left:4314;top:306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51" style="position:absolute;width:448;height:1122;left:4314;top:30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52" style="position:absolute;width:448;height:1122;left:4314;top:2994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53" style="position:absolute;width:280;height:1122;left:4399;top:296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54" style="position:absolute;width:506;height:1122;left:4286;top:2935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6355" style="position:absolute;width:506;height:1122;left:4286;top:28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56" style="position:absolute;width:280;height:1122;left:4399;top:287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57" style="position:absolute;width:253;height:1122;left:4412;top:285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358" style="position:absolute;width:506;height:1122;left:4286;top:2820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h</w:t>
                        </w:r>
                      </w:p>
                    </w:txbxContent>
                  </v:textbox>
                </v:rect>
                <v:rect id="Rectangle 6359" style="position:absolute;width:280;height:1122;left:4399;top:2793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360" style="position:absolute;width:280;height:1122;left:4399;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361" style="position:absolute;width:506;height:1122;left:4286;top:273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362" style="position:absolute;width:394;height:1122;left:4342;top:270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363" style="position:absolute;width:280;height:1122;left:4399;top:268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64" style="position:absolute;width:280;height:1122;left:4399;top:266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65" style="position:absolute;width:280;height:1122;left:4399;top:264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66" style="position:absolute;width:448;height:1122;left:4314;top:26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67" style="position:absolute;width:448;height:1122;left:4314;top:257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68" style="position:absolute;width:506;height:1122;left:4286;top:254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69" style="position:absolute;width:506;height:1122;left:4286;top:250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370" style="position:absolute;width:448;height:1122;left:4314;top:246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71" style="position:absolute;width:280;height:1122;left:4399;top:244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372" style="position:absolute;width:448;height:1122;left:4314;top:241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73" style="position:absolute;width:337;height:1122;left:4370;top:238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374" style="position:absolute;width:280;height:1122;left:4399;top:23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75" style="position:absolute;width:448;height:1122;left:4314;top:233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76" style="position:absolute;width:253;height:1122;left:4412;top:230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77" style="position:absolute;width:394;height:1122;left:4342;top:228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378" style="position:absolute;width:448;height:1122;left:4314;top:2249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79" style="position:absolute;width:506;height:1122;left:4286;top:221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380" style="position:absolute;width:448;height:1122;left:4314;top:217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81" style="position:absolute;width:280;height:1122;left:4399;top:215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382" style="position:absolute;width:448;height:1122;left:4314;top:212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83" style="position:absolute;width:448;height:1122;left:4314;top:208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84" style="position:absolute;width:280;height:1122;left:4399;top:20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385" style="position:absolute;width:337;height:1122;left:4370;top:2038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386" style="position:absolute;width:506;height:1122;left:4286;top:2004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387" style="position:absolute;width:506;height:1122;left:4286;top:19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388" style="position:absolute;width:280;height:1122;left:4399;top:19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389" style="position:absolute;width:448;height:1122;left:4314;top:191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90" style="position:absolute;width:448;height:1122;left:4314;top:1877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391" style="position:absolute;width:253;height:1122;left:4412;top:1852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92" style="position:absolute;width:448;height:1122;left:4314;top:1823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393" style="position:absolute;width:394;height:1122;left:4342;top:179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394" style="position:absolute;width:280;height:1122;left:4399;top:1768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395" style="position:absolute;width:253;height:1122;left:4412;top:174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396" style="position:absolute;width:731;height:1122;left:4935;top:3221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397" style="position:absolute;width:506;height:1122;left:5048;top:317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398" style="position:absolute;width:448;height:1122;left:5076;top:314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399" style="position:absolute;width:506;height:1122;left:5048;top:310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6400" style="position:absolute;width:787;height:1122;left:4907;top:305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6401" style="position:absolute;width:448;height:1122;left:5076;top:301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02" style="position:absolute;width:506;height:1122;left:5048;top:297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403" style="position:absolute;width:280;height:1122;left:5161;top:2947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404" style="position:absolute;width:506;height:1122;left:5048;top:2915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405" style="position:absolute;width:253;height:1122;left:5174;top:289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06" style="position:absolute;width:337;height:1122;left:5132;top:2866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6407" style="position:absolute;width:280;height:1122;left:5161;top:2844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408" style="position:absolute;width:337;height:1122;left:5132;top:2819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409" style="position:absolute;width:787;height:1122;left:4907;top:2771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6410" style="position:absolute;width:448;height:1122;left:5076;top:272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11" style="position:absolute;width:506;height:1122;left:5048;top:269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412" style="position:absolute;width:506;height:1122;left:5048;top:265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413" style="position:absolute;width:253;height:1122;left:5174;top:262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14" style="position:absolute;width:448;height:1122;left:5076;top:2600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15" style="position:absolute;width:280;height:1122;left:5161;top:257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416" style="position:absolute;width:448;height:1122;left:5076;top:2545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17" style="position:absolute;width:448;height:1122;left:5076;top:2512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418" style="position:absolute;width:280;height:1122;left:5161;top:248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419" style="position:absolute;width:337;height:1122;left:5132;top:246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420" style="position:absolute;width:506;height:1122;left:5048;top:242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ó</w:t>
                        </w:r>
                      </w:p>
                    </w:txbxContent>
                  </v:textbox>
                </v:rect>
                <v:rect id="Rectangle 6421" style="position:absolute;width:506;height:1122;left:5048;top:2389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422" style="position:absolute;width:280;height:1122;left:5161;top:2362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423" style="position:absolute;width:448;height:1122;left:5076;top:2334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424" style="position:absolute;width:448;height:1122;left:5076;top:2299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25" style="position:absolute;width:787;height:1122;left:4907;top:2248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6426" style="position:absolute;width:448;height:1122;left:5076;top:2207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27" style="position:absolute;width:506;height:1122;left:5048;top:217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428" style="position:absolute;width:280;height:1122;left:5161;top:214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429" style="position:absolute;width:448;height:1122;left:5076;top:211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30" style="position:absolute;width:253;height:1122;left:5174;top:209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31" style="position:absolute;width:506;height:1122;left:5048;top:2058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432" style="position:absolute;width:448;height:1122;left:5076;top:2023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33" style="position:absolute;width:394;height:1122;left:5104;top:1991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434" style="position:absolute;width:506;height:1122;left:5048;top:1956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435" style="position:absolute;width:448;height:1122;left:5076;top:192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36" style="position:absolute;width:253;height:1122;left:5174;top:1896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37" style="position:absolute;width:280;height:1122;left:5161;top:187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438" style="position:absolute;width:448;height:1122;left:5076;top:1846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39" style="position:absolute;width:253;height:1122;left:5174;top:1823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40" style="position:absolute;width:506;height:1122;left:5048;top:1791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441" style="position:absolute;width:280;height:1122;left:5161;top:176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442" style="position:absolute;width:448;height:1122;left:5076;top:173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43" style="position:absolute;width:280;height:1122;left:5161;top:1708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444" style="position:absolute;width:448;height:1122;left:5076;top:1680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45" style="position:absolute;width:337;height:1122;left:5132;top:1651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f</w:t>
                        </w:r>
                      </w:p>
                    </w:txbxContent>
                  </v:textbox>
                </v:rect>
                <v:rect id="Rectangle 6446" style="position:absolute;width:506;height:1122;left:5048;top:161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447" style="position:absolute;width:337;height:1122;left:5132;top:158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r</w:t>
                        </w:r>
                      </w:p>
                    </w:txbxContent>
                  </v:textbox>
                </v:rect>
                <v:rect id="Rectangle 6448" style="position:absolute;width:787;height:1122;left:4907;top:1540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m</w:t>
                        </w:r>
                      </w:p>
                    </w:txbxContent>
                  </v:textbox>
                </v:rect>
                <v:rect id="Rectangle 6449" style="position:absolute;width:448;height:1122;left:5076;top:1497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50" style="position:absolute;width:253;height:1122;left:5174;top:1474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51" style="position:absolute;width:448;height:1122;left:5076;top:1445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52" style="position:absolute;width:394;height:1122;left:5104;top:1413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453" style="position:absolute;width:563;height:1122;left:5019;top:137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454" style="position:absolute;width:506;height:1122;left:5048;top:1335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u</w:t>
                        </w:r>
                      </w:p>
                    </w:txbxContent>
                  </v:textbox>
                </v:rect>
                <v:rect id="Rectangle 6455" style="position:absolute;width:506;height:1122;left:5048;top:12975;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b</w:t>
                        </w:r>
                      </w:p>
                    </w:txbxContent>
                  </v:textbox>
                </v:rect>
                <v:rect id="Rectangle 6456" style="position:absolute;width:280;height:1122;left:5161;top:127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l</w:t>
                        </w:r>
                      </w:p>
                    </w:txbxContent>
                  </v:textbox>
                </v:rect>
                <v:rect id="Rectangle 6457" style="position:absolute;width:280;height:1122;left:5161;top:125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458" style="position:absolute;width:448;height:1122;left:5076;top:1220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c</w:t>
                        </w:r>
                      </w:p>
                    </w:txbxContent>
                  </v:textbox>
                </v:rect>
                <v:rect id="Rectangle 6459" style="position:absolute;width:506;height:1122;left:5048;top:118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460" style="position:absolute;width:253;height:1122;left:5174;top:1157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61" style="position:absolute;width:731;height:1122;left:4935;top:1114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6462" style="position:absolute;width:448;height:1122;left:5076;top:1074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63" style="position:absolute;width:394;height:1122;left:5104;top:1042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s</w:t>
                        </w:r>
                      </w:p>
                    </w:txbxContent>
                  </v:textbox>
                </v:rect>
                <v:rect id="Rectangle 6464" style="position:absolute;width:280;height:1122;left:5161;top:101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t</w:t>
                        </w:r>
                      </w:p>
                    </w:txbxContent>
                  </v:textbox>
                </v:rect>
                <v:rect id="Rectangle 6465" style="position:absolute;width:280;height:1122;left:5161;top:997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466" style="position:absolute;width:506;height:1122;left:5048;top:966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o</w:t>
                        </w:r>
                      </w:p>
                    </w:txbxContent>
                  </v:textbox>
                </v:rect>
                <v:rect id="Rectangle 6467" style="position:absolute;width:506;height:1122;left:5048;top:928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468" style="position:absolute;width:448;height:1122;left:5076;top:892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69" style="position:absolute;width:253;height:1122;left:5174;top:868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70" style="position:absolute;width:202;height:1122;left:5200;top:851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w:t>
                        </w:r>
                      </w:p>
                    </w:txbxContent>
                  </v:textbox>
                </v:rect>
                <v:rect id="Rectangle 6471" style="position:absolute;width:253;height:1122;left:5174;top:833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72" style="position:absolute;width:563;height:1122;left:5019;top:7994;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P</w:t>
                        </w:r>
                      </w:p>
                    </w:txbxContent>
                  </v:textbox>
                </v:rect>
                <v:rect id="Rectangle 6473" style="position:absolute;width:448;height:1122;left:5076;top:763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á</w:t>
                        </w:r>
                      </w:p>
                    </w:txbxContent>
                  </v:textbox>
                </v:rect>
                <v:rect id="Rectangle 6474" style="position:absolute;width:506;height:1122;left:5048;top:726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g</w:t>
                        </w:r>
                      </w:p>
                    </w:txbxContent>
                  </v:textbox>
                </v:rect>
                <v:rect id="Rectangle 6475" style="position:absolute;width:280;height:1122;left:5161;top:699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i</w:t>
                        </w:r>
                      </w:p>
                    </w:txbxContent>
                  </v:textbox>
                </v:rect>
                <v:rect id="Rectangle 6476" style="position:absolute;width:506;height:1122;left:5048;top:666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n</w:t>
                        </w:r>
                      </w:p>
                    </w:txbxContent>
                  </v:textbox>
                </v:rect>
                <v:rect id="Rectangle 6477" style="position:absolute;width:448;height:1122;left:5076;top:631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a</w:t>
                        </w:r>
                      </w:p>
                    </w:txbxContent>
                  </v:textbox>
                </v:rect>
                <v:rect id="Rectangle 6478" style="position:absolute;width:253;height:1122;left:5174;top:6079;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79" style="position:absolute;width:506;height:1122;left:5048;top:5762;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480" style="position:absolute;width:253;height:1122;left:5174;top:5507;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81" style="position:absolute;width:506;height:1122;left:5048;top:5190;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d</w:t>
                        </w:r>
                      </w:p>
                    </w:txbxContent>
                  </v:textbox>
                </v:rect>
                <v:rect id="Rectangle 6482" style="position:absolute;width:448;height:1122;left:5076;top:4838;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e</w:t>
                        </w:r>
                      </w:p>
                    </w:txbxContent>
                  </v:textbox>
                </v:rect>
                <v:rect id="Rectangle 6483" style="position:absolute;width:253;height:1122;left:5174;top:4593;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484" style="position:absolute;width:506;height:1122;left:5048;top:4276;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4</w:t>
                        </w:r>
                      </w:p>
                    </w:txbxContent>
                  </v:textbox>
                </v:rect>
                <v:rect id="Rectangle 6485" style="position:absolute;width:253;height:1122;left:5174;top:4021;rotation:270;" filled="f" stroked="f">
                  <v:textbox inset="0,0,0,0" style="layout-flow:vertical;mso-layout-flow-alt:bottom-to-top">
                    <w:txbxContent>
                      <w:p>
                        <w:pPr>
                          <w:spacing w:before="0" w:after="160" w:line="259" w:lineRule="auto"/>
                          <w:ind w:left="0" w:right="0" w:firstLine="0"/>
                          <w:jc w:val="left"/>
                        </w:pPr>
                        <w:r>
                          <w:rPr>
                            <w:rFonts w:cs="Times New Roman" w:hAnsi="Times New Roman" w:eastAsia="Times New Roman" w:ascii="Times New Roman"/>
                            <w:sz w:val="12"/>
                          </w:rPr>
                          <w:t xml:space="preserve"> </w:t>
                        </w:r>
                      </w:p>
                    </w:txbxContent>
                  </v:textbox>
                </v:rect>
                <v:rect id="Rectangle 659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5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5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133 </w:t>
                        </w:r>
                      </w:p>
                    </w:txbxContent>
                  </v:textbox>
                </v:rect>
                <w10:wrap type="square"/>
              </v:group>
            </w:pict>
          </mc:Fallback>
        </mc:AlternateContent>
      </w:r>
      <w:r>
        <w:rPr>
          <w:rFonts w:ascii="Times New Roman" w:eastAsia="Times New Roman" w:hAnsi="Times New Roman" w:cs="Times New Roman"/>
          <w:sz w:val="24"/>
        </w:rPr>
        <w:t xml:space="preserve"> </w:t>
      </w:r>
    </w:p>
    <w:p w:rsidR="00085BB7" w:rsidRDefault="004441D3">
      <w:pPr>
        <w:spacing w:after="0"/>
        <w:ind w:left="736" w:right="1404"/>
      </w:pPr>
      <w:r>
        <w:t xml:space="preserve">SEGUNDO. - Exponer este expediente al público mediante anuncio publicado en el Boletín Oficial de la Provincia, por 15 días, durante los cuales los interesados podrán examinarlo y presentar reclamaciones ante el Pleno. </w:t>
      </w:r>
    </w:p>
    <w:p w:rsidR="00085BB7" w:rsidRDefault="004441D3">
      <w:pPr>
        <w:spacing w:after="0" w:line="259" w:lineRule="auto"/>
        <w:ind w:left="747" w:right="0" w:firstLine="0"/>
        <w:jc w:val="left"/>
      </w:pPr>
      <w:r>
        <w:t xml:space="preserve"> </w:t>
      </w:r>
      <w:r>
        <w:tab/>
        <w:t xml:space="preserve"> </w:t>
      </w:r>
    </w:p>
    <w:p w:rsidR="00085BB7" w:rsidRDefault="004441D3">
      <w:pPr>
        <w:spacing w:after="1442"/>
        <w:ind w:left="736" w:right="903"/>
      </w:pPr>
      <w:r>
        <w:t xml:space="preserve">TERCERO. - El expediente se considerará definitivamente aprobado si durante el citado plazo no se hubiesen presentado reclamaciones, en caso contrario el Pleno dispondrá de un mes para resolverlas. El expediente definitivamente aprobado, será insertado en </w:t>
      </w:r>
      <w:r>
        <w:t>el boletín oficial de la provincia.</w:t>
      </w:r>
    </w:p>
    <w:p w:rsidR="00085BB7" w:rsidRDefault="004441D3">
      <w:pPr>
        <w:spacing w:after="264" w:line="250" w:lineRule="auto"/>
        <w:ind w:left="738" w:hanging="10"/>
      </w:pPr>
      <w:r>
        <w:rPr>
          <w:sz w:val="24"/>
        </w:rPr>
        <w:t>5.- Expediente 7119/2024. Propuesta del Concejal delegado de Hacienda de fecha 26 de agosto de 2024 al pleno de aprobación de la Cuenta General del año 2023.</w:t>
      </w:r>
    </w:p>
    <w:p w:rsidR="00085BB7" w:rsidRDefault="004441D3">
      <w:pPr>
        <w:spacing w:after="0" w:line="259" w:lineRule="auto"/>
        <w:ind w:left="735" w:right="18" w:firstLine="0"/>
        <w:jc w:val="left"/>
      </w:pPr>
      <w:r>
        <w:rPr>
          <w:rFonts w:ascii="Times New Roman" w:eastAsia="Times New Roman" w:hAnsi="Times New Roman" w:cs="Times New Roman"/>
          <w:b/>
          <w:sz w:val="24"/>
        </w:rPr>
        <w:t xml:space="preserve">     </w:t>
      </w:r>
    </w:p>
    <w:p w:rsidR="00085BB7" w:rsidRDefault="004441D3">
      <w:pPr>
        <w:spacing w:after="752"/>
        <w:ind w:left="736" w:right="903"/>
      </w:pPr>
      <w:r>
        <w:t xml:space="preserve">      Consta en el expediente Informe de Intervención em</w:t>
      </w:r>
      <w:r>
        <w:t>itido por Don Nicolás Rojo Garnica, que desempeña el puesto de trabajo de Interventor Municipal, de 26 de agosto de 2024, del siguiente tenor literal:</w:t>
      </w:r>
    </w:p>
    <w:p w:rsidR="00085BB7" w:rsidRDefault="004441D3">
      <w:pPr>
        <w:spacing w:after="225" w:line="265" w:lineRule="auto"/>
        <w:ind w:left="548" w:right="556" w:hanging="10"/>
        <w:jc w:val="center"/>
      </w:pPr>
      <w:r>
        <w:t>“INFORME DE INTERVENCIÓN</w:t>
      </w:r>
    </w:p>
    <w:p w:rsidR="00085BB7" w:rsidRDefault="004441D3">
      <w:pPr>
        <w:ind w:left="1649" w:right="903"/>
      </w:pPr>
      <w:r>
        <w:t>Asunto: APROBACIÓN DEFINITIVA DE LA CUENTA GENERAL 2023</w:t>
      </w:r>
    </w:p>
    <w:p w:rsidR="00085BB7" w:rsidRDefault="004441D3">
      <w:pPr>
        <w:spacing w:after="114"/>
        <w:ind w:left="736" w:right="1894"/>
      </w:pPr>
      <w:r>
        <w:t>Con fecha 22 de julio de</w:t>
      </w:r>
      <w:r>
        <w:t xml:space="preserve"> 2024, se dictaminó la Cuenta General del ejercicio 2023, publicándose en el Boletín Oficial de la Provincia, de fecha 31 de julio de 2024, exponiéndose durante un plazo de 15 días, donde los cuales los interesados podrán presentar reclamaciones, reparos y</w:t>
      </w:r>
      <w:r>
        <w:t xml:space="preserve"> observaciones. </w:t>
      </w:r>
    </w:p>
    <w:p w:rsidR="00085BB7" w:rsidRDefault="004441D3">
      <w:pPr>
        <w:spacing w:after="388"/>
        <w:ind w:left="736" w:right="1890"/>
      </w:pPr>
      <w:r>
        <w:t xml:space="preserve">Una vez finalizado el plazo de exposición al público, el día 22 de agosto de 2024, se emite, por el interventor municipal, informe señalando “Que, consultado el registro de entrada del Ayuntamiento de Candelaria, en relación al Anuncio de </w:t>
      </w:r>
      <w:r>
        <w:t>Cuenta General del ejercicio 2023, desde el 31 de julio al 22 de agosto de 2024, no constan presentadas alegaciones al mismo”.</w:t>
      </w:r>
    </w:p>
    <w:p w:rsidR="00085BB7" w:rsidRDefault="004441D3">
      <w:pPr>
        <w:spacing w:after="494"/>
        <w:ind w:left="736" w:right="1892"/>
      </w:pPr>
      <w:r>
        <w:t xml:space="preserve">La Cuenta General está integrada por las cuentas del Ayuntamiento de Candelaria, las </w:t>
      </w:r>
      <w:r>
        <w:t>de la Sociedad Municipal de Viviendas y Servicios Municipales de Candelaria SLU y las de la Entidad Pública Empresarial de Gestión de Empresas y Servicios Públicos del Ayuntamiento de Candelaria:</w:t>
      </w:r>
    </w:p>
    <w:p w:rsidR="00085BB7" w:rsidRDefault="004441D3">
      <w:pPr>
        <w:ind w:left="736" w:right="903"/>
      </w:pPr>
      <w:r>
        <w:t>Ayuntamiento de Candelaria</w:t>
      </w:r>
    </w:p>
    <w:p w:rsidR="00085BB7" w:rsidRDefault="004441D3">
      <w:pPr>
        <w:spacing w:after="23"/>
        <w:ind w:left="736" w:right="903"/>
      </w:pPr>
      <w:r>
        <w:t>Recoge las siguientes cuentas:</w:t>
      </w:r>
    </w:p>
    <w:p w:rsidR="00085BB7" w:rsidRDefault="004441D3">
      <w:pPr>
        <w:spacing w:after="19"/>
        <w:ind w:left="736" w:right="903"/>
      </w:pPr>
      <w:r>
        <w:t>1.</w:t>
      </w:r>
      <w:r>
        <w:t xml:space="preserve">-Balance </w:t>
      </w:r>
    </w:p>
    <w:p w:rsidR="00085BB7" w:rsidRDefault="004441D3">
      <w:pPr>
        <w:spacing w:after="540"/>
        <w:ind w:left="736" w:right="1516"/>
      </w:pPr>
      <w:r>
        <w:t>2.-Cuenta del Resultado Económico Patrimonial Resultados del ejercicio 3.-Liquidación del Presupuesto, cuyos resultados son los que a continuación se detallan:</w:t>
      </w:r>
    </w:p>
    <w:p w:rsidR="00085BB7" w:rsidRDefault="004441D3">
      <w:pPr>
        <w:spacing w:after="21"/>
        <w:ind w:left="459" w:right="903"/>
      </w:pPr>
      <w:r>
        <w:rPr>
          <w:sz w:val="24"/>
        </w:rPr>
        <w:t xml:space="preserve">• </w:t>
      </w:r>
      <w:r>
        <w:t>RESULTADO PRESUPUESTARIO</w:t>
      </w:r>
    </w:p>
    <w:p w:rsidR="00085BB7" w:rsidRDefault="004441D3">
      <w:pPr>
        <w:spacing w:after="523" w:line="250" w:lineRule="auto"/>
        <w:ind w:left="463" w:hanging="10"/>
      </w:pPr>
      <w:r>
        <w:rPr>
          <w:sz w:val="24"/>
        </w:rPr>
        <w:t xml:space="preserve">• </w:t>
      </w:r>
      <w:r>
        <w:rPr>
          <w:rFonts w:ascii="Calibri" w:eastAsia="Calibri" w:hAnsi="Calibri" w:cs="Calibri"/>
          <w:noProof/>
        </w:rPr>
        <mc:AlternateContent>
          <mc:Choice Requires="wpg">
            <w:drawing>
              <wp:inline distT="0" distB="0" distL="0" distR="0">
                <wp:extent cx="6322460" cy="4391521"/>
                <wp:effectExtent l="0" t="0" r="0" b="0"/>
                <wp:docPr id="133923" name="Group 133923"/>
                <wp:cNvGraphicFramePr/>
                <a:graphic xmlns:a="http://schemas.openxmlformats.org/drawingml/2006/main">
                  <a:graphicData uri="http://schemas.microsoft.com/office/word/2010/wordprocessingGroup">
                    <wpg:wgp>
                      <wpg:cNvGrpSpPr/>
                      <wpg:grpSpPr>
                        <a:xfrm>
                          <a:off x="0" y="0"/>
                          <a:ext cx="6322460" cy="4391521"/>
                          <a:chOff x="0" y="0"/>
                          <a:chExt cx="6322460" cy="4391521"/>
                        </a:xfrm>
                      </wpg:grpSpPr>
                      <pic:pic xmlns:pic="http://schemas.openxmlformats.org/drawingml/2006/picture">
                        <pic:nvPicPr>
                          <pic:cNvPr id="6651" name="Picture 6651"/>
                          <pic:cNvPicPr/>
                        </pic:nvPicPr>
                        <pic:blipFill>
                          <a:blip r:embed="rId30"/>
                          <a:stretch>
                            <a:fillRect/>
                          </a:stretch>
                        </pic:blipFill>
                        <pic:spPr>
                          <a:xfrm>
                            <a:off x="6350" y="0"/>
                            <a:ext cx="5852160" cy="3002280"/>
                          </a:xfrm>
                          <a:prstGeom prst="rect">
                            <a:avLst/>
                          </a:prstGeom>
                        </pic:spPr>
                      </pic:pic>
                      <wps:wsp>
                        <wps:cNvPr id="6653" name="Rectangle 6653"/>
                        <wps:cNvSpPr/>
                        <wps:spPr>
                          <a:xfrm>
                            <a:off x="8890" y="3242844"/>
                            <a:ext cx="2597126" cy="207575"/>
                          </a:xfrm>
                          <a:prstGeom prst="rect">
                            <a:avLst/>
                          </a:prstGeom>
                          <a:ln>
                            <a:noFill/>
                          </a:ln>
                        </wps:spPr>
                        <wps:txbx>
                          <w:txbxContent>
                            <w:p w:rsidR="00085BB7" w:rsidRDefault="004441D3">
                              <w:pPr>
                                <w:spacing w:after="160" w:line="259" w:lineRule="auto"/>
                                <w:ind w:left="0" w:right="0" w:firstLine="0"/>
                                <w:jc w:val="left"/>
                              </w:pPr>
                              <w:r>
                                <w:t>REMANENTE DE TESORERIA</w:t>
                              </w:r>
                            </w:p>
                          </w:txbxContent>
                        </wps:txbx>
                        <wps:bodyPr horzOverflow="overflow" vert="horz" lIns="0" tIns="0" rIns="0" bIns="0" rtlCol="0">
                          <a:noAutofit/>
                        </wps:bodyPr>
                      </wps:wsp>
                      <wps:wsp>
                        <wps:cNvPr id="6654" name="Rectangle 6654"/>
                        <wps:cNvSpPr/>
                        <wps:spPr>
                          <a:xfrm>
                            <a:off x="0" y="3593363"/>
                            <a:ext cx="7251627" cy="207576"/>
                          </a:xfrm>
                          <a:prstGeom prst="rect">
                            <a:avLst/>
                          </a:prstGeom>
                          <a:ln>
                            <a:noFill/>
                          </a:ln>
                        </wps:spPr>
                        <wps:txbx>
                          <w:txbxContent>
                            <w:p w:rsidR="00085BB7" w:rsidRDefault="004441D3">
                              <w:pPr>
                                <w:spacing w:after="160" w:line="259" w:lineRule="auto"/>
                                <w:ind w:left="0" w:right="0" w:firstLine="0"/>
                                <w:jc w:val="left"/>
                              </w:pPr>
                              <w:r>
                                <w:t>«Artículo 193 bis Derechos de</w:t>
                              </w:r>
                              <w:r>
                                <w:t xml:space="preserve"> difícil o imposible recaudación Las Entidades Locales</w:t>
                              </w:r>
                            </w:p>
                          </w:txbxContent>
                        </wps:txbx>
                        <wps:bodyPr horzOverflow="overflow" vert="horz" lIns="0" tIns="0" rIns="0" bIns="0" rtlCol="0">
                          <a:noAutofit/>
                        </wps:bodyPr>
                      </wps:wsp>
                      <wps:wsp>
                        <wps:cNvPr id="6655" name="Rectangle 6655"/>
                        <wps:cNvSpPr/>
                        <wps:spPr>
                          <a:xfrm>
                            <a:off x="5458460" y="3593363"/>
                            <a:ext cx="51467" cy="207576"/>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6656" name="Rectangle 6656"/>
                        <wps:cNvSpPr/>
                        <wps:spPr>
                          <a:xfrm>
                            <a:off x="0" y="3754654"/>
                            <a:ext cx="7247911" cy="207575"/>
                          </a:xfrm>
                          <a:prstGeom prst="rect">
                            <a:avLst/>
                          </a:prstGeom>
                          <a:ln>
                            <a:noFill/>
                          </a:ln>
                        </wps:spPr>
                        <wps:txbx>
                          <w:txbxContent>
                            <w:p w:rsidR="00085BB7" w:rsidRDefault="004441D3">
                              <w:pPr>
                                <w:spacing w:after="160" w:line="259" w:lineRule="auto"/>
                                <w:ind w:left="0" w:right="0" w:firstLine="0"/>
                                <w:jc w:val="left"/>
                              </w:pPr>
                              <w:r>
                                <w:t>deberán informar al Ministerio de Hacienda y Administraciones Públicas y a su Pleno, u</w:t>
                              </w:r>
                            </w:p>
                          </w:txbxContent>
                        </wps:txbx>
                        <wps:bodyPr horzOverflow="overflow" vert="horz" lIns="0" tIns="0" rIns="0" bIns="0" rtlCol="0">
                          <a:noAutofit/>
                        </wps:bodyPr>
                      </wps:wsp>
                      <wps:wsp>
                        <wps:cNvPr id="6657" name="Rectangle 6657"/>
                        <wps:cNvSpPr/>
                        <wps:spPr>
                          <a:xfrm>
                            <a:off x="5458460" y="3754654"/>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6658" name="Rectangle 6658"/>
                        <wps:cNvSpPr/>
                        <wps:spPr>
                          <a:xfrm>
                            <a:off x="0" y="3914674"/>
                            <a:ext cx="7250698" cy="207575"/>
                          </a:xfrm>
                          <a:prstGeom prst="rect">
                            <a:avLst/>
                          </a:prstGeom>
                          <a:ln>
                            <a:noFill/>
                          </a:ln>
                        </wps:spPr>
                        <wps:txbx>
                          <w:txbxContent>
                            <w:p w:rsidR="00085BB7" w:rsidRDefault="004441D3">
                              <w:pPr>
                                <w:spacing w:after="160" w:line="259" w:lineRule="auto"/>
                                <w:ind w:left="0" w:right="0" w:firstLine="0"/>
                                <w:jc w:val="left"/>
                              </w:pPr>
                              <w:r>
                                <w:t>órgano equivalente, del resultado de la aplicación de los criterios determinantes de los</w:t>
                              </w:r>
                            </w:p>
                          </w:txbxContent>
                        </wps:txbx>
                        <wps:bodyPr horzOverflow="overflow" vert="horz" lIns="0" tIns="0" rIns="0" bIns="0" rtlCol="0">
                          <a:noAutofit/>
                        </wps:bodyPr>
                      </wps:wsp>
                      <wps:wsp>
                        <wps:cNvPr id="6659" name="Rectangle 6659"/>
                        <wps:cNvSpPr/>
                        <wps:spPr>
                          <a:xfrm>
                            <a:off x="5458460" y="3914674"/>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6660" name="Rectangle 6660"/>
                        <wps:cNvSpPr/>
                        <wps:spPr>
                          <a:xfrm>
                            <a:off x="0" y="4075964"/>
                            <a:ext cx="6471449" cy="207575"/>
                          </a:xfrm>
                          <a:prstGeom prst="rect">
                            <a:avLst/>
                          </a:prstGeom>
                          <a:ln>
                            <a:noFill/>
                          </a:ln>
                        </wps:spPr>
                        <wps:txbx>
                          <w:txbxContent>
                            <w:p w:rsidR="00085BB7" w:rsidRDefault="004441D3">
                              <w:pPr>
                                <w:spacing w:after="160" w:line="259" w:lineRule="auto"/>
                                <w:ind w:left="0" w:right="0" w:firstLine="0"/>
                                <w:jc w:val="left"/>
                              </w:pPr>
                              <w:r>
                                <w:t>derechos de difícil o imposible recaudación con los siguientes límites mínimos:</w:t>
                              </w:r>
                            </w:p>
                          </w:txbxContent>
                        </wps:txbx>
                        <wps:bodyPr horzOverflow="overflow" vert="horz" lIns="0" tIns="0" rIns="0" bIns="0" rtlCol="0">
                          <a:noAutofit/>
                        </wps:bodyPr>
                      </wps:wsp>
                      <wps:wsp>
                        <wps:cNvPr id="6667" name="Rectangle 6667"/>
                        <wps:cNvSpPr/>
                        <wps:spPr>
                          <a:xfrm rot="-5399999">
                            <a:off x="4895797" y="3089164"/>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668" name="Rectangle 6668"/>
                        <wps:cNvSpPr/>
                        <wps:spPr>
                          <a:xfrm rot="-5399999">
                            <a:off x="5108764" y="3225931"/>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669" name="Rectangle 6669"/>
                        <wps:cNvSpPr/>
                        <wps:spPr>
                          <a:xfrm rot="-5399999">
                            <a:off x="4090731" y="2131697"/>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Gestiona</w:t>
                              </w:r>
                              <w:r>
                                <w:rPr>
                                  <w:sz w:val="12"/>
                                </w:rPr>
                                <w:t xml:space="preserve"> | Página 35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33923" style="width:497.832pt;height:345.789pt;mso-position-horizontal-relative:char;mso-position-vertical-relative:line" coordsize="63224,43915">
                <v:shape id="Picture 6651" style="position:absolute;width:58521;height:30022;left:63;top:0;" filled="f">
                  <v:imagedata r:id="rId31"/>
                </v:shape>
                <v:rect id="Rectangle 6653" style="position:absolute;width:25971;height:2075;left:88;top:32428;" filled="f" stroked="f">
                  <v:textbox inset="0,0,0,0">
                    <w:txbxContent>
                      <w:p>
                        <w:pPr>
                          <w:spacing w:before="0" w:after="160" w:line="259" w:lineRule="auto"/>
                          <w:ind w:left="0" w:right="0" w:firstLine="0"/>
                          <w:jc w:val="left"/>
                        </w:pPr>
                        <w:r>
                          <w:rPr/>
                          <w:t xml:space="preserve">REMANENTE DE TESORERIA</w:t>
                        </w:r>
                      </w:p>
                    </w:txbxContent>
                  </v:textbox>
                </v:rect>
                <v:rect id="Rectangle 6654" style="position:absolute;width:72516;height:2075;left:0;top:35933;" filled="f" stroked="f">
                  <v:textbox inset="0,0,0,0">
                    <w:txbxContent>
                      <w:p>
                        <w:pPr>
                          <w:spacing w:before="0" w:after="160" w:line="259" w:lineRule="auto"/>
                          <w:ind w:left="0" w:right="0" w:firstLine="0"/>
                          <w:jc w:val="left"/>
                        </w:pPr>
                        <w:r>
                          <w:rPr/>
                          <w:t xml:space="preserve">«Artículo 193 bis Derechos de difícil o imposible recaudación Las Entidades Locales</w:t>
                        </w:r>
                      </w:p>
                    </w:txbxContent>
                  </v:textbox>
                </v:rect>
                <v:rect id="Rectangle 6655" style="position:absolute;width:514;height:2075;left:54584;top:35933;" filled="f" stroked="f">
                  <v:textbox inset="0,0,0,0">
                    <w:txbxContent>
                      <w:p>
                        <w:pPr>
                          <w:spacing w:before="0" w:after="160" w:line="259" w:lineRule="auto"/>
                          <w:ind w:left="0" w:right="0" w:firstLine="0"/>
                          <w:jc w:val="left"/>
                        </w:pPr>
                        <w:r>
                          <w:rPr/>
                          <w:t xml:space="preserve"> </w:t>
                        </w:r>
                      </w:p>
                    </w:txbxContent>
                  </v:textbox>
                </v:rect>
                <v:rect id="Rectangle 6656" style="position:absolute;width:72479;height:2075;left:0;top:37546;" filled="f" stroked="f">
                  <v:textbox inset="0,0,0,0">
                    <w:txbxContent>
                      <w:p>
                        <w:pPr>
                          <w:spacing w:before="0" w:after="160" w:line="259" w:lineRule="auto"/>
                          <w:ind w:left="0" w:right="0" w:firstLine="0"/>
                          <w:jc w:val="left"/>
                        </w:pPr>
                        <w:r>
                          <w:rPr/>
                          <w:t xml:space="preserve">deberán informar al Ministerio de Hacienda y Administraciones Públicas y a su Pleno, u</w:t>
                        </w:r>
                      </w:p>
                    </w:txbxContent>
                  </v:textbox>
                </v:rect>
                <v:rect id="Rectangle 6657" style="position:absolute;width:514;height:2075;left:54584;top:37546;" filled="f" stroked="f">
                  <v:textbox inset="0,0,0,0">
                    <w:txbxContent>
                      <w:p>
                        <w:pPr>
                          <w:spacing w:before="0" w:after="160" w:line="259" w:lineRule="auto"/>
                          <w:ind w:left="0" w:right="0" w:firstLine="0"/>
                          <w:jc w:val="left"/>
                        </w:pPr>
                        <w:r>
                          <w:rPr/>
                          <w:t xml:space="preserve"> </w:t>
                        </w:r>
                      </w:p>
                    </w:txbxContent>
                  </v:textbox>
                </v:rect>
                <v:rect id="Rectangle 6658" style="position:absolute;width:72506;height:2075;left:0;top:39146;" filled="f" stroked="f">
                  <v:textbox inset="0,0,0,0">
                    <w:txbxContent>
                      <w:p>
                        <w:pPr>
                          <w:spacing w:before="0" w:after="160" w:line="259" w:lineRule="auto"/>
                          <w:ind w:left="0" w:right="0" w:firstLine="0"/>
                          <w:jc w:val="left"/>
                        </w:pPr>
                        <w:r>
                          <w:rPr/>
                          <w:t xml:space="preserve">órgano equivalente, del resultado de la aplicación de los criterios determinantes de los</w:t>
                        </w:r>
                      </w:p>
                    </w:txbxContent>
                  </v:textbox>
                </v:rect>
                <v:rect id="Rectangle 6659" style="position:absolute;width:514;height:2075;left:54584;top:39146;" filled="f" stroked="f">
                  <v:textbox inset="0,0,0,0">
                    <w:txbxContent>
                      <w:p>
                        <w:pPr>
                          <w:spacing w:before="0" w:after="160" w:line="259" w:lineRule="auto"/>
                          <w:ind w:left="0" w:right="0" w:firstLine="0"/>
                          <w:jc w:val="left"/>
                        </w:pPr>
                        <w:r>
                          <w:rPr/>
                          <w:t xml:space="preserve"> </w:t>
                        </w:r>
                      </w:p>
                    </w:txbxContent>
                  </v:textbox>
                </v:rect>
                <v:rect id="Rectangle 6660" style="position:absolute;width:64714;height:2075;left:0;top:40759;" filled="f" stroked="f">
                  <v:textbox inset="0,0,0,0">
                    <w:txbxContent>
                      <w:p>
                        <w:pPr>
                          <w:spacing w:before="0" w:after="160" w:line="259" w:lineRule="auto"/>
                          <w:ind w:left="0" w:right="0" w:firstLine="0"/>
                          <w:jc w:val="left"/>
                        </w:pPr>
                        <w:r>
                          <w:rPr/>
                          <w:t xml:space="preserve">derechos de difícil o imposible recaudación con los siguientes límites mínimos:</w:t>
                        </w:r>
                      </w:p>
                    </w:txbxContent>
                  </v:textbox>
                </v:rect>
                <v:rect id="Rectangle 6667" style="position:absolute;width:24914;height:1132;left:48957;top:3089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668" style="position:absolute;width:22179;height:1132;left:51087;top:3225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669" style="position:absolute;width:44064;height:1132;left:40907;top:2131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133 </w:t>
                        </w:r>
                      </w:p>
                    </w:txbxContent>
                  </v:textbox>
                </v:rect>
              </v:group>
            </w:pict>
          </mc:Fallback>
        </mc:AlternateContent>
      </w:r>
    </w:p>
    <w:p w:rsidR="00085BB7" w:rsidRDefault="004441D3">
      <w:pPr>
        <w:numPr>
          <w:ilvl w:val="0"/>
          <w:numId w:val="11"/>
        </w:numPr>
        <w:spacing w:after="3"/>
        <w:ind w:right="1891"/>
      </w:pPr>
      <w:r>
        <w:t>Los derechos pendientes de cobro liquidados dentro de los presupuestos de los dos ejercicios anteriores al que corresponde la liquidación, se minorarán, como mínimo, en un 25 por ciento.</w:t>
      </w:r>
    </w:p>
    <w:p w:rsidR="00085BB7" w:rsidRDefault="004441D3">
      <w:pPr>
        <w:numPr>
          <w:ilvl w:val="0"/>
          <w:numId w:val="11"/>
        </w:numPr>
        <w:spacing w:after="4"/>
        <w:ind w:right="1891"/>
      </w:pPr>
      <w:r>
        <w:t>Los derechos pendientes de cobro liquidados dentro de los presupuestos del ejercicio tercero anterior al que corresponde la liquidación, se minorarán, como mínimo, en un 50 por ciento.</w:t>
      </w:r>
    </w:p>
    <w:p w:rsidR="00085BB7" w:rsidRDefault="004441D3">
      <w:pPr>
        <w:numPr>
          <w:ilvl w:val="0"/>
          <w:numId w:val="11"/>
        </w:numPr>
        <w:spacing w:after="3"/>
        <w:ind w:right="1891"/>
      </w:pPr>
      <w:r>
        <w:t xml:space="preserve">Los derechos pendientes de cobro liquidados dentro de los presupuestos </w:t>
      </w:r>
      <w:r>
        <w:t>de los ejercicios cuarto a quinto anteriores al que corresponde la liquidación, se minorarán, como mínimo, en un 75 por ciento.</w:t>
      </w:r>
    </w:p>
    <w:p w:rsidR="00085BB7" w:rsidRDefault="004441D3">
      <w:pPr>
        <w:numPr>
          <w:ilvl w:val="0"/>
          <w:numId w:val="11"/>
        </w:numPr>
        <w:ind w:right="1891"/>
      </w:pPr>
      <w:r>
        <w:t>Los derechos pendientes de cobro liquidados dentro de los presupuestos de los restantes ejercicios anteriores al que corresponde</w:t>
      </w:r>
      <w:r>
        <w:t xml:space="preserve"> la liquidación, se minorarán en un 100 por ciento.»</w:t>
      </w:r>
    </w:p>
    <w:p w:rsidR="00085BB7" w:rsidRDefault="004441D3">
      <w:pPr>
        <w:spacing w:after="0"/>
        <w:ind w:left="736" w:right="1888"/>
      </w:pPr>
      <w:r>
        <w:t>Este artículo modificado del Texto Refundido de la Ley Reguladora de las Haciendas Locales, ha dado lugar a su reflejo en las Bases de Ejecución del Presupuesto General vigente.</w:t>
      </w:r>
    </w:p>
    <w:p w:rsidR="00085BB7" w:rsidRDefault="004441D3">
      <w:pPr>
        <w:spacing w:after="3177"/>
        <w:ind w:left="736" w:right="1891"/>
      </w:pPr>
      <w:r>
        <w:t>Así, de los datos obtenidos de ejercicios cerrados, tenemos detallados los importes cobrados en dichos ejercicios, la cantidad que está pendiente de cobro y el saldo de dudoso cobro, de acuerdo con los porcentajes establecidos en las Bases del Presupuesto:</w:t>
      </w:r>
    </w:p>
    <w:tbl>
      <w:tblPr>
        <w:tblStyle w:val="TableGrid"/>
        <w:tblpPr w:vertAnchor="text" w:tblpX="613" w:tblpY="-4504"/>
        <w:tblOverlap w:val="never"/>
        <w:tblW w:w="9172" w:type="dxa"/>
        <w:tblInd w:w="0" w:type="dxa"/>
        <w:tblCellMar>
          <w:top w:w="24" w:type="dxa"/>
          <w:left w:w="0" w:type="dxa"/>
          <w:bottom w:w="0" w:type="dxa"/>
          <w:right w:w="47" w:type="dxa"/>
        </w:tblCellMar>
        <w:tblLook w:val="04A0" w:firstRow="1" w:lastRow="0" w:firstColumn="1" w:lastColumn="0" w:noHBand="0" w:noVBand="1"/>
      </w:tblPr>
      <w:tblGrid>
        <w:gridCol w:w="2048"/>
        <w:gridCol w:w="2256"/>
        <w:gridCol w:w="1682"/>
        <w:gridCol w:w="340"/>
        <w:gridCol w:w="248"/>
        <w:gridCol w:w="1618"/>
        <w:gridCol w:w="980"/>
      </w:tblGrid>
      <w:tr w:rsidR="00085BB7">
        <w:trPr>
          <w:trHeight w:val="746"/>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EJERCICIO</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 xml:space="preserve">IMPORTES </w:t>
            </w:r>
          </w:p>
          <w:p w:rsidR="00085BB7" w:rsidRDefault="004441D3">
            <w:pPr>
              <w:spacing w:after="0" w:line="259" w:lineRule="auto"/>
              <w:ind w:left="112" w:right="0" w:firstLine="0"/>
              <w:jc w:val="left"/>
            </w:pPr>
            <w:r>
              <w:rPr>
                <w:sz w:val="20"/>
              </w:rPr>
              <w:t>COBRADOS 2023</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 xml:space="preserve">IMPORTES </w:t>
            </w:r>
          </w:p>
          <w:p w:rsidR="00085BB7" w:rsidRDefault="004441D3">
            <w:pPr>
              <w:spacing w:after="0" w:line="259" w:lineRule="auto"/>
              <w:ind w:left="112" w:right="0" w:firstLine="0"/>
              <w:jc w:val="left"/>
            </w:pPr>
            <w:r>
              <w:rPr>
                <w:sz w:val="20"/>
              </w:rPr>
              <w:t>PENDIENTES</w:t>
            </w:r>
          </w:p>
          <w:p w:rsidR="00085BB7" w:rsidRDefault="004441D3">
            <w:pPr>
              <w:spacing w:after="0" w:line="259" w:lineRule="auto"/>
              <w:ind w:left="112" w:right="0" w:firstLine="0"/>
              <w:jc w:val="left"/>
            </w:pPr>
            <w:r>
              <w:rPr>
                <w:sz w:val="20"/>
              </w:rPr>
              <w:t>31/12/2023</w:t>
            </w:r>
          </w:p>
        </w:tc>
        <w:tc>
          <w:tcPr>
            <w:tcW w:w="340" w:type="dxa"/>
            <w:tcBorders>
              <w:top w:val="single" w:sz="4" w:space="0" w:color="000000"/>
              <w:left w:val="nil"/>
              <w:bottom w:val="single" w:sz="4" w:space="0" w:color="000000"/>
              <w:right w:val="nil"/>
            </w:tcBorders>
            <w:vAlign w:val="center"/>
          </w:tcPr>
          <w:p w:rsidR="00085BB7" w:rsidRDefault="004441D3">
            <w:pPr>
              <w:spacing w:after="0" w:line="259" w:lineRule="auto"/>
              <w:ind w:left="0" w:right="0" w:firstLine="0"/>
              <w:jc w:val="left"/>
            </w:pPr>
            <w:r>
              <w:rPr>
                <w:sz w:val="20"/>
              </w:rPr>
              <w:t xml:space="preserve"> </w:t>
            </w:r>
          </w:p>
        </w:tc>
        <w:tc>
          <w:tcPr>
            <w:tcW w:w="248"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0" w:right="0" w:firstLine="0"/>
            </w:pPr>
            <w:r>
              <w:rPr>
                <w:sz w:val="20"/>
              </w:rPr>
              <w:t xml:space="preserve">A </w:t>
            </w:r>
          </w:p>
        </w:tc>
        <w:tc>
          <w:tcPr>
            <w:tcW w:w="1618" w:type="dxa"/>
            <w:tcBorders>
              <w:top w:val="single" w:sz="4" w:space="0" w:color="000000"/>
              <w:left w:val="single" w:sz="4" w:space="0" w:color="000000"/>
              <w:bottom w:val="single" w:sz="4" w:space="0" w:color="000000"/>
              <w:right w:val="nil"/>
            </w:tcBorders>
          </w:tcPr>
          <w:p w:rsidR="00085BB7" w:rsidRDefault="004441D3">
            <w:pPr>
              <w:tabs>
                <w:tab w:val="center" w:pos="1160"/>
              </w:tabs>
              <w:spacing w:after="0" w:line="259" w:lineRule="auto"/>
              <w:ind w:left="0" w:right="0" w:firstLine="0"/>
              <w:jc w:val="left"/>
            </w:pPr>
            <w:r>
              <w:rPr>
                <w:sz w:val="20"/>
              </w:rPr>
              <w:t>SALDO</w:t>
            </w:r>
            <w:r>
              <w:rPr>
                <w:sz w:val="20"/>
              </w:rPr>
              <w:tab/>
              <w:t xml:space="preserve"> </w:t>
            </w:r>
          </w:p>
          <w:p w:rsidR="00085BB7" w:rsidRDefault="004441D3">
            <w:pPr>
              <w:spacing w:after="0" w:line="259" w:lineRule="auto"/>
              <w:ind w:left="112" w:right="0" w:firstLine="0"/>
              <w:jc w:val="left"/>
            </w:pPr>
            <w:r>
              <w:rPr>
                <w:sz w:val="20"/>
              </w:rPr>
              <w:t>COBRO</w:t>
            </w:r>
          </w:p>
        </w:tc>
        <w:tc>
          <w:tcPr>
            <w:tcW w:w="980"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DUDOSO </w:t>
            </w: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2022</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47.087,06 €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153.137,40 €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38.284,35 €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2021</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72.288,64 €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269.504,46 €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67.376,12 €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2020</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37.001,21 €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78.699,43 €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39.349,72 €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2019</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52.570,58 €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224.611,69 €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168.458,77 €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2018</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21.622,49 €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269.541,80 €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202.156,35 €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2016-1991</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53.867,13</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9.177.118,06 €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9.177.118,06 €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TOTAL</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284.437,11 €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10.172.612,84 €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9.692.743,37 €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bl>
    <w:p w:rsidR="00085BB7" w:rsidRDefault="004441D3">
      <w:pPr>
        <w:spacing w:before="796" w:after="521"/>
        <w:ind w:left="736" w:right="903"/>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column">
                  <wp:posOffset>6542599</wp:posOffset>
                </wp:positionH>
                <wp:positionV relativeFrom="paragraph">
                  <wp:posOffset>-2692743</wp:posOffset>
                </wp:positionV>
                <wp:extent cx="237530" cy="3313100"/>
                <wp:effectExtent l="0" t="0" r="0" b="0"/>
                <wp:wrapSquare wrapText="bothSides"/>
                <wp:docPr id="137101" name="Group 13710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72" name="Rectangle 677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773" name="Rectangle 677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774" name="Rectangle 677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101" style="width:18.7031pt;height:260.874pt;position:absolute;mso-position-horizontal-relative:text;mso-position-horizontal:absolute;margin-left:515.165pt;mso-position-vertical-relative:text;margin-top:-212.027pt;" coordsize="2375,33131">
                <v:rect id="Rectangle 677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7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7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133 </w:t>
                        </w:r>
                      </w:p>
                    </w:txbxContent>
                  </v:textbox>
                </v:rect>
                <w10:wrap type="square"/>
              </v:group>
            </w:pict>
          </mc:Fallback>
        </mc:AlternateContent>
      </w:r>
      <w:r>
        <w:t>4.- Memoria.</w:t>
      </w:r>
    </w:p>
    <w:p w:rsidR="00085BB7" w:rsidRDefault="004441D3">
      <w:pPr>
        <w:spacing w:after="3" w:line="265" w:lineRule="auto"/>
        <w:ind w:left="730" w:right="1396" w:hanging="10"/>
      </w:pPr>
      <w:r>
        <w:rPr>
          <w:u w:val="single" w:color="000000"/>
        </w:rPr>
        <w:t>Sociedad Municipal de Viviendas y Servicios Municipales de Candelaria SLU</w:t>
      </w:r>
    </w:p>
    <w:p w:rsidR="00085BB7" w:rsidRDefault="004441D3">
      <w:pPr>
        <w:spacing w:after="256" w:line="265" w:lineRule="auto"/>
        <w:ind w:left="10" w:right="1587" w:hanging="10"/>
        <w:jc w:val="right"/>
      </w:pPr>
      <w:r>
        <w:t>Destaca la Cuenta de Pérdidas y Ganancias del ejercicio, conforme el siguiente detalle:</w:t>
      </w:r>
    </w:p>
    <w:p w:rsidR="00085BB7" w:rsidRDefault="004441D3">
      <w:pPr>
        <w:numPr>
          <w:ilvl w:val="1"/>
          <w:numId w:val="11"/>
        </w:numPr>
        <w:spacing w:after="3" w:line="259" w:lineRule="auto"/>
        <w:ind w:right="1443" w:hanging="376"/>
        <w:jc w:val="center"/>
      </w:pPr>
      <w:r>
        <w:rPr>
          <w:sz w:val="23"/>
          <w:u w:val="single" w:color="000000"/>
        </w:rPr>
        <w:t xml:space="preserve">INGRESOS: </w:t>
      </w:r>
    </w:p>
    <w:tbl>
      <w:tblPr>
        <w:tblStyle w:val="TableGrid"/>
        <w:tblW w:w="6912" w:type="dxa"/>
        <w:tblInd w:w="1337" w:type="dxa"/>
        <w:tblCellMar>
          <w:top w:w="24" w:type="dxa"/>
          <w:left w:w="146" w:type="dxa"/>
          <w:bottom w:w="0" w:type="dxa"/>
          <w:right w:w="115" w:type="dxa"/>
        </w:tblCellMar>
        <w:tblLook w:val="04A0" w:firstRow="1" w:lastRow="0" w:firstColumn="1" w:lastColumn="0" w:noHBand="0" w:noVBand="1"/>
      </w:tblPr>
      <w:tblGrid>
        <w:gridCol w:w="3784"/>
        <w:gridCol w:w="3128"/>
      </w:tblGrid>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INGRESOS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5" w:firstLine="0"/>
              <w:jc w:val="center"/>
            </w:pPr>
            <w:r>
              <w:rPr>
                <w:sz w:val="20"/>
              </w:rPr>
              <w:t>INGRESO REAL 2023</w:t>
            </w:r>
          </w:p>
        </w:tc>
      </w:tr>
      <w:tr w:rsidR="00085BB7">
        <w:trPr>
          <w:trHeight w:val="524"/>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Importe Neto de la Cifra de Negocios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108.108,23 €</w:t>
            </w:r>
          </w:p>
        </w:tc>
      </w:tr>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8" w:firstLine="0"/>
              <w:jc w:val="center"/>
            </w:pPr>
            <w:r>
              <w:rPr>
                <w:sz w:val="20"/>
              </w:rPr>
              <w:t>Otros Ingresos de Explotación</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541.990,03 €</w:t>
            </w:r>
          </w:p>
        </w:tc>
      </w:tr>
      <w:tr w:rsidR="00085BB7">
        <w:trPr>
          <w:trHeight w:val="524"/>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Otros Ingresos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0,00 €</w:t>
            </w:r>
          </w:p>
        </w:tc>
      </w:tr>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TOTAL</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650.098,26 €</w:t>
            </w:r>
          </w:p>
        </w:tc>
      </w:tr>
    </w:tbl>
    <w:p w:rsidR="00085BB7" w:rsidRDefault="004441D3">
      <w:pPr>
        <w:numPr>
          <w:ilvl w:val="1"/>
          <w:numId w:val="11"/>
        </w:numPr>
        <w:spacing w:after="556" w:line="265" w:lineRule="auto"/>
        <w:ind w:right="1443" w:hanging="376"/>
        <w:jc w:val="center"/>
      </w:pPr>
      <w:r>
        <w:t>GASTOS</w:t>
      </w:r>
    </w:p>
    <w:tbl>
      <w:tblPr>
        <w:tblStyle w:val="TableGrid"/>
        <w:tblpPr w:vertAnchor="text" w:tblpX="1859" w:tblpY="-5384"/>
        <w:tblOverlap w:val="never"/>
        <w:tblW w:w="6110" w:type="dxa"/>
        <w:tblInd w:w="0" w:type="dxa"/>
        <w:tblCellMar>
          <w:top w:w="24" w:type="dxa"/>
          <w:left w:w="112" w:type="dxa"/>
          <w:bottom w:w="0" w:type="dxa"/>
          <w:right w:w="84" w:type="dxa"/>
        </w:tblCellMar>
        <w:tblLook w:val="04A0" w:firstRow="1" w:lastRow="0" w:firstColumn="1" w:lastColumn="0" w:noHBand="0" w:noVBand="1"/>
      </w:tblPr>
      <w:tblGrid>
        <w:gridCol w:w="3844"/>
        <w:gridCol w:w="2266"/>
      </w:tblGrid>
      <w:tr w:rsidR="00085BB7">
        <w:trPr>
          <w:trHeight w:val="522"/>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GASTOS</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 REAL 2023</w:t>
            </w:r>
          </w:p>
        </w:tc>
      </w:tr>
      <w:tr w:rsidR="00085BB7">
        <w:trPr>
          <w:trHeight w:val="524"/>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Gastos de Personal</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464.764,07 €</w:t>
            </w:r>
          </w:p>
        </w:tc>
      </w:tr>
      <w:tr w:rsidR="00085BB7">
        <w:trPr>
          <w:trHeight w:val="522"/>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Otros Gastos de Explotación</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95.611,22 €</w:t>
            </w:r>
          </w:p>
        </w:tc>
      </w:tr>
      <w:tr w:rsidR="00085BB7">
        <w:trPr>
          <w:trHeight w:val="524"/>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Aprovisionamientos</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59,50 €</w:t>
            </w:r>
          </w:p>
        </w:tc>
      </w:tr>
      <w:tr w:rsidR="00085BB7">
        <w:trPr>
          <w:trHeight w:val="522"/>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Gastos Financieros</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0,00 €</w:t>
            </w:r>
          </w:p>
        </w:tc>
      </w:tr>
      <w:tr w:rsidR="00085BB7">
        <w:trPr>
          <w:trHeight w:val="524"/>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Otros Gastos</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6" w:firstLine="0"/>
              <w:jc w:val="center"/>
            </w:pPr>
            <w:r>
              <w:rPr>
                <w:sz w:val="20"/>
              </w:rPr>
              <w:t>2.775,70 €</w:t>
            </w:r>
          </w:p>
        </w:tc>
      </w:tr>
      <w:tr w:rsidR="00085BB7">
        <w:trPr>
          <w:trHeight w:val="522"/>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1006" w:firstLine="0"/>
              <w:jc w:val="left"/>
            </w:pPr>
            <w:r>
              <w:rPr>
                <w:sz w:val="20"/>
              </w:rPr>
              <w:t>Amortización del Inmovilizado</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41.336,86 €</w:t>
            </w:r>
          </w:p>
        </w:tc>
      </w:tr>
      <w:tr w:rsidR="00085BB7">
        <w:trPr>
          <w:trHeight w:val="746"/>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tabs>
                <w:tab w:val="center" w:pos="1416"/>
                <w:tab w:val="right" w:pos="3648"/>
              </w:tabs>
              <w:spacing w:after="0" w:line="259" w:lineRule="auto"/>
              <w:ind w:left="0" w:right="0" w:firstLine="0"/>
              <w:jc w:val="left"/>
            </w:pPr>
            <w:r>
              <w:rPr>
                <w:sz w:val="20"/>
              </w:rPr>
              <w:t>Variación</w:t>
            </w:r>
            <w:r>
              <w:rPr>
                <w:sz w:val="20"/>
              </w:rPr>
              <w:tab/>
              <w:t xml:space="preserve"> </w:t>
            </w:r>
            <w:r>
              <w:rPr>
                <w:sz w:val="20"/>
              </w:rPr>
              <w:tab/>
            </w:r>
            <w:r>
              <w:rPr>
                <w:sz w:val="20"/>
              </w:rPr>
              <w:t xml:space="preserve">Productos </w:t>
            </w:r>
          </w:p>
          <w:p w:rsidR="00085BB7" w:rsidRDefault="004441D3">
            <w:pPr>
              <w:spacing w:after="0" w:line="259" w:lineRule="auto"/>
              <w:ind w:left="0" w:right="436" w:firstLine="708"/>
              <w:jc w:val="left"/>
            </w:pPr>
            <w:r>
              <w:rPr>
                <w:sz w:val="20"/>
              </w:rPr>
              <w:t>Existencias</w:t>
            </w:r>
            <w:r>
              <w:rPr>
                <w:sz w:val="20"/>
              </w:rPr>
              <w:tab/>
              <w:t xml:space="preserve"> Terminados</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99,05 €</w:t>
            </w:r>
          </w:p>
        </w:tc>
      </w:tr>
      <w:tr w:rsidR="00085BB7">
        <w:trPr>
          <w:trHeight w:val="424"/>
        </w:trPr>
        <w:tc>
          <w:tcPr>
            <w:tcW w:w="384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20" w:right="0" w:firstLine="0"/>
              <w:jc w:val="left"/>
            </w:pPr>
            <w:r>
              <w:rPr>
                <w:sz w:val="20"/>
              </w:rPr>
              <w:t>TOTAL</w:t>
            </w:r>
          </w:p>
        </w:tc>
        <w:tc>
          <w:tcPr>
            <w:tcW w:w="226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604.646,40 €</w:t>
            </w:r>
          </w:p>
        </w:tc>
      </w:tr>
    </w:tbl>
    <w:tbl>
      <w:tblPr>
        <w:tblStyle w:val="TableGrid"/>
        <w:tblpPr w:vertAnchor="text" w:tblpX="1337" w:tblpY="1566"/>
        <w:tblOverlap w:val="never"/>
        <w:tblW w:w="7336" w:type="dxa"/>
        <w:tblInd w:w="0" w:type="dxa"/>
        <w:tblCellMar>
          <w:top w:w="22" w:type="dxa"/>
          <w:left w:w="180" w:type="dxa"/>
          <w:bottom w:w="0" w:type="dxa"/>
          <w:right w:w="115" w:type="dxa"/>
        </w:tblCellMar>
        <w:tblLook w:val="04A0" w:firstRow="1" w:lastRow="0" w:firstColumn="1" w:lastColumn="0" w:noHBand="0" w:noVBand="1"/>
      </w:tblPr>
      <w:tblGrid>
        <w:gridCol w:w="3642"/>
        <w:gridCol w:w="3694"/>
      </w:tblGrid>
      <w:tr w:rsidR="00085BB7">
        <w:trPr>
          <w:trHeight w:val="264"/>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0" w:firstLine="0"/>
              <w:jc w:val="center"/>
            </w:pPr>
            <w:r>
              <w:rPr>
                <w:sz w:val="20"/>
              </w:rPr>
              <w:t>INGRESOS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7" w:firstLine="0"/>
              <w:jc w:val="center"/>
            </w:pPr>
            <w:r>
              <w:rPr>
                <w:sz w:val="20"/>
              </w:rPr>
              <w:t>INGRESO REAL 2023</w:t>
            </w:r>
          </w:p>
        </w:tc>
      </w:tr>
      <w:tr w:rsidR="00085BB7">
        <w:trPr>
          <w:trHeight w:val="568"/>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Importe Neto de la Cifra de Negocios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6.049,40 €</w:t>
            </w:r>
          </w:p>
        </w:tc>
      </w:tr>
      <w:tr w:rsidR="00085BB7">
        <w:trPr>
          <w:trHeight w:val="570"/>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4" w:firstLine="0"/>
              <w:jc w:val="center"/>
            </w:pPr>
            <w:r>
              <w:rPr>
                <w:sz w:val="20"/>
              </w:rPr>
              <w:t>Otros Ingresos de Explotación</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1.244.899,16 €</w:t>
            </w:r>
          </w:p>
        </w:tc>
      </w:tr>
      <w:tr w:rsidR="00085BB7">
        <w:trPr>
          <w:trHeight w:val="570"/>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6" w:firstLine="0"/>
              <w:jc w:val="center"/>
            </w:pPr>
            <w:r>
              <w:rPr>
                <w:sz w:val="20"/>
              </w:rPr>
              <w:t>Otros Ingresos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3.467,77 €</w:t>
            </w:r>
          </w:p>
        </w:tc>
      </w:tr>
      <w:tr w:rsidR="00085BB7">
        <w:trPr>
          <w:trHeight w:val="568"/>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TOTAL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1.254.416,33 €</w:t>
            </w:r>
          </w:p>
        </w:tc>
      </w:tr>
    </w:tbl>
    <w:p w:rsidR="00085BB7" w:rsidRDefault="004441D3">
      <w:pPr>
        <w:spacing w:before="554" w:after="223" w:line="265" w:lineRule="auto"/>
        <w:ind w:left="879" w:right="1396" w:hanging="10"/>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column">
                  <wp:posOffset>6542599</wp:posOffset>
                </wp:positionH>
                <wp:positionV relativeFrom="paragraph">
                  <wp:posOffset>-789012</wp:posOffset>
                </wp:positionV>
                <wp:extent cx="237530" cy="3313100"/>
                <wp:effectExtent l="0" t="0" r="0" b="0"/>
                <wp:wrapSquare wrapText="bothSides"/>
                <wp:docPr id="138702" name="Group 1387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914" name="Rectangle 6914"/>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6915" name="Rectangle 6915"/>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6916" name="Rectangle 6916"/>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702" style="width:18.7031pt;height:260.874pt;position:absolute;mso-position-horizontal-relative:text;mso-position-horizontal:absolute;margin-left:515.165pt;mso-position-vertical-relative:text;margin-top:-62.127pt;" coordsize="2375,33131">
                <v:rect id="Rectangle 6914"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69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9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133 </w:t>
                        </w:r>
                      </w:p>
                    </w:txbxContent>
                  </v:textbox>
                </v:rect>
                <w10:wrap type="square"/>
              </v:group>
            </w:pict>
          </mc:Fallback>
        </mc:AlternateContent>
      </w:r>
      <w:r>
        <w:rPr>
          <w:u w:val="single" w:color="000000"/>
        </w:rPr>
        <w:t>Sociedad Municipal de Viviendas y Servicios Municipales de Ca</w:t>
      </w:r>
      <w:r>
        <w:rPr>
          <w:u w:val="single" w:color="000000"/>
        </w:rPr>
        <w:t>ndelaria SLU</w:t>
      </w:r>
    </w:p>
    <w:p w:rsidR="00085BB7" w:rsidRDefault="004441D3">
      <w:pPr>
        <w:spacing w:after="518" w:line="265" w:lineRule="auto"/>
        <w:ind w:left="10" w:right="906" w:hanging="10"/>
        <w:jc w:val="right"/>
      </w:pPr>
      <w:r>
        <w:t>Destaca la Cuenta de Pérdidas y Ganancias del ejercicio, conforme el siguiente detalle:</w:t>
      </w:r>
    </w:p>
    <w:p w:rsidR="00085BB7" w:rsidRDefault="004441D3">
      <w:pPr>
        <w:numPr>
          <w:ilvl w:val="1"/>
          <w:numId w:val="12"/>
        </w:numPr>
        <w:spacing w:after="3" w:line="259" w:lineRule="auto"/>
        <w:ind w:right="1049" w:hanging="375"/>
        <w:jc w:val="center"/>
      </w:pPr>
      <w:r>
        <w:rPr>
          <w:sz w:val="23"/>
          <w:u w:val="single" w:color="000000"/>
        </w:rPr>
        <w:t xml:space="preserve">INGRESOS: </w:t>
      </w:r>
    </w:p>
    <w:p w:rsidR="00085BB7" w:rsidRDefault="004441D3">
      <w:pPr>
        <w:numPr>
          <w:ilvl w:val="1"/>
          <w:numId w:val="12"/>
        </w:numPr>
        <w:spacing w:after="0" w:line="265" w:lineRule="auto"/>
        <w:ind w:right="1049" w:hanging="375"/>
        <w:jc w:val="center"/>
      </w:pPr>
      <w:r>
        <w:t>GASTOS:</w:t>
      </w:r>
    </w:p>
    <w:tbl>
      <w:tblPr>
        <w:tblStyle w:val="TableGrid"/>
        <w:tblW w:w="7380" w:type="dxa"/>
        <w:tblInd w:w="1293" w:type="dxa"/>
        <w:tblCellMar>
          <w:top w:w="22" w:type="dxa"/>
          <w:left w:w="115" w:type="dxa"/>
          <w:bottom w:w="0" w:type="dxa"/>
          <w:right w:w="115" w:type="dxa"/>
        </w:tblCellMar>
        <w:tblLook w:val="04A0" w:firstRow="1" w:lastRow="0" w:firstColumn="1" w:lastColumn="0" w:noHBand="0" w:noVBand="1"/>
      </w:tblPr>
      <w:tblGrid>
        <w:gridCol w:w="3686"/>
        <w:gridCol w:w="3694"/>
      </w:tblGrid>
      <w:tr w:rsidR="00085BB7">
        <w:trPr>
          <w:trHeight w:val="264"/>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27" w:right="0" w:firstLine="0"/>
              <w:jc w:val="center"/>
            </w:pPr>
            <w:r>
              <w:rPr>
                <w:sz w:val="20"/>
              </w:rPr>
              <w:t>GASTOS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GASTO REAL 2023</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4" w:right="0" w:firstLine="0"/>
              <w:jc w:val="center"/>
            </w:pPr>
            <w:r>
              <w:rPr>
                <w:sz w:val="20"/>
              </w:rPr>
              <w:t>Gastos de Personal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1.018.999,42 €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3" w:right="0" w:firstLine="0"/>
              <w:jc w:val="center"/>
            </w:pPr>
            <w:r>
              <w:rPr>
                <w:sz w:val="20"/>
              </w:rPr>
              <w:t>Otros Gastos de Explotación</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80.272,04 €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Aprovisionamientos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633,04 €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 w:right="0" w:firstLine="0"/>
              <w:jc w:val="center"/>
            </w:pPr>
            <w:r>
              <w:rPr>
                <w:sz w:val="20"/>
              </w:rPr>
              <w:t>Gastos Financieros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9" w:right="0" w:firstLine="0"/>
              <w:jc w:val="center"/>
            </w:pPr>
            <w:r>
              <w:rPr>
                <w:sz w:val="20"/>
              </w:rPr>
              <w:t>0,00 €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 w:right="0" w:firstLine="0"/>
              <w:jc w:val="center"/>
            </w:pPr>
            <w:r>
              <w:rPr>
                <w:sz w:val="20"/>
              </w:rPr>
              <w:t>Otros Gastos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341,50 €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5" w:right="0" w:firstLine="0"/>
              <w:jc w:val="center"/>
            </w:pPr>
            <w:r>
              <w:rPr>
                <w:sz w:val="20"/>
              </w:rPr>
              <w:t>Amortización del Inmovilizado</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9.607,89 €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27" w:right="0" w:firstLine="0"/>
              <w:jc w:val="center"/>
            </w:pPr>
            <w:r>
              <w:rPr>
                <w:sz w:val="20"/>
              </w:rPr>
              <w:t>TOTAL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1.109.853,89 €</w:t>
            </w:r>
          </w:p>
        </w:tc>
      </w:tr>
    </w:tbl>
    <w:p w:rsidR="00085BB7" w:rsidRDefault="004441D3">
      <w:pPr>
        <w:spacing w:after="0"/>
        <w:ind w:left="736" w:right="1408"/>
      </w:pPr>
      <w:r>
        <w:t xml:space="preserve">Por ello, este interventor informa favorablemente la adopción del acuerdo de aprobar la </w:t>
      </w:r>
      <w:r>
        <w:t>Cuenta General del ejercicio 2023 y su remisión, una vez aprobada, a la Audiencia de Cuentas de Canarias para hacer posible la fiscalización externa a que se refiere el artículo 223 del ya mencionado Real Decreto Legislativo 2/2004, de 5 de marzo.”</w:t>
      </w:r>
    </w:p>
    <w:p w:rsidR="00085BB7" w:rsidRDefault="004441D3">
      <w:pPr>
        <w:spacing w:after="273" w:line="259" w:lineRule="auto"/>
        <w:ind w:left="735" w:right="0" w:firstLine="0"/>
        <w:jc w:val="left"/>
      </w:pPr>
      <w:r>
        <w:t xml:space="preserve">      </w:t>
      </w:r>
    </w:p>
    <w:p w:rsidR="00085BB7" w:rsidRDefault="004441D3">
      <w:pPr>
        <w:spacing w:after="0" w:line="245" w:lineRule="auto"/>
        <w:ind w:left="735" w:right="10099" w:firstLine="0"/>
        <w:jc w:val="left"/>
      </w:pPr>
      <w:r>
        <w:rPr>
          <w:rFonts w:ascii="Times New Roman" w:eastAsia="Times New Roman" w:hAnsi="Times New Roman" w:cs="Times New Roman"/>
          <w:b/>
          <w:sz w:val="24"/>
        </w:rPr>
        <w:t xml:space="preserve">      </w:t>
      </w:r>
      <w:r>
        <w:t xml:space="preserve">      </w:t>
      </w:r>
    </w:p>
    <w:p w:rsidR="00085BB7" w:rsidRDefault="004441D3">
      <w:pPr>
        <w:spacing w:after="500"/>
        <w:ind w:left="736" w:right="903"/>
      </w:pPr>
      <w:r>
        <w:t xml:space="preserve">    Consta en el expediente propuesta del Concejal delegado de Hacienda, D. Airam Pérez Chinea, de fecha 26 de agosto de 2024, que transcrito literalmente dice:</w:t>
      </w:r>
    </w:p>
    <w:p w:rsidR="00085BB7" w:rsidRDefault="004441D3">
      <w:pPr>
        <w:spacing w:after="15"/>
        <w:ind w:left="736" w:right="903"/>
      </w:pPr>
      <w:r>
        <w:t>“PROPUESTA DE LA CONCEJALÍA DELEGADA DE HACIENDA</w:t>
      </w:r>
    </w:p>
    <w:p w:rsidR="00085BB7" w:rsidRDefault="004441D3">
      <w:pPr>
        <w:spacing w:after="10"/>
        <w:ind w:left="736" w:right="903"/>
      </w:pPr>
      <w:r>
        <w:t xml:space="preserve">ASUNTO: APROBACIÓN DEFINITIVA DE LA CUENTA GENERAL DEL EJERCICIO </w:t>
      </w:r>
    </w:p>
    <w:p w:rsidR="00085BB7" w:rsidRDefault="004441D3">
      <w:pPr>
        <w:spacing w:after="1041"/>
        <w:ind w:left="736" w:right="903"/>
      </w:pPr>
      <w:r>
        <w:t>2023</w:t>
      </w:r>
    </w:p>
    <w:p w:rsidR="00085BB7" w:rsidRDefault="004441D3">
      <w:pPr>
        <w:spacing w:after="114"/>
        <w:ind w:left="730" w:right="1894" w:firstLine="708"/>
      </w:pPr>
      <w:r>
        <w:t xml:space="preserve">Con fecha 22 de julio de 2024, se dictaminó la Cuenta General del ejercicio 2023, publicándose en el Boletín Oficial de la Provincia, de fecha 31 de julio de 2024, exponiéndose durante </w:t>
      </w:r>
      <w:r>
        <w:t xml:space="preserve">un plazo de 15 días, donde los cuales los interesados podrán presentar reclamaciones, reparos y observaciones. </w:t>
      </w:r>
    </w:p>
    <w:p w:rsidR="00085BB7" w:rsidRDefault="004441D3">
      <w:pPr>
        <w:spacing w:after="388"/>
        <w:ind w:left="730" w:right="1888" w:firstLine="708"/>
      </w:pPr>
      <w:r>
        <w:rPr>
          <w:rFonts w:ascii="Calibri" w:eastAsia="Calibri" w:hAnsi="Calibri" w:cs="Calibri"/>
          <w:noProof/>
        </w:rPr>
        <mc:AlternateContent>
          <mc:Choice Requires="wpg">
            <w:drawing>
              <wp:anchor distT="0" distB="0" distL="114300" distR="114300" simplePos="0" relativeHeight="251696128" behindDoc="1" locked="0" layoutInCell="1" allowOverlap="1">
                <wp:simplePos x="0" y="0"/>
                <wp:positionH relativeFrom="column">
                  <wp:posOffset>465288</wp:posOffset>
                </wp:positionH>
                <wp:positionV relativeFrom="paragraph">
                  <wp:posOffset>-1554821</wp:posOffset>
                </wp:positionV>
                <wp:extent cx="6314840" cy="3313100"/>
                <wp:effectExtent l="0" t="0" r="0" b="0"/>
                <wp:wrapNone/>
                <wp:docPr id="137256" name="Group 137256"/>
                <wp:cNvGraphicFramePr/>
                <a:graphic xmlns:a="http://schemas.openxmlformats.org/drawingml/2006/main">
                  <a:graphicData uri="http://schemas.microsoft.com/office/word/2010/wordprocessingGroup">
                    <wpg:wgp>
                      <wpg:cNvGrpSpPr/>
                      <wpg:grpSpPr>
                        <a:xfrm>
                          <a:off x="0" y="0"/>
                          <a:ext cx="6314840" cy="3313100"/>
                          <a:chOff x="0" y="0"/>
                          <a:chExt cx="6314840" cy="3313100"/>
                        </a:xfrm>
                      </wpg:grpSpPr>
                      <wps:wsp>
                        <wps:cNvPr id="6953" name="Shape 6953"/>
                        <wps:cNvSpPr/>
                        <wps:spPr>
                          <a:xfrm>
                            <a:off x="0" y="333184"/>
                            <a:ext cx="6059806" cy="0"/>
                          </a:xfrm>
                          <a:custGeom>
                            <a:avLst/>
                            <a:gdLst/>
                            <a:ahLst/>
                            <a:cxnLst/>
                            <a:rect l="0" t="0" r="0" b="0"/>
                            <a:pathLst>
                              <a:path w="6059806">
                                <a:moveTo>
                                  <a:pt x="0" y="0"/>
                                </a:moveTo>
                                <a:lnTo>
                                  <a:pt x="6059806" y="0"/>
                                </a:lnTo>
                              </a:path>
                            </a:pathLst>
                          </a:custGeom>
                          <a:ln w="25400" cap="sq">
                            <a:miter lim="100000"/>
                          </a:ln>
                        </wps:spPr>
                        <wps:style>
                          <a:lnRef idx="1">
                            <a:srgbClr val="993366"/>
                          </a:lnRef>
                          <a:fillRef idx="0">
                            <a:srgbClr val="000000">
                              <a:alpha val="0"/>
                            </a:srgbClr>
                          </a:fillRef>
                          <a:effectRef idx="0">
                            <a:scrgbClr r="0" g="0" b="0"/>
                          </a:effectRef>
                          <a:fontRef idx="none"/>
                        </wps:style>
                        <wps:bodyPr/>
                      </wps:wsp>
                      <wps:wsp>
                        <wps:cNvPr id="7029" name="Rectangle 7029"/>
                        <wps:cNvSpPr/>
                        <wps:spPr>
                          <a:xfrm rot="-5399999">
                            <a:off x="4888177"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030" name="Rectangle 7030"/>
                        <wps:cNvSpPr/>
                        <wps:spPr>
                          <a:xfrm rot="-5399999">
                            <a:off x="5101144"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031" name="Rectangle 7031"/>
                        <wps:cNvSpPr/>
                        <wps:spPr>
                          <a:xfrm rot="-5399999">
                            <a:off x="4083111"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256" style="width:497.232pt;height:260.874pt;position:absolute;z-index:-2147483575;mso-position-horizontal-relative:text;mso-position-horizontal:absolute;margin-left:36.6368pt;mso-position-vertical-relative:text;margin-top:-122.427pt;" coordsize="63148,33131">
                <v:shape id="Shape 6953" style="position:absolute;width:60598;height:0;left:0;top:3331;" coordsize="6059806,0" path="m0,0l6059806,0">
                  <v:stroke weight="2pt" endcap="square" joinstyle="miter" miterlimit="3" on="true" color="#993366"/>
                  <v:fill on="false" color="#000000" opacity="0"/>
                </v:shape>
                <v:rect id="Rectangle 7029" style="position:absolute;width:24914;height:1132;left:4888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030" style="position:absolute;width:22179;height:1132;left:5101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031" style="position:absolute;width:44064;height:1132;left:4083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133 </w:t>
                        </w:r>
                      </w:p>
                    </w:txbxContent>
                  </v:textbox>
                </v:rect>
              </v:group>
            </w:pict>
          </mc:Fallback>
        </mc:AlternateContent>
      </w:r>
      <w:r>
        <w:t>Una vez finalizado el plazo de exposición al público, el día 22 de agosto de 2024, se emite, por el interventor municipal, informe señalando “Que consultado el re</w:t>
      </w:r>
      <w:r>
        <w:t>gistro de entrada del Ayuntamiento de Candelaria, en relación al Anuncio de Cuenta General del ejercicio 2023, desde el 31 de julio al 22 de agosto de 2024, no constan presentadas alegaciones al mismo”.</w:t>
      </w:r>
    </w:p>
    <w:p w:rsidR="00085BB7" w:rsidRDefault="004441D3">
      <w:pPr>
        <w:ind w:left="730" w:right="1888" w:firstLine="708"/>
      </w:pPr>
      <w:r>
        <w:t xml:space="preserve">La Cuenta General está integrada por las cuentas del </w:t>
      </w:r>
      <w:r>
        <w:t>Ayuntamiento de Candelaria, las de la Sociedad Municipal de Viviendas y Servicios Municipales de Candelaria SLU y las de la Entidad Pública Empresarial de Gestión de Empresas y Servicios Públicos del Ayuntamiento de Candelaria:</w:t>
      </w:r>
    </w:p>
    <w:p w:rsidR="00085BB7" w:rsidRDefault="004441D3">
      <w:pPr>
        <w:spacing w:after="225" w:line="265" w:lineRule="auto"/>
        <w:ind w:left="548" w:right="1684" w:hanging="10"/>
        <w:jc w:val="center"/>
      </w:pPr>
      <w:r>
        <w:t>Ayuntamiento de Candelaria</w:t>
      </w:r>
    </w:p>
    <w:p w:rsidR="00085BB7" w:rsidRDefault="004441D3">
      <w:pPr>
        <w:spacing w:after="23"/>
        <w:ind w:left="736" w:right="903"/>
      </w:pPr>
      <w:r>
        <w:t>Recoge las siguientes cuentas:</w:t>
      </w:r>
    </w:p>
    <w:p w:rsidR="00085BB7" w:rsidRDefault="004441D3">
      <w:pPr>
        <w:spacing w:after="10"/>
        <w:ind w:left="736" w:right="903"/>
      </w:pPr>
      <w:r>
        <w:t xml:space="preserve">1.-Balance </w:t>
      </w:r>
    </w:p>
    <w:p w:rsidR="00085BB7" w:rsidRDefault="004441D3">
      <w:pPr>
        <w:spacing w:after="448"/>
        <w:ind w:left="736" w:right="1618"/>
      </w:pPr>
      <w:r>
        <w:t>2.-Cuenta del Resultado Económico Patrimonial Resultados del ejercicio 3.-Liquidación del Presupuesto, cuyos resultados son los que a continuación se detallan:</w:t>
      </w:r>
    </w:p>
    <w:p w:rsidR="00085BB7" w:rsidRDefault="004441D3">
      <w:pPr>
        <w:spacing w:after="0" w:line="259" w:lineRule="auto"/>
        <w:ind w:left="731" w:right="0" w:firstLine="0"/>
        <w:jc w:val="left"/>
      </w:pPr>
      <w:r>
        <w:rPr>
          <w:rFonts w:ascii="Calibri" w:eastAsia="Calibri" w:hAnsi="Calibri" w:cs="Calibri"/>
          <w:b/>
          <w:sz w:val="16"/>
        </w:rPr>
        <w:t>RESULTADO PRESUPUESTARIO</w:t>
      </w:r>
    </w:p>
    <w:p w:rsidR="00085BB7" w:rsidRDefault="004441D3">
      <w:pPr>
        <w:spacing w:after="360" w:line="259" w:lineRule="auto"/>
        <w:ind w:left="731" w:right="0" w:firstLine="0"/>
        <w:jc w:val="left"/>
      </w:pPr>
      <w:r>
        <w:rPr>
          <w:noProof/>
        </w:rPr>
        <w:drawing>
          <wp:inline distT="0" distB="0" distL="0" distR="0">
            <wp:extent cx="5852160" cy="3002280"/>
            <wp:effectExtent l="0" t="0" r="0" b="0"/>
            <wp:docPr id="7066" name="Picture 7066"/>
            <wp:cNvGraphicFramePr/>
            <a:graphic xmlns:a="http://schemas.openxmlformats.org/drawingml/2006/main">
              <a:graphicData uri="http://schemas.openxmlformats.org/drawingml/2006/picture">
                <pic:pic xmlns:pic="http://schemas.openxmlformats.org/drawingml/2006/picture">
                  <pic:nvPicPr>
                    <pic:cNvPr id="7066" name="Picture 7066"/>
                    <pic:cNvPicPr/>
                  </pic:nvPicPr>
                  <pic:blipFill>
                    <a:blip r:embed="rId31"/>
                    <a:stretch>
                      <a:fillRect/>
                    </a:stretch>
                  </pic:blipFill>
                  <pic:spPr>
                    <a:xfrm>
                      <a:off x="0" y="0"/>
                      <a:ext cx="5852160" cy="3002280"/>
                    </a:xfrm>
                    <a:prstGeom prst="rect">
                      <a:avLst/>
                    </a:prstGeom>
                  </pic:spPr>
                </pic:pic>
              </a:graphicData>
            </a:graphic>
          </wp:inline>
        </w:drawing>
      </w:r>
    </w:p>
    <w:p w:rsidR="00085BB7" w:rsidRDefault="004441D3">
      <w:pPr>
        <w:ind w:left="736" w:right="903"/>
      </w:pPr>
      <w:r>
        <w:t>REMANENTE DE TESORERIA</w:t>
      </w:r>
    </w:p>
    <w:p w:rsidR="00085BB7" w:rsidRDefault="004441D3">
      <w:pPr>
        <w:spacing w:after="10"/>
        <w:ind w:left="736" w:right="903"/>
      </w:pPr>
      <w:r>
        <w:t>«Ar</w:t>
      </w:r>
      <w:r>
        <w:t xml:space="preserve">tículo 193 bis Derechos de difícil o imposible recaudación </w:t>
      </w:r>
    </w:p>
    <w:p w:rsidR="00085BB7" w:rsidRDefault="004441D3">
      <w:pPr>
        <w:spacing w:after="2"/>
        <w:ind w:left="730" w:right="903" w:firstLine="708"/>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column">
                  <wp:posOffset>6542599</wp:posOffset>
                </wp:positionH>
                <wp:positionV relativeFrom="paragraph">
                  <wp:posOffset>187617</wp:posOffset>
                </wp:positionV>
                <wp:extent cx="237530" cy="3313100"/>
                <wp:effectExtent l="0" t="0" r="0" b="0"/>
                <wp:wrapSquare wrapText="bothSides"/>
                <wp:docPr id="137186" name="Group 1371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17" name="Rectangle 711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118" name="Rectangle 711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119" name="Rectangle 711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39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7186" style="width:18.7031pt;height:260.874pt;position:absolute;mso-position-horizontal-relative:text;mso-position-horizontal:absolute;margin-left:515.165pt;mso-position-vertical-relative:text;margin-top:14.773pt;" coordsize="2375,33131">
                <v:rect id="Rectangle 711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11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11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133 </w:t>
                        </w:r>
                      </w:p>
                    </w:txbxContent>
                  </v:textbox>
                </v:rect>
                <w10:wrap type="square"/>
              </v:group>
            </w:pict>
          </mc:Fallback>
        </mc:AlternateContent>
      </w:r>
      <w:r>
        <w:t>Las Entidades Locales deberán informar al Ministerio de Hacienda y Administraciones Públicas y a su Pleno, u órgano equivalente, del resultado de la aplicación de</w:t>
      </w:r>
      <w:r>
        <w:t xml:space="preserve"> los criterios determinantes de los derechos de difícil o imposible recaudación con los siguientes límites mínimos:</w:t>
      </w:r>
    </w:p>
    <w:p w:rsidR="00085BB7" w:rsidRDefault="004441D3">
      <w:pPr>
        <w:numPr>
          <w:ilvl w:val="0"/>
          <w:numId w:val="13"/>
        </w:numPr>
        <w:spacing w:after="4"/>
        <w:ind w:right="903"/>
      </w:pPr>
      <w:r>
        <w:t>Los derechos pendientes de cobro liquidados dentro de los presupuestos de los dos ejercicios anteriores al que corresponde la liquidación, s</w:t>
      </w:r>
      <w:r>
        <w:t>e minorarán, como mínimo, en un 25 por ciento.</w:t>
      </w:r>
    </w:p>
    <w:p w:rsidR="00085BB7" w:rsidRDefault="004441D3">
      <w:pPr>
        <w:numPr>
          <w:ilvl w:val="0"/>
          <w:numId w:val="13"/>
        </w:numPr>
        <w:spacing w:after="3"/>
        <w:ind w:right="903"/>
      </w:pPr>
      <w:r>
        <w:t>Los derechos pendientes de cobro liquidados dentro de los presupuestos del ejercicio tercero anterior al que corresponde la liquidación, se minorarán, como mínimo, en un 50 por ciento.</w:t>
      </w:r>
    </w:p>
    <w:p w:rsidR="00085BB7" w:rsidRDefault="004441D3">
      <w:pPr>
        <w:numPr>
          <w:ilvl w:val="0"/>
          <w:numId w:val="13"/>
        </w:numPr>
        <w:spacing w:after="4"/>
        <w:ind w:right="903"/>
      </w:pPr>
      <w:r>
        <w:t xml:space="preserve">Los derechos pendientes </w:t>
      </w:r>
      <w:r>
        <w:t>de cobro liquidados dentro de los presupuestos de los ejercicios cuarto a quinto anteriores al que corresponde la liquidación, se minorarán, como mínimo, en un 75 por ciento.</w:t>
      </w:r>
    </w:p>
    <w:p w:rsidR="00085BB7" w:rsidRDefault="004441D3">
      <w:pPr>
        <w:numPr>
          <w:ilvl w:val="0"/>
          <w:numId w:val="13"/>
        </w:numPr>
        <w:ind w:right="903"/>
      </w:pPr>
      <w:r>
        <w:t>Los derechos pendientes de cobro liquidados dentro de los presupuestos de los res</w:t>
      </w:r>
      <w:r>
        <w:t>tantes ejercicios anteriores al que corresponde la liquidación, se minorarán en un 100 por ciento.»</w:t>
      </w:r>
    </w:p>
    <w:p w:rsidR="00085BB7" w:rsidRDefault="004441D3">
      <w:pPr>
        <w:spacing w:after="0"/>
        <w:ind w:left="730" w:right="903" w:firstLine="708"/>
      </w:pPr>
      <w:r>
        <w:t>Este artículo modificado del Texto Refundido de la Ley Reguladora de las Haciendas Locales, ha dado lugar a su reflejo en las Bases de Ejecución del Presupu</w:t>
      </w:r>
      <w:r>
        <w:t>esto General vigente.</w:t>
      </w:r>
    </w:p>
    <w:p w:rsidR="00085BB7" w:rsidRDefault="004441D3">
      <w:pPr>
        <w:spacing w:after="1612"/>
        <w:ind w:left="730" w:right="903" w:firstLine="708"/>
      </w:pPr>
      <w:r>
        <w:t xml:space="preserve">Así, de los datos obtenidos de ejercicios cerrados, tenemos detallados los importes cobrados en dichos ejercicios, la cantidad que está pendiente de cobro y el saldo de dudoso cobro, de acuerdo con los porcentajes establecidos en las </w:t>
      </w:r>
      <w:r>
        <w:t>Bases del Presupuesto:</w:t>
      </w:r>
    </w:p>
    <w:tbl>
      <w:tblPr>
        <w:tblStyle w:val="TableGrid"/>
        <w:tblW w:w="9172" w:type="dxa"/>
        <w:tblInd w:w="613" w:type="dxa"/>
        <w:tblCellMar>
          <w:top w:w="24" w:type="dxa"/>
          <w:left w:w="0" w:type="dxa"/>
          <w:bottom w:w="0" w:type="dxa"/>
          <w:right w:w="47" w:type="dxa"/>
        </w:tblCellMar>
        <w:tblLook w:val="04A0" w:firstRow="1" w:lastRow="0" w:firstColumn="1" w:lastColumn="0" w:noHBand="0" w:noVBand="1"/>
      </w:tblPr>
      <w:tblGrid>
        <w:gridCol w:w="2048"/>
        <w:gridCol w:w="2256"/>
        <w:gridCol w:w="1682"/>
        <w:gridCol w:w="340"/>
        <w:gridCol w:w="248"/>
        <w:gridCol w:w="1618"/>
        <w:gridCol w:w="980"/>
      </w:tblGrid>
      <w:tr w:rsidR="00085BB7">
        <w:trPr>
          <w:trHeight w:val="746"/>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EJERCICIO</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 xml:space="preserve">IMPORTES </w:t>
            </w:r>
          </w:p>
          <w:p w:rsidR="00085BB7" w:rsidRDefault="004441D3">
            <w:pPr>
              <w:spacing w:after="0" w:line="259" w:lineRule="auto"/>
              <w:ind w:left="112" w:right="0" w:firstLine="0"/>
              <w:jc w:val="left"/>
            </w:pPr>
            <w:r>
              <w:rPr>
                <w:sz w:val="20"/>
              </w:rPr>
              <w:t>COBRADOS 2023</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 xml:space="preserve">IMPORTES </w:t>
            </w:r>
          </w:p>
          <w:p w:rsidR="00085BB7" w:rsidRDefault="004441D3">
            <w:pPr>
              <w:spacing w:after="0" w:line="259" w:lineRule="auto"/>
              <w:ind w:left="112" w:right="0" w:firstLine="0"/>
              <w:jc w:val="left"/>
            </w:pPr>
            <w:r>
              <w:rPr>
                <w:sz w:val="20"/>
              </w:rPr>
              <w:t>PENDIENTES</w:t>
            </w:r>
          </w:p>
          <w:p w:rsidR="00085BB7" w:rsidRDefault="004441D3">
            <w:pPr>
              <w:spacing w:after="0" w:line="259" w:lineRule="auto"/>
              <w:ind w:left="112" w:right="0" w:firstLine="0"/>
              <w:jc w:val="left"/>
            </w:pPr>
            <w:r>
              <w:rPr>
                <w:sz w:val="20"/>
              </w:rPr>
              <w:t>31/12/2023</w:t>
            </w:r>
          </w:p>
        </w:tc>
        <w:tc>
          <w:tcPr>
            <w:tcW w:w="340" w:type="dxa"/>
            <w:tcBorders>
              <w:top w:val="single" w:sz="4" w:space="0" w:color="000000"/>
              <w:left w:val="nil"/>
              <w:bottom w:val="single" w:sz="4" w:space="0" w:color="000000"/>
              <w:right w:val="nil"/>
            </w:tcBorders>
            <w:vAlign w:val="center"/>
          </w:tcPr>
          <w:p w:rsidR="00085BB7" w:rsidRDefault="004441D3">
            <w:pPr>
              <w:spacing w:after="0" w:line="259" w:lineRule="auto"/>
              <w:ind w:left="0" w:right="0" w:firstLine="0"/>
              <w:jc w:val="left"/>
            </w:pPr>
            <w:r>
              <w:rPr>
                <w:sz w:val="20"/>
              </w:rPr>
              <w:t xml:space="preserve"> </w:t>
            </w:r>
          </w:p>
        </w:tc>
        <w:tc>
          <w:tcPr>
            <w:tcW w:w="248" w:type="dxa"/>
            <w:tcBorders>
              <w:top w:val="single" w:sz="4" w:space="0" w:color="000000"/>
              <w:left w:val="nil"/>
              <w:bottom w:val="single" w:sz="4" w:space="0" w:color="000000"/>
              <w:right w:val="single" w:sz="4" w:space="0" w:color="000000"/>
            </w:tcBorders>
            <w:vAlign w:val="center"/>
          </w:tcPr>
          <w:p w:rsidR="00085BB7" w:rsidRDefault="004441D3">
            <w:pPr>
              <w:spacing w:after="0" w:line="259" w:lineRule="auto"/>
              <w:ind w:left="0" w:right="0" w:firstLine="0"/>
            </w:pPr>
            <w:r>
              <w:rPr>
                <w:sz w:val="20"/>
              </w:rPr>
              <w:t xml:space="preserve">A </w:t>
            </w:r>
          </w:p>
        </w:tc>
        <w:tc>
          <w:tcPr>
            <w:tcW w:w="1618" w:type="dxa"/>
            <w:tcBorders>
              <w:top w:val="single" w:sz="4" w:space="0" w:color="000000"/>
              <w:left w:val="single" w:sz="4" w:space="0" w:color="000000"/>
              <w:bottom w:val="single" w:sz="4" w:space="0" w:color="000000"/>
              <w:right w:val="nil"/>
            </w:tcBorders>
          </w:tcPr>
          <w:p w:rsidR="00085BB7" w:rsidRDefault="004441D3">
            <w:pPr>
              <w:tabs>
                <w:tab w:val="center" w:pos="1160"/>
              </w:tabs>
              <w:spacing w:after="0" w:line="259" w:lineRule="auto"/>
              <w:ind w:left="0" w:right="0" w:firstLine="0"/>
              <w:jc w:val="left"/>
            </w:pPr>
            <w:r>
              <w:rPr>
                <w:sz w:val="20"/>
              </w:rPr>
              <w:t>SALDO</w:t>
            </w:r>
            <w:r>
              <w:rPr>
                <w:sz w:val="20"/>
              </w:rPr>
              <w:tab/>
              <w:t xml:space="preserve"> </w:t>
            </w:r>
          </w:p>
          <w:p w:rsidR="00085BB7" w:rsidRDefault="004441D3">
            <w:pPr>
              <w:spacing w:after="0" w:line="259" w:lineRule="auto"/>
              <w:ind w:left="112" w:right="0" w:firstLine="0"/>
              <w:jc w:val="left"/>
            </w:pPr>
            <w:r>
              <w:rPr>
                <w:sz w:val="20"/>
              </w:rPr>
              <w:t>COBRO</w:t>
            </w:r>
          </w:p>
        </w:tc>
        <w:tc>
          <w:tcPr>
            <w:tcW w:w="980"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pPr>
            <w:r>
              <w:rPr>
                <w:sz w:val="20"/>
              </w:rPr>
              <w:t xml:space="preserve">DUDOSO </w:t>
            </w: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2022</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47.087,06 €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153.137,40 €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38.284,35 €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2021</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72.288,64 €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269.504,46 €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67.376,12 €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2020</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37.001,21 €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78.699,43 €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39.349,72 €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2019</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52.570,58 €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224.611,69 €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168.458,77 €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2018</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21.622,49 €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269.541,80 €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202.156,35 €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2"/>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2016-1991</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53.867,13</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9.177.118,06 €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9.177.118,06 €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r w:rsidR="00085BB7">
        <w:trPr>
          <w:trHeight w:val="424"/>
        </w:trPr>
        <w:tc>
          <w:tcPr>
            <w:tcW w:w="204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TOTAL</w:t>
            </w:r>
          </w:p>
        </w:tc>
        <w:tc>
          <w:tcPr>
            <w:tcW w:w="225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2" w:right="0" w:firstLine="0"/>
              <w:jc w:val="left"/>
            </w:pPr>
            <w:r>
              <w:rPr>
                <w:sz w:val="20"/>
              </w:rPr>
              <w:t>284.437,11 €</w:t>
            </w:r>
          </w:p>
        </w:tc>
        <w:tc>
          <w:tcPr>
            <w:tcW w:w="1682"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10.172.612,84 €</w:t>
            </w:r>
          </w:p>
        </w:tc>
        <w:tc>
          <w:tcPr>
            <w:tcW w:w="340" w:type="dxa"/>
            <w:tcBorders>
              <w:top w:val="single" w:sz="4" w:space="0" w:color="000000"/>
              <w:left w:val="nil"/>
              <w:bottom w:val="single" w:sz="4" w:space="0" w:color="000000"/>
              <w:right w:val="nil"/>
            </w:tcBorders>
          </w:tcPr>
          <w:p w:rsidR="00085BB7" w:rsidRDefault="00085BB7">
            <w:pPr>
              <w:spacing w:after="160" w:line="259" w:lineRule="auto"/>
              <w:ind w:left="0" w:right="0" w:firstLine="0"/>
              <w:jc w:val="left"/>
            </w:pPr>
          </w:p>
        </w:tc>
        <w:tc>
          <w:tcPr>
            <w:tcW w:w="248"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161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9.692.743,37 €</w:t>
            </w:r>
          </w:p>
        </w:tc>
        <w:tc>
          <w:tcPr>
            <w:tcW w:w="980"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r>
    </w:tbl>
    <w:p w:rsidR="00085BB7" w:rsidRDefault="004441D3">
      <w:pPr>
        <w:spacing w:after="521"/>
        <w:ind w:left="736" w:right="903"/>
      </w:pPr>
      <w:r>
        <w:t>4.- Memoria.</w:t>
      </w:r>
    </w:p>
    <w:p w:rsidR="00085BB7" w:rsidRDefault="004441D3">
      <w:pPr>
        <w:spacing w:after="223" w:line="265" w:lineRule="auto"/>
        <w:ind w:left="730" w:right="1396" w:hanging="10"/>
      </w:pPr>
      <w:r>
        <w:rPr>
          <w:u w:val="single" w:color="000000"/>
        </w:rPr>
        <w:t>Sociedad Municipal de Viviendas y Servicios Municipales de Candelaria SLU</w:t>
      </w:r>
    </w:p>
    <w:p w:rsidR="00085BB7" w:rsidRDefault="004441D3">
      <w:pPr>
        <w:spacing w:after="3" w:line="265" w:lineRule="auto"/>
        <w:ind w:left="10" w:right="1587" w:hanging="10"/>
        <w:jc w:val="right"/>
      </w:pPr>
      <w:r>
        <w:t>Destaca la Cuenta de Pérdidas y Ganancias del ejercicio, conforme el siguiente detalle:</w:t>
      </w:r>
    </w:p>
    <w:p w:rsidR="00085BB7" w:rsidRDefault="004441D3">
      <w:pPr>
        <w:numPr>
          <w:ilvl w:val="1"/>
          <w:numId w:val="13"/>
        </w:numPr>
        <w:spacing w:after="3" w:line="259" w:lineRule="auto"/>
        <w:ind w:right="262" w:hanging="376"/>
        <w:jc w:val="center"/>
      </w:pPr>
      <w:r>
        <w:rPr>
          <w:sz w:val="23"/>
          <w:u w:val="single" w:color="000000"/>
        </w:rPr>
        <w:t xml:space="preserve">INGRESOS: </w:t>
      </w:r>
    </w:p>
    <w:tbl>
      <w:tblPr>
        <w:tblStyle w:val="TableGrid"/>
        <w:tblpPr w:vertAnchor="text" w:tblpX="1337" w:tblpY="95"/>
        <w:tblOverlap w:val="never"/>
        <w:tblW w:w="6912" w:type="dxa"/>
        <w:tblInd w:w="0" w:type="dxa"/>
        <w:tblCellMar>
          <w:top w:w="24" w:type="dxa"/>
          <w:left w:w="146" w:type="dxa"/>
          <w:bottom w:w="0" w:type="dxa"/>
          <w:right w:w="115" w:type="dxa"/>
        </w:tblCellMar>
        <w:tblLook w:val="04A0" w:firstRow="1" w:lastRow="0" w:firstColumn="1" w:lastColumn="0" w:noHBand="0" w:noVBand="1"/>
      </w:tblPr>
      <w:tblGrid>
        <w:gridCol w:w="3784"/>
        <w:gridCol w:w="3128"/>
      </w:tblGrid>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4" w:firstLine="0"/>
              <w:jc w:val="center"/>
            </w:pPr>
            <w:r>
              <w:rPr>
                <w:sz w:val="20"/>
              </w:rPr>
              <w:t>INGRESOS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5" w:firstLine="0"/>
              <w:jc w:val="center"/>
            </w:pPr>
            <w:r>
              <w:rPr>
                <w:sz w:val="20"/>
              </w:rPr>
              <w:t>INGRESO REAL 2023</w:t>
            </w:r>
          </w:p>
        </w:tc>
      </w:tr>
      <w:tr w:rsidR="00085BB7">
        <w:trPr>
          <w:trHeight w:val="524"/>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Importe Neto de la Cifra de Negocios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108.108,23 €</w:t>
            </w:r>
          </w:p>
        </w:tc>
      </w:tr>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8" w:firstLine="0"/>
              <w:jc w:val="center"/>
            </w:pPr>
            <w:r>
              <w:rPr>
                <w:sz w:val="20"/>
              </w:rPr>
              <w:t>Otros Ingresos de Explotación</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541.990,03 €</w:t>
            </w:r>
          </w:p>
        </w:tc>
      </w:tr>
      <w:tr w:rsidR="00085BB7">
        <w:trPr>
          <w:trHeight w:val="524"/>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Otros Ingresos</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0,00 €</w:t>
            </w:r>
          </w:p>
        </w:tc>
      </w:tr>
      <w:tr w:rsidR="00085BB7">
        <w:trPr>
          <w:trHeight w:val="522"/>
        </w:trPr>
        <w:tc>
          <w:tcPr>
            <w:tcW w:w="378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2" w:firstLine="0"/>
              <w:jc w:val="center"/>
            </w:pPr>
            <w:r>
              <w:rPr>
                <w:sz w:val="20"/>
              </w:rPr>
              <w:t>TOTAL</w:t>
            </w:r>
          </w:p>
        </w:tc>
        <w:tc>
          <w:tcPr>
            <w:tcW w:w="3128"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29" w:firstLine="0"/>
              <w:jc w:val="center"/>
            </w:pPr>
            <w:r>
              <w:rPr>
                <w:sz w:val="20"/>
              </w:rPr>
              <w:t>650.098,26 €</w:t>
            </w:r>
          </w:p>
        </w:tc>
      </w:tr>
    </w:tbl>
    <w:tbl>
      <w:tblPr>
        <w:tblStyle w:val="TableGrid"/>
        <w:tblpPr w:vertAnchor="text" w:tblpX="1859" w:tblpY="3567"/>
        <w:tblOverlap w:val="never"/>
        <w:tblW w:w="7240" w:type="dxa"/>
        <w:tblInd w:w="0" w:type="dxa"/>
        <w:tblCellMar>
          <w:top w:w="24" w:type="dxa"/>
          <w:left w:w="112" w:type="dxa"/>
          <w:bottom w:w="0" w:type="dxa"/>
          <w:right w:w="115" w:type="dxa"/>
        </w:tblCellMar>
        <w:tblLook w:val="04A0" w:firstRow="1" w:lastRow="0" w:firstColumn="1" w:lastColumn="0" w:noHBand="0" w:noVBand="1"/>
      </w:tblPr>
      <w:tblGrid>
        <w:gridCol w:w="4254"/>
        <w:gridCol w:w="2986"/>
      </w:tblGrid>
      <w:tr w:rsidR="00085BB7">
        <w:trPr>
          <w:trHeight w:val="522"/>
        </w:trPr>
        <w:tc>
          <w:tcPr>
            <w:tcW w:w="425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GASTOS</w:t>
            </w: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 REAL 2023</w:t>
            </w:r>
          </w:p>
        </w:tc>
      </w:tr>
      <w:tr w:rsidR="00085BB7">
        <w:trPr>
          <w:trHeight w:val="524"/>
        </w:trPr>
        <w:tc>
          <w:tcPr>
            <w:tcW w:w="425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Gastos de Personal</w:t>
            </w: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 w:right="0" w:firstLine="0"/>
              <w:jc w:val="center"/>
            </w:pPr>
            <w:r>
              <w:rPr>
                <w:sz w:val="20"/>
              </w:rPr>
              <w:t>464.764,07 €</w:t>
            </w:r>
          </w:p>
        </w:tc>
      </w:tr>
      <w:tr w:rsidR="00085BB7">
        <w:trPr>
          <w:trHeight w:val="522"/>
        </w:trPr>
        <w:tc>
          <w:tcPr>
            <w:tcW w:w="425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Otros Gastos de Explotación</w:t>
            </w: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9" w:right="0" w:firstLine="0"/>
              <w:jc w:val="center"/>
            </w:pPr>
            <w:r>
              <w:rPr>
                <w:sz w:val="20"/>
              </w:rPr>
              <w:t>95.611,22 €</w:t>
            </w:r>
          </w:p>
        </w:tc>
      </w:tr>
      <w:tr w:rsidR="00085BB7">
        <w:trPr>
          <w:trHeight w:val="524"/>
        </w:trPr>
        <w:tc>
          <w:tcPr>
            <w:tcW w:w="425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Aprovisionamientos</w:t>
            </w: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2" w:right="0" w:firstLine="0"/>
              <w:jc w:val="center"/>
            </w:pPr>
            <w:r>
              <w:rPr>
                <w:sz w:val="20"/>
              </w:rPr>
              <w:t>59,50 €</w:t>
            </w:r>
          </w:p>
        </w:tc>
      </w:tr>
    </w:tbl>
    <w:p w:rsidR="00085BB7" w:rsidRDefault="004441D3">
      <w:pPr>
        <w:numPr>
          <w:ilvl w:val="1"/>
          <w:numId w:val="13"/>
        </w:numPr>
        <w:spacing w:after="225" w:line="265" w:lineRule="auto"/>
        <w:ind w:right="262" w:hanging="376"/>
        <w:jc w:val="center"/>
      </w:pPr>
      <w:r>
        <w:t>GASTOS</w:t>
      </w:r>
      <w:r>
        <w:tab/>
      </w:r>
      <w:r>
        <w:rPr>
          <w:rFonts w:ascii="Calibri" w:eastAsia="Calibri" w:hAnsi="Calibri" w:cs="Calibri"/>
          <w:noProof/>
        </w:rPr>
        <mc:AlternateContent>
          <mc:Choice Requires="wpg">
            <w:drawing>
              <wp:inline distT="0" distB="0" distL="0" distR="0">
                <wp:extent cx="237530" cy="3313100"/>
                <wp:effectExtent l="0" t="0" r="0" b="0"/>
                <wp:docPr id="141536" name="Group 14153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231" name="Rectangle 723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232" name="Rectangle 723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233" name="Rectangle 723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40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1536" style="width:18.7031pt;height:260.874pt;mso-position-horizontal-relative:char;mso-position-vertical-relative:line" coordsize="2375,33131">
                <v:rect id="Rectangle 723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2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2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133 </w:t>
                        </w:r>
                      </w:p>
                    </w:txbxContent>
                  </v:textbox>
                </v:rect>
              </v:group>
            </w:pict>
          </mc:Fallback>
        </mc:AlternateContent>
      </w:r>
    </w:p>
    <w:tbl>
      <w:tblPr>
        <w:tblStyle w:val="TableGrid"/>
        <w:tblW w:w="7240" w:type="dxa"/>
        <w:tblInd w:w="1859" w:type="dxa"/>
        <w:tblCellMar>
          <w:top w:w="24" w:type="dxa"/>
          <w:left w:w="0" w:type="dxa"/>
          <w:bottom w:w="0" w:type="dxa"/>
          <w:right w:w="115" w:type="dxa"/>
        </w:tblCellMar>
        <w:tblLook w:val="04A0" w:firstRow="1" w:lastRow="0" w:firstColumn="1" w:lastColumn="0" w:noHBand="0" w:noVBand="1"/>
      </w:tblPr>
      <w:tblGrid>
        <w:gridCol w:w="3158"/>
        <w:gridCol w:w="1096"/>
        <w:gridCol w:w="2986"/>
      </w:tblGrid>
      <w:tr w:rsidR="00085BB7">
        <w:trPr>
          <w:trHeight w:val="522"/>
        </w:trPr>
        <w:tc>
          <w:tcPr>
            <w:tcW w:w="315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Gastos Financieros</w:t>
            </w:r>
          </w:p>
        </w:tc>
        <w:tc>
          <w:tcPr>
            <w:tcW w:w="1096"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24" w:right="0" w:firstLine="0"/>
              <w:jc w:val="center"/>
            </w:pPr>
            <w:r>
              <w:rPr>
                <w:sz w:val="20"/>
              </w:rPr>
              <w:t>0,00 €</w:t>
            </w:r>
          </w:p>
        </w:tc>
      </w:tr>
      <w:tr w:rsidR="00085BB7">
        <w:trPr>
          <w:trHeight w:val="524"/>
        </w:trPr>
        <w:tc>
          <w:tcPr>
            <w:tcW w:w="315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Otros Gastos</w:t>
            </w:r>
          </w:p>
        </w:tc>
        <w:tc>
          <w:tcPr>
            <w:tcW w:w="1096"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21" w:right="0" w:firstLine="0"/>
              <w:jc w:val="center"/>
            </w:pPr>
            <w:r>
              <w:rPr>
                <w:sz w:val="20"/>
              </w:rPr>
              <w:t>2.775,70 €</w:t>
            </w:r>
          </w:p>
        </w:tc>
      </w:tr>
      <w:tr w:rsidR="00085BB7">
        <w:trPr>
          <w:trHeight w:val="522"/>
        </w:trPr>
        <w:tc>
          <w:tcPr>
            <w:tcW w:w="315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0" w:firstLine="0"/>
              <w:jc w:val="left"/>
            </w:pPr>
            <w:r>
              <w:rPr>
                <w:sz w:val="20"/>
              </w:rPr>
              <w:t>Amortización del Inmovilizado</w:t>
            </w:r>
          </w:p>
        </w:tc>
        <w:tc>
          <w:tcPr>
            <w:tcW w:w="1096"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23" w:right="0" w:firstLine="0"/>
              <w:jc w:val="center"/>
            </w:pPr>
            <w:r>
              <w:rPr>
                <w:sz w:val="20"/>
              </w:rPr>
              <w:t>41.336,86 €</w:t>
            </w:r>
          </w:p>
        </w:tc>
      </w:tr>
      <w:tr w:rsidR="00085BB7">
        <w:trPr>
          <w:trHeight w:val="746"/>
        </w:trPr>
        <w:tc>
          <w:tcPr>
            <w:tcW w:w="3158" w:type="dxa"/>
            <w:tcBorders>
              <w:top w:val="single" w:sz="4" w:space="0" w:color="000000"/>
              <w:left w:val="single" w:sz="4" w:space="0" w:color="000000"/>
              <w:bottom w:val="single" w:sz="4" w:space="0" w:color="000000"/>
              <w:right w:val="nil"/>
            </w:tcBorders>
          </w:tcPr>
          <w:p w:rsidR="00085BB7" w:rsidRDefault="004441D3">
            <w:pPr>
              <w:spacing w:after="0" w:line="259" w:lineRule="auto"/>
              <w:ind w:left="112" w:right="448" w:firstLine="0"/>
              <w:jc w:val="left"/>
            </w:pPr>
            <w:r>
              <w:rPr>
                <w:sz w:val="20"/>
              </w:rPr>
              <w:t>Variación</w:t>
            </w:r>
            <w:r>
              <w:rPr>
                <w:sz w:val="20"/>
              </w:rPr>
              <w:tab/>
              <w:t xml:space="preserve"> Existencias</w:t>
            </w:r>
            <w:r>
              <w:rPr>
                <w:sz w:val="20"/>
              </w:rPr>
              <w:tab/>
              <w:t xml:space="preserve"> Terminados</w:t>
            </w:r>
          </w:p>
        </w:tc>
        <w:tc>
          <w:tcPr>
            <w:tcW w:w="1096" w:type="dxa"/>
            <w:tcBorders>
              <w:top w:val="single" w:sz="4" w:space="0" w:color="000000"/>
              <w:left w:val="nil"/>
              <w:bottom w:val="single" w:sz="4" w:space="0" w:color="000000"/>
              <w:right w:val="single" w:sz="4" w:space="0" w:color="000000"/>
            </w:tcBorders>
          </w:tcPr>
          <w:p w:rsidR="00085BB7" w:rsidRDefault="004441D3">
            <w:pPr>
              <w:spacing w:after="0" w:line="259" w:lineRule="auto"/>
              <w:ind w:left="0" w:right="0" w:firstLine="0"/>
              <w:jc w:val="left"/>
            </w:pPr>
            <w:r>
              <w:rPr>
                <w:sz w:val="20"/>
              </w:rPr>
              <w:t xml:space="preserve">Productos </w:t>
            </w: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24" w:right="0" w:firstLine="0"/>
              <w:jc w:val="center"/>
            </w:pPr>
            <w:r>
              <w:rPr>
                <w:sz w:val="20"/>
              </w:rPr>
              <w:t>99,05 €</w:t>
            </w:r>
          </w:p>
        </w:tc>
      </w:tr>
      <w:tr w:rsidR="00085BB7">
        <w:trPr>
          <w:trHeight w:val="424"/>
        </w:trPr>
        <w:tc>
          <w:tcPr>
            <w:tcW w:w="3158" w:type="dxa"/>
            <w:tcBorders>
              <w:top w:val="single" w:sz="4" w:space="0" w:color="000000"/>
              <w:left w:val="single" w:sz="4" w:space="0" w:color="000000"/>
              <w:bottom w:val="single" w:sz="4" w:space="0" w:color="000000"/>
              <w:right w:val="nil"/>
            </w:tcBorders>
          </w:tcPr>
          <w:p w:rsidR="00085BB7" w:rsidRDefault="004441D3">
            <w:pPr>
              <w:spacing w:after="0" w:line="259" w:lineRule="auto"/>
              <w:ind w:left="832" w:right="0" w:firstLine="0"/>
              <w:jc w:val="left"/>
            </w:pPr>
            <w:r>
              <w:rPr>
                <w:sz w:val="20"/>
              </w:rPr>
              <w:t>TOTAL</w:t>
            </w:r>
          </w:p>
        </w:tc>
        <w:tc>
          <w:tcPr>
            <w:tcW w:w="1096" w:type="dxa"/>
            <w:tcBorders>
              <w:top w:val="single" w:sz="4" w:space="0" w:color="000000"/>
              <w:left w:val="nil"/>
              <w:bottom w:val="single" w:sz="4" w:space="0" w:color="000000"/>
              <w:right w:val="single" w:sz="4" w:space="0" w:color="000000"/>
            </w:tcBorders>
          </w:tcPr>
          <w:p w:rsidR="00085BB7" w:rsidRDefault="00085BB7">
            <w:pPr>
              <w:spacing w:after="160" w:line="259" w:lineRule="auto"/>
              <w:ind w:left="0" w:right="0" w:firstLine="0"/>
              <w:jc w:val="left"/>
            </w:pPr>
          </w:p>
        </w:tc>
        <w:tc>
          <w:tcPr>
            <w:tcW w:w="29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119" w:right="0" w:firstLine="0"/>
              <w:jc w:val="center"/>
            </w:pPr>
            <w:r>
              <w:rPr>
                <w:sz w:val="20"/>
              </w:rPr>
              <w:t>604.646,40 €</w:t>
            </w:r>
          </w:p>
        </w:tc>
      </w:tr>
    </w:tbl>
    <w:p w:rsidR="00085BB7" w:rsidRDefault="004441D3">
      <w:pPr>
        <w:spacing w:after="223" w:line="265" w:lineRule="auto"/>
        <w:ind w:left="889" w:right="1396" w:hanging="10"/>
      </w:pPr>
      <w:r>
        <w:rPr>
          <w:u w:val="single" w:color="000000"/>
        </w:rPr>
        <w:t>Sociedad Municipal de Viviendas y Servicios Municipales de Candelaria SLU</w:t>
      </w:r>
    </w:p>
    <w:p w:rsidR="00085BB7" w:rsidRDefault="004441D3">
      <w:pPr>
        <w:spacing w:after="518" w:line="265" w:lineRule="auto"/>
        <w:ind w:left="10" w:right="1587" w:hanging="10"/>
        <w:jc w:val="right"/>
      </w:pPr>
      <w:r>
        <w:t>Destaca la Cuenta de Pérdidas y Ganancias del ejercicio, conforme el siguiente detalle:</w:t>
      </w:r>
    </w:p>
    <w:p w:rsidR="00085BB7" w:rsidRDefault="004441D3">
      <w:pPr>
        <w:numPr>
          <w:ilvl w:val="1"/>
          <w:numId w:val="14"/>
        </w:numPr>
        <w:spacing w:after="3" w:line="259" w:lineRule="auto"/>
        <w:ind w:right="1322" w:hanging="375"/>
        <w:jc w:val="center"/>
      </w:pPr>
      <w:r>
        <w:rPr>
          <w:sz w:val="23"/>
          <w:u w:val="single" w:color="000000"/>
        </w:rPr>
        <w:t xml:space="preserve">INGRESOS: </w:t>
      </w:r>
    </w:p>
    <w:tbl>
      <w:tblPr>
        <w:tblStyle w:val="TableGrid"/>
        <w:tblW w:w="7336" w:type="dxa"/>
        <w:tblInd w:w="1337" w:type="dxa"/>
        <w:tblCellMar>
          <w:top w:w="22" w:type="dxa"/>
          <w:left w:w="180" w:type="dxa"/>
          <w:bottom w:w="0" w:type="dxa"/>
          <w:right w:w="115" w:type="dxa"/>
        </w:tblCellMar>
        <w:tblLook w:val="04A0" w:firstRow="1" w:lastRow="0" w:firstColumn="1" w:lastColumn="0" w:noHBand="0" w:noVBand="1"/>
      </w:tblPr>
      <w:tblGrid>
        <w:gridCol w:w="3642"/>
        <w:gridCol w:w="3694"/>
      </w:tblGrid>
      <w:tr w:rsidR="00085BB7">
        <w:trPr>
          <w:trHeight w:val="264"/>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0" w:firstLine="0"/>
              <w:jc w:val="center"/>
            </w:pPr>
            <w:r>
              <w:rPr>
                <w:sz w:val="20"/>
              </w:rPr>
              <w:t>INGRESOS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7" w:firstLine="0"/>
              <w:jc w:val="center"/>
            </w:pPr>
            <w:r>
              <w:rPr>
                <w:sz w:val="20"/>
              </w:rPr>
              <w:t>INGRESO REAL 2023</w:t>
            </w:r>
          </w:p>
        </w:tc>
      </w:tr>
      <w:tr w:rsidR="00085BB7">
        <w:trPr>
          <w:trHeight w:val="568"/>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0" w:firstLine="0"/>
              <w:jc w:val="left"/>
            </w:pPr>
            <w:r>
              <w:rPr>
                <w:sz w:val="20"/>
              </w:rPr>
              <w:t>Importe Neto de la Cifra de Negocios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6.049,40 €</w:t>
            </w:r>
          </w:p>
        </w:tc>
      </w:tr>
      <w:tr w:rsidR="00085BB7">
        <w:trPr>
          <w:trHeight w:val="570"/>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64" w:firstLine="0"/>
              <w:jc w:val="center"/>
            </w:pPr>
            <w:r>
              <w:rPr>
                <w:sz w:val="20"/>
              </w:rPr>
              <w:t>Otros Ingresos de Explotación</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1.244.899,16 €</w:t>
            </w:r>
          </w:p>
        </w:tc>
      </w:tr>
      <w:tr w:rsidR="00085BB7">
        <w:trPr>
          <w:trHeight w:val="570"/>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6" w:firstLine="0"/>
              <w:jc w:val="center"/>
            </w:pPr>
            <w:r>
              <w:rPr>
                <w:sz w:val="20"/>
              </w:rPr>
              <w:t>Otros Ingresos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3.467,77 €</w:t>
            </w:r>
          </w:p>
        </w:tc>
      </w:tr>
      <w:tr w:rsidR="00085BB7">
        <w:trPr>
          <w:trHeight w:val="568"/>
        </w:trPr>
        <w:tc>
          <w:tcPr>
            <w:tcW w:w="3642"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8" w:firstLine="0"/>
              <w:jc w:val="center"/>
            </w:pPr>
            <w:r>
              <w:rPr>
                <w:sz w:val="20"/>
              </w:rPr>
              <w:t>TOTAL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0" w:right="59" w:firstLine="0"/>
              <w:jc w:val="center"/>
            </w:pPr>
            <w:r>
              <w:rPr>
                <w:sz w:val="20"/>
              </w:rPr>
              <w:t>1.254.416,33 €</w:t>
            </w:r>
          </w:p>
        </w:tc>
      </w:tr>
    </w:tbl>
    <w:p w:rsidR="00085BB7" w:rsidRDefault="004441D3">
      <w:pPr>
        <w:numPr>
          <w:ilvl w:val="1"/>
          <w:numId w:val="14"/>
        </w:numPr>
        <w:spacing w:after="719" w:line="265" w:lineRule="auto"/>
        <w:ind w:right="1322" w:hanging="375"/>
        <w:jc w:val="center"/>
      </w:pPr>
      <w:r>
        <w:t>GASTOS:</w:t>
      </w:r>
    </w:p>
    <w:tbl>
      <w:tblPr>
        <w:tblStyle w:val="TableGrid"/>
        <w:tblpPr w:vertAnchor="text" w:tblpX="1293" w:tblpY="-745"/>
        <w:tblOverlap w:val="never"/>
        <w:tblW w:w="7380" w:type="dxa"/>
        <w:tblInd w:w="0" w:type="dxa"/>
        <w:tblCellMar>
          <w:top w:w="22" w:type="dxa"/>
          <w:left w:w="115" w:type="dxa"/>
          <w:bottom w:w="0" w:type="dxa"/>
          <w:right w:w="115" w:type="dxa"/>
        </w:tblCellMar>
        <w:tblLook w:val="04A0" w:firstRow="1" w:lastRow="0" w:firstColumn="1" w:lastColumn="0" w:noHBand="0" w:noVBand="1"/>
      </w:tblPr>
      <w:tblGrid>
        <w:gridCol w:w="3686"/>
        <w:gridCol w:w="3694"/>
      </w:tblGrid>
      <w:tr w:rsidR="00085BB7">
        <w:trPr>
          <w:trHeight w:val="512"/>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27" w:right="0" w:firstLine="0"/>
              <w:jc w:val="center"/>
            </w:pPr>
            <w:r>
              <w:rPr>
                <w:sz w:val="20"/>
              </w:rPr>
              <w:t>GASTOS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GASTO REAL 2023</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4" w:right="0" w:firstLine="0"/>
              <w:jc w:val="center"/>
            </w:pPr>
            <w:r>
              <w:rPr>
                <w:sz w:val="20"/>
              </w:rPr>
              <w:t>Gastos de Personal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1.018.999,42 €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3" w:right="0" w:firstLine="0"/>
              <w:jc w:val="center"/>
            </w:pPr>
            <w:r>
              <w:rPr>
                <w:sz w:val="20"/>
              </w:rPr>
              <w:t>Otros Gastos de Explotación</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80.272,04 €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Aprovisionamientos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633,04 €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 w:right="0" w:firstLine="0"/>
              <w:jc w:val="center"/>
            </w:pPr>
            <w:r>
              <w:rPr>
                <w:sz w:val="20"/>
              </w:rPr>
              <w:t>Gastos Financieros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9" w:right="0" w:firstLine="0"/>
              <w:jc w:val="center"/>
            </w:pPr>
            <w:r>
              <w:rPr>
                <w:sz w:val="20"/>
              </w:rPr>
              <w:t>0,00 €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 w:right="0" w:firstLine="0"/>
              <w:jc w:val="center"/>
            </w:pPr>
            <w:r>
              <w:rPr>
                <w:sz w:val="20"/>
              </w:rPr>
              <w:t>Otros Gastos</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8" w:right="0" w:firstLine="0"/>
              <w:jc w:val="center"/>
            </w:pPr>
            <w:r>
              <w:rPr>
                <w:sz w:val="20"/>
              </w:rPr>
              <w:t>341,50 €</w:t>
            </w:r>
          </w:p>
        </w:tc>
      </w:tr>
      <w:tr w:rsidR="00085BB7">
        <w:trPr>
          <w:trHeight w:val="570"/>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5" w:right="0" w:firstLine="0"/>
              <w:jc w:val="center"/>
            </w:pPr>
            <w:r>
              <w:rPr>
                <w:sz w:val="20"/>
              </w:rPr>
              <w:t>Amortización del Inmovilizado</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9.607,89 €</w:t>
            </w:r>
          </w:p>
        </w:tc>
      </w:tr>
      <w:tr w:rsidR="00085BB7">
        <w:trPr>
          <w:trHeight w:val="568"/>
        </w:trPr>
        <w:tc>
          <w:tcPr>
            <w:tcW w:w="3686"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727" w:right="0" w:firstLine="0"/>
              <w:jc w:val="center"/>
            </w:pPr>
            <w:r>
              <w:rPr>
                <w:sz w:val="20"/>
              </w:rPr>
              <w:t>TOTAL</w:t>
            </w:r>
          </w:p>
        </w:tc>
        <w:tc>
          <w:tcPr>
            <w:tcW w:w="3694" w:type="dxa"/>
            <w:tcBorders>
              <w:top w:val="single" w:sz="4" w:space="0" w:color="000000"/>
              <w:left w:val="single" w:sz="4" w:space="0" w:color="000000"/>
              <w:bottom w:val="single" w:sz="4" w:space="0" w:color="000000"/>
              <w:right w:val="single" w:sz="4" w:space="0" w:color="000000"/>
            </w:tcBorders>
          </w:tcPr>
          <w:p w:rsidR="00085BB7" w:rsidRDefault="004441D3">
            <w:pPr>
              <w:spacing w:after="0" w:line="259" w:lineRule="auto"/>
              <w:ind w:left="6" w:right="0" w:firstLine="0"/>
              <w:jc w:val="center"/>
            </w:pPr>
            <w:r>
              <w:rPr>
                <w:sz w:val="20"/>
              </w:rPr>
              <w:t>1.109.853,89 €</w:t>
            </w:r>
          </w:p>
        </w:tc>
      </w:tr>
    </w:tbl>
    <w:p w:rsidR="00085BB7" w:rsidRDefault="004441D3">
      <w:pPr>
        <w:tabs>
          <w:tab w:val="center" w:pos="3947"/>
          <w:tab w:val="center" w:pos="10490"/>
        </w:tabs>
        <w:spacing w:after="10"/>
        <w:ind w:left="0" w:right="0" w:firstLine="0"/>
        <w:jc w:val="left"/>
      </w:pPr>
      <w:r>
        <w:rPr>
          <w:rFonts w:ascii="Calibri" w:eastAsia="Calibri" w:hAnsi="Calibri" w:cs="Calibri"/>
        </w:rPr>
        <w:tab/>
      </w:r>
      <w:r>
        <w:t>Visto el informe favorable de la Intervención de Fondos municipal.</w:t>
      </w:r>
      <w:r>
        <w:tab/>
      </w:r>
      <w:r>
        <w:rPr>
          <w:rFonts w:ascii="Calibri" w:eastAsia="Calibri" w:hAnsi="Calibri" w:cs="Calibri"/>
          <w:noProof/>
        </w:rPr>
        <mc:AlternateContent>
          <mc:Choice Requires="wpg">
            <w:drawing>
              <wp:inline distT="0" distB="0" distL="0" distR="0">
                <wp:extent cx="237530" cy="3313100"/>
                <wp:effectExtent l="0" t="0" r="0" b="0"/>
                <wp:docPr id="141321" name="Group 14132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380" name="Rectangle 738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381" name="Rectangle 738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382" name="Rectangle 738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41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1321" style="width:18.7031pt;height:260.874pt;mso-position-horizontal-relative:char;mso-position-vertical-relative:line" coordsize="2375,33131">
                <v:rect id="Rectangle 738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38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38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133 </w:t>
                        </w:r>
                      </w:p>
                    </w:txbxContent>
                  </v:textbox>
                </v:rect>
              </v:group>
            </w:pict>
          </mc:Fallback>
        </mc:AlternateContent>
      </w:r>
    </w:p>
    <w:p w:rsidR="00085BB7" w:rsidRDefault="004441D3">
      <w:pPr>
        <w:ind w:left="1435" w:right="903"/>
      </w:pPr>
      <w:r>
        <w:t xml:space="preserve">Por ello, esta Concejalía Delegada de Hacienda, PROPONE al Ayuntamiento </w:t>
      </w:r>
    </w:p>
    <w:p w:rsidR="00085BB7" w:rsidRDefault="004441D3">
      <w:pPr>
        <w:spacing w:after="1267"/>
        <w:ind w:left="736" w:right="903"/>
      </w:pPr>
      <w:r>
        <w:t>Pleno, la adopción del siguiente ACUERDO:</w:t>
      </w:r>
    </w:p>
    <w:p w:rsidR="00085BB7" w:rsidRDefault="004441D3">
      <w:pPr>
        <w:spacing w:after="499"/>
        <w:ind w:left="736" w:right="903"/>
      </w:pPr>
      <w:r>
        <w:t>PRIMERO: Aprobar la Cuenta General del ejercic</w:t>
      </w:r>
      <w:r>
        <w:t>io 2023.</w:t>
      </w:r>
    </w:p>
    <w:p w:rsidR="00085BB7" w:rsidRDefault="004441D3">
      <w:pPr>
        <w:spacing w:after="502"/>
        <w:ind w:left="736" w:right="1888"/>
      </w:pPr>
      <w:r>
        <w:t>SEGUNDO: Remitir Cuenta General aprobada a la Audiencia de Cuentas de Canarias para hacer posible la fiscalización externa a que se refiere el artículo 223 del ya mencionado Real Decreto Legislativo 2/2004, de 5 de marzo.”</w:t>
      </w:r>
    </w:p>
    <w:p w:rsidR="00085BB7" w:rsidRDefault="004441D3">
      <w:pPr>
        <w:spacing w:after="225" w:line="265" w:lineRule="auto"/>
        <w:ind w:left="548" w:right="1313" w:hanging="10"/>
        <w:jc w:val="center"/>
      </w:pPr>
      <w:r>
        <w:t xml:space="preserve">VOTACIÓN EN EL PLENO DE </w:t>
      </w:r>
      <w:r>
        <w:t>26 DE SEPTIEMBRE DE 2024.</w:t>
      </w:r>
    </w:p>
    <w:p w:rsidR="00085BB7" w:rsidRDefault="004441D3">
      <w:pPr>
        <w:spacing w:after="10"/>
        <w:ind w:left="736" w:right="903"/>
      </w:pPr>
      <w:r>
        <w:t>Votos a favor: 18.</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w:t>
      </w:r>
    </w:p>
    <w:p w:rsidR="00085BB7" w:rsidRDefault="004441D3">
      <w:pPr>
        <w:ind w:left="736" w:right="1406"/>
      </w:pPr>
      <w:r>
        <w:t xml:space="preserve">Reinaldo José Triviño Blanco, Don Manuel Alberto González Pestano, Doña Margarita Eva Tendero Barroso, Don Airam Pérez Chinea, Doña María del Carmen Clemente Díaz, Don Olegario Francisco Alonso Bello, Doña Mónica Monserrat Yanes Delgado. </w:t>
      </w:r>
    </w:p>
    <w:p w:rsidR="00085BB7" w:rsidRDefault="004441D3">
      <w:pPr>
        <w:ind w:left="736" w:right="1408"/>
      </w:pPr>
      <w:r>
        <w:t xml:space="preserve">6 concejales del </w:t>
      </w:r>
      <w:r>
        <w:t xml:space="preserve">Grupo Popular: Don Jacobo López Fariña, Doña Raquel Martín Castro, Don David Crego Cháves, Doña María Carlota Díaz González, Don José Daniel Sosa González, y Doña Shaila Castellano Batista. </w:t>
      </w:r>
    </w:p>
    <w:p w:rsidR="00085BB7" w:rsidRDefault="004441D3">
      <w:pPr>
        <w:ind w:left="736" w:right="903"/>
      </w:pPr>
      <w:r>
        <w:t>1 del concejal del Grupo Mixto (VOX), Don José Tortosa Pallarés (</w:t>
      </w:r>
      <w:r>
        <w:t>VOX).</w:t>
      </w:r>
    </w:p>
    <w:p w:rsidR="00085BB7" w:rsidRDefault="004441D3">
      <w:pPr>
        <w:ind w:left="736" w:right="903"/>
      </w:pPr>
      <w:r>
        <w:t>Votos en contra: 0.</w:t>
      </w:r>
    </w:p>
    <w:p w:rsidR="00085BB7" w:rsidRDefault="004441D3">
      <w:pPr>
        <w:ind w:left="736" w:right="903"/>
      </w:pPr>
      <w:r>
        <w:t>Abstenciones: 3.</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column">
                  <wp:posOffset>6542599</wp:posOffset>
                </wp:positionH>
                <wp:positionV relativeFrom="paragraph">
                  <wp:posOffset>30137</wp:posOffset>
                </wp:positionV>
                <wp:extent cx="237530" cy="3313100"/>
                <wp:effectExtent l="0" t="0" r="0" b="0"/>
                <wp:wrapSquare wrapText="bothSides"/>
                <wp:docPr id="140507" name="Group 14050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65" name="Rectangle 746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466" name="Rectangle 746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467" name="Rectangle 746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0507" style="width:18.7031pt;height:260.874pt;position:absolute;mso-position-horizontal-relative:text;mso-position-horizontal:absolute;margin-left:515.165pt;mso-position-vertical-relative:text;margin-top:2.37299pt;" coordsize="2375,33131">
                <v:rect id="Rectangle 746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46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46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133 </w:t>
                        </w:r>
                      </w:p>
                    </w:txbxContent>
                  </v:textbox>
                </v:rect>
                <w10:wrap type="square"/>
              </v:group>
            </w:pict>
          </mc:Fallback>
        </mc:AlternateContent>
      </w:r>
      <w:r>
        <w:t>3 concejales de</w:t>
      </w:r>
      <w:r>
        <w:t>l Grupo Mixto: Doña Ángela Cruz Perera y Don Emilio Jesús Atiénzar Armas, (CC) y D. José Fierros Sierra (USP).</w:t>
      </w:r>
    </w:p>
    <w:p w:rsidR="00085BB7" w:rsidRDefault="004441D3">
      <w:pPr>
        <w:spacing w:after="739" w:line="259" w:lineRule="auto"/>
        <w:ind w:left="735" w:firstLine="0"/>
        <w:jc w:val="left"/>
      </w:pPr>
      <w:r>
        <w:t xml:space="preserve">                          </w:t>
      </w:r>
    </w:p>
    <w:p w:rsidR="00085BB7" w:rsidRDefault="004441D3">
      <w:pPr>
        <w:spacing w:after="749"/>
        <w:ind w:left="736" w:right="903"/>
      </w:pPr>
      <w:r>
        <w:t xml:space="preserve">                          ACUERDO DEL PLENO DE 26 DE SEPTIEMBRE DE 2024.</w:t>
      </w:r>
    </w:p>
    <w:p w:rsidR="00085BB7" w:rsidRDefault="004441D3">
      <w:pPr>
        <w:spacing w:after="499"/>
        <w:ind w:left="736" w:right="903"/>
      </w:pPr>
      <w:r>
        <w:t>PRIMERO: Aprobar la Cuenta General del ejercicio 2023.</w:t>
      </w:r>
    </w:p>
    <w:p w:rsidR="00085BB7" w:rsidRDefault="004441D3">
      <w:pPr>
        <w:ind w:left="736" w:right="903"/>
      </w:pPr>
      <w:r>
        <w:t>SEGUNDO: Remitir Cuenta General aprobada a la Audiencia de Cuentas de Canarias para hacer posible la fiscalización externa a que se refiere el artículo 223 del ya mencionado Real Decreto Legislativo 2/</w:t>
      </w:r>
      <w:r>
        <w:t>2004, de 5 de marzo.</w:t>
      </w:r>
    </w:p>
    <w:p w:rsidR="00085BB7" w:rsidRDefault="004441D3">
      <w:pPr>
        <w:spacing w:after="523" w:line="250" w:lineRule="auto"/>
        <w:ind w:left="738" w:right="1421" w:hanging="10"/>
      </w:pPr>
      <w:r>
        <w:rPr>
          <w:sz w:val="24"/>
        </w:rPr>
        <w:t>6.- Expediente 7866/2024. Propuesta de la Alcaldesa-Presidenta de fecha 20 de septiembre al Pleno de nombramiento de juez/a de paz titular del municipio de Candelaria.</w:t>
      </w:r>
    </w:p>
    <w:p w:rsidR="00085BB7" w:rsidRDefault="004441D3">
      <w:pPr>
        <w:spacing w:after="0" w:line="259" w:lineRule="auto"/>
        <w:ind w:left="735" w:right="0" w:firstLine="0"/>
        <w:jc w:val="left"/>
      </w:pPr>
      <w:r>
        <w:rPr>
          <w:rFonts w:ascii="Times New Roman" w:eastAsia="Times New Roman" w:hAnsi="Times New Roman" w:cs="Times New Roman"/>
          <w:b/>
          <w:sz w:val="24"/>
        </w:rPr>
        <w:t xml:space="preserve">     </w:t>
      </w:r>
    </w:p>
    <w:p w:rsidR="00085BB7" w:rsidRDefault="004441D3">
      <w:pPr>
        <w:spacing w:after="712"/>
        <w:ind w:left="736" w:right="1402"/>
      </w:pPr>
      <w:r>
        <w:t xml:space="preserve">     Consta en el expediente Informe Jurídico emitido por Doñ</w:t>
      </w:r>
      <w:r>
        <w:t>a Mª del Pilar Chico Delgado, que desempeña el puesto de, Técnico de Administración General, de 20 de septiembre de 2024, del siguiente tenor literal:</w:t>
      </w:r>
    </w:p>
    <w:p w:rsidR="00085BB7" w:rsidRDefault="004441D3">
      <w:pPr>
        <w:ind w:left="3179" w:right="903"/>
      </w:pPr>
      <w:r>
        <w:t xml:space="preserve">                       “INFORME</w:t>
      </w:r>
    </w:p>
    <w:p w:rsidR="00085BB7" w:rsidRDefault="004441D3">
      <w:pPr>
        <w:spacing w:after="88"/>
        <w:ind w:left="736" w:right="1409"/>
      </w:pPr>
      <w:r>
        <w:t xml:space="preserve">      Visto el expediente antedicho, la funcionaria, María del Pilar Chic</w:t>
      </w:r>
      <w:r>
        <w:t>o Delgado, que desempeña el puesto de trabajo de técnico de administración general, emite el siguiente informe:</w:t>
      </w:r>
    </w:p>
    <w:p w:rsidR="00085BB7" w:rsidRDefault="004441D3">
      <w:pPr>
        <w:spacing w:after="75" w:line="259" w:lineRule="auto"/>
        <w:ind w:left="735" w:right="0" w:firstLine="0"/>
        <w:jc w:val="left"/>
      </w:pPr>
      <w:r>
        <w:t xml:space="preserve"> </w:t>
      </w:r>
    </w:p>
    <w:p w:rsidR="00085BB7" w:rsidRDefault="004441D3">
      <w:pPr>
        <w:spacing w:after="225" w:line="265" w:lineRule="auto"/>
        <w:ind w:left="548" w:right="1189" w:hanging="10"/>
        <w:jc w:val="center"/>
      </w:pPr>
      <w:r>
        <w:t>Antecedentes de hecho</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column">
                  <wp:posOffset>6542599</wp:posOffset>
                </wp:positionH>
                <wp:positionV relativeFrom="paragraph">
                  <wp:posOffset>929297</wp:posOffset>
                </wp:positionV>
                <wp:extent cx="237530" cy="3313100"/>
                <wp:effectExtent l="0" t="0" r="0" b="0"/>
                <wp:wrapSquare wrapText="bothSides"/>
                <wp:docPr id="139806" name="Group 13980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555" name="Rectangle 755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556" name="Rectangle 755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557" name="Rectangle 755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806" style="width:18.7031pt;height:260.874pt;position:absolute;mso-position-horizontal-relative:text;mso-position-horizontal:absolute;margin-left:515.165pt;mso-position-vertical-relative:text;margin-top:73.173pt;" coordsize="2375,33131">
                <v:rect id="Rectangle 755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5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5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133 </w:t>
                        </w:r>
                      </w:p>
                    </w:txbxContent>
                  </v:textbox>
                </v:rect>
                <w10:wrap type="square"/>
              </v:group>
            </w:pict>
          </mc:Fallback>
        </mc:AlternateContent>
      </w:r>
      <w:r>
        <w:t xml:space="preserve">    Visto el escrito remito por el Tribunal Superior de Justicia de Canarias de fecha 13 de mayo de 2024, con registro de entrada de fecha 13 de mayo de 2024 y nº</w:t>
      </w:r>
      <w:r>
        <w:t xml:space="preserve"> 5234, por el que se informa a este Ayuntamiento “Para su conocimiento y a los efectos oportunos, le participo que se ha aceptado en acuerdo del día de hoy, adoptado por razones de urgencia conforme a lo dispuesto en el Art. 160.7 de la Ley Orgánica del Po</w:t>
      </w:r>
      <w:r>
        <w:t>der Judicial, la renuncia formulada por DON ANTONIO PÉREZ FLORES, como Juez de Paz Titular de ese municipio, y su cese como tal, por motivo de índole personal, con efectos desde el día 13 de mayo de 2024.”</w:t>
      </w:r>
    </w:p>
    <w:p w:rsidR="00085BB7" w:rsidRDefault="004441D3">
      <w:pPr>
        <w:spacing w:after="10"/>
        <w:ind w:left="736" w:right="903"/>
      </w:pPr>
      <w:r>
        <w:t xml:space="preserve">    Considerando que se publicó el correspondiente</w:t>
      </w:r>
      <w:r>
        <w:t xml:space="preserve"> anuncio de convocatoria en el Boletín </w:t>
      </w:r>
    </w:p>
    <w:p w:rsidR="00085BB7" w:rsidRDefault="004441D3">
      <w:pPr>
        <w:ind w:left="736" w:right="903"/>
      </w:pPr>
      <w:r>
        <w:t>Oficial de la Provincia nº 102, de fecha 23 de agosto de 2024 y en el Juzgado de Paz y del Juzgado Decano de Güímar, estableciéndose un plazo de 15 días hábiles para la presentación de las correspondientes solicitude</w:t>
      </w:r>
      <w:r>
        <w:t>s para la elección.</w:t>
      </w:r>
    </w:p>
    <w:p w:rsidR="00085BB7" w:rsidRDefault="004441D3">
      <w:pPr>
        <w:spacing w:after="65"/>
        <w:ind w:left="1473" w:right="903"/>
      </w:pPr>
      <w:r>
        <w:t>Visto que durante el referido plazo se han presentado las siguientes solicitudes:</w:t>
      </w:r>
    </w:p>
    <w:p w:rsidR="00085BB7" w:rsidRDefault="004441D3">
      <w:pPr>
        <w:numPr>
          <w:ilvl w:val="0"/>
          <w:numId w:val="15"/>
        </w:numPr>
        <w:spacing w:after="96"/>
        <w:ind w:right="903" w:hanging="360"/>
      </w:pPr>
      <w:r>
        <w:t>Dña.  Aida Ruiz Gómez, con D.N.I. nº ***2344**</w:t>
      </w:r>
    </w:p>
    <w:p w:rsidR="00085BB7" w:rsidRDefault="004441D3">
      <w:pPr>
        <w:numPr>
          <w:ilvl w:val="0"/>
          <w:numId w:val="15"/>
        </w:numPr>
        <w:spacing w:after="490"/>
        <w:ind w:right="903" w:hanging="360"/>
      </w:pPr>
      <w:r>
        <w:t>Dña. Desiree Concepción Trujillo Díaz, con D.N.I. nº ***5131**</w:t>
      </w:r>
    </w:p>
    <w:p w:rsidR="00085BB7" w:rsidRDefault="004441D3">
      <w:pPr>
        <w:ind w:left="736" w:right="903"/>
      </w:pPr>
      <w:r>
        <w:t>Considerando que para ser Juez de Paz se requiere ser español, mayor de edad y no estar incurso en ninguna de las causas de incapacidad que establece el art. 303 de la Ley Orgánica del Poder Judicial, según establece en el art. 1.2 del Reglamento nº 3/1995</w:t>
      </w:r>
      <w:r>
        <w:t>, de 7 de junio, de los Jueces de Paz.</w:t>
      </w:r>
    </w:p>
    <w:p w:rsidR="00085BB7" w:rsidRDefault="004441D3">
      <w:pPr>
        <w:ind w:left="736" w:right="903"/>
      </w:pPr>
      <w:r>
        <w:t>Considerando que las solicitudes presentadas cumplen con los requisitos exigidos en la Ley Orgánica de Poder judicial, así como en el Reglamento de los Jueces de Paz.</w:t>
      </w:r>
    </w:p>
    <w:p w:rsidR="00085BB7" w:rsidRDefault="004441D3">
      <w:pPr>
        <w:spacing w:after="244" w:line="249" w:lineRule="auto"/>
        <w:ind w:left="730" w:right="673" w:hanging="10"/>
        <w:jc w:val="left"/>
      </w:pPr>
      <w:r>
        <w:t>Considerando que de conformidad con lo establecido</w:t>
      </w:r>
      <w:r>
        <w:t xml:space="preserve"> en el artículo 101.1 de la Ley Orgánica 6/1985, de 1 de julio, del Poder Judicial, los Jueces de Paz y sus sustitutos serán nombrados para un periodo de cuatro años por la Sala de Gobierno del Tribunal Superior de Justicia correspondiente, recayendo el no</w:t>
      </w:r>
      <w:r>
        <w:t>mbramiento en las personas elegidas por el respectivo Ayuntamiento.</w:t>
      </w:r>
    </w:p>
    <w:p w:rsidR="00085BB7" w:rsidRDefault="004441D3">
      <w:pPr>
        <w:spacing w:after="112"/>
        <w:ind w:left="736" w:right="1411"/>
      </w:pPr>
      <w:r>
        <w:t>Considerando que, tal y como establece el referido artículo, en su apartado segundo, serán elegidos por el Pleno del Ayuntamiento, con el voto favorable de la mayoría absoluta de sus miemb</w:t>
      </w:r>
      <w:r>
        <w:t>ros, entre las personas, que reuniendo las condiciones legales, así lo soliciten. Si no hubiera solicitantes el Pleno elegirá libremente.</w:t>
      </w:r>
    </w:p>
    <w:p w:rsidR="00085BB7" w:rsidRDefault="004441D3">
      <w:pPr>
        <w:spacing w:after="244" w:line="249" w:lineRule="auto"/>
        <w:ind w:left="730" w:right="1166" w:hanging="10"/>
        <w:jc w:val="left"/>
      </w:pPr>
      <w:r>
        <w:t>Considerando que el acuerdo deberá ser remitido al Juez de Primera Instancia e Instrucción, quien lo elevará a la Sala</w:t>
      </w:r>
      <w:r>
        <w:t xml:space="preserve"> de Gobierno del Tribunal Superior de Justicia, tal y como establece el apartado tercero del referido artículo.</w:t>
      </w:r>
    </w:p>
    <w:p w:rsidR="00085BB7" w:rsidRDefault="004441D3">
      <w:pPr>
        <w:ind w:left="736" w:right="1401"/>
      </w:pPr>
      <w:r>
        <w:t>Considerando que en el artículo 102 del texto normativo antes citado, se establece que “podrán ser nombrados Jueces de Paz, tanto titular como s</w:t>
      </w:r>
      <w:r>
        <w:t>ustituto, quienes, aun no siendo licenciados en derecho, reúnan los requisitos establecidos en esta Ley para ingreso en la carrera judicial, y no estén incursos en ninguna de las causas de incapacidad o de incompatibilidad previstas para el desempeño de la</w:t>
      </w:r>
      <w:r>
        <w:t>s funciones judiciales, a excepción del ejercicio de actividades profesionales o mercantiles”.</w:t>
      </w:r>
    </w:p>
    <w:p w:rsidR="00085BB7" w:rsidRDefault="004441D3">
      <w:pPr>
        <w:ind w:left="736" w:right="1405"/>
      </w:pPr>
      <w:r>
        <w:t>Considerando que los artículos 5 y siguientes del Reglamento 3/1995, de 7 de junio de los Jueces de Paz, establecen el procedimiento a seguir para efectuar el co</w:t>
      </w:r>
      <w:r>
        <w:t>rrespondiente nombramiento.</w:t>
      </w:r>
    </w:p>
    <w:p w:rsidR="00085BB7" w:rsidRDefault="004441D3">
      <w:pPr>
        <w:spacing w:after="0"/>
        <w:ind w:left="736" w:right="903"/>
      </w:pPr>
      <w:r>
        <w:t>Considerando lo establecido en los artículos 22.2.p) y 22.4 de la Ley 7/1985, de 2 de abril, reguladora de las Bases de Régimen Local.”</w:t>
      </w:r>
    </w:p>
    <w:p w:rsidR="00085BB7" w:rsidRDefault="004441D3">
      <w:pPr>
        <w:spacing w:after="329" w:line="259" w:lineRule="auto"/>
        <w:ind w:left="735" w:right="0" w:firstLine="0"/>
        <w:jc w:val="left"/>
      </w:pPr>
      <w:r>
        <w:t xml:space="preserve"> </w:t>
      </w:r>
    </w:p>
    <w:p w:rsidR="00085BB7" w:rsidRDefault="004441D3">
      <w:pPr>
        <w:spacing w:after="737"/>
        <w:ind w:left="736" w:right="903"/>
      </w:pPr>
      <w:r>
        <w:t xml:space="preserve">       Consta en el expediente propuesta de la Alcaldesa-Presidenta, de fecha 20 de septie</w:t>
      </w:r>
      <w:r>
        <w:t>mbre de 2024, cuyo tenor literal es el siguiente:</w:t>
      </w:r>
    </w:p>
    <w:p w:rsidR="00085BB7" w:rsidRDefault="004441D3">
      <w:pPr>
        <w:spacing w:after="69" w:line="265" w:lineRule="auto"/>
        <w:ind w:left="548" w:right="1062" w:hanging="10"/>
        <w:jc w:val="center"/>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column">
                  <wp:posOffset>6542599</wp:posOffset>
                </wp:positionH>
                <wp:positionV relativeFrom="paragraph">
                  <wp:posOffset>-85433</wp:posOffset>
                </wp:positionV>
                <wp:extent cx="237530" cy="3313100"/>
                <wp:effectExtent l="0" t="0" r="0" b="0"/>
                <wp:wrapSquare wrapText="bothSides"/>
                <wp:docPr id="139663" name="Group 1396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649" name="Rectangle 764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650" name="Rectangle 765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651" name="Rectangle 765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9663" style="width:18.7031pt;height:260.874pt;position:absolute;mso-position-horizontal-relative:text;mso-position-horizontal:absolute;margin-left:515.165pt;mso-position-vertical-relative:text;margin-top:-6.72705pt;" coordsize="2375,33131">
                <v:rect id="Rectangle 764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6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6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133 </w:t>
                        </w:r>
                      </w:p>
                    </w:txbxContent>
                  </v:textbox>
                </v:rect>
                <w10:wrap type="square"/>
              </v:group>
            </w:pict>
          </mc:Fallback>
        </mc:AlternateContent>
      </w:r>
      <w:r>
        <w:t>“PROPUESTA</w:t>
      </w:r>
    </w:p>
    <w:p w:rsidR="00085BB7" w:rsidRDefault="004441D3">
      <w:pPr>
        <w:spacing w:after="0" w:line="259" w:lineRule="auto"/>
        <w:ind w:left="735" w:firstLine="0"/>
        <w:jc w:val="left"/>
      </w:pPr>
      <w:r>
        <w:t xml:space="preserve"> </w:t>
      </w:r>
    </w:p>
    <w:p w:rsidR="00085BB7" w:rsidRDefault="004441D3">
      <w:pPr>
        <w:ind w:left="736" w:right="903"/>
      </w:pPr>
      <w:r>
        <w:t xml:space="preserve">     La que suscribe, Alcaldesa-Presidenta del Ayuntamiento de la Villa de Candelaria, al amparo de lo dispuesto en el Reglamento de Organización, Funcionamiento y Régimen Jurídico de las Entidades Locales, así como en la Ley 7/1985, de 2 de a</w:t>
      </w:r>
      <w:r>
        <w:t>bril, Reguladora de las Bases de Régimen Local, tienen el honor de someter a la consideración del Ayuntamiento Pleno la siguiente propuesta:</w:t>
      </w:r>
    </w:p>
    <w:p w:rsidR="00085BB7" w:rsidRDefault="004441D3">
      <w:pPr>
        <w:spacing w:after="302"/>
        <w:ind w:left="736" w:right="903"/>
      </w:pPr>
      <w:r>
        <w:t xml:space="preserve">     Visto el escrito remitido por el Tribunal Superior de Justicia de Canarias, por el que se comunica a esta enti</w:t>
      </w:r>
      <w:r>
        <w:t>dad la aceptación de la renuncia de D. Antonio Pérez Flores como Juez de Paz Titular, con fecha 13 de mayo de 2024, de conformidad con lo establecido en el artículo 101.2 de la Ley Orgánica del Poder Judicial, en concordancia con los artículos 5 y 6 del Re</w:t>
      </w:r>
      <w:r>
        <w:t>glamento 3/1995, de 7 de junio de los Jueces de Paz.</w:t>
      </w:r>
    </w:p>
    <w:p w:rsidR="00085BB7" w:rsidRDefault="004441D3">
      <w:pPr>
        <w:ind w:left="736" w:right="903"/>
      </w:pPr>
      <w:r>
        <w:rPr>
          <w:rFonts w:ascii="Times New Roman" w:eastAsia="Times New Roman" w:hAnsi="Times New Roman" w:cs="Times New Roman"/>
          <w:sz w:val="24"/>
        </w:rPr>
        <w:t xml:space="preserve">     </w:t>
      </w:r>
      <w:r>
        <w:t>Visto que, por escrito del Tribunal Superior de Justicia de Canarias, de fecha 13 de mayo de 2024, remitido al Juzgado de Paz de Candelaria, se comunica el nombramiento de Dª Aída Ruiz Gómez en su c</w:t>
      </w:r>
      <w:r>
        <w:t>ondición de Jueza de Paz Sustituta, como Juez de Paz Titular, en tanto no se realice el nombramiento para dicho cargo.</w:t>
      </w:r>
    </w:p>
    <w:p w:rsidR="00085BB7" w:rsidRDefault="004441D3">
      <w:pPr>
        <w:spacing w:after="10"/>
        <w:ind w:left="736" w:right="903"/>
      </w:pPr>
      <w:r>
        <w:t xml:space="preserve">    Considerando que se publicó el correspondiente anuncio de convocatoria en el Boletín </w:t>
      </w:r>
    </w:p>
    <w:p w:rsidR="00085BB7" w:rsidRDefault="004441D3">
      <w:pPr>
        <w:spacing w:after="268"/>
        <w:ind w:left="736" w:right="903"/>
      </w:pPr>
      <w:r>
        <w:t xml:space="preserve">Oficial de la Provincia nº 102, de fecha 23 de </w:t>
      </w:r>
      <w:r>
        <w:t>agosto de 2024 y en el Tablón de Anuncios del Ayuntamiento y en el Juzgado de Paz y del Juzgado Decano de Güímar, estableciéndose un plazo de 15 de días hábiles para la presentación de las correspondientes solicitudes para la elección.</w:t>
      </w:r>
    </w:p>
    <w:p w:rsidR="00085BB7" w:rsidRDefault="004441D3">
      <w:pPr>
        <w:spacing w:after="94"/>
        <w:ind w:left="736" w:right="903"/>
      </w:pPr>
      <w:r>
        <w:t xml:space="preserve">     Visto que duran</w:t>
      </w:r>
      <w:r>
        <w:t>te el referido plazo se han presentado las siguientes solicitudes:</w:t>
      </w:r>
    </w:p>
    <w:p w:rsidR="00085BB7" w:rsidRDefault="004441D3">
      <w:pPr>
        <w:numPr>
          <w:ilvl w:val="0"/>
          <w:numId w:val="16"/>
        </w:numPr>
        <w:spacing w:after="61" w:line="265" w:lineRule="auto"/>
        <w:ind w:right="1139" w:firstLine="698"/>
      </w:pPr>
      <w:r>
        <w:t>Dª Aída Ruiz Gómez con Documento Nacional de Identidad ***2344**</w:t>
      </w:r>
    </w:p>
    <w:p w:rsidR="00085BB7" w:rsidRDefault="004441D3">
      <w:pPr>
        <w:numPr>
          <w:ilvl w:val="0"/>
          <w:numId w:val="16"/>
        </w:numPr>
        <w:spacing w:after="367"/>
        <w:ind w:right="1139" w:firstLine="698"/>
      </w:pPr>
      <w:r>
        <w:t>Dª Desirée Concepción Trujillo Díaz con Documento Nacional de Identidad ***5131**</w:t>
      </w:r>
    </w:p>
    <w:p w:rsidR="00085BB7" w:rsidRDefault="004441D3">
      <w:pPr>
        <w:ind w:left="736" w:right="1450"/>
      </w:pPr>
      <w:r>
        <w:t xml:space="preserve">Considerando que para ser Juez/a de Paz se requiere ser español, mayor de edad y no estar incurso en ninguna de las causas de incapacidad que establece el art. 303 de la Ley Orgánica del Poder Judicial, según se establece en el artículo 1.2 del Reglamento </w:t>
      </w:r>
      <w:r>
        <w:t>nº 3/1995, de 7 de junio, de los Jueces de Paz.</w:t>
      </w:r>
    </w:p>
    <w:p w:rsidR="00085BB7" w:rsidRDefault="004441D3">
      <w:pPr>
        <w:ind w:left="736" w:right="1027"/>
      </w:pPr>
      <w:r>
        <w:t xml:space="preserve">     Considerando que las solicitudes presentadas cumplen con los requisitos exigidos en la Ley Orgánica del Poder Judicial, así como con el Reglamento de los Jueces de Paz.</w:t>
      </w:r>
    </w:p>
    <w:p w:rsidR="00085BB7" w:rsidRDefault="004441D3">
      <w:pPr>
        <w:spacing w:after="10"/>
        <w:ind w:left="736" w:right="903"/>
      </w:pPr>
      <w:r>
        <w:t xml:space="preserve">     Considerando que Dª Aída Ruiz</w:t>
      </w:r>
      <w:r>
        <w:t xml:space="preserve"> Gómez, con D.N.I. nº ***2344**, ha ejercido en el </w:t>
      </w:r>
    </w:p>
    <w:p w:rsidR="00085BB7" w:rsidRDefault="004441D3">
      <w:pPr>
        <w:spacing w:after="74"/>
        <w:ind w:left="736" w:right="1448"/>
      </w:pPr>
      <w:r>
        <w:t xml:space="preserve">Juzgado de Paz de Candelaria, como sustituta casi tres años, asumiendo el puesto de Jueza de Paz Titular desde el pasado trece de mayo, no habiendo ninguna queja durante estos periodos de tiempo. Además, </w:t>
      </w:r>
      <w:r>
        <w:t>participó como Jueza de Paz en el proceso electoral del pasado 9 de junio de Elecciones al Parlamento Europeo 2024, habiendo prestado servicios especiales y extraordinarios relacionados con la organización y ejecución de dicho proceso electoral.</w:t>
      </w:r>
    </w:p>
    <w:p w:rsidR="00085BB7" w:rsidRDefault="004441D3">
      <w:pPr>
        <w:ind w:left="736" w:right="903"/>
      </w:pPr>
      <w:r>
        <w:t xml:space="preserve">     Considerando que además Dª Aída Ruiz Gómez, cumple las condiciones de capacidad y compatibilidad para ser elegida, así como su residencia en el municipio de Candelaria.</w:t>
      </w:r>
    </w:p>
    <w:p w:rsidR="00085BB7" w:rsidRDefault="004441D3">
      <w:pPr>
        <w:ind w:left="736" w:right="903"/>
      </w:pPr>
      <w:r>
        <w:t xml:space="preserve">     Considerando que de conformidad con lo establecido en el artículo 101.1 de la</w:t>
      </w:r>
      <w:r>
        <w:t xml:space="preserve"> Ley Orgánica 6/1985, de 1 de julio, del Poder Judicial, los Jueces de Paz y sus sustitutos serán nombrados para un periodo de cuatro años por la Sala de Gobierno del Tribunal Superior de Justicia correspondiente, recayendo el nombramiento en las personas </w:t>
      </w:r>
      <w:r>
        <w:t>elegidas por el respectivo Ayuntamiento.</w:t>
      </w:r>
    </w:p>
    <w:p w:rsidR="00085BB7" w:rsidRDefault="004441D3">
      <w:pPr>
        <w:spacing w:after="500"/>
        <w:ind w:left="736" w:right="903"/>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column">
                  <wp:posOffset>6542599</wp:posOffset>
                </wp:positionH>
                <wp:positionV relativeFrom="paragraph">
                  <wp:posOffset>-230212</wp:posOffset>
                </wp:positionV>
                <wp:extent cx="237530" cy="3313100"/>
                <wp:effectExtent l="0" t="0" r="0" b="0"/>
                <wp:wrapSquare wrapText="bothSides"/>
                <wp:docPr id="138637" name="Group 1386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738" name="Rectangle 773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739" name="Rectangle 773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740" name="Rectangle 774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637" style="width:18.7031pt;height:260.874pt;position:absolute;mso-position-horizontal-relative:text;mso-position-horizontal:absolute;margin-left:515.165pt;mso-position-vertical-relative:text;margin-top:-18.127pt;" coordsize="2375,33131">
                <v:rect id="Rectangle 773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73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74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133 </w:t>
                        </w:r>
                      </w:p>
                    </w:txbxContent>
                  </v:textbox>
                </v:rect>
                <w10:wrap type="square"/>
              </v:group>
            </w:pict>
          </mc:Fallback>
        </mc:AlternateContent>
      </w:r>
      <w:r>
        <w:t xml:space="preserve">     Considerando que, tal y como establece el referido artículo, en su apartado segundo, serán elegidos por el Pleno del Ayuntamiento, con el voto favorable de la mayoría absoluta de sus miembros, entre las personas, que, reuniendo las condiciones legales</w:t>
      </w:r>
      <w:r>
        <w:t>, así lo soliciten. Si no hubiera solicitantes el Pleno elegirá libremente.</w:t>
      </w:r>
    </w:p>
    <w:p w:rsidR="00085BB7" w:rsidRDefault="004441D3">
      <w:pPr>
        <w:spacing w:after="300"/>
        <w:ind w:left="736" w:right="903"/>
      </w:pPr>
      <w:r>
        <w:t xml:space="preserve">    Considerando el acuerdo deberá ser remitido al Juez de Primera Instancia e Instrucción, quien lo elevará a la Sala de Gobierno del Tribunal Superior de Justicia, tal y como est</w:t>
      </w:r>
      <w:r>
        <w:t>ablece el apartado tercero del referido artículo.</w:t>
      </w:r>
    </w:p>
    <w:p w:rsidR="00085BB7" w:rsidRDefault="004441D3">
      <w:pPr>
        <w:ind w:left="736" w:right="903"/>
      </w:pPr>
      <w:r>
        <w:rPr>
          <w:rFonts w:ascii="Times New Roman" w:eastAsia="Times New Roman" w:hAnsi="Times New Roman" w:cs="Times New Roman"/>
          <w:sz w:val="24"/>
        </w:rPr>
        <w:t xml:space="preserve">    </w:t>
      </w:r>
      <w:r>
        <w:t>Considerando que en el artículo 102 del texto normativo antes citado, se establece que “podrán ser nombrados Jueces de Paz, tanto titular como sustituto, quienes, aún no siendo licenciados en derecho, r</w:t>
      </w:r>
      <w:r>
        <w:t>eúnan los requisitos establecidos en esta Ley para ingreso en la carrera judicial, y no estén incursos en ninguna de las causas de incapacidad o de incompatibilidad previstas para el desempeño de las funciones judiciales, a excepción del ejercicio de activ</w:t>
      </w:r>
      <w:r>
        <w:t>idades profesionales o mercantiles”.</w:t>
      </w:r>
    </w:p>
    <w:p w:rsidR="00085BB7" w:rsidRDefault="004441D3">
      <w:pPr>
        <w:ind w:left="736" w:right="903"/>
      </w:pPr>
      <w:r>
        <w:t xml:space="preserve">    Considerando que los artículos 5 y siguiente del Reglamento 3/1995, de 7 de junio de los Jueces de Paz, establecen el procedimiento a seguir para efectuar el correspondiente nombramiento.</w:t>
      </w:r>
    </w:p>
    <w:p w:rsidR="00085BB7" w:rsidRDefault="004441D3">
      <w:pPr>
        <w:ind w:left="736" w:right="989"/>
      </w:pPr>
      <w:r>
        <w:t xml:space="preserve">    Considerando lo estable</w:t>
      </w:r>
      <w:r>
        <w:t>cido en los artículos 22.2.p) y 22.4 de la Ley 7/1985, de 2 de abril, reguladora de las Bases de Régimen Local.</w:t>
      </w:r>
    </w:p>
    <w:p w:rsidR="00085BB7" w:rsidRDefault="004441D3">
      <w:pPr>
        <w:spacing w:after="669" w:line="265" w:lineRule="auto"/>
        <w:ind w:left="548" w:right="1148" w:hanging="10"/>
        <w:jc w:val="center"/>
      </w:pPr>
      <w:r>
        <w:t>Se propone al Pleno de la Corporación la adopción del siguiente acuerdo:</w:t>
      </w:r>
    </w:p>
    <w:p w:rsidR="00085BB7" w:rsidRDefault="004441D3">
      <w:pPr>
        <w:ind w:left="736" w:right="1454"/>
      </w:pPr>
      <w:r>
        <w:t xml:space="preserve">Primero. - Elegir a Dª Aída Ruiz Gómez, con D.N.I. nº ***2344**, mayor </w:t>
      </w:r>
      <w:r>
        <w:t>de edad, domiciliado en Punta Larga, en esta localidad, con estudios de Grado en Derecho, como Jueza de Paz Titular, reuniendo los requisitos señalados por la Ley.</w:t>
      </w:r>
    </w:p>
    <w:p w:rsidR="00085BB7" w:rsidRDefault="004441D3">
      <w:pPr>
        <w:spacing w:after="642"/>
        <w:ind w:left="736" w:right="903"/>
      </w:pPr>
      <w:r>
        <w:t xml:space="preserve">Segundo. - Proponer su nombramiento a la Sala de Gobierno del Tribunal Superior de Justicia </w:t>
      </w:r>
      <w:r>
        <w:t>de Canarias, a través del Juzgado Decano de Güímar.”</w:t>
      </w:r>
    </w:p>
    <w:p w:rsidR="00085BB7" w:rsidRDefault="004441D3">
      <w:pPr>
        <w:spacing w:after="0"/>
        <w:ind w:left="736" w:right="903"/>
      </w:pPr>
      <w:r>
        <w:t>DICTAMEN FAVORABLE DE LA COMISIÓN INFORMATIVA DE HACIENDA, RECURSOS HUMANOS Y SERVICIOS GENERALES DE 23 DE SEPTIEMBRE DE 2024.</w:t>
      </w:r>
    </w:p>
    <w:p w:rsidR="00085BB7" w:rsidRDefault="004441D3">
      <w:pPr>
        <w:spacing w:after="497"/>
        <w:ind w:left="736" w:right="903"/>
      </w:pPr>
      <w:r>
        <w:t>Previa ratificación de la urgencia de este asunto se sometió a debate y vota</w:t>
      </w:r>
      <w:r>
        <w:t>ción de la presente comisión.</w:t>
      </w:r>
    </w:p>
    <w:p w:rsidR="00085BB7" w:rsidRDefault="004441D3">
      <w:pPr>
        <w:ind w:left="736" w:right="903"/>
      </w:pPr>
      <w:r>
        <w:t>Votos a favor: 4.</w:t>
      </w:r>
    </w:p>
    <w:p w:rsidR="00085BB7" w:rsidRDefault="004441D3">
      <w:pPr>
        <w:spacing w:after="497"/>
        <w:ind w:left="736" w:right="903"/>
      </w:pPr>
      <w:r>
        <w:t>Los 4 concejales del Grupo Socialista: D. Airam Pérez Chinea, D ª Margarita Eva Tendero Barroso, Dª Mónica Montserrat Yanes Delgado, D. Olegario Francisco Alonso Bello.</w:t>
      </w:r>
    </w:p>
    <w:p w:rsidR="00085BB7" w:rsidRDefault="004441D3">
      <w:pPr>
        <w:ind w:left="736" w:right="903"/>
      </w:pPr>
      <w:r>
        <w:t>Votos en contra: 0.</w:t>
      </w:r>
    </w:p>
    <w:p w:rsidR="00085BB7" w:rsidRDefault="004441D3">
      <w:pPr>
        <w:ind w:left="736" w:right="903"/>
      </w:pPr>
      <w:r>
        <w:t>Abstenciones: 3:</w:t>
      </w:r>
    </w:p>
    <w:p w:rsidR="00085BB7" w:rsidRDefault="004441D3">
      <w:pPr>
        <w:ind w:left="736" w:right="903"/>
      </w:pPr>
      <w:r>
        <w:t>Los 2 concejales del Grupo Popular; D. Jacobo López Fariña, Dª Raquel Martín Castro.</w:t>
      </w:r>
    </w:p>
    <w:p w:rsidR="00085BB7" w:rsidRDefault="004441D3">
      <w:pPr>
        <w:spacing w:after="773"/>
        <w:ind w:left="736" w:right="903"/>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column">
                  <wp:posOffset>6542599</wp:posOffset>
                </wp:positionH>
                <wp:positionV relativeFrom="paragraph">
                  <wp:posOffset>-6692</wp:posOffset>
                </wp:positionV>
                <wp:extent cx="237530" cy="3313100"/>
                <wp:effectExtent l="0" t="0" r="0" b="0"/>
                <wp:wrapSquare wrapText="bothSides"/>
                <wp:docPr id="138163" name="Group 13816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00" name="Rectangle 780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801" name="Rectangle 780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802" name="Rectangle 780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w:t>
                              </w:r>
                              <w:r>
                                <w:rPr>
                                  <w:sz w:val="12"/>
                                </w:rPr>
                                <w:t xml:space="preserve">stiona | Página 46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38163" style="width:18.7031pt;height:260.874pt;position:absolute;mso-position-horizontal-relative:text;mso-position-horizontal:absolute;margin-left:515.165pt;mso-position-vertical-relative:text;margin-top:-0.526978pt;" coordsize="2375,33131">
                <v:rect id="Rectangle 780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8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8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133 </w:t>
                        </w:r>
                      </w:p>
                    </w:txbxContent>
                  </v:textbox>
                </v:rect>
                <w10:wrap type="square"/>
              </v:group>
            </w:pict>
          </mc:Fallback>
        </mc:AlternateContent>
      </w:r>
      <w:r>
        <w:t>1 del concejal del Grupo Mixto: D. José Fierros Sierra (USP).</w:t>
      </w:r>
    </w:p>
    <w:p w:rsidR="00085BB7" w:rsidRDefault="004441D3">
      <w:pPr>
        <w:spacing w:after="546"/>
        <w:ind w:left="736" w:right="903"/>
      </w:pPr>
      <w:r>
        <w:t xml:space="preserve">JUNTA DE PORTAVOCES DE 23 DE SEPTIEMBRE DE 2024. Quedó oída. </w:t>
      </w:r>
    </w:p>
    <w:p w:rsidR="00085BB7" w:rsidRDefault="004441D3">
      <w:pPr>
        <w:spacing w:after="479" w:line="265" w:lineRule="auto"/>
        <w:ind w:left="548" w:right="1062" w:hanging="10"/>
        <w:jc w:val="center"/>
      </w:pPr>
      <w:r>
        <w:t>VOTACIÓN EN EL PLENO DE 26 DE SEPTIEMBRE DE 2024.</w:t>
      </w:r>
    </w:p>
    <w:p w:rsidR="00085BB7" w:rsidRDefault="004441D3">
      <w:pPr>
        <w:ind w:left="736" w:right="903"/>
      </w:pPr>
      <w:r>
        <w:t>Votos a favor: 20.</w:t>
      </w:r>
    </w:p>
    <w:p w:rsidR="00085BB7" w:rsidRDefault="004441D3">
      <w:pPr>
        <w:spacing w:after="10"/>
        <w:ind w:left="736" w:right="903"/>
      </w:pPr>
      <w:r>
        <w:t xml:space="preserve">11 concejales del Grupo Socialista: </w:t>
      </w:r>
      <w:r>
        <w:t xml:space="preserve">Doña María Concepción Brito Núñez, Don Jorge Baute </w:t>
      </w:r>
    </w:p>
    <w:p w:rsidR="00085BB7" w:rsidRDefault="004441D3">
      <w:pPr>
        <w:spacing w:after="10"/>
        <w:ind w:left="736" w:right="903"/>
      </w:pPr>
      <w:r>
        <w:t xml:space="preserve">Delgado, Don José Francisco Pinto Ramos, Doña Olivia Concepción Pérez Díaz, Don </w:t>
      </w:r>
    </w:p>
    <w:p w:rsidR="00085BB7" w:rsidRDefault="004441D3">
      <w:pPr>
        <w:ind w:left="736" w:right="903"/>
      </w:pPr>
      <w:r>
        <w:t>Reinaldo José Triviño Blanco, Don Manuel Alberto González Pestano, Doña Margarita Eva Tendero Barroso, Don Airam Pérez Chin</w:t>
      </w:r>
      <w:r>
        <w:t xml:space="preserve">ea, Doña María del Carmen Clemente Díaz, Don Olegario Francisco Alonso Bello, Doña Mónica Monserrat Yanes Delgado. </w:t>
      </w:r>
    </w:p>
    <w:p w:rsidR="00085BB7" w:rsidRDefault="004441D3">
      <w:pPr>
        <w:spacing w:after="10"/>
        <w:ind w:left="736" w:right="903"/>
      </w:pPr>
      <w:r>
        <w:t xml:space="preserve">6 concejales del Grupo Popular: Don Jacobo López Fariña, Doña Raquel Martín Castro, Don </w:t>
      </w:r>
    </w:p>
    <w:p w:rsidR="00085BB7" w:rsidRDefault="004441D3">
      <w:pPr>
        <w:spacing w:after="10"/>
        <w:ind w:left="736" w:right="903"/>
      </w:pPr>
      <w:r>
        <w:t xml:space="preserve">David Crego Cháves, Doña María Carlota Díaz González, Don José Daniel Sosa González, </w:t>
      </w:r>
    </w:p>
    <w:p w:rsidR="00085BB7" w:rsidRDefault="004441D3">
      <w:pPr>
        <w:spacing w:after="3" w:line="265" w:lineRule="auto"/>
        <w:ind w:left="10" w:right="1864" w:hanging="10"/>
        <w:jc w:val="right"/>
      </w:pPr>
      <w:r>
        <w:t xml:space="preserve">y </w:t>
      </w:r>
    </w:p>
    <w:p w:rsidR="00085BB7" w:rsidRDefault="004441D3">
      <w:pPr>
        <w:ind w:left="736" w:right="903"/>
      </w:pPr>
      <w:r>
        <w:t xml:space="preserve">Doña Shaila Castellano Batista. </w:t>
      </w:r>
    </w:p>
    <w:p w:rsidR="00085BB7" w:rsidRDefault="004441D3">
      <w:pPr>
        <w:spacing w:after="500"/>
        <w:ind w:left="736" w:right="903"/>
      </w:pPr>
      <w:r>
        <w:t>3 concejales del Grupo Mixto: Doña Ángela Cruz Perera y Don Emilio Jesús Atienzar Armas, (CC) y Don José Tortosa Pallarés (VOX).</w:t>
      </w:r>
    </w:p>
    <w:p w:rsidR="00085BB7" w:rsidRDefault="004441D3">
      <w:pPr>
        <w:spacing w:after="233" w:line="259" w:lineRule="auto"/>
        <w:ind w:left="735" w:right="0" w:firstLine="0"/>
        <w:jc w:val="left"/>
      </w:pPr>
      <w:r>
        <w:t xml:space="preserve">     </w:t>
      </w:r>
      <w:r>
        <w:t xml:space="preserve">                    </w:t>
      </w:r>
    </w:p>
    <w:p w:rsidR="00085BB7" w:rsidRDefault="004441D3">
      <w:pPr>
        <w:ind w:left="736" w:right="903"/>
      </w:pPr>
      <w:r>
        <w:t>Votos en contra: 0.</w:t>
      </w:r>
    </w:p>
    <w:p w:rsidR="00085BB7" w:rsidRDefault="004441D3">
      <w:pPr>
        <w:spacing w:after="10"/>
        <w:ind w:left="736" w:right="903"/>
      </w:pPr>
      <w:r>
        <w:t>Abstenciones: 1.</w:t>
      </w:r>
    </w:p>
    <w:p w:rsidR="00085BB7" w:rsidRDefault="004441D3">
      <w:pPr>
        <w:spacing w:after="737"/>
        <w:ind w:left="736" w:right="903"/>
      </w:pPr>
      <w:r>
        <w:t>1 concejal del Grupo Mixto, Don José Fierros Sierra (USP).</w:t>
      </w:r>
    </w:p>
    <w:p w:rsidR="00085BB7" w:rsidRDefault="004441D3">
      <w:pPr>
        <w:spacing w:after="483"/>
        <w:ind w:left="2689" w:right="903"/>
      </w:pPr>
      <w:r>
        <w:t>ACUERDO DEL PLENO DE 26 DE SEPTIEMBRE DE 2024.</w:t>
      </w:r>
    </w:p>
    <w:p w:rsidR="00085BB7" w:rsidRDefault="004441D3">
      <w:pPr>
        <w:ind w:left="736" w:right="1454"/>
      </w:pPr>
      <w:r>
        <w:t xml:space="preserve">Primero. - Elegir a Dª Aída Ruiz Gómez, con D.N.I. nº ***2344**, mayor de edad, domiciliado </w:t>
      </w:r>
      <w:r>
        <w:t>en Punta Larga, en esta localidad, con estudios de Grado en Derecho, como Jueza de Paz Titular, reuniendo los requisitos señalados por la Ley.</w:t>
      </w:r>
    </w:p>
    <w:p w:rsidR="00085BB7" w:rsidRDefault="004441D3">
      <w:pPr>
        <w:spacing w:after="10"/>
        <w:ind w:left="736" w:right="903"/>
      </w:pPr>
      <w:r>
        <w:t xml:space="preserve">Segundo. - Proponer su nombramiento a la Sala de Gobierno del Tribunal Superior de </w:t>
      </w:r>
    </w:p>
    <w:p w:rsidR="00085BB7" w:rsidRDefault="004441D3">
      <w:pPr>
        <w:spacing w:after="2115"/>
        <w:ind w:left="736" w:right="903"/>
      </w:pPr>
      <w:r>
        <w:t>Justicia de Canarias, a travé</w:t>
      </w:r>
      <w:r>
        <w:t>s del Juzgado Decano de Güímar.”</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1688" name="Group 14168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37" name="Rectangle 783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838" name="Rectangle 783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839" name="Rectangle 783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47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1688" style="width:18.7031pt;height:260.874pt;mso-position-horizontal-relative:char;mso-position-vertical-relative:line" coordsize="2375,33131">
                <v:rect id="Rectangle 783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8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8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133 </w:t>
                        </w:r>
                      </w:p>
                    </w:txbxContent>
                  </v:textbox>
                </v:rect>
              </v:group>
            </w:pict>
          </mc:Fallback>
        </mc:AlternateContent>
      </w:r>
    </w:p>
    <w:p w:rsidR="00085BB7" w:rsidRDefault="004441D3">
      <w:pPr>
        <w:spacing w:after="523" w:line="250" w:lineRule="auto"/>
        <w:ind w:left="738" w:right="1416" w:hanging="10"/>
      </w:pPr>
      <w:r>
        <w:rPr>
          <w:sz w:val="24"/>
        </w:rPr>
        <w:t>7.- Expediente 1306/2019. Propuesta de la Alcaldesa-Presidenta de fecha 18 de septiembre de 2024 al Pleno sobre la transmisión de la copropiedad de la parcela del emisario submarino mediante mutación demanial subjetiva al CIATF.</w:t>
      </w:r>
    </w:p>
    <w:p w:rsidR="00085BB7" w:rsidRDefault="004441D3">
      <w:pPr>
        <w:spacing w:after="466"/>
        <w:ind w:left="736" w:right="1403"/>
      </w:pPr>
      <w:r>
        <w:t xml:space="preserve">     Consta en el expedient</w:t>
      </w:r>
      <w:r>
        <w:t>e Informe Jurídico emitido por Don Octavio Manuel Fernández Hernández, que desempeña el puesto de trabajo de Secretario General, de 18 de septiembre de 2024, del siguiente tenor literal:</w:t>
      </w:r>
    </w:p>
    <w:p w:rsidR="00085BB7" w:rsidRDefault="004441D3">
      <w:pPr>
        <w:spacing w:after="91" w:line="265" w:lineRule="auto"/>
        <w:ind w:left="548" w:right="1216" w:hanging="10"/>
        <w:jc w:val="center"/>
      </w:pPr>
      <w:r>
        <w:t>“INFORME JURÍDICO</w:t>
      </w:r>
    </w:p>
    <w:p w:rsidR="00085BB7" w:rsidRDefault="004441D3">
      <w:pPr>
        <w:spacing w:after="593" w:line="249" w:lineRule="auto"/>
        <w:ind w:left="730" w:right="1331" w:hanging="10"/>
        <w:jc w:val="left"/>
      </w:pPr>
      <w:r>
        <w:t>Visto el expediente antedicho, se emite el siguient</w:t>
      </w:r>
      <w:r>
        <w:t>e informe sobre la transmisión de la titularidad demanial del Emisario Submarino al Consejo Insular de Aguas al que refiere el oficio del Ayuntamiento de Arafo, registrado de entrada en el CIATF el 15 de julio de 2024 y el oficio del Gerente del Consejo In</w:t>
      </w:r>
      <w:r>
        <w:t>sular de Aguas de Tenerife de fecha 23 de julio de 2024, se informa:</w:t>
      </w:r>
    </w:p>
    <w:p w:rsidR="00085BB7" w:rsidRDefault="004441D3">
      <w:pPr>
        <w:spacing w:after="251" w:line="265" w:lineRule="auto"/>
        <w:ind w:left="548" w:right="1258" w:hanging="10"/>
        <w:jc w:val="center"/>
      </w:pPr>
      <w:r>
        <w:t>ANTECEDENTES DE HECHO</w:t>
      </w:r>
    </w:p>
    <w:p w:rsidR="00085BB7" w:rsidRDefault="004441D3">
      <w:pPr>
        <w:spacing w:after="3" w:line="265" w:lineRule="auto"/>
        <w:ind w:left="10" w:right="1461" w:hanging="10"/>
        <w:jc w:val="right"/>
      </w:pPr>
      <w:r>
        <w:t xml:space="preserve">Primero. - Con fecha 23 de julio de 2013 se produjo el acta recepción </w:t>
      </w:r>
    </w:p>
    <w:p w:rsidR="00085BB7" w:rsidRDefault="004441D3">
      <w:pPr>
        <w:spacing w:after="123" w:line="224" w:lineRule="auto"/>
        <w:ind w:left="715" w:right="874" w:hanging="8"/>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column">
                  <wp:posOffset>6542599</wp:posOffset>
                </wp:positionH>
                <wp:positionV relativeFrom="paragraph">
                  <wp:posOffset>576237</wp:posOffset>
                </wp:positionV>
                <wp:extent cx="237530" cy="3313100"/>
                <wp:effectExtent l="0" t="0" r="0" b="0"/>
                <wp:wrapSquare wrapText="bothSides"/>
                <wp:docPr id="141616" name="Group 14161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927" name="Rectangle 792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7928" name="Rectangle 792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7929" name="Rectangle 792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1616" style="width:18.7031pt;height:260.874pt;position:absolute;mso-position-horizontal-relative:text;mso-position-horizontal:absolute;margin-left:515.165pt;mso-position-vertical-relative:text;margin-top:45.373pt;" coordsize="2375,33131">
                <v:rect id="Rectangle 792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792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92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133 </w:t>
                        </w:r>
                      </w:p>
                    </w:txbxContent>
                  </v:textbox>
                </v:rect>
                <w10:wrap type="square"/>
              </v:group>
            </w:pict>
          </mc:Fallback>
        </mc:AlternateContent>
      </w:r>
      <w:r>
        <w:t>protocolizada ante notario con escritura número de protocolo 291 de fecha 23 de julio de 2013 de los bienes</w:t>
      </w:r>
      <w:r>
        <w:t xml:space="preserve"> de uso o servicio público de la Asociación Mixta de Compensación a los Ayuntamientos de Arafo, Candelaria y Güimar entre los que se encuentran, entre otros el emisario submarino que consta de según la hoja de la escritura BJ3140861: </w:t>
      </w:r>
      <w:r>
        <w:rPr>
          <w:sz w:val="23"/>
        </w:rPr>
        <w:t>“constituido, en su tr</w:t>
      </w:r>
      <w:r>
        <w:rPr>
          <w:sz w:val="23"/>
        </w:rPr>
        <w:t>amo terrestre, por una conducción de fundición de 157 m de longitud y, en su tramo submarno, por otra conducción de fibrocemento de 500 mm de diámetro y de 540 m de longitud. Ambas conducciones se encuentran alojadas en zanjas, en el tramo final del emisar</w:t>
      </w:r>
      <w:r>
        <w:rPr>
          <w:sz w:val="23"/>
        </w:rPr>
        <w:t>io se derivan difusores formados por tres ramales, dos de 39,5 m de longitud y el tercero de 69,5m, todos de fibrocemento de 400mm de diámetro. Asimismo, el emisario submarino consta, en su cabecera, de una fase de pretratamiento y de una pequeña edificaci</w:t>
      </w:r>
      <w:r>
        <w:rPr>
          <w:sz w:val="23"/>
        </w:rPr>
        <w:t>ón para la medición del caudal de aguas residuales que vierten al mar. Se encuentra en terrenos del término municipal de Arafo, incluidos en la escritura de agrupación de fincas de fecha 31/12/1976, nº 2318 del Protocolo de D. Alfonso Cavallé Moya (…)”</w:t>
      </w:r>
    </w:p>
    <w:p w:rsidR="00085BB7" w:rsidRDefault="004441D3">
      <w:pPr>
        <w:spacing w:after="3" w:line="265" w:lineRule="auto"/>
        <w:ind w:left="10" w:right="906" w:hanging="10"/>
        <w:jc w:val="right"/>
      </w:pPr>
      <w:r>
        <w:t>Con</w:t>
      </w:r>
      <w:r>
        <w:t xml:space="preserve"> fecha 10 de junio de 2019 se formalizó Convenio de Colaboración entre </w:t>
      </w:r>
    </w:p>
    <w:p w:rsidR="00085BB7" w:rsidRDefault="004441D3">
      <w:pPr>
        <w:spacing w:after="0"/>
        <w:ind w:left="736" w:right="903"/>
      </w:pPr>
      <w:r>
        <w:t>el Consejo Insular de Aguas, y los Ayuntamientos de Arafo, Candelaria y Güímar para el desarrollo del Plan de Etapas en el marco del expediente 20147/11106 relativo a Emisario Submarin</w:t>
      </w:r>
      <w:r>
        <w:t>o del Polígono Industrial del Valle de Güímar por el Consejo Insular de aguas se comprometió con sus presupuestos a la ejecución del proyecto constructivo de actuaciones necesarias en materia de tratamiento y vertido en el ámbito de los municipios de Cande</w:t>
      </w:r>
      <w:r>
        <w:t xml:space="preserve">laria, </w:t>
      </w:r>
    </w:p>
    <w:p w:rsidR="00085BB7" w:rsidRDefault="004441D3">
      <w:pPr>
        <w:spacing w:after="10"/>
        <w:ind w:left="736" w:right="903"/>
      </w:pPr>
      <w:r>
        <w:t xml:space="preserve">Arafo y Güimar: EDARI DEL POLÍGONO INDUSTRIAL DEL VALLE DE GÚIMAR Y </w:t>
      </w:r>
    </w:p>
    <w:p w:rsidR="00085BB7" w:rsidRDefault="004441D3">
      <w:pPr>
        <w:spacing w:after="96"/>
        <w:ind w:left="736" w:right="903"/>
      </w:pPr>
      <w:r>
        <w:t>ACTUACIONES COMPLEMENTARIAS (TMM DE CANDELARIA, ARAFO Y GUIMAR) POR IMPORTE DE 6.495.189,13 EUROS.</w:t>
      </w:r>
    </w:p>
    <w:p w:rsidR="00085BB7" w:rsidRDefault="004441D3">
      <w:pPr>
        <w:ind w:left="730" w:right="903" w:firstLine="1134"/>
      </w:pPr>
      <w:r>
        <w:t xml:space="preserve">Los Ayuntamientos se obligaban a la ejecución del Plan de Operación y </w:t>
      </w:r>
      <w:r>
        <w:t>Mantenimiento y a la ejecución del Plan de Vigilancia y Control mediante sus propios presupuestos.</w:t>
      </w:r>
    </w:p>
    <w:p w:rsidR="00085BB7" w:rsidRDefault="004441D3">
      <w:pPr>
        <w:spacing w:after="10"/>
        <w:ind w:left="1875" w:right="903"/>
      </w:pPr>
      <w:r>
        <w:t>Segundo.- - Con fecha 18 de septiembre de 2019 la Viceconsejería de Lucha</w:t>
      </w:r>
    </w:p>
    <w:p w:rsidR="00085BB7" w:rsidRDefault="004441D3">
      <w:pPr>
        <w:spacing w:after="0"/>
        <w:ind w:left="736" w:right="1399"/>
      </w:pPr>
      <w:r>
        <w:t>contra el Cambio Climático del Gobierno de Canarias, dicta la Resolución de N.º 33/</w:t>
      </w:r>
      <w:r>
        <w:t>2019, por la que se otorga al Ayuntamiento de Arafo, en nombre propio y en representación de los Ayuntamientos de Candelaria y Güímar, autorización de vertido desde tierra al mar de aguas residuales urbanas e industriales depuradas a través del emisario su</w:t>
      </w:r>
      <w:r>
        <w:t xml:space="preserve">bmarino del Polígono </w:t>
      </w:r>
    </w:p>
    <w:p w:rsidR="00085BB7" w:rsidRDefault="004441D3">
      <w:pPr>
        <w:spacing w:after="463"/>
        <w:ind w:left="736" w:right="903"/>
      </w:pPr>
      <w:r>
        <w:t>Industrial del Güímar, ubicado en el término municipal de Arafo</w:t>
      </w:r>
    </w:p>
    <w:p w:rsidR="00085BB7" w:rsidRDefault="004441D3">
      <w:pPr>
        <w:spacing w:after="185"/>
        <w:ind w:left="730" w:right="1407" w:firstLine="1134"/>
      </w:pPr>
      <w:r>
        <w:t>Tercero.- Con fecha 18 de septiembre de 2023, se formaliza el Convenio de Cooperación Interadministrativa entre el Consejo Insular de Arafo y los Ayuntamientos de Candela</w:t>
      </w:r>
      <w:r>
        <w:t>ria, Arafo y Güímar, para la gestión de las Infraestructuras de depuración y vertido de las aguas residuales, urbanas e industriales, de los Sistemas Territoriales del Valle de Güímar y el Polígono Industrial del Valle de Güímar.</w:t>
      </w:r>
    </w:p>
    <w:p w:rsidR="00085BB7" w:rsidRDefault="004441D3">
      <w:pPr>
        <w:spacing w:after="0"/>
        <w:ind w:left="730" w:right="1401" w:firstLine="1134"/>
      </w:pPr>
      <w:r>
        <w:t>Cuarto. - El Consejo Insul</w:t>
      </w:r>
      <w:r>
        <w:t xml:space="preserve">ar de Aguas de Tenerife comunica al Ayuntamiento de Arafo con fecha 18 de diciembre de 2023 y registro de entrada en este Ayuntamiento nº 2023-E-RC-6401, la recepción de la obra denominada “ACTUACIONES NECESARIAS EN MATERIA DE TRATAMIENTO Y VERTIDO EN EL </w:t>
      </w:r>
    </w:p>
    <w:p w:rsidR="00085BB7" w:rsidRDefault="004441D3">
      <w:pPr>
        <w:spacing w:after="0"/>
        <w:ind w:left="736" w:right="903"/>
      </w:pPr>
      <w:r>
        <w:t xml:space="preserve">ÁMBITO DE LOS MUNICIPIOS DE CANDELARIA, ARAFO Y GÜÍMAR: EDARI DEL POLÍGONO DE VALLE DE GÜÍMAR Y ACTUACIONES COMPLEMENTARIAS (T.M. </w:t>
      </w:r>
    </w:p>
    <w:p w:rsidR="00085BB7" w:rsidRDefault="004441D3">
      <w:pPr>
        <w:spacing w:after="10"/>
        <w:ind w:left="736" w:right="903"/>
      </w:pPr>
      <w:r>
        <w:t xml:space="preserve">CANDELARIA – T.M. ARAFO – T.M. DE GÜÍMAR)”, acreditando la formalización del Acta de </w:t>
      </w:r>
    </w:p>
    <w:p w:rsidR="00085BB7" w:rsidRDefault="004441D3">
      <w:pPr>
        <w:spacing w:after="461"/>
        <w:ind w:left="736" w:right="903"/>
      </w:pPr>
      <w:r>
        <w:t xml:space="preserve">Recepción de la EDARi, con fecha 24 de </w:t>
      </w:r>
      <w:r>
        <w:t>noviembre de 2023.¨</w:t>
      </w:r>
    </w:p>
    <w:p w:rsidR="00085BB7" w:rsidRDefault="004441D3">
      <w:pPr>
        <w:spacing w:after="10"/>
        <w:ind w:left="1875" w:right="903"/>
      </w:pPr>
      <w:r>
        <w:t xml:space="preserve">Quinto.- Consta en el expediente oficio del Ayuntamiento de Arafo de 12 de </w:t>
      </w:r>
    </w:p>
    <w:p w:rsidR="00085BB7" w:rsidRDefault="004441D3">
      <w:pPr>
        <w:spacing w:after="440"/>
        <w:ind w:left="736" w:right="1406"/>
      </w:pPr>
      <w:r>
        <w:t>julio de 2023 a los Ayuntamientos de Candelaria, Güimar y el Consejo Insular de Aguas de Tenerife en el que solicita la tramitación del expediente de mutación d</w:t>
      </w:r>
      <w:r>
        <w:t>emanial del emisario submarino para la transmisión de su titularidad al Consejo</w:t>
      </w:r>
    </w:p>
    <w:p w:rsidR="00085BB7" w:rsidRDefault="004441D3">
      <w:pPr>
        <w:spacing w:after="401" w:line="265" w:lineRule="auto"/>
        <w:ind w:left="548" w:right="1217" w:hanging="10"/>
        <w:jc w:val="center"/>
      </w:pPr>
      <w:r>
        <w:t>Insular de Aguas de Tenerife:</w:t>
      </w:r>
    </w:p>
    <w:p w:rsidR="00085BB7" w:rsidRDefault="004441D3">
      <w:pPr>
        <w:spacing w:after="3" w:line="259" w:lineRule="auto"/>
        <w:ind w:left="10" w:right="404" w:hanging="10"/>
        <w:jc w:val="center"/>
      </w:pPr>
      <w:r>
        <w:rPr>
          <w:sz w:val="23"/>
        </w:rPr>
        <w:t xml:space="preserve">Por lo anteriormente expuesto, </w:t>
      </w:r>
      <w:r>
        <w:rPr>
          <w:sz w:val="23"/>
          <w:u w:val="single" w:color="000000"/>
        </w:rPr>
        <w:t>se le traslada la necesidad de tramitar la</w:t>
      </w:r>
      <w:r>
        <w:rPr>
          <w:sz w:val="23"/>
        </w:rPr>
        <w:t xml:space="preserve"> </w:t>
      </w:r>
    </w:p>
    <w:p w:rsidR="00085BB7" w:rsidRDefault="004441D3">
      <w:pPr>
        <w:spacing w:after="115" w:line="216" w:lineRule="auto"/>
        <w:ind w:left="705" w:right="1333" w:hanging="1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column">
                  <wp:posOffset>6542599</wp:posOffset>
                </wp:positionH>
                <wp:positionV relativeFrom="paragraph">
                  <wp:posOffset>254927</wp:posOffset>
                </wp:positionV>
                <wp:extent cx="237530" cy="3313100"/>
                <wp:effectExtent l="0" t="0" r="0" b="0"/>
                <wp:wrapSquare wrapText="bothSides"/>
                <wp:docPr id="142086" name="Group 1420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037" name="Rectangle 803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038" name="Rectangle 803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039" name="Rectangle 803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49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2086" style="width:18.7031pt;height:260.874pt;position:absolute;mso-position-horizontal-relative:text;mso-position-horizontal:absolute;margin-left:515.165pt;mso-position-vertical-relative:text;margin-top:20.073pt;" coordsize="2375,33131">
                <v:rect id="Rectangle 803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0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0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133 </w:t>
                        </w:r>
                      </w:p>
                    </w:txbxContent>
                  </v:textbox>
                </v:rect>
                <w10:wrap type="square"/>
              </v:group>
            </w:pict>
          </mc:Fallback>
        </mc:AlternateContent>
      </w:r>
      <w:r>
        <w:rPr>
          <w:sz w:val="23"/>
          <w:u w:val="single" w:color="000000"/>
        </w:rPr>
        <w:t>correspondiente baja del Emisario Submarino en los inventarios de bienes de los</w:t>
      </w:r>
      <w:r>
        <w:rPr>
          <w:sz w:val="23"/>
        </w:rPr>
        <w:t xml:space="preserve"> </w:t>
      </w:r>
      <w:r>
        <w:rPr>
          <w:sz w:val="23"/>
          <w:u w:val="single" w:color="000000"/>
        </w:rPr>
        <w:t>Ayuntamientos de Candelaria</w:t>
      </w:r>
      <w:r>
        <w:rPr>
          <w:sz w:val="23"/>
          <w:u w:val="single" w:color="000000"/>
        </w:rPr>
        <w:t>, Arafo y Güímar, quienes son titulares cada uno de ellos de la</w:t>
      </w:r>
      <w:r>
        <w:rPr>
          <w:sz w:val="23"/>
        </w:rPr>
        <w:t xml:space="preserve"> </w:t>
      </w:r>
      <w:r>
        <w:rPr>
          <w:sz w:val="23"/>
          <w:u w:val="single" w:color="000000"/>
        </w:rPr>
        <w:t>tercera parte de dicho bien, en régimen proindiviso, y proceder posteriormente a la</w:t>
      </w:r>
      <w:r>
        <w:rPr>
          <w:sz w:val="23"/>
        </w:rPr>
        <w:t xml:space="preserve"> </w:t>
      </w:r>
      <w:r>
        <w:rPr>
          <w:sz w:val="23"/>
          <w:u w:val="single" w:color="000000"/>
        </w:rPr>
        <w:t>aprobación de acuerdo de cesión por mutación demanial señalada.</w:t>
      </w:r>
      <w:r>
        <w:rPr>
          <w:sz w:val="23"/>
        </w:rPr>
        <w:t xml:space="preserve"> </w:t>
      </w:r>
    </w:p>
    <w:p w:rsidR="00085BB7" w:rsidRDefault="004441D3">
      <w:pPr>
        <w:spacing w:after="123" w:line="224" w:lineRule="auto"/>
        <w:ind w:left="707" w:right="874" w:firstLine="1148"/>
      </w:pPr>
      <w:r>
        <w:rPr>
          <w:sz w:val="23"/>
        </w:rPr>
        <w:t xml:space="preserve">De igual manera se impulsará la aprobación </w:t>
      </w:r>
      <w:r>
        <w:rPr>
          <w:sz w:val="23"/>
        </w:rPr>
        <w:t>de la Adenda al “Convenio de Cooperación Interadministrativa entre el Consejo Insular de Aguas de Tenerife y los Ayuntamientos de Candelaria, Arafo y Güímar para la gestión de las infraestructuras de depuración y vertido de aguas residuales, urbanas e indu</w:t>
      </w:r>
      <w:r>
        <w:rPr>
          <w:sz w:val="23"/>
        </w:rPr>
        <w:t>striales, de los sistemas territoriales del Valle de Güímar y el Polígono Industrial del Valle de Güímar” en la que se transfiera la titularidad del servicio de depuración y vertido de las aguas residuales urbanas e industriales depuradas a través del emis</w:t>
      </w:r>
      <w:r>
        <w:rPr>
          <w:sz w:val="23"/>
        </w:rPr>
        <w:t xml:space="preserve">ario submarino del Polígono Industrial del Valle de Güímar, a favor del Consejo Insular de Aguas de Tenerife. </w:t>
      </w:r>
    </w:p>
    <w:p w:rsidR="00085BB7" w:rsidRDefault="004441D3">
      <w:pPr>
        <w:spacing w:after="444" w:line="224" w:lineRule="auto"/>
        <w:ind w:left="707" w:right="874" w:firstLine="1134"/>
      </w:pPr>
      <w:r>
        <w:rPr>
          <w:sz w:val="23"/>
        </w:rPr>
        <w:t>Asimismo, en el supuesto de que exista la voluntad de todos los firmantes del Convenio de anticipar la fecha de puesta en funcionamiento de la ED</w:t>
      </w:r>
      <w:r>
        <w:rPr>
          <w:sz w:val="23"/>
        </w:rPr>
        <w:t>ARu, se podría incluir en la Adenda donde se acuerde la transferencia de la titularidad de servicio de depuración y vertido, tal compromiso.</w:t>
      </w:r>
    </w:p>
    <w:p w:rsidR="00085BB7" w:rsidRDefault="004441D3">
      <w:pPr>
        <w:spacing w:after="3" w:line="265" w:lineRule="auto"/>
        <w:ind w:left="10" w:right="906" w:hanging="10"/>
        <w:jc w:val="right"/>
      </w:pPr>
      <w:r>
        <w:t xml:space="preserve">Sexto.- Consta en el expediente oficio del Gerente del Consejo Insular de Aguas </w:t>
      </w:r>
    </w:p>
    <w:p w:rsidR="00085BB7" w:rsidRDefault="004441D3">
      <w:pPr>
        <w:spacing w:after="0"/>
        <w:ind w:left="736" w:right="903"/>
      </w:pPr>
      <w:r>
        <w:t xml:space="preserve">de Tenerife por el que se propone que se tenga por solicitada la modificación de a vigente autorización de vertidos, que se inicie el trámite del cambio de titularidad al CIATF de la autorización de vertidos de tierra al mar y la concesión de ocupación de </w:t>
      </w:r>
      <w:r>
        <w:t>terrenos en dominio público marítimo terrestre y se realice el traspaso de la titularidad demanial del emisario submarino desde los tres Ayuntamientos al Consejo Insular de Aguas de Tenerife.</w:t>
      </w:r>
    </w:p>
    <w:p w:rsidR="00085BB7" w:rsidRDefault="004441D3">
      <w:pPr>
        <w:spacing w:after="0" w:line="259" w:lineRule="auto"/>
        <w:ind w:left="732" w:right="0" w:firstLine="0"/>
        <w:jc w:val="left"/>
      </w:pPr>
      <w:r>
        <w:rPr>
          <w:noProof/>
        </w:rPr>
        <w:drawing>
          <wp:inline distT="0" distB="0" distL="0" distR="0">
            <wp:extent cx="5392420" cy="266700"/>
            <wp:effectExtent l="0" t="0" r="0" b="0"/>
            <wp:docPr id="8034" name="Picture 8034"/>
            <wp:cNvGraphicFramePr/>
            <a:graphic xmlns:a="http://schemas.openxmlformats.org/drawingml/2006/main">
              <a:graphicData uri="http://schemas.openxmlformats.org/drawingml/2006/picture">
                <pic:pic xmlns:pic="http://schemas.openxmlformats.org/drawingml/2006/picture">
                  <pic:nvPicPr>
                    <pic:cNvPr id="8034" name="Picture 8034"/>
                    <pic:cNvPicPr/>
                  </pic:nvPicPr>
                  <pic:blipFill>
                    <a:blip r:embed="rId32"/>
                    <a:stretch>
                      <a:fillRect/>
                    </a:stretch>
                  </pic:blipFill>
                  <pic:spPr>
                    <a:xfrm>
                      <a:off x="0" y="0"/>
                      <a:ext cx="5392420" cy="266700"/>
                    </a:xfrm>
                    <a:prstGeom prst="rect">
                      <a:avLst/>
                    </a:prstGeom>
                  </pic:spPr>
                </pic:pic>
              </a:graphicData>
            </a:graphic>
          </wp:inline>
        </w:drawing>
      </w:r>
    </w:p>
    <w:p w:rsidR="00085BB7" w:rsidRDefault="004441D3">
      <w:pPr>
        <w:spacing w:after="96" w:line="224" w:lineRule="auto"/>
        <w:ind w:left="1864" w:right="874" w:hanging="8"/>
      </w:pPr>
      <w:r>
        <w:rPr>
          <w:sz w:val="23"/>
        </w:rPr>
        <w:t>SE PROPONE:</w:t>
      </w:r>
    </w:p>
    <w:p w:rsidR="00085BB7" w:rsidRDefault="004441D3">
      <w:pPr>
        <w:spacing w:after="0" w:line="259" w:lineRule="auto"/>
        <w:ind w:left="10" w:right="1375" w:hanging="10"/>
        <w:jc w:val="right"/>
      </w:pPr>
      <w:r>
        <w:rPr>
          <w:sz w:val="23"/>
        </w:rPr>
        <w:t xml:space="preserve"> − Dar traslado de todo lo anterior a la Dirección</w:t>
      </w:r>
      <w:r>
        <w:rPr>
          <w:sz w:val="23"/>
        </w:rPr>
        <w:t xml:space="preserve"> General de Transición Ecológica </w:t>
      </w:r>
    </w:p>
    <w:p w:rsidR="00085BB7" w:rsidRDefault="004441D3">
      <w:pPr>
        <w:spacing w:after="123" w:line="224" w:lineRule="auto"/>
        <w:ind w:left="715" w:right="874" w:hanging="8"/>
      </w:pPr>
      <w:r>
        <w:rPr>
          <w:sz w:val="23"/>
        </w:rPr>
        <w:t xml:space="preserve">y Lucha contra el Cambio Climático a efectos de que: </w:t>
      </w:r>
    </w:p>
    <w:p w:rsidR="00085BB7" w:rsidRDefault="004441D3">
      <w:pPr>
        <w:numPr>
          <w:ilvl w:val="0"/>
          <w:numId w:val="17"/>
        </w:numPr>
        <w:spacing w:after="123" w:line="224" w:lineRule="auto"/>
        <w:ind w:right="1121" w:hanging="722"/>
      </w:pPr>
      <w:r>
        <w:rPr>
          <w:sz w:val="23"/>
        </w:rPr>
        <w:t>Se tenga por solicitada la modificación de la vigente AVM en base al nuevo PLAN DE ETAPAS sobrevenido, en relación con la puesta en marcha parcial de la EDARu comarcal.</w:t>
      </w:r>
      <w:r>
        <w:rPr>
          <w:sz w:val="23"/>
        </w:rPr>
        <w:t xml:space="preserve"> </w:t>
      </w:r>
    </w:p>
    <w:p w:rsidR="00085BB7" w:rsidRDefault="004441D3">
      <w:pPr>
        <w:numPr>
          <w:ilvl w:val="0"/>
          <w:numId w:val="17"/>
        </w:numPr>
        <w:spacing w:after="0" w:line="224" w:lineRule="auto"/>
        <w:ind w:right="1121" w:hanging="722"/>
      </w:pPr>
      <w:r>
        <w:rPr>
          <w:sz w:val="23"/>
        </w:rPr>
        <w:t xml:space="preserve">II. Se inicie el trámite de cambio de titularidad al CIATF de la autorización de vertido al mar y concesión de ocupación de terrenos en dominio público marítimo terrestre, otorgadas previamente al Ayuntamiento de Arafo, en nombre y representación además </w:t>
      </w:r>
      <w:r>
        <w:rPr>
          <w:sz w:val="23"/>
        </w:rPr>
        <w:t>de los Ayuntamientos de Candelaria y Güímar, con destino al Emisario Submarino sito en el Polígono Industrial de Valle de Güímar, atendiendo a lo estipulado en el CONVENIO DE COLABORACIÓN ENTRE EL CONSEJO INSULAR DE AGUAS, Y LOS AYUNTAMIENTOS DE ARAFO, CAN</w:t>
      </w:r>
      <w:r>
        <w:rPr>
          <w:sz w:val="23"/>
        </w:rPr>
        <w:t xml:space="preserve">DELARIA Y GÜÍMAR PARA EL DESARROLLO DEL PLAN DE ETAPAS EN EL MARCO DEL EXPEDIENTE 20147/11106 RELATIVO A EMISARIO SUBMARINO DEL POLÍGONO INDUSTRIAL DEL VALLE DE </w:t>
      </w:r>
    </w:p>
    <w:p w:rsidR="00085BB7" w:rsidRDefault="004441D3">
      <w:pPr>
        <w:spacing w:after="18" w:line="224" w:lineRule="auto"/>
        <w:ind w:left="2594" w:right="1370" w:hanging="8"/>
      </w:pPr>
      <w:r>
        <w:rPr>
          <w:sz w:val="23"/>
        </w:rPr>
        <w:t xml:space="preserve">GÜÍMAR (formalizado el 10 de junio de 2019 y obrante en el Expediente ya tramitado), así como </w:t>
      </w:r>
      <w:r>
        <w:rPr>
          <w:sz w:val="23"/>
        </w:rPr>
        <w:t xml:space="preserve">en el CONVENIO DE COOPERACIÓN INTERADMINISTRATIVA ENTRE EL CONSEJO INSULAR DE AGUAS </w:t>
      </w:r>
    </w:p>
    <w:p w:rsidR="00085BB7" w:rsidRDefault="004441D3">
      <w:pPr>
        <w:spacing w:after="250" w:line="232" w:lineRule="auto"/>
        <w:ind w:left="2576" w:right="861" w:firstLine="0"/>
        <w:jc w:val="left"/>
      </w:pPr>
      <w:r>
        <w:rPr>
          <w:sz w:val="23"/>
        </w:rPr>
        <w:t xml:space="preserve">DE TENERIFE Y LOS AYUNTAMIENTOS DE CANDELARIA, ARAFO Y GÜÍMAR PARA LA GESTIÓN DE LAS INFRAESTRUCTURAS DE </w:t>
      </w:r>
      <w:r>
        <w:rPr>
          <w:sz w:val="23"/>
        </w:rPr>
        <w:t xml:space="preserve">DEPURACIÓN Y VERTIDO DE AGUAS RESIDUALES, URBANAS E INDUSTRIALES, DE LOS SISTEMAS TERRITORIALES DEL VALLE </w:t>
      </w:r>
    </w:p>
    <w:p w:rsidR="00085BB7" w:rsidRDefault="004441D3">
      <w:pPr>
        <w:spacing w:after="33" w:line="224" w:lineRule="auto"/>
        <w:ind w:left="2584" w:right="874" w:hanging="8"/>
      </w:pPr>
      <w:r>
        <w:rPr>
          <w:sz w:val="23"/>
        </w:rPr>
        <w:t xml:space="preserve">DE GÜIMAR Y DEL POLÍGONO INDUSTRIAL DEL VALLE DE GÜÍMAR </w:t>
      </w:r>
    </w:p>
    <w:p w:rsidR="00085BB7" w:rsidRDefault="004441D3">
      <w:pPr>
        <w:spacing w:after="115" w:line="216" w:lineRule="auto"/>
        <w:ind w:left="2586" w:right="1333" w:hanging="10"/>
      </w:pPr>
      <w:r>
        <w:rPr>
          <w:sz w:val="23"/>
        </w:rPr>
        <w:t xml:space="preserve">(formalizado el 18 de septiembre de 2023), </w:t>
      </w:r>
      <w:r>
        <w:rPr>
          <w:sz w:val="23"/>
          <w:u w:val="single" w:color="000000"/>
        </w:rPr>
        <w:t>y mientras en paralelo se</w:t>
      </w:r>
      <w:r>
        <w:rPr>
          <w:sz w:val="23"/>
        </w:rPr>
        <w:t xml:space="preserve"> </w:t>
      </w:r>
      <w:r>
        <w:rPr>
          <w:sz w:val="23"/>
          <w:u w:val="single" w:color="000000"/>
        </w:rPr>
        <w:t>trabaja por las distint</w:t>
      </w:r>
      <w:r>
        <w:rPr>
          <w:sz w:val="23"/>
          <w:u w:val="single" w:color="000000"/>
        </w:rPr>
        <w:t>as partes en la formalización efectiva del</w:t>
      </w:r>
      <w:r>
        <w:rPr>
          <w:sz w:val="23"/>
        </w:rPr>
        <w:t xml:space="preserve"> </w:t>
      </w:r>
      <w:r>
        <w:rPr>
          <w:sz w:val="23"/>
          <w:u w:val="single" w:color="000000"/>
        </w:rPr>
        <w:t>traspaso</w:t>
      </w:r>
      <w:r>
        <w:rPr>
          <w:sz w:val="23"/>
        </w:rPr>
        <w:t xml:space="preserve"> </w:t>
      </w:r>
      <w:r>
        <w:rPr>
          <w:sz w:val="23"/>
          <w:u w:val="single" w:color="000000"/>
        </w:rPr>
        <w:t>de titularidad demanial del Emisario Submarino a que</w:t>
      </w:r>
      <w:r>
        <w:rPr>
          <w:sz w:val="23"/>
        </w:rPr>
        <w:t xml:space="preserve"> </w:t>
      </w:r>
      <w:r>
        <w:rPr>
          <w:sz w:val="23"/>
          <w:u w:val="single" w:color="000000"/>
        </w:rPr>
        <w:t>refiere el oficio del</w:t>
      </w:r>
      <w:r>
        <w:rPr>
          <w:sz w:val="23"/>
        </w:rPr>
        <w:t xml:space="preserve"> </w:t>
      </w:r>
      <w:r>
        <w:rPr>
          <w:sz w:val="23"/>
          <w:u w:val="single" w:color="000000"/>
        </w:rPr>
        <w:t>Ayuntamiento de Arafo, registrado de entrada en</w:t>
      </w:r>
      <w:r>
        <w:rPr>
          <w:sz w:val="23"/>
        </w:rPr>
        <w:t xml:space="preserve"> </w:t>
      </w:r>
      <w:r>
        <w:rPr>
          <w:sz w:val="23"/>
          <w:u w:val="single" w:color="000000"/>
        </w:rPr>
        <w:t>el CIATF el 15 de julio</w:t>
      </w:r>
      <w:r>
        <w:rPr>
          <w:sz w:val="23"/>
        </w:rPr>
        <w:t xml:space="preserve"> </w:t>
      </w:r>
      <w:r>
        <w:rPr>
          <w:sz w:val="23"/>
          <w:u w:val="single" w:color="000000"/>
        </w:rPr>
        <w:t xml:space="preserve">de 2024. </w:t>
      </w:r>
    </w:p>
    <w:p w:rsidR="00085BB7" w:rsidRDefault="004441D3">
      <w:pPr>
        <w:spacing w:after="862" w:line="216" w:lineRule="auto"/>
        <w:ind w:left="2576" w:right="1333" w:hanging="720"/>
      </w:pPr>
      <w:r>
        <w:rPr>
          <w:sz w:val="23"/>
        </w:rPr>
        <w:t>III.</w:t>
      </w:r>
      <w:r>
        <w:rPr>
          <w:sz w:val="23"/>
          <w:u w:val="single" w:color="000000"/>
        </w:rPr>
        <w:t xml:space="preserve">  −   Dar traslado de todo lo anterior a lo</w:t>
      </w:r>
      <w:r>
        <w:rPr>
          <w:sz w:val="23"/>
          <w:u w:val="single" w:color="000000"/>
        </w:rPr>
        <w:t xml:space="preserve">s Ayuntamientos de Arafo, </w:t>
      </w:r>
      <w:r>
        <w:rPr>
          <w:sz w:val="23"/>
        </w:rPr>
        <w:t xml:space="preserve"> </w:t>
      </w:r>
      <w:r>
        <w:rPr>
          <w:sz w:val="23"/>
          <w:u w:val="single" w:color="000000"/>
        </w:rPr>
        <w:t>Candelaria</w:t>
      </w:r>
      <w:r>
        <w:rPr>
          <w:sz w:val="23"/>
        </w:rPr>
        <w:t xml:space="preserve"> </w:t>
      </w:r>
      <w:r>
        <w:rPr>
          <w:sz w:val="23"/>
          <w:u w:val="single" w:color="000000"/>
        </w:rPr>
        <w:t>y Güímar.</w:t>
      </w:r>
    </w:p>
    <w:p w:rsidR="00085BB7" w:rsidRDefault="004441D3">
      <w:pPr>
        <w:spacing w:after="369"/>
        <w:ind w:left="736" w:right="903"/>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6542599</wp:posOffset>
                </wp:positionH>
                <wp:positionV relativeFrom="paragraph">
                  <wp:posOffset>-335622</wp:posOffset>
                </wp:positionV>
                <wp:extent cx="237530" cy="3313100"/>
                <wp:effectExtent l="0" t="0" r="0" b="0"/>
                <wp:wrapSquare wrapText="bothSides"/>
                <wp:docPr id="141993" name="Group 14199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150" name="Rectangle 815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151" name="Rectangle 815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152" name="Rectangle 815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1993" style="width:18.7031pt;height:260.874pt;position:absolute;mso-position-horizontal-relative:text;mso-position-horizontal:absolute;margin-left:515.165pt;mso-position-vertical-relative:text;margin-top:-26.427pt;" coordsize="2375,33131">
                <v:rect id="Rectangle 815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1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1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133 </w:t>
                        </w:r>
                      </w:p>
                    </w:txbxContent>
                  </v:textbox>
                </v:rect>
                <w10:wrap type="square"/>
              </v:group>
            </w:pict>
          </mc:Fallback>
        </mc:AlternateContent>
      </w:r>
      <w:r>
        <w:t>Séptimo.- Consta en el expediente informe técnico de fecha 18 de septiembre de 2024 emitido por la Técnico de Bienes Doña Alicia Torres Díaz que transcrito literalmente dice: Visto el expediente antedicho, Alicia Torres Díaz, Técnica de Bienes Municipales,</w:t>
      </w:r>
      <w:r>
        <w:t xml:space="preserve"> emite el siguiente informe:</w:t>
      </w:r>
    </w:p>
    <w:p w:rsidR="00085BB7" w:rsidRDefault="004441D3">
      <w:pPr>
        <w:spacing w:after="120" w:line="336" w:lineRule="auto"/>
        <w:ind w:left="730" w:hanging="10"/>
        <w:jc w:val="left"/>
      </w:pPr>
      <w:r>
        <w:rPr>
          <w:color w:val="222222"/>
        </w:rPr>
        <w:t>La creación del polígono industrial del Valle de Güimar se produjo en el año 1973 mediante decreto 1887/1973, de 12 de julio (BOE 30 de julio de 1973).</w:t>
      </w:r>
    </w:p>
    <w:p w:rsidR="00085BB7" w:rsidRDefault="004441D3">
      <w:pPr>
        <w:spacing w:after="7" w:line="324" w:lineRule="auto"/>
        <w:ind w:left="736" w:right="903"/>
      </w:pPr>
      <w:r>
        <w:t xml:space="preserve">Posteriormente, en la escritura de agrupación de fincas de fecha 31/12/1976, nº 2318 del Protocolo del D. Alfonso Cavallé Moya, se hace mención a la cesión obligatoria, entre otros, del emisario submarino, con la siguiente descripción: </w:t>
      </w:r>
    </w:p>
    <w:p w:rsidR="00085BB7" w:rsidRDefault="004441D3">
      <w:pPr>
        <w:spacing w:after="71" w:line="324" w:lineRule="auto"/>
        <w:ind w:left="715" w:right="874" w:hanging="8"/>
      </w:pPr>
      <w:r>
        <w:rPr>
          <w:sz w:val="23"/>
        </w:rPr>
        <w:t>“Emisario submarino</w:t>
      </w:r>
      <w:r>
        <w:rPr>
          <w:sz w:val="23"/>
        </w:rPr>
        <w:t xml:space="preserve"> constituido, en su tramo terrestre, por una conducción de fundición de 157m de longitud y, en su tramo submarino, por otra conducción de fibrocemento de 500 mm de diámetro y de 540m de longitud. Ambas conducciones se encuentran alojadas en zanjas, y en el</w:t>
      </w:r>
      <w:r>
        <w:rPr>
          <w:sz w:val="23"/>
        </w:rPr>
        <w:t xml:space="preserve"> tramo final del emisario se derivan los difusores formados por tres ramales, dos de 39,5m de longitud, y el tercero de 69,5m, todas de fibrocemento de 400mm de diámetro.</w:t>
      </w:r>
    </w:p>
    <w:p w:rsidR="00085BB7" w:rsidRDefault="004441D3">
      <w:pPr>
        <w:spacing w:after="354" w:line="324" w:lineRule="auto"/>
        <w:ind w:left="715" w:right="1379" w:hanging="8"/>
      </w:pPr>
      <w:r>
        <w:rPr>
          <w:sz w:val="23"/>
        </w:rPr>
        <w:t>Asimismo, el emisario submarino consta, en su cabecera, de una fase de pretratamiento</w:t>
      </w:r>
      <w:r>
        <w:rPr>
          <w:sz w:val="23"/>
        </w:rPr>
        <w:t xml:space="preserve"> y de una pequeña edificación para la medición del caudal de aguas residuales que se vierten al mar”.</w:t>
      </w:r>
    </w:p>
    <w:p w:rsidR="00085BB7" w:rsidRDefault="004441D3">
      <w:pPr>
        <w:spacing w:after="144" w:line="324" w:lineRule="auto"/>
        <w:ind w:left="736" w:right="1406"/>
      </w:pPr>
      <w:r>
        <w:t>Consultadas las bases de datos del Sistema de Información Territorial de Canarias del Gobierno de Canarias “IDECAnarias”, se constata gráficamente a travé</w:t>
      </w:r>
      <w:r>
        <w:t>s de ortofotos históricas que, hasta el año 2005, en la parcela solo aparecían las construcciones descritas en la escritura existen.</w:t>
      </w:r>
    </w:p>
    <w:p w:rsidR="00085BB7" w:rsidRDefault="004441D3">
      <w:pPr>
        <w:pStyle w:val="Ttulo1"/>
        <w:spacing w:before="11" w:after="1438"/>
        <w:ind w:left="0" w:right="523"/>
      </w:pPr>
      <w:r>
        <w:rPr>
          <w:noProof/>
        </w:rPr>
        <w:drawing>
          <wp:anchor distT="0" distB="0" distL="114300" distR="114300" simplePos="0" relativeHeight="251706368" behindDoc="0" locked="0" layoutInCell="1" allowOverlap="0">
            <wp:simplePos x="0" y="0"/>
            <wp:positionH relativeFrom="column">
              <wp:posOffset>465288</wp:posOffset>
            </wp:positionH>
            <wp:positionV relativeFrom="paragraph">
              <wp:posOffset>-3870409</wp:posOffset>
            </wp:positionV>
            <wp:extent cx="5394960" cy="3863340"/>
            <wp:effectExtent l="0" t="0" r="0" b="0"/>
            <wp:wrapSquare wrapText="bothSides"/>
            <wp:docPr id="8174" name="Picture 8174"/>
            <wp:cNvGraphicFramePr/>
            <a:graphic xmlns:a="http://schemas.openxmlformats.org/drawingml/2006/main">
              <a:graphicData uri="http://schemas.openxmlformats.org/drawingml/2006/picture">
                <pic:pic xmlns:pic="http://schemas.openxmlformats.org/drawingml/2006/picture">
                  <pic:nvPicPr>
                    <pic:cNvPr id="8174" name="Picture 8174"/>
                    <pic:cNvPicPr/>
                  </pic:nvPicPr>
                  <pic:blipFill>
                    <a:blip r:embed="rId33"/>
                    <a:stretch>
                      <a:fillRect/>
                    </a:stretch>
                  </pic:blipFill>
                  <pic:spPr>
                    <a:xfrm>
                      <a:off x="0" y="0"/>
                      <a:ext cx="5394960" cy="386334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column">
                  <wp:posOffset>6542599</wp:posOffset>
                </wp:positionH>
                <wp:positionV relativeFrom="paragraph">
                  <wp:posOffset>-548533</wp:posOffset>
                </wp:positionV>
                <wp:extent cx="237530" cy="3313100"/>
                <wp:effectExtent l="0" t="0" r="0" b="0"/>
                <wp:wrapSquare wrapText="bothSides"/>
                <wp:docPr id="142090" name="Group 1420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191" name="Rectangle 819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192" name="Rectangle 819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193" name="Rectangle 819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w:t>
                              </w:r>
                              <w:r>
                                <w:rPr>
                                  <w:sz w:val="12"/>
                                </w:rPr>
                                <w:t xml:space="preserve">electrónicamente desde la plataforma esPublico Gestiona | Página 51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2090" style="width:18.7031pt;height:260.874pt;position:absolute;mso-position-horizontal-relative:text;mso-position-horizontal:absolute;margin-left:515.165pt;mso-position-vertical-relative:text;margin-top:-43.1917pt;" coordsize="2375,33131">
                <v:rect id="Rectangle 819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19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19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133 </w:t>
                        </w:r>
                      </w:p>
                    </w:txbxContent>
                  </v:textbox>
                </v:rect>
                <w10:wrap type="square"/>
              </v:group>
            </w:pict>
          </mc:Fallback>
        </mc:AlternateContent>
      </w:r>
      <w:r>
        <w:t>Año 2005</w:t>
      </w:r>
    </w:p>
    <w:p w:rsidR="00085BB7" w:rsidRDefault="004441D3">
      <w:pPr>
        <w:spacing w:line="324" w:lineRule="auto"/>
        <w:ind w:left="736" w:right="903"/>
      </w:pPr>
      <w:r>
        <w:t xml:space="preserve">A partir del año 2006 se puede observar que, al margen de las edificaciones que se describen en las escrituras, aparecen nuevas construcciones que se van ampliando </w:t>
      </w:r>
      <w:r>
        <w:t xml:space="preserve">progresivamente hasta el año 2022, momento en el cual las edificaciones originarias ya no aparecen porque han sido eliminadas por las obras de construcción por fases de la EDARI del Polígono Industrial de Güímar. </w:t>
      </w:r>
    </w:p>
    <w:p w:rsidR="00085BB7" w:rsidRDefault="004441D3">
      <w:pPr>
        <w:spacing w:after="114" w:line="259" w:lineRule="auto"/>
        <w:ind w:left="735"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column">
                  <wp:posOffset>6542599</wp:posOffset>
                </wp:positionH>
                <wp:positionV relativeFrom="paragraph">
                  <wp:posOffset>5349430</wp:posOffset>
                </wp:positionV>
                <wp:extent cx="237530" cy="3313100"/>
                <wp:effectExtent l="0" t="0" r="0" b="0"/>
                <wp:wrapSquare wrapText="bothSides"/>
                <wp:docPr id="142558" name="Group 1425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211" name="Rectangle 821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Cód. Validación: J2W7FCWL64NSP9GMWA6CM2</w:t>
                              </w:r>
                              <w:r>
                                <w:rPr>
                                  <w:sz w:val="12"/>
                                </w:rPr>
                                <w:t xml:space="preserve">H9T </w:t>
                              </w:r>
                            </w:p>
                          </w:txbxContent>
                        </wps:txbx>
                        <wps:bodyPr horzOverflow="overflow" vert="horz" lIns="0" tIns="0" rIns="0" bIns="0" rtlCol="0">
                          <a:noAutofit/>
                        </wps:bodyPr>
                      </wps:wsp>
                      <wps:wsp>
                        <wps:cNvPr id="8212" name="Rectangle 821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213" name="Rectangle 821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2558" style="width:18.7031pt;height:260.874pt;position:absolute;mso-position-horizontal-relative:text;mso-position-horizontal:absolute;margin-left:515.165pt;mso-position-vertical-relative:text;margin-top:421.215pt;" coordsize="2375,33131">
                <v:rect id="Rectangle 821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21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21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133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3889375" cy="5972175"/>
                <wp:effectExtent l="0" t="0" r="0" b="0"/>
                <wp:docPr id="142556" name="Group 142556"/>
                <wp:cNvGraphicFramePr/>
                <a:graphic xmlns:a="http://schemas.openxmlformats.org/drawingml/2006/main">
                  <a:graphicData uri="http://schemas.microsoft.com/office/word/2010/wordprocessingGroup">
                    <wpg:wgp>
                      <wpg:cNvGrpSpPr/>
                      <wpg:grpSpPr>
                        <a:xfrm>
                          <a:off x="0" y="0"/>
                          <a:ext cx="3889375" cy="5972175"/>
                          <a:chOff x="0" y="0"/>
                          <a:chExt cx="3889375" cy="5972175"/>
                        </a:xfrm>
                      </wpg:grpSpPr>
                      <pic:pic xmlns:pic="http://schemas.openxmlformats.org/drawingml/2006/picture">
                        <pic:nvPicPr>
                          <pic:cNvPr id="8197" name="Picture 8197"/>
                          <pic:cNvPicPr/>
                        </pic:nvPicPr>
                        <pic:blipFill>
                          <a:blip r:embed="rId34"/>
                          <a:stretch>
                            <a:fillRect/>
                          </a:stretch>
                        </pic:blipFill>
                        <pic:spPr>
                          <a:xfrm>
                            <a:off x="0" y="3429000"/>
                            <a:ext cx="3389630" cy="2543175"/>
                          </a:xfrm>
                          <a:prstGeom prst="rect">
                            <a:avLst/>
                          </a:prstGeom>
                        </pic:spPr>
                      </pic:pic>
                      <wps:wsp>
                        <wps:cNvPr id="8198" name="Rectangle 8198"/>
                        <wps:cNvSpPr/>
                        <wps:spPr>
                          <a:xfrm>
                            <a:off x="265430" y="3831590"/>
                            <a:ext cx="36253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Año</w:t>
                              </w:r>
                            </w:p>
                          </w:txbxContent>
                        </wps:txbx>
                        <wps:bodyPr horzOverflow="overflow" vert="horz" lIns="0" tIns="0" rIns="0" bIns="0" rtlCol="0">
                          <a:noAutofit/>
                        </wps:bodyPr>
                      </wps:wsp>
                      <wps:wsp>
                        <wps:cNvPr id="8199" name="Rectangle 8199"/>
                        <wps:cNvSpPr/>
                        <wps:spPr>
                          <a:xfrm>
                            <a:off x="539750" y="3831590"/>
                            <a:ext cx="50389"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200" name="Rectangle 8200"/>
                        <wps:cNvSpPr/>
                        <wps:spPr>
                          <a:xfrm>
                            <a:off x="593090" y="3831590"/>
                            <a:ext cx="45194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2006</w:t>
                              </w:r>
                            </w:p>
                          </w:txbxContent>
                        </wps:txbx>
                        <wps:bodyPr horzOverflow="overflow" vert="horz" lIns="0" tIns="0" rIns="0" bIns="0" rtlCol="0">
                          <a:noAutofit/>
                        </wps:bodyPr>
                      </wps:wsp>
                      <pic:pic xmlns:pic="http://schemas.openxmlformats.org/drawingml/2006/picture">
                        <pic:nvPicPr>
                          <pic:cNvPr id="8202" name="Picture 8202"/>
                          <pic:cNvPicPr/>
                        </pic:nvPicPr>
                        <pic:blipFill>
                          <a:blip r:embed="rId35"/>
                          <a:stretch>
                            <a:fillRect/>
                          </a:stretch>
                        </pic:blipFill>
                        <pic:spPr>
                          <a:xfrm>
                            <a:off x="56515" y="0"/>
                            <a:ext cx="3832860" cy="3429000"/>
                          </a:xfrm>
                          <a:prstGeom prst="rect">
                            <a:avLst/>
                          </a:prstGeom>
                        </pic:spPr>
                      </pic:pic>
                    </wpg:wgp>
                  </a:graphicData>
                </a:graphic>
              </wp:inline>
            </w:drawing>
          </mc:Choice>
          <mc:Fallback xmlns:a="http://schemas.openxmlformats.org/drawingml/2006/main" xmlns="">
            <w:pict>
              <v:group id="Group 142556" style="width:306.25pt;height:470.25pt;mso-position-horizontal-relative:char;mso-position-vertical-relative:line" coordsize="38893,59721">
                <v:shape id="Picture 8197" style="position:absolute;width:33896;height:25431;left:0;top:34290;" filled="f">
                  <v:imagedata r:id="rId36"/>
                </v:shape>
                <v:rect id="Rectangle 8198" style="position:absolute;width:3625;height:2026;left:2654;top:38315;" filled="f" stroked="f">
                  <v:textbox inset="0,0,0,0">
                    <w:txbxContent>
                      <w:p>
                        <w:pPr>
                          <w:spacing w:before="0" w:after="160" w:line="259" w:lineRule="auto"/>
                          <w:ind w:left="0" w:right="0" w:firstLine="0"/>
                          <w:jc w:val="left"/>
                        </w:pPr>
                        <w:r>
                          <w:rPr>
                            <w:rFonts w:cs="Calibri" w:hAnsi="Calibri" w:eastAsia="Calibri" w:ascii="Calibri"/>
                            <w:sz w:val="24"/>
                          </w:rPr>
                          <w:t xml:space="preserve">Año</w:t>
                        </w:r>
                      </w:p>
                    </w:txbxContent>
                  </v:textbox>
                </v:rect>
                <v:rect id="Rectangle 8199" style="position:absolute;width:503;height:2026;left:5397;top:38315;"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8200" style="position:absolute;width:4519;height:2026;left:5930;top:38315;" filled="f" stroked="f">
                  <v:textbox inset="0,0,0,0">
                    <w:txbxContent>
                      <w:p>
                        <w:pPr>
                          <w:spacing w:before="0" w:after="160" w:line="259" w:lineRule="auto"/>
                          <w:ind w:left="0" w:right="0" w:firstLine="0"/>
                          <w:jc w:val="left"/>
                        </w:pPr>
                        <w:r>
                          <w:rPr>
                            <w:rFonts w:cs="Calibri" w:hAnsi="Calibri" w:eastAsia="Calibri" w:ascii="Calibri"/>
                            <w:sz w:val="24"/>
                          </w:rPr>
                          <w:t xml:space="preserve">2006</w:t>
                        </w:r>
                      </w:p>
                    </w:txbxContent>
                  </v:textbox>
                </v:rect>
                <v:shape id="Picture 8202" style="position:absolute;width:38328;height:34290;left:565;top:0;" filled="f">
                  <v:imagedata r:id="rId37"/>
                </v:shape>
              </v:group>
            </w:pict>
          </mc:Fallback>
        </mc:AlternateContent>
      </w:r>
    </w:p>
    <w:p w:rsidR="00085BB7" w:rsidRDefault="004441D3">
      <w:pPr>
        <w:spacing w:after="0" w:line="259" w:lineRule="auto"/>
        <w:ind w:left="0" w:firstLine="0"/>
        <w:jc w:val="right"/>
      </w:pPr>
      <w:r>
        <w:rPr>
          <w:rFonts w:ascii="Times New Roman" w:eastAsia="Times New Roman" w:hAnsi="Times New Roman" w:cs="Times New Roman"/>
          <w:sz w:val="24"/>
        </w:rPr>
        <w:t>Año 2019</w:t>
      </w:r>
    </w:p>
    <w:p w:rsidR="00085BB7" w:rsidRDefault="004441D3">
      <w:pPr>
        <w:spacing w:after="375" w:line="259" w:lineRule="auto"/>
        <w:ind w:left="733" w:right="0" w:firstLine="0"/>
        <w:jc w:val="left"/>
      </w:pPr>
      <w:r>
        <w:rPr>
          <w:noProof/>
        </w:rPr>
        <w:drawing>
          <wp:inline distT="0" distB="0" distL="0" distR="0">
            <wp:extent cx="5394960" cy="3398520"/>
            <wp:effectExtent l="0" t="0" r="0" b="0"/>
            <wp:docPr id="8217" name="Picture 8217"/>
            <wp:cNvGraphicFramePr/>
            <a:graphic xmlns:a="http://schemas.openxmlformats.org/drawingml/2006/main">
              <a:graphicData uri="http://schemas.openxmlformats.org/drawingml/2006/picture">
                <pic:pic xmlns:pic="http://schemas.openxmlformats.org/drawingml/2006/picture">
                  <pic:nvPicPr>
                    <pic:cNvPr id="8217" name="Picture 8217"/>
                    <pic:cNvPicPr/>
                  </pic:nvPicPr>
                  <pic:blipFill>
                    <a:blip r:embed="rId38"/>
                    <a:stretch>
                      <a:fillRect/>
                    </a:stretch>
                  </pic:blipFill>
                  <pic:spPr>
                    <a:xfrm>
                      <a:off x="0" y="0"/>
                      <a:ext cx="5394960" cy="3398520"/>
                    </a:xfrm>
                    <a:prstGeom prst="rect">
                      <a:avLst/>
                    </a:prstGeom>
                  </pic:spPr>
                </pic:pic>
              </a:graphicData>
            </a:graphic>
          </wp:inline>
        </w:drawing>
      </w:r>
    </w:p>
    <w:p w:rsidR="00085BB7" w:rsidRDefault="004441D3">
      <w:pPr>
        <w:spacing w:after="79"/>
        <w:ind w:left="736" w:right="903"/>
      </w:pPr>
      <w:r>
        <w:t xml:space="preserve">En virtud del acta de cesión de 23 de julio de 2013, suscrita entre la Asociación Mixta de </w:t>
      </w:r>
    </w:p>
    <w:p w:rsidR="00085BB7" w:rsidRDefault="004441D3">
      <w:pPr>
        <w:spacing w:after="353" w:line="324" w:lineRule="auto"/>
        <w:ind w:left="736" w:right="903"/>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column">
                  <wp:posOffset>6542599</wp:posOffset>
                </wp:positionH>
                <wp:positionV relativeFrom="paragraph">
                  <wp:posOffset>1495717</wp:posOffset>
                </wp:positionV>
                <wp:extent cx="237530" cy="3313100"/>
                <wp:effectExtent l="0" t="0" r="0" b="0"/>
                <wp:wrapSquare wrapText="bothSides"/>
                <wp:docPr id="142799" name="Group 14279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259" name="Rectangle 825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260" name="Rectangle 826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261" name="Rectangle 826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w:t>
                              </w:r>
                              <w:r>
                                <w:rPr>
                                  <w:sz w:val="12"/>
                                </w:rPr>
                                <w:t xml:space="preserve">lico Gestiona | Página 53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2799" style="width:18.7031pt;height:260.874pt;position:absolute;mso-position-horizontal-relative:text;mso-position-horizontal:absolute;margin-left:515.165pt;mso-position-vertical-relative:text;margin-top:117.773pt;" coordsize="2375,33131">
                <v:rect id="Rectangle 825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26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26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133 </w:t>
                        </w:r>
                      </w:p>
                    </w:txbxContent>
                  </v:textbox>
                </v:rect>
                <w10:wrap type="square"/>
              </v:group>
            </w:pict>
          </mc:Fallback>
        </mc:AlternateContent>
      </w:r>
      <w:r>
        <w:t xml:space="preserve">Compensación del Polígono Industrial Valle de Güímar y los ayuntamientos de Candelaria, Arafo y Güímar, mediante la cual, dicha asociación cede a los 3 ayuntamientos antedichos la titularidad de determinados bienes de uso </w:t>
      </w:r>
      <w:r>
        <w:t>o servicio público del Polígono Industrial del Valle de Güímar, entre los que se encuentra el emisario submarino, que figura en el revés de la hoja con código BJ3140861 de la escritura de segregación y cesión obligatoria gratuita de terrenos y otros bienes</w:t>
      </w:r>
      <w:r>
        <w:t xml:space="preserve"> por obligaciones urbanísticas, otorgada por D. Francisco Javier Juan Rico el 23 de julio de 2013, bajo el número 291 de su protocolo, así como en el certificado del acuerdo de pleno del Ayuntamiento de Candelaria de fecha 22 de julio de 2023. En el revés </w:t>
      </w:r>
      <w:r>
        <w:t>de la hoja BJ3140861 de dicha escritura, aparece en el apartado “OTROS INMUEBLES” el emisario submarino descrito de la siguiente manera:</w:t>
      </w:r>
    </w:p>
    <w:p w:rsidR="00085BB7" w:rsidRDefault="004441D3">
      <w:pPr>
        <w:spacing w:after="77"/>
        <w:ind w:left="736" w:right="903"/>
      </w:pPr>
      <w:r>
        <w:t>“B) EMISARIO SUBMARINO</w:t>
      </w:r>
    </w:p>
    <w:p w:rsidR="00085BB7" w:rsidRDefault="004441D3">
      <w:pPr>
        <w:spacing w:after="356" w:line="324" w:lineRule="auto"/>
        <w:ind w:left="715" w:right="874" w:hanging="8"/>
      </w:pPr>
      <w:r>
        <w:rPr>
          <w:sz w:val="23"/>
        </w:rPr>
        <w:t xml:space="preserve">Constituido, en su tramo terrestre, por una conducción de fundición de 157m de longitud y, </w:t>
      </w:r>
      <w:r>
        <w:rPr>
          <w:sz w:val="23"/>
        </w:rPr>
        <w:t>en su tramo submarino, por otra conducción de fibrocemento de 500 mm de diámetro y de 540m de longitud. Ambas conducciones se encuentran alojadas en zanjas, y en el tramo final del emisario se derivan los difusores formados por tres ramales, dos de 39,5m d</w:t>
      </w:r>
      <w:r>
        <w:rPr>
          <w:sz w:val="23"/>
        </w:rPr>
        <w:t>e longitud, y el tercero de 69,5m, todas de fibrocemento de 400mm de diámetro.</w:t>
      </w:r>
    </w:p>
    <w:p w:rsidR="00085BB7" w:rsidRDefault="004441D3">
      <w:pPr>
        <w:spacing w:after="123" w:line="324" w:lineRule="auto"/>
        <w:ind w:left="715" w:right="874" w:hanging="8"/>
      </w:pPr>
      <w:r>
        <w:rPr>
          <w:sz w:val="23"/>
        </w:rPr>
        <w:t>Asimismo, el emisario submarino consta, en su cabecera, de una fase de pretratamiento y de una pequeña edificación para la medición del caudal de aguas residuales que se vierten</w:t>
      </w:r>
      <w:r>
        <w:rPr>
          <w:sz w:val="23"/>
        </w:rPr>
        <w:t xml:space="preserve"> al mar.</w:t>
      </w:r>
    </w:p>
    <w:p w:rsidR="00085BB7" w:rsidRDefault="004441D3">
      <w:pPr>
        <w:spacing w:after="2" w:line="324" w:lineRule="auto"/>
        <w:ind w:left="715" w:right="1372" w:hanging="8"/>
      </w:pPr>
      <w:r>
        <w:rPr>
          <w:sz w:val="23"/>
        </w:rPr>
        <w:t>Se encuentra en terrenos del término municipal de Arafo, incluidos en la escritura de agrupación de fincas de fecha 31/12/1976, nº 2.318 del Protocolo de D. Alfonso Cavallé Moya”.</w:t>
      </w:r>
    </w:p>
    <w:p w:rsidR="00085BB7" w:rsidRDefault="004441D3">
      <w:pPr>
        <w:spacing w:after="8" w:line="323" w:lineRule="auto"/>
        <w:ind w:left="736" w:right="903"/>
      </w:pPr>
      <w:r>
        <w:t>De esta manera el Ayuntamiento de Candelaria se convierte en cotitular del emisario submarino de manera proindiviso, junto con los ayuntamientos de Arafo y Güímar.</w:t>
      </w:r>
    </w:p>
    <w:p w:rsidR="00085BB7" w:rsidRDefault="004441D3">
      <w:pPr>
        <w:spacing w:after="353" w:line="323" w:lineRule="auto"/>
        <w:ind w:left="736" w:right="1401"/>
      </w:pPr>
      <w:r>
        <w:t>Siendo que la estación depuradora de aguas residuales industriales del Polígono Industrial d</w:t>
      </w:r>
      <w:r>
        <w:t>el Valle de Güímar (EDARI) se ha construido en virtud del convenio firmado el 10 de junio de 2019 entre el Consejo Insular de Aguas y los ayuntamientos de Candelaria, Arafo y Güímar.</w:t>
      </w:r>
    </w:p>
    <w:p w:rsidR="00085BB7" w:rsidRDefault="004441D3">
      <w:pPr>
        <w:spacing w:after="353" w:line="324" w:lineRule="auto"/>
        <w:ind w:left="736" w:right="1406"/>
      </w:pPr>
      <w:r>
        <w:t>Según oficio del Ayuntamiento de Arafo recibido el 15 de julio de 2024, c</w:t>
      </w:r>
      <w:r>
        <w:t xml:space="preserve">onsta que se ha formalizado el acta de recepción de la estación de aguas residuales industriales del Polígono Industrial del Valle de Güímar (EDARI) con fecha 24 de noviembre de 2023. </w:t>
      </w:r>
    </w:p>
    <w:p w:rsidR="00085BB7" w:rsidRDefault="004441D3">
      <w:pPr>
        <w:spacing w:after="7" w:line="324" w:lineRule="auto"/>
        <w:ind w:left="736" w:right="1403"/>
      </w:pPr>
      <w:r>
        <w:t>Por tanto, dicha infraestructura ha sido construida sobre la parcela de</w:t>
      </w:r>
      <w:r>
        <w:t xml:space="preserve">l emisario submarino que se acredita en la escritura de segregación y cesión obligatoria gratuita de terrenos y otros bienes por obligaciones urbanísticas, otorgada por D. Francisco Javier Juan Rico el 23 </w:t>
      </w:r>
    </w:p>
    <w:p w:rsidR="00085BB7" w:rsidRDefault="004441D3">
      <w:pPr>
        <w:spacing w:after="8" w:line="323" w:lineRule="auto"/>
        <w:ind w:left="736" w:right="903"/>
      </w:pPr>
      <w:r>
        <w:t>de julio de 2013, bajo el número 291 de su protoco</w:t>
      </w:r>
      <w:r>
        <w:t>lo, de la que es copropietario el Ayuntamiento de Candelaria junto a los ayuntamientos de Arafo y Güímar.</w:t>
      </w:r>
    </w:p>
    <w:p w:rsidR="00085BB7" w:rsidRDefault="004441D3">
      <w:pPr>
        <w:spacing w:after="558" w:line="308" w:lineRule="auto"/>
        <w:ind w:left="736" w:right="903"/>
      </w:pPr>
      <w:r>
        <w:t>Comprobando la base de datos catastral, la referencia catastral de la parcela es 6151401CS6365S0001ME y ocupa una superficie de 6034m</w:t>
      </w:r>
      <w:r>
        <w:rPr>
          <w:vertAlign w:val="superscript"/>
        </w:rPr>
        <w:t>2</w:t>
      </w:r>
      <w:r>
        <w:t>.</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3002" name="Group 14300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05" name="Rectangle 830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Cód. Valida</w:t>
                              </w:r>
                              <w:r>
                                <w:rPr>
                                  <w:sz w:val="12"/>
                                </w:rPr>
                                <w:t xml:space="preserve">ción: J2W7FCWL64NSP9GMWA6CM2H9T </w:t>
                              </w:r>
                            </w:p>
                          </w:txbxContent>
                        </wps:txbx>
                        <wps:bodyPr horzOverflow="overflow" vert="horz" lIns="0" tIns="0" rIns="0" bIns="0" rtlCol="0">
                          <a:noAutofit/>
                        </wps:bodyPr>
                      </wps:wsp>
                      <wps:wsp>
                        <wps:cNvPr id="8306" name="Rectangle 830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307" name="Rectangle 830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54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3002" style="width:18.7031pt;height:260.874pt;mso-position-horizontal-relative:char;mso-position-vertical-relative:line" coordsize="2375,33131">
                <v:rect id="Rectangle 830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3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3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133 </w:t>
                        </w:r>
                      </w:p>
                    </w:txbxContent>
                  </v:textbox>
                </v:rect>
              </v:group>
            </w:pict>
          </mc:Fallback>
        </mc:AlternateContent>
      </w:r>
    </w:p>
    <w:p w:rsidR="00085BB7" w:rsidRDefault="004441D3">
      <w:pPr>
        <w:spacing w:after="9" w:line="259" w:lineRule="auto"/>
        <w:ind w:left="540" w:right="0" w:firstLine="0"/>
        <w:jc w:val="left"/>
      </w:pPr>
      <w:r>
        <w:rPr>
          <w:noProof/>
        </w:rPr>
        <w:drawing>
          <wp:inline distT="0" distB="0" distL="0" distR="0">
            <wp:extent cx="5646420" cy="3985260"/>
            <wp:effectExtent l="0" t="0" r="0" b="0"/>
            <wp:docPr id="8313" name="Picture 8313"/>
            <wp:cNvGraphicFramePr/>
            <a:graphic xmlns:a="http://schemas.openxmlformats.org/drawingml/2006/main">
              <a:graphicData uri="http://schemas.openxmlformats.org/drawingml/2006/picture">
                <pic:pic xmlns:pic="http://schemas.openxmlformats.org/drawingml/2006/picture">
                  <pic:nvPicPr>
                    <pic:cNvPr id="8313" name="Picture 8313"/>
                    <pic:cNvPicPr/>
                  </pic:nvPicPr>
                  <pic:blipFill>
                    <a:blip r:embed="rId39"/>
                    <a:stretch>
                      <a:fillRect/>
                    </a:stretch>
                  </pic:blipFill>
                  <pic:spPr>
                    <a:xfrm>
                      <a:off x="0" y="0"/>
                      <a:ext cx="5646420" cy="3985260"/>
                    </a:xfrm>
                    <a:prstGeom prst="rect">
                      <a:avLst/>
                    </a:prstGeom>
                  </pic:spPr>
                </pic:pic>
              </a:graphicData>
            </a:graphic>
          </wp:inline>
        </w:drawing>
      </w:r>
    </w:p>
    <w:p w:rsidR="00085BB7" w:rsidRDefault="004441D3">
      <w:pPr>
        <w:spacing w:after="3" w:line="336" w:lineRule="auto"/>
        <w:ind w:left="730" w:right="1396" w:hanging="10"/>
      </w:pPr>
      <w:r>
        <w:t xml:space="preserve">Por todo lo expuesto, tras las comprobaciones realizadas y la documentación obrante en el expediente, </w:t>
      </w:r>
      <w:r>
        <w:rPr>
          <w:u w:val="single" w:color="000000"/>
        </w:rPr>
        <w:t>se informa favorable la transmisión de la titularidad de la parcela con referencia</w:t>
      </w:r>
      <w:r>
        <w:t xml:space="preserve"> </w:t>
      </w:r>
      <w:r>
        <w:rPr>
          <w:u w:val="single" w:color="000000"/>
        </w:rPr>
        <w:t>catastral 6151401CS6365S0001ME de la que es cotitular de forma proindiv</w:t>
      </w:r>
      <w:r>
        <w:rPr>
          <w:u w:val="single" w:color="000000"/>
        </w:rPr>
        <w:t>iso el</w:t>
      </w:r>
      <w:r>
        <w:t xml:space="preserve"> </w:t>
      </w:r>
      <w:r>
        <w:rPr>
          <w:u w:val="single" w:color="000000"/>
        </w:rPr>
        <w:t>Ayuntamiento de Candelaria, junto con los ayuntamientos de Arafo y Güímar, según</w:t>
      </w:r>
      <w:r>
        <w:t xml:space="preserve"> </w:t>
      </w:r>
      <w:r>
        <w:rPr>
          <w:u w:val="single" w:color="000000"/>
        </w:rPr>
        <w:t>escritura de 23 de julio de 2013 bajo el número 291 de protocolo del notario D. Francisco</w:t>
      </w:r>
      <w:r>
        <w:t xml:space="preserve"> </w:t>
      </w:r>
      <w:r>
        <w:rPr>
          <w:u w:val="single" w:color="000000"/>
        </w:rPr>
        <w:t>Javier Juan Rico y según la ficha catastral que a continuación se expresa:</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2907" name="Group 14290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37" name="Rectangle 833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338" name="Rectangle 833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339" name="Rectangle 833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55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2907" style="width:18.7031pt;height:260.874pt;mso-position-horizontal-relative:char;mso-position-vertical-relative:line" coordsize="2375,33131">
                <v:rect id="Rectangle 833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3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3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133 </w:t>
                        </w:r>
                      </w:p>
                    </w:txbxContent>
                  </v:textbox>
                </v:rect>
              </v:group>
            </w:pict>
          </mc:Fallback>
        </mc:AlternateContent>
      </w:r>
    </w:p>
    <w:p w:rsidR="00085BB7" w:rsidRDefault="004441D3">
      <w:pPr>
        <w:spacing w:after="745" w:line="259" w:lineRule="auto"/>
        <w:ind w:left="495" w:right="0" w:firstLine="0"/>
        <w:jc w:val="left"/>
      </w:pPr>
      <w:r>
        <w:rPr>
          <w:noProof/>
        </w:rPr>
        <w:drawing>
          <wp:inline distT="0" distB="0" distL="0" distR="0">
            <wp:extent cx="5646420" cy="3985260"/>
            <wp:effectExtent l="0" t="0" r="0" b="0"/>
            <wp:docPr id="8343" name="Picture 8343"/>
            <wp:cNvGraphicFramePr/>
            <a:graphic xmlns:a="http://schemas.openxmlformats.org/drawingml/2006/main">
              <a:graphicData uri="http://schemas.openxmlformats.org/drawingml/2006/picture">
                <pic:pic xmlns:pic="http://schemas.openxmlformats.org/drawingml/2006/picture">
                  <pic:nvPicPr>
                    <pic:cNvPr id="8343" name="Picture 8343"/>
                    <pic:cNvPicPr/>
                  </pic:nvPicPr>
                  <pic:blipFill>
                    <a:blip r:embed="rId39"/>
                    <a:stretch>
                      <a:fillRect/>
                    </a:stretch>
                  </pic:blipFill>
                  <pic:spPr>
                    <a:xfrm>
                      <a:off x="0" y="0"/>
                      <a:ext cx="5646420" cy="3985260"/>
                    </a:xfrm>
                    <a:prstGeom prst="rect">
                      <a:avLst/>
                    </a:prstGeom>
                  </pic:spPr>
                </pic:pic>
              </a:graphicData>
            </a:graphic>
          </wp:inline>
        </w:drawing>
      </w:r>
    </w:p>
    <w:p w:rsidR="00085BB7" w:rsidRDefault="004441D3">
      <w:pPr>
        <w:spacing w:after="225" w:line="265" w:lineRule="auto"/>
        <w:ind w:left="548" w:right="1378" w:hanging="10"/>
        <w:jc w:val="center"/>
      </w:pPr>
      <w:r>
        <w:t>FUNDAMENTOS DE DERECHO</w:t>
      </w:r>
    </w:p>
    <w:p w:rsidR="00085BB7" w:rsidRDefault="004441D3">
      <w:pPr>
        <w:spacing w:after="420"/>
        <w:ind w:left="736" w:right="903"/>
      </w:pPr>
      <w:r>
        <w:t>Primero.- Es de aplicación en la transmisión del emisario submarino (que es un bien de dominio público afecto a un servicio público) desde el Ayuntamiento de Arafo, Candelara y Gúimar al Consejo Insular de Aguas de Tenerife, la normativa en materia de patr</w:t>
      </w:r>
      <w:r>
        <w:t xml:space="preserve">imonio de las Administraciones Públicas, que regula la mutación demanial subjetiva: </w:t>
      </w:r>
    </w:p>
    <w:p w:rsidR="00085BB7" w:rsidRDefault="004441D3">
      <w:pPr>
        <w:spacing w:after="440"/>
        <w:ind w:left="736" w:right="903"/>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column">
                  <wp:posOffset>6542599</wp:posOffset>
                </wp:positionH>
                <wp:positionV relativeFrom="paragraph">
                  <wp:posOffset>-303872</wp:posOffset>
                </wp:positionV>
                <wp:extent cx="237530" cy="3313100"/>
                <wp:effectExtent l="0" t="0" r="0" b="0"/>
                <wp:wrapSquare wrapText="bothSides"/>
                <wp:docPr id="142937" name="Group 1429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89" name="Rectangle 838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390" name="Rectangle 839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391" name="Rectangle 839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w:t>
                              </w:r>
                              <w:r>
                                <w:rPr>
                                  <w:sz w:val="12"/>
                                </w:rPr>
                                <w:t xml:space="preserve">stiona | Página 56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2937" style="width:18.7031pt;height:260.874pt;position:absolute;mso-position-horizontal-relative:text;mso-position-horizontal:absolute;margin-left:515.165pt;mso-position-vertical-relative:text;margin-top:-23.927pt;" coordsize="2375,33131">
                <v:rect id="Rectangle 838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39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39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133 </w:t>
                        </w:r>
                      </w:p>
                    </w:txbxContent>
                  </v:textbox>
                </v:rect>
                <w10:wrap type="square"/>
              </v:group>
            </w:pict>
          </mc:Fallback>
        </mc:AlternateContent>
      </w:r>
      <w:r>
        <w:t>La cesión de titularidad de bienes inmuebles a otras Administraciones para los mismos fines a los que el bien se había destinado en la Administración de origen (depuración de aguas residuales industriales) pero modificando el tit</w:t>
      </w:r>
      <w:r>
        <w:t xml:space="preserve">ular del bien que pasa de las entidades locales territoriales que lo tenían en propiedad proindiviso, Ayuntamientos de Arafo, Candelaria y Güimar, a una entidad local no territorial supramunicipal como es el Consejo Insular de Aguas adscrito al ente local </w:t>
      </w:r>
      <w:r>
        <w:t>territorial insular, Cabildo Insular de Tenerife.</w:t>
      </w:r>
    </w:p>
    <w:p w:rsidR="00085BB7" w:rsidRDefault="004441D3">
      <w:pPr>
        <w:spacing w:after="94"/>
        <w:ind w:left="736" w:right="903"/>
      </w:pPr>
      <w:r>
        <w:t>Siguiendo al profesor Santamaría Dacal, son mutaciones demaniales las modificaciones que se producen en el estatuto jurídico de un bien demanial y que pueden consistir en la alteración de su afectación o de</w:t>
      </w:r>
      <w:r>
        <w:t>stino, o en el cambio del sujeto público que ostenta la titularidad correspondiente.</w:t>
      </w:r>
    </w:p>
    <w:p w:rsidR="00085BB7" w:rsidRDefault="004441D3">
      <w:pPr>
        <w:spacing w:after="488"/>
        <w:ind w:left="736" w:right="903"/>
      </w:pPr>
      <w:r>
        <w:t>En la mutación demanial subjetiva -esto es, aquella que implica una traslación de la titularidad del bien (a otra Administración Pública), manteniéndose la naturaleza dema</w:t>
      </w:r>
      <w:r>
        <w:t>nial del bien, pero cambiando la entidad titular de éste; ejemplo: sobre un edificio municipal dedicado a servicios sociales se hace una mutación demanial subjetiva a favor de la Junta de Andalucía de los locales de la planta baja del mismo para que ésta i</w:t>
      </w:r>
      <w:r>
        <w:t>nstale en ellos un Centro de Salud.</w:t>
      </w:r>
    </w:p>
    <w:p w:rsidR="00085BB7" w:rsidRDefault="004441D3">
      <w:pPr>
        <w:ind w:left="736" w:right="903"/>
      </w:pPr>
      <w:r>
        <w:t xml:space="preserve">Arts 73- 74 del Real Decreto 1373/2009, de 28 de agosto, por el que se </w:t>
      </w:r>
    </w:p>
    <w:p w:rsidR="00085BB7" w:rsidRDefault="004441D3">
      <w:pPr>
        <w:spacing w:after="474"/>
        <w:ind w:left="736" w:right="903"/>
      </w:pPr>
      <w:r>
        <w:t>aprueba el Reglamento General de la Ley 33/2003, de 3 de noviembre, del Patrimonio de las Administraciones Públicas que regula la mutación demanial:</w:t>
      </w:r>
    </w:p>
    <w:p w:rsidR="00085BB7" w:rsidRDefault="004441D3">
      <w:pPr>
        <w:spacing w:after="319" w:line="224" w:lineRule="auto"/>
        <w:ind w:left="715" w:right="874" w:hanging="8"/>
      </w:pPr>
      <w:r>
        <w:rPr>
          <w:sz w:val="23"/>
        </w:rPr>
        <w:t>Artículo 73. Competencia.</w:t>
      </w:r>
    </w:p>
    <w:p w:rsidR="00085BB7" w:rsidRDefault="004441D3">
      <w:pPr>
        <w:numPr>
          <w:ilvl w:val="0"/>
          <w:numId w:val="18"/>
        </w:numPr>
        <w:spacing w:after="348" w:line="224" w:lineRule="auto"/>
        <w:ind w:right="1372" w:firstLine="358"/>
      </w:pPr>
      <w:r>
        <w:rPr>
          <w:sz w:val="23"/>
        </w:rPr>
        <w:t>Corresponde al Ministro de Economía y Hacienda acordar la mutación de destino de bienes y derechos demaniales de la Administración General del Estado o de sus organismos públicos, al cumplimiento de fines de uso o servicio públic</w:t>
      </w:r>
      <w:r>
        <w:rPr>
          <w:sz w:val="23"/>
        </w:rPr>
        <w:t>o competencia de otras Administraciones Públicas.</w:t>
      </w:r>
    </w:p>
    <w:p w:rsidR="00085BB7" w:rsidRDefault="004441D3">
      <w:pPr>
        <w:spacing w:after="361" w:line="224" w:lineRule="auto"/>
        <w:ind w:left="707" w:right="1372" w:firstLine="360"/>
      </w:pPr>
      <w:r>
        <w:rPr>
          <w:sz w:val="23"/>
        </w:rPr>
        <w:t>Dicha mutación podrá efectuarse a favor de Comunidades Autónomas cuando éstas prevean en su legislación la posibilidad de afectar bienes demaniales de su titularidad a la Administración General del Estado o</w:t>
      </w:r>
      <w:r>
        <w:rPr>
          <w:sz w:val="23"/>
        </w:rPr>
        <w:t xml:space="preserve"> sus organismos públicos, para su dedicación a un uso o servicio de su competencia, de acuerdo con el artículo 71.4 de la Ley.</w:t>
      </w:r>
    </w:p>
    <w:p w:rsidR="00085BB7" w:rsidRDefault="004441D3">
      <w:pPr>
        <w:numPr>
          <w:ilvl w:val="0"/>
          <w:numId w:val="18"/>
        </w:numPr>
        <w:spacing w:after="16" w:line="224" w:lineRule="auto"/>
        <w:ind w:right="1372" w:firstLine="358"/>
      </w:pPr>
      <w:r>
        <w:rPr>
          <w:sz w:val="23"/>
        </w:rPr>
        <w:t>Las mutaciones demaniales de bienes o derechos de otras Administraciones Públicas a favor de la Administración General del Estado</w:t>
      </w:r>
      <w:r>
        <w:rPr>
          <w:sz w:val="23"/>
        </w:rPr>
        <w:t xml:space="preserve"> se aceptarán por el Ministro de Economía y Hacienda, a propuesta del departamento interesado. En la orden se determinará el destino del bien o derecho y la asunción de las competencias demaniales por el departamento correspondiente.</w:t>
      </w:r>
    </w:p>
    <w:p w:rsidR="00085BB7" w:rsidRDefault="004441D3">
      <w:pPr>
        <w:spacing w:after="550" w:line="224" w:lineRule="auto"/>
        <w:ind w:left="707" w:right="1373" w:firstLine="360"/>
      </w:pPr>
      <w:r>
        <w:rPr>
          <w:sz w:val="23"/>
        </w:rPr>
        <w:t>Si la mutación se efec</w:t>
      </w:r>
      <w:r>
        <w:rPr>
          <w:sz w:val="23"/>
        </w:rPr>
        <w:t xml:space="preserve">túa a favor de un organismo dependiente de la Administración General del Estado, corresponderá a su presidente o director su aceptación, que se notificará a la Dirección General del Patrimonio del Estado a efectos de su constancia en el Inventario General </w:t>
      </w:r>
      <w:r>
        <w:rPr>
          <w:sz w:val="23"/>
        </w:rPr>
        <w:t>de Bienes y Derechos del Estado</w:t>
      </w:r>
    </w:p>
    <w:p w:rsidR="00085BB7" w:rsidRDefault="004441D3">
      <w:pPr>
        <w:spacing w:after="335" w:line="224" w:lineRule="auto"/>
        <w:ind w:left="715" w:right="874" w:hanging="8"/>
      </w:pPr>
      <w:r>
        <w:rPr>
          <w:sz w:val="23"/>
        </w:rPr>
        <w:t>Artículo 74. Procedimiento.</w:t>
      </w:r>
    </w:p>
    <w:p w:rsidR="00085BB7" w:rsidRDefault="004441D3">
      <w:pPr>
        <w:numPr>
          <w:ilvl w:val="0"/>
          <w:numId w:val="19"/>
        </w:numPr>
        <w:spacing w:after="359" w:line="224" w:lineRule="auto"/>
        <w:ind w:right="874" w:firstLine="365"/>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column">
                  <wp:posOffset>6542599</wp:posOffset>
                </wp:positionH>
                <wp:positionV relativeFrom="paragraph">
                  <wp:posOffset>665816</wp:posOffset>
                </wp:positionV>
                <wp:extent cx="237530" cy="3313100"/>
                <wp:effectExtent l="0" t="0" r="0" b="0"/>
                <wp:wrapSquare wrapText="bothSides"/>
                <wp:docPr id="143464" name="Group 14346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471" name="Rectangle 847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472" name="Rectangle 847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473" name="Rectangle 847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464" style="width:18.7031pt;height:260.874pt;position:absolute;mso-position-horizontal-relative:text;mso-position-horizontal:absolute;margin-left:515.165pt;mso-position-vertical-relative:text;margin-top:52.4264pt;" coordsize="2375,33131">
                <v:rect id="Rectangle 847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4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4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133 </w:t>
                        </w:r>
                      </w:p>
                    </w:txbxContent>
                  </v:textbox>
                </v:rect>
                <w10:wrap type="square"/>
              </v:group>
            </w:pict>
          </mc:Fallback>
        </mc:AlternateContent>
      </w:r>
      <w:r>
        <w:rPr>
          <w:sz w:val="23"/>
        </w:rPr>
        <w:t>La tramitación del procedimiento de mutación compete a la Dirección General del Patrimonio del Estado, que lo iniciará de oficio, bien a iniciativa propia o a pet</w:t>
      </w:r>
      <w:r>
        <w:rPr>
          <w:sz w:val="23"/>
        </w:rPr>
        <w:t>ición de la Administración Pública interesada. En el procedimiento que se sustancie deberá aportarse la documentación identificativa del bien o derecho cuya mutación se interesa, así como una memoria justificativa en la que se describa el fin, uso o servic</w:t>
      </w:r>
      <w:r>
        <w:rPr>
          <w:sz w:val="23"/>
        </w:rPr>
        <w:t>io público al que se destinará el mismo.</w:t>
      </w:r>
    </w:p>
    <w:p w:rsidR="00085BB7" w:rsidRDefault="004441D3">
      <w:pPr>
        <w:numPr>
          <w:ilvl w:val="0"/>
          <w:numId w:val="19"/>
        </w:numPr>
        <w:spacing w:after="346" w:line="224" w:lineRule="auto"/>
        <w:ind w:right="874" w:firstLine="365"/>
      </w:pPr>
      <w:r>
        <w:rPr>
          <w:sz w:val="23"/>
        </w:rPr>
        <w:t>La orden de mutación demanial deberá contener las menciones requeridas por el artículo 66.1 de la Ley y la referencia catastral, cuando la naturaleza del bien o derecho lo permita, y fijará cuantas condiciones, requ</w:t>
      </w:r>
      <w:r>
        <w:rPr>
          <w:sz w:val="23"/>
        </w:rPr>
        <w:t>isitos y plazos se estimen necesarios para el adecuado uso del bien o derecho, así como las causas de resolución.</w:t>
      </w:r>
    </w:p>
    <w:p w:rsidR="00085BB7" w:rsidRDefault="004441D3">
      <w:pPr>
        <w:spacing w:after="1312" w:line="224" w:lineRule="auto"/>
        <w:ind w:left="707" w:right="874" w:firstLine="360"/>
      </w:pPr>
      <w:r>
        <w:rPr>
          <w:sz w:val="23"/>
        </w:rPr>
        <w:t>La orden surtirá efectos desde la recepción de los bienes por el órgano competente de la Administración Pública a que se destinen, mediante la</w:t>
      </w:r>
      <w:r>
        <w:rPr>
          <w:sz w:val="23"/>
        </w:rPr>
        <w:t xml:space="preserve"> suscripción de un acta entre el representante de ésta, el del departamento u organismo público correspondiente, y el nombrado por la Dirección General del Patrimonio del Estado.</w:t>
      </w:r>
      <w:r>
        <w:t>Segundo. - Es igualmente de aplicación la normativa autonómica de régimen loca</w:t>
      </w:r>
      <w:r>
        <w:t>l en la materia que es el artículo 12 del Decreto 8/2015, de 5 de febrero, para la agilización y modernización de la gestión del patrimonio de las Corporaciones Locales Canarias (BOC 28, de 11.2.2015)</w:t>
      </w:r>
    </w:p>
    <w:p w:rsidR="00085BB7" w:rsidRDefault="004441D3">
      <w:pPr>
        <w:spacing w:after="123" w:line="224" w:lineRule="auto"/>
        <w:ind w:left="715" w:right="874" w:hanging="8"/>
      </w:pPr>
      <w:r>
        <w:rPr>
          <w:sz w:val="23"/>
        </w:rPr>
        <w:t xml:space="preserve">Artículo 12. Cesión de bienes inmuebles demaniales por </w:t>
      </w:r>
      <w:r>
        <w:rPr>
          <w:sz w:val="23"/>
        </w:rPr>
        <w:t xml:space="preserve">mutación. </w:t>
      </w:r>
    </w:p>
    <w:p w:rsidR="00085BB7" w:rsidRDefault="004441D3">
      <w:pPr>
        <w:numPr>
          <w:ilvl w:val="0"/>
          <w:numId w:val="20"/>
        </w:numPr>
        <w:spacing w:after="123" w:line="224" w:lineRule="auto"/>
        <w:ind w:right="1371" w:hanging="10"/>
      </w:pPr>
      <w:r>
        <w:rPr>
          <w:sz w:val="23"/>
        </w:rPr>
        <w:t xml:space="preserve">La cesión de la titularidad de bienes inmuebles demaniales de las entidades locales a favor de las instituciones de la Comunidad Autónoma Canaria, para fines de su competencia vinculados al uso o servicio público, se llevará a cabo por mutación </w:t>
      </w:r>
      <w:r>
        <w:rPr>
          <w:sz w:val="23"/>
        </w:rPr>
        <w:t xml:space="preserve">demanial. </w:t>
      </w:r>
    </w:p>
    <w:p w:rsidR="00085BB7" w:rsidRDefault="004441D3">
      <w:pPr>
        <w:numPr>
          <w:ilvl w:val="0"/>
          <w:numId w:val="20"/>
        </w:numPr>
        <w:spacing w:after="123" w:line="224" w:lineRule="auto"/>
        <w:ind w:right="1371" w:hanging="10"/>
      </w:pPr>
      <w:r>
        <w:rPr>
          <w:sz w:val="23"/>
        </w:rPr>
        <w:t xml:space="preserve">Asimismo, podrá utilizarse tal mutación demanial a favor de la Administración General del Estado y sus organismos públicos, y de las entidades locales a condición de reciprocidad. </w:t>
      </w:r>
    </w:p>
    <w:p w:rsidR="00085BB7" w:rsidRDefault="004441D3">
      <w:pPr>
        <w:numPr>
          <w:ilvl w:val="0"/>
          <w:numId w:val="20"/>
        </w:numPr>
        <w:spacing w:after="115" w:line="216" w:lineRule="auto"/>
        <w:ind w:right="1371" w:hanging="10"/>
      </w:pPr>
      <w:r>
        <w:rPr>
          <w:sz w:val="23"/>
        </w:rPr>
        <w:t>Los cambios de titularidad producidos en las alteraciones de tér</w:t>
      </w:r>
      <w:r>
        <w:rPr>
          <w:sz w:val="23"/>
        </w:rPr>
        <w:t xml:space="preserve">minos municipales </w:t>
      </w:r>
      <w:r>
        <w:rPr>
          <w:sz w:val="23"/>
          <w:u w:val="single" w:color="000000"/>
        </w:rPr>
        <w:t>y</w:t>
      </w:r>
      <w:r>
        <w:rPr>
          <w:sz w:val="23"/>
        </w:rPr>
        <w:t xml:space="preserve"> </w:t>
      </w:r>
      <w:r>
        <w:rPr>
          <w:sz w:val="23"/>
          <w:u w:val="single" w:color="000000"/>
        </w:rPr>
        <w:t>la</w:t>
      </w:r>
      <w:r>
        <w:rPr>
          <w:sz w:val="23"/>
        </w:rPr>
        <w:t xml:space="preserve"> </w:t>
      </w:r>
      <w:r>
        <w:rPr>
          <w:sz w:val="23"/>
          <w:u w:val="single" w:color="000000"/>
        </w:rPr>
        <w:t>adscripción de bienes demaniales a organismos públicos locales, se considerarán</w:t>
      </w:r>
      <w:r>
        <w:rPr>
          <w:sz w:val="23"/>
        </w:rPr>
        <w:t xml:space="preserve"> </w:t>
      </w:r>
      <w:r>
        <w:rPr>
          <w:sz w:val="23"/>
          <w:u w:val="single" w:color="000000"/>
        </w:rPr>
        <w:t>mutaciones demaniales, debiendo los acuerdos finalizadores respectivos determinar si se</w:t>
      </w:r>
      <w:r>
        <w:rPr>
          <w:sz w:val="23"/>
        </w:rPr>
        <w:t xml:space="preserve"> </w:t>
      </w:r>
      <w:r>
        <w:rPr>
          <w:sz w:val="23"/>
          <w:u w:val="single" w:color="000000"/>
        </w:rPr>
        <w:t xml:space="preserve">produce o no cambio de afectación o destino. </w:t>
      </w:r>
    </w:p>
    <w:p w:rsidR="00085BB7" w:rsidRDefault="004441D3">
      <w:pPr>
        <w:numPr>
          <w:ilvl w:val="0"/>
          <w:numId w:val="20"/>
        </w:numPr>
        <w:spacing w:after="123" w:line="224" w:lineRule="auto"/>
        <w:ind w:right="1371" w:hanging="10"/>
      </w:pPr>
      <w:r>
        <w:rPr>
          <w:sz w:val="23"/>
        </w:rPr>
        <w:t>El expediente se tr</w:t>
      </w:r>
      <w:r>
        <w:rPr>
          <w:sz w:val="23"/>
        </w:rPr>
        <w:t xml:space="preserve">amitará por la Corporación Local con arreglo a lo previsto para las mutaciones demaniales en la legislación patrimonial autonómica, no siendo de aplicación lo dispuesto para las cesiones gratuitas por la de régimen local estatal. </w:t>
      </w:r>
      <w:r>
        <w:rPr>
          <w:sz w:val="23"/>
          <w:u w:val="single" w:color="000000"/>
        </w:rPr>
        <w:t>La efectividad de la</w:t>
      </w:r>
      <w:r>
        <w:rPr>
          <w:sz w:val="23"/>
        </w:rPr>
        <w:t xml:space="preserve"> </w:t>
      </w:r>
      <w:r>
        <w:rPr>
          <w:sz w:val="23"/>
          <w:u w:val="single" w:color="000000"/>
        </w:rPr>
        <w:t>mutac</w:t>
      </w:r>
      <w:r>
        <w:rPr>
          <w:sz w:val="23"/>
          <w:u w:val="single" w:color="000000"/>
        </w:rPr>
        <w:t>ión requerirá aceptación del receptor, con formalización de un acta de entrega y</w:t>
      </w:r>
      <w:r>
        <w:rPr>
          <w:sz w:val="23"/>
        </w:rPr>
        <w:t xml:space="preserve"> </w:t>
      </w:r>
      <w:r>
        <w:rPr>
          <w:sz w:val="23"/>
          <w:u w:val="single" w:color="000000"/>
        </w:rPr>
        <w:t>recepción, sin perjuicio de la dación de cuenta al órgano competente de la Comunidad</w:t>
      </w:r>
      <w:r>
        <w:rPr>
          <w:sz w:val="23"/>
        </w:rPr>
        <w:t xml:space="preserve"> </w:t>
      </w:r>
      <w:r>
        <w:rPr>
          <w:sz w:val="23"/>
          <w:u w:val="single" w:color="000000"/>
        </w:rPr>
        <w:t xml:space="preserve">Autónoma de Canarias en materia de administración local. </w:t>
      </w:r>
    </w:p>
    <w:p w:rsidR="00085BB7" w:rsidRDefault="004441D3">
      <w:pPr>
        <w:numPr>
          <w:ilvl w:val="0"/>
          <w:numId w:val="20"/>
        </w:numPr>
        <w:spacing w:after="123" w:line="224" w:lineRule="auto"/>
        <w:ind w:right="1371" w:hanging="10"/>
      </w:pPr>
      <w:r>
        <w:rPr>
          <w:sz w:val="23"/>
        </w:rPr>
        <w:t>Si el bien o derecho no fuera de</w:t>
      </w:r>
      <w:r>
        <w:rPr>
          <w:sz w:val="23"/>
        </w:rPr>
        <w:t xml:space="preserve">stinado al uso o servicio público para el que fue cedido, o dejare de destinarse posteriormente a tal fin, revertirá a la entidad local transmitente, integrándose a su propio patrimonio con todas sus pertenencias y accesiones </w:t>
      </w:r>
      <w:r>
        <w:t>Por tanto, de ambas normas, es</w:t>
      </w:r>
      <w:r>
        <w:t>tatales y autonómicas, concluimos que el procedimiento para la mutación demanial subjetiva se requiere los siguientes trámites:</w:t>
      </w:r>
    </w:p>
    <w:p w:rsidR="00085BB7" w:rsidRDefault="004441D3">
      <w:pPr>
        <w:spacing w:after="3" w:line="265" w:lineRule="auto"/>
        <w:ind w:left="10" w:right="1461" w:hanging="10"/>
        <w:jc w:val="right"/>
      </w:pPr>
      <w:r>
        <w:t xml:space="preserve">     1.- Acuerdo del pleno del Ayuntamiento de Candelaria de la aprobación de </w:t>
      </w:r>
    </w:p>
    <w:p w:rsidR="00085BB7" w:rsidRDefault="004441D3">
      <w:pPr>
        <w:spacing w:after="420"/>
        <w:ind w:left="736" w:right="1404"/>
      </w:pPr>
      <w:r>
        <w:t>la mutación demanial subjetiva porque muta o cambia el sujeto titular del bien de dominio público (emisario submarino del Polígono de Güimar) que ahora es proindiviso los Ayuntamientos de Arafo, Candelaria y Güimar y después de la transmisión pasa a ser el</w:t>
      </w:r>
      <w:r>
        <w:t xml:space="preserve"> Consejo Insular de Aguas de Tenerife) pero no cambia la afectación o destino del bien (sigue siendo la depuración de aguas industriales)  y se conserva  la calificación jurídica del bien que sigue siendo de dominio público y la afectación del bien que sig</w:t>
      </w:r>
      <w:r>
        <w:t>ue estando afecto a la depuración de aguas residuales industriales pero ahora con un sistema constructivo de estación depuradora que cumple con las directivas comunitarias.</w:t>
      </w:r>
    </w:p>
    <w:p w:rsidR="00085BB7" w:rsidRDefault="004441D3">
      <w:pPr>
        <w:spacing w:after="107"/>
        <w:ind w:left="1861" w:right="903"/>
      </w:pPr>
      <w:r>
        <w:t xml:space="preserve">   2.- Notificación a los copropietarios y al transmitido, Consejo Insular de Aguas</w:t>
      </w:r>
      <w:r>
        <w:t>.</w:t>
      </w:r>
    </w:p>
    <w:p w:rsidR="00085BB7" w:rsidRDefault="004441D3">
      <w:pPr>
        <w:spacing w:after="10"/>
        <w:ind w:left="2159" w:right="903"/>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column">
                  <wp:posOffset>6542599</wp:posOffset>
                </wp:positionH>
                <wp:positionV relativeFrom="paragraph">
                  <wp:posOffset>-54951</wp:posOffset>
                </wp:positionV>
                <wp:extent cx="237530" cy="3313100"/>
                <wp:effectExtent l="0" t="0" r="0" b="0"/>
                <wp:wrapSquare wrapText="bothSides"/>
                <wp:docPr id="143835" name="Group 14383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562" name="Rectangle 856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563" name="Rectangle 856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564" name="Rectangle 856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835" style="width:18.7031pt;height:260.874pt;position:absolute;mso-position-horizontal-relative:text;mso-position-horizontal:absolute;margin-left:515.165pt;mso-position-vertical-relative:text;margin-top:-4.32697pt;" coordsize="2375,33131">
                <v:rect id="Rectangle 856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5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5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133 </w:t>
                        </w:r>
                      </w:p>
                    </w:txbxContent>
                  </v:textbox>
                </v:rect>
                <w10:wrap type="square"/>
              </v:group>
            </w:pict>
          </mc:Fallback>
        </mc:AlternateContent>
      </w:r>
      <w:r>
        <w:t>3.- Acta de aceptación del receptor, con formalización d</w:t>
      </w:r>
      <w:r>
        <w:t xml:space="preserve">e un acta de </w:t>
      </w:r>
    </w:p>
    <w:p w:rsidR="00085BB7" w:rsidRDefault="004441D3">
      <w:pPr>
        <w:spacing w:after="112"/>
        <w:ind w:left="736" w:right="903"/>
      </w:pPr>
      <w:r>
        <w:t>entrega y recepción entre los representantes de los Ayuntamientos cedentes y el CIATF receptor del que den fe los Secretarios.</w:t>
      </w:r>
    </w:p>
    <w:p w:rsidR="00085BB7" w:rsidRDefault="004441D3">
      <w:pPr>
        <w:spacing w:after="623" w:line="265" w:lineRule="auto"/>
        <w:ind w:left="10" w:right="906" w:hanging="10"/>
        <w:jc w:val="right"/>
      </w:pPr>
      <w:r>
        <w:t xml:space="preserve">          4.- Dación de cuenta a la Comunidad Autónoma como control de legalidad.</w:t>
      </w:r>
    </w:p>
    <w:p w:rsidR="00085BB7" w:rsidRDefault="004441D3">
      <w:pPr>
        <w:spacing w:after="2893"/>
        <w:ind w:left="736" w:right="903"/>
      </w:pPr>
      <w:r>
        <w:t>Tercero. - Es competente el Pleno de la Corporación siendo de aplicación por analogía el artículo 22.2 letra i) de la Ley de Bases del Régimen local:</w:t>
      </w:r>
    </w:p>
    <w:p w:rsidR="00085BB7" w:rsidRDefault="004441D3">
      <w:pPr>
        <w:ind w:left="3009" w:right="903"/>
      </w:pPr>
      <w:r>
        <w:t>PROPUESTA DE ACUERDO AL PLEN</w:t>
      </w:r>
    </w:p>
    <w:p w:rsidR="00085BB7" w:rsidRDefault="004441D3">
      <w:pPr>
        <w:spacing w:after="90"/>
        <w:ind w:left="736" w:right="1401"/>
      </w:pPr>
      <w:r>
        <w:t xml:space="preserve">Primero. - Aprobar la transmisión mediante mutación demanial subjetiva a </w:t>
      </w:r>
      <w:r>
        <w:rPr>
          <w:rFonts w:ascii="Times New Roman" w:eastAsia="Times New Roman" w:hAnsi="Times New Roman" w:cs="Times New Roman"/>
          <w:sz w:val="24"/>
        </w:rPr>
        <w:t xml:space="preserve"> </w:t>
      </w:r>
      <w:r>
        <w:t>favor del Consejo Insular de Aguas de Tenerife del siguiente bien de dominio público afecto a un servicio público (depuración de aguas residuales industriales) del que es copropietario proindiviso el Ayuntamiento de Candelaria ( junto a los Ayuntamientos d</w:t>
      </w:r>
      <w:r>
        <w:t>e Arafo y Güimar) según la siguiente escritura pública:</w:t>
      </w:r>
    </w:p>
    <w:p w:rsidR="00085BB7" w:rsidRDefault="004441D3">
      <w:pPr>
        <w:spacing w:after="123" w:line="224" w:lineRule="auto"/>
        <w:ind w:left="715" w:right="874" w:hanging="8"/>
      </w:pPr>
      <w:r>
        <w:rPr>
          <w:sz w:val="23"/>
        </w:rPr>
        <w:t xml:space="preserve">Escritura pública numero de protocolo 291 de fecha 23 de julio de 2023 del notario D. Francisco Javier Juan Rico de la ciudad de Güimar hoja de la escritura BJ3140861: </w:t>
      </w:r>
    </w:p>
    <w:p w:rsidR="00085BB7" w:rsidRDefault="004441D3">
      <w:pPr>
        <w:spacing w:after="3978" w:line="224" w:lineRule="auto"/>
        <w:ind w:left="715" w:right="1375" w:hanging="8"/>
      </w:pPr>
      <w:r>
        <w:rPr>
          <w:sz w:val="23"/>
        </w:rPr>
        <w:t>EMISARIO SUBMARINO: constituido</w:t>
      </w:r>
      <w:r>
        <w:rPr>
          <w:sz w:val="23"/>
        </w:rPr>
        <w:t xml:space="preserve">, en su tramo terrestre, por una conducción de fundición de 157 m de longitud y, en su tramo submarno, por otra conducción de fibrocemento de 500 mm de diámetro y de 540 m de longitud. Ambas conducciones se encuentran alojadas en zanjas, en el tramo final </w:t>
      </w:r>
      <w:r>
        <w:rPr>
          <w:sz w:val="23"/>
        </w:rPr>
        <w:t xml:space="preserve">del emisario se derivan difusores formados por tres ramales, dos de 39,5 m de longitud y el tercero de 69,5m, todos de fibrocemento de 400mm de diámetro. Asimismo el emisario submarino consta, en su cabecera, de una fase de pretratamiento y de una pequeña </w:t>
      </w:r>
      <w:r>
        <w:rPr>
          <w:sz w:val="23"/>
        </w:rPr>
        <w:t>edificación para la medición del caudal de aguas residuales que vierten al mar. Se encuentra en terrenos del término municipal de Arafo, incluidos en la escritura de agrupación de fincas de fecha 31/12/1976, nº 2318 del Protocolo de D. Alfonso Cavallé Moya</w:t>
      </w:r>
      <w:r>
        <w:rPr>
          <w:sz w:val="23"/>
        </w:rPr>
        <w:t xml:space="preserve"> (…)”</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3035" name="Group 14303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08" name="Rectangle 860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609" name="Rectangle 860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610" name="Rectangle 861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59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3035" style="width:18.7031pt;height:260.874pt;mso-position-horizontal-relative:char;mso-position-vertical-relative:line" coordsize="2375,33131">
                <v:rect id="Rectangle 860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60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61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133 </w:t>
                        </w:r>
                      </w:p>
                    </w:txbxContent>
                  </v:textbox>
                </v:rect>
              </v:group>
            </w:pict>
          </mc:Fallback>
        </mc:AlternateContent>
      </w:r>
    </w:p>
    <w:p w:rsidR="00085BB7" w:rsidRDefault="004441D3">
      <w:pPr>
        <w:spacing w:after="362" w:line="265" w:lineRule="auto"/>
        <w:ind w:left="728" w:right="0" w:hanging="10"/>
        <w:jc w:val="left"/>
      </w:pPr>
      <w:r>
        <w:rPr>
          <w:rFonts w:ascii="Calibri" w:eastAsia="Calibri" w:hAnsi="Calibri" w:cs="Calibri"/>
          <w:sz w:val="24"/>
          <w:u w:val="single" w:color="000000"/>
        </w:rPr>
        <w:t xml:space="preserve"> Parcela  con  referencia  catastral  </w:t>
      </w:r>
      <w:r>
        <w:rPr>
          <w:rFonts w:ascii="Calibri" w:eastAsia="Calibri" w:hAnsi="Calibri" w:cs="Calibri"/>
          <w:sz w:val="24"/>
          <w:u w:val="single" w:color="000000"/>
        </w:rPr>
        <w:t xml:space="preserve">6151401CS6365S0001ME </w:t>
      </w:r>
    </w:p>
    <w:p w:rsidR="00085BB7" w:rsidRDefault="004441D3">
      <w:pPr>
        <w:spacing w:after="817" w:line="259" w:lineRule="auto"/>
        <w:ind w:left="495" w:right="0" w:firstLine="0"/>
        <w:jc w:val="left"/>
      </w:pPr>
      <w:r>
        <w:rPr>
          <w:rFonts w:ascii="Calibri" w:eastAsia="Calibri" w:hAnsi="Calibri" w:cs="Calibri"/>
          <w:noProof/>
        </w:rPr>
        <mc:AlternateContent>
          <mc:Choice Requires="wpg">
            <w:drawing>
              <wp:inline distT="0" distB="0" distL="0" distR="0">
                <wp:extent cx="4930140" cy="2816860"/>
                <wp:effectExtent l="0" t="0" r="0" b="0"/>
                <wp:docPr id="143152" name="Group 143152"/>
                <wp:cNvGraphicFramePr/>
                <a:graphic xmlns:a="http://schemas.openxmlformats.org/drawingml/2006/main">
                  <a:graphicData uri="http://schemas.microsoft.com/office/word/2010/wordprocessingGroup">
                    <wpg:wgp>
                      <wpg:cNvGrpSpPr/>
                      <wpg:grpSpPr>
                        <a:xfrm>
                          <a:off x="0" y="0"/>
                          <a:ext cx="4930140" cy="2816860"/>
                          <a:chOff x="0" y="0"/>
                          <a:chExt cx="4930140" cy="2816860"/>
                        </a:xfrm>
                      </wpg:grpSpPr>
                      <wps:wsp>
                        <wps:cNvPr id="143140" name="Rectangle 143140"/>
                        <wps:cNvSpPr/>
                        <wps:spPr>
                          <a:xfrm>
                            <a:off x="132080" y="71120"/>
                            <a:ext cx="66430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Parcela</w:t>
                              </w:r>
                            </w:p>
                          </w:txbxContent>
                        </wps:txbx>
                        <wps:bodyPr horzOverflow="overflow" vert="horz" lIns="0" tIns="0" rIns="0" bIns="0" rtlCol="0">
                          <a:noAutofit/>
                        </wps:bodyPr>
                      </wps:wsp>
                      <wps:wsp>
                        <wps:cNvPr id="143141" name="Rectangle 143141"/>
                        <wps:cNvSpPr/>
                        <wps:spPr>
                          <a:xfrm>
                            <a:off x="632460" y="71120"/>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3142" name="Rectangle 143142"/>
                        <wps:cNvSpPr/>
                        <wps:spPr>
                          <a:xfrm>
                            <a:off x="684530" y="71120"/>
                            <a:ext cx="33158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con</w:t>
                              </w:r>
                            </w:p>
                          </w:txbxContent>
                        </wps:txbx>
                        <wps:bodyPr horzOverflow="overflow" vert="horz" lIns="0" tIns="0" rIns="0" bIns="0" rtlCol="0">
                          <a:noAutofit/>
                        </wps:bodyPr>
                      </wps:wsp>
                      <wps:wsp>
                        <wps:cNvPr id="143143" name="Rectangle 143143"/>
                        <wps:cNvSpPr/>
                        <wps:spPr>
                          <a:xfrm>
                            <a:off x="933450" y="71120"/>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3144" name="Rectangle 143144"/>
                        <wps:cNvSpPr/>
                        <wps:spPr>
                          <a:xfrm>
                            <a:off x="985520" y="71120"/>
                            <a:ext cx="92436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referencia</w:t>
                              </w:r>
                            </w:p>
                          </w:txbxContent>
                        </wps:txbx>
                        <wps:bodyPr horzOverflow="overflow" vert="horz" lIns="0" tIns="0" rIns="0" bIns="0" rtlCol="0">
                          <a:noAutofit/>
                        </wps:bodyPr>
                      </wps:wsp>
                      <wps:wsp>
                        <wps:cNvPr id="143145" name="Rectangle 143145"/>
                        <wps:cNvSpPr/>
                        <wps:spPr>
                          <a:xfrm>
                            <a:off x="1682750" y="71120"/>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3146" name="Rectangle 143146"/>
                        <wps:cNvSpPr/>
                        <wps:spPr>
                          <a:xfrm>
                            <a:off x="1737360" y="71120"/>
                            <a:ext cx="777697"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catastral</w:t>
                              </w:r>
                            </w:p>
                          </w:txbxContent>
                        </wps:txbx>
                        <wps:bodyPr horzOverflow="overflow" vert="horz" lIns="0" tIns="0" rIns="0" bIns="0" rtlCol="0">
                          <a:noAutofit/>
                        </wps:bodyPr>
                      </wps:wsp>
                      <wps:wsp>
                        <wps:cNvPr id="143147" name="Rectangle 143147"/>
                        <wps:cNvSpPr/>
                        <wps:spPr>
                          <a:xfrm>
                            <a:off x="2321560" y="71120"/>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3149" name="Rectangle 143149"/>
                        <wps:cNvSpPr/>
                        <wps:spPr>
                          <a:xfrm>
                            <a:off x="2372360" y="71120"/>
                            <a:ext cx="2046096"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6151401CS6365S0001</w:t>
                              </w:r>
                            </w:p>
                          </w:txbxContent>
                        </wps:txbx>
                        <wps:bodyPr horzOverflow="overflow" vert="horz" lIns="0" tIns="0" rIns="0" bIns="0" rtlCol="0">
                          <a:noAutofit/>
                        </wps:bodyPr>
                      </wps:wsp>
                      <wps:wsp>
                        <wps:cNvPr id="143150" name="Rectangle 143150"/>
                        <wps:cNvSpPr/>
                        <wps:spPr>
                          <a:xfrm>
                            <a:off x="3910948" y="71120"/>
                            <a:ext cx="302841"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ME</w:t>
                              </w:r>
                            </w:p>
                          </w:txbxContent>
                        </wps:txbx>
                        <wps:bodyPr horzOverflow="overflow" vert="horz" lIns="0" tIns="0" rIns="0" bIns="0" rtlCol="0">
                          <a:noAutofit/>
                        </wps:bodyPr>
                      </wps:wsp>
                      <wps:wsp>
                        <wps:cNvPr id="143148" name="Rectangle 143148"/>
                        <wps:cNvSpPr/>
                        <wps:spPr>
                          <a:xfrm>
                            <a:off x="4142740" y="71120"/>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8636" name="Picture 8636"/>
                          <pic:cNvPicPr/>
                        </pic:nvPicPr>
                        <pic:blipFill>
                          <a:blip r:embed="rId40"/>
                          <a:stretch>
                            <a:fillRect/>
                          </a:stretch>
                        </pic:blipFill>
                        <pic:spPr>
                          <a:xfrm>
                            <a:off x="0" y="0"/>
                            <a:ext cx="4930140" cy="2816860"/>
                          </a:xfrm>
                          <a:prstGeom prst="rect">
                            <a:avLst/>
                          </a:prstGeom>
                        </pic:spPr>
                      </pic:pic>
                    </wpg:wgp>
                  </a:graphicData>
                </a:graphic>
              </wp:inline>
            </w:drawing>
          </mc:Choice>
          <mc:Fallback xmlns:a="http://schemas.openxmlformats.org/drawingml/2006/main" xmlns="">
            <w:pict>
              <v:group id="Group 143152" style="width:388.2pt;height:221.8pt;mso-position-horizontal-relative:char;mso-position-vertical-relative:line" coordsize="49301,28168">
                <v:rect id="Rectangle 143140" style="position:absolute;width:6643;height:2026;left:1320;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Parcela</w:t>
                        </w:r>
                      </w:p>
                    </w:txbxContent>
                  </v:textbox>
                </v:rect>
                <v:rect id="Rectangle 143141" style="position:absolute;width:511;height:2026;left:6324;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3142" style="position:absolute;width:3315;height:2026;left:6845;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con</w:t>
                        </w:r>
                      </w:p>
                    </w:txbxContent>
                  </v:textbox>
                </v:rect>
                <v:rect id="Rectangle 143143" style="position:absolute;width:511;height:2026;left:9334;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3144" style="position:absolute;width:9243;height:2026;left:9855;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referencia</w:t>
                        </w:r>
                      </w:p>
                    </w:txbxContent>
                  </v:textbox>
                </v:rect>
                <v:rect id="Rectangle 143145" style="position:absolute;width:511;height:2026;left:16827;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3146" style="position:absolute;width:7776;height:2026;left:17373;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catastral</w:t>
                        </w:r>
                      </w:p>
                    </w:txbxContent>
                  </v:textbox>
                </v:rect>
                <v:rect id="Rectangle 143147" style="position:absolute;width:511;height:2026;left:23215;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3149" style="position:absolute;width:20460;height:2026;left:23723;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6151401CS6365S0001</w:t>
                        </w:r>
                      </w:p>
                    </w:txbxContent>
                  </v:textbox>
                </v:rect>
                <v:rect id="Rectangle 143150" style="position:absolute;width:3028;height:2026;left:39109;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ME</w:t>
                        </w:r>
                      </w:p>
                    </w:txbxContent>
                  </v:textbox>
                </v:rect>
                <v:rect id="Rectangle 143148" style="position:absolute;width:511;height:2026;left:41427;top:71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shape id="Picture 8636" style="position:absolute;width:49301;height:28168;left:0;top:0;" filled="f">
                  <v:imagedata r:id="rId41"/>
                </v:shape>
              </v:group>
            </w:pict>
          </mc:Fallback>
        </mc:AlternateContent>
      </w:r>
    </w:p>
    <w:p w:rsidR="00085BB7" w:rsidRDefault="004441D3">
      <w:pPr>
        <w:spacing w:after="85"/>
        <w:ind w:left="1861" w:right="903"/>
      </w:pPr>
      <w:r>
        <w:t>2.- Notificación a los copropietarios y al transmitido, Consejo Insular de Aguas.</w:t>
      </w:r>
    </w:p>
    <w:p w:rsidR="00085BB7" w:rsidRDefault="004441D3">
      <w:pPr>
        <w:spacing w:after="87"/>
        <w:ind w:left="1861" w:right="903"/>
      </w:pPr>
      <w:r>
        <w:t xml:space="preserve">3.- Citarlos para la firma del acta de aceptación del receptor, con </w:t>
      </w:r>
    </w:p>
    <w:p w:rsidR="00085BB7" w:rsidRDefault="004441D3">
      <w:pPr>
        <w:spacing w:after="112"/>
        <w:ind w:left="736" w:right="1412"/>
      </w:pPr>
      <w:r>
        <w:t xml:space="preserve">formalización de un acta de entrega y recepción entre los representantes de los Ayuntamientos cedentes y el CIATF receptor del que den fe los Secretarios en la superficie del bien objeto </w:t>
      </w:r>
      <w:r>
        <w:t>de mutación subjetiva.</w:t>
      </w:r>
    </w:p>
    <w:p w:rsidR="00085BB7" w:rsidRDefault="004441D3">
      <w:pPr>
        <w:spacing w:after="3" w:line="265" w:lineRule="auto"/>
        <w:ind w:left="10" w:right="1462" w:hanging="10"/>
        <w:jc w:val="right"/>
      </w:pPr>
      <w:r>
        <w:t xml:space="preserve">      4.- Dación de cuenta a la Comunidad Autónoma como control de legalidad </w:t>
      </w:r>
    </w:p>
    <w:p w:rsidR="00085BB7" w:rsidRDefault="004441D3">
      <w:pPr>
        <w:spacing w:after="495"/>
        <w:ind w:left="736" w:right="903"/>
      </w:pPr>
      <w:r>
        <w:t>de la presente mutación demanial.”</w:t>
      </w:r>
    </w:p>
    <w:p w:rsidR="00085BB7" w:rsidRDefault="004441D3">
      <w:pPr>
        <w:spacing w:after="252" w:line="259" w:lineRule="auto"/>
        <w:ind w:left="735"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column">
                  <wp:posOffset>6542599</wp:posOffset>
                </wp:positionH>
                <wp:positionV relativeFrom="paragraph">
                  <wp:posOffset>-214523</wp:posOffset>
                </wp:positionV>
                <wp:extent cx="237530" cy="3313100"/>
                <wp:effectExtent l="0" t="0" r="0" b="0"/>
                <wp:wrapSquare wrapText="bothSides"/>
                <wp:docPr id="143153" name="Group 14315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99" name="Rectangle 869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700" name="Rectangle 870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701" name="Rectangle 870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153" style="width:18.7031pt;height:260.874pt;position:absolute;mso-position-horizontal-relative:text;mso-position-horizontal:absolute;margin-left:515.165pt;mso-position-vertical-relative:text;margin-top:-16.8917pt;" coordsize="2375,33131">
                <v:rect id="Rectangle 869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7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7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133 </w:t>
                        </w:r>
                      </w:p>
                    </w:txbxContent>
                  </v:textbox>
                </v:rect>
                <w10:wrap type="square"/>
              </v:group>
            </w:pict>
          </mc:Fallback>
        </mc:AlternateContent>
      </w:r>
      <w:r>
        <w:rPr>
          <w:rFonts w:ascii="Times New Roman" w:eastAsia="Times New Roman" w:hAnsi="Times New Roman" w:cs="Times New Roman"/>
          <w:b/>
          <w:sz w:val="24"/>
        </w:rPr>
        <w:t xml:space="preserve">    </w:t>
      </w:r>
    </w:p>
    <w:p w:rsidR="00085BB7" w:rsidRDefault="004441D3">
      <w:pPr>
        <w:spacing w:after="2994" w:line="259" w:lineRule="auto"/>
        <w:ind w:left="735" w:firstLine="0"/>
        <w:jc w:val="left"/>
      </w:pPr>
      <w:r>
        <w:rPr>
          <w:rFonts w:ascii="Times New Roman" w:eastAsia="Times New Roman" w:hAnsi="Times New Roman" w:cs="Times New Roman"/>
          <w:b/>
          <w:sz w:val="24"/>
        </w:rPr>
        <w:t xml:space="preserve">      </w:t>
      </w:r>
    </w:p>
    <w:p w:rsidR="00085BB7" w:rsidRDefault="004441D3">
      <w:pPr>
        <w:ind w:left="736" w:right="903"/>
      </w:pPr>
      <w:r>
        <w:t xml:space="preserve"> Consta en el expediente propuesta de la Alcaldesa-Presidenta, de fecha 18 de septiembre de 2024, cuyo tenor literal es el siguiente:</w:t>
      </w:r>
    </w:p>
    <w:p w:rsidR="00085BB7" w:rsidRDefault="004441D3">
      <w:pPr>
        <w:spacing w:after="71" w:line="265" w:lineRule="auto"/>
        <w:ind w:left="548" w:right="823" w:hanging="10"/>
        <w:jc w:val="center"/>
      </w:pPr>
      <w:r>
        <w:t>“PROPUESTA DE LA</w:t>
      </w:r>
      <w:r>
        <w:t xml:space="preserve"> ALCALDESA-PRESIDENTA</w:t>
      </w:r>
    </w:p>
    <w:p w:rsidR="00085BB7" w:rsidRDefault="004441D3">
      <w:pPr>
        <w:spacing w:after="438"/>
        <w:ind w:left="736" w:right="903"/>
      </w:pPr>
      <w:r>
        <w:t xml:space="preserve">         Consta en el expediente informe del Secretario General de fecha 18 de septiembre de 2024 que transcrito literalmente dice:</w:t>
      </w:r>
    </w:p>
    <w:p w:rsidR="00085BB7" w:rsidRDefault="004441D3">
      <w:pPr>
        <w:spacing w:after="251" w:line="265" w:lineRule="auto"/>
        <w:ind w:left="548" w:right="1212" w:hanging="10"/>
        <w:jc w:val="center"/>
      </w:pPr>
      <w:r>
        <w:t>“INFORME JURÍDICO</w:t>
      </w:r>
    </w:p>
    <w:p w:rsidR="00085BB7" w:rsidRDefault="004441D3">
      <w:pPr>
        <w:spacing w:after="498"/>
        <w:ind w:left="736" w:right="1408"/>
      </w:pPr>
      <w:r>
        <w:t xml:space="preserve">                          Visto el expediente antedicho, se emite el siguiente informe sobre la transmisión de la titularidad demanial del Emisario Submarino al Consejo Insular de Aguas al que refiere el oficio del Ayuntamiento de Arafo, registrado de entr</w:t>
      </w:r>
      <w:r>
        <w:t>ada en el CIATF el 15 de julio de 2024 y el oficio del Gerente del Consejo Insular de Aguas de Tenerife de fecha 23 de julio de 2024, se informa:</w:t>
      </w:r>
    </w:p>
    <w:p w:rsidR="00085BB7" w:rsidRDefault="004441D3">
      <w:pPr>
        <w:spacing w:after="251" w:line="265" w:lineRule="auto"/>
        <w:ind w:left="548" w:right="1254" w:hanging="10"/>
        <w:jc w:val="center"/>
      </w:pPr>
      <w:r>
        <w:t>ANTECEDENTES DE HECHO</w:t>
      </w:r>
    </w:p>
    <w:p w:rsidR="00085BB7" w:rsidRDefault="004441D3">
      <w:pPr>
        <w:ind w:left="736" w:right="1405"/>
      </w:pPr>
      <w:r>
        <w:t>Primero. - Con fecha 23 de julio de 2013 se produjo el acta recepción protocolizada ante</w:t>
      </w:r>
      <w:r>
        <w:t xml:space="preserve"> notario con escritura número de protocolo 291 de fecha 23 de julio de 2013 de los bienes de uso o servicio público de la Asociación Mixta de Compensación a los Ayuntamientos de Arafo, Candelaria y Güimar entre los que se encuentran, entre otros el emisari</w:t>
      </w:r>
      <w:r>
        <w:t>o submarino que consta de según la hoja de la escritura BJ3140861: “constituido, en su tramo terrestre, por una conducción de fundición de 157 m de longitud y, en su tramo submarno, por otra conducción de fibrocemento de 500 mm de diámetro y de 540 m de lo</w:t>
      </w:r>
      <w:r>
        <w:t>ngitud. Ambas conducciones se encuentran alojadas en zanjas, en el tramo final del emisario se derivan difusores formados por tres ramales, dos de 39,5 m de longitud y el tercero de 69,5m, todos de fibrocemento de 400mm de diámetro. Asimismo, el emisario s</w:t>
      </w:r>
      <w:r>
        <w:t>ubmarino consta, en su cabecera, de una fase de pretratamiento y de una pequeña edificación para la medición del caudal de aguas residuales que vierten al mar. Se encuentra en terrenos del término municipal de Arafo, incluidos en la escritura de agrupación</w:t>
      </w:r>
      <w:r>
        <w:t xml:space="preserve"> de fincas de fecha 31/12/1976, nº 2318 del Protocolo de D. Alfonso Cavallé Moya (…)”</w:t>
      </w:r>
    </w:p>
    <w:p w:rsidR="00085BB7" w:rsidRDefault="004441D3">
      <w:pPr>
        <w:spacing w:after="0"/>
        <w:ind w:left="730" w:right="903" w:firstLine="1134"/>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column">
                  <wp:posOffset>6542599</wp:posOffset>
                </wp:positionH>
                <wp:positionV relativeFrom="paragraph">
                  <wp:posOffset>303187</wp:posOffset>
                </wp:positionV>
                <wp:extent cx="237530" cy="3313100"/>
                <wp:effectExtent l="0" t="0" r="0" b="0"/>
                <wp:wrapSquare wrapText="bothSides"/>
                <wp:docPr id="143245" name="Group 14324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792" name="Rectangle 879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793" name="Rectangle 879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794" name="Rectangle 879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w:t>
                              </w:r>
                              <w:r>
                                <w:rPr>
                                  <w:sz w:val="12"/>
                                </w:rPr>
                                <w:t xml:space="preserve">estiona | Página 61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245" style="width:18.7031pt;height:260.874pt;position:absolute;mso-position-horizontal-relative:text;mso-position-horizontal:absolute;margin-left:515.165pt;mso-position-vertical-relative:text;margin-top:23.873pt;" coordsize="2375,33131">
                <v:rect id="Rectangle 879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7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7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133 </w:t>
                        </w:r>
                      </w:p>
                    </w:txbxContent>
                  </v:textbox>
                </v:rect>
                <w10:wrap type="square"/>
              </v:group>
            </w:pict>
          </mc:Fallback>
        </mc:AlternateContent>
      </w:r>
      <w:r>
        <w:t>Con fecha 10 de junio de 2019 se formalizó Convenio de Colaboración entre el Consejo Insular de Aguas, y los Ayuntamientos de Arafo, Candelaria y Güímar para el desarrollo del Plan de Etapas en el marco del expediente 20147/1110</w:t>
      </w:r>
      <w:r>
        <w:t xml:space="preserve">6 relativo a Emisario Submarino del Polígono Industrial del Valle de Güímar por el Consejo Insular de aguas se comprometió con sus presupuestos a la ejecución del proyecto constructivo de actuaciones </w:t>
      </w:r>
    </w:p>
    <w:p w:rsidR="00085BB7" w:rsidRDefault="004441D3">
      <w:pPr>
        <w:ind w:left="736" w:right="903"/>
      </w:pPr>
      <w:r>
        <w:t>necesarias en materia de tratamiento y vertido en el ám</w:t>
      </w:r>
      <w:r>
        <w:t>bito de los municipios de Candelaria, Arafo y Güimar: EDARI DEL POLÍGONO INDUSTRIAL DEL VALLE DE GÚIMAR Y ACTUACIONES COMPLEMENTARIAS (TMM DE CANDELARIA, ARAFO Y GUIMAR) POR IMPORTE DE 6.495.189,13 EUROS.</w:t>
      </w:r>
    </w:p>
    <w:p w:rsidR="00085BB7" w:rsidRDefault="004441D3">
      <w:pPr>
        <w:ind w:left="730" w:right="903" w:firstLine="1134"/>
      </w:pPr>
      <w:r>
        <w:t>Los Ayuntamientos se obligaban a la ejecución del Plan de Operación y Mantenimiento y a la ejecución del Plan de Vigilancia y Control mediante sus propios presupuestos.</w:t>
      </w:r>
    </w:p>
    <w:p w:rsidR="00085BB7" w:rsidRDefault="004441D3">
      <w:pPr>
        <w:spacing w:after="19"/>
        <w:ind w:left="1885" w:right="903"/>
      </w:pPr>
      <w:r>
        <w:t xml:space="preserve">Segundo.- - Con fecha 18 de septiembre de 2019 la Viceconsejería de Lucha </w:t>
      </w:r>
    </w:p>
    <w:p w:rsidR="00085BB7" w:rsidRDefault="004441D3">
      <w:pPr>
        <w:spacing w:after="0"/>
        <w:ind w:left="736" w:right="903"/>
      </w:pPr>
      <w:r>
        <w:t>contra el Ca</w:t>
      </w:r>
      <w:r>
        <w:t>mbio Climático del Gobierno de Canarias, dicta la Resolución de N.º 33/2019, por la que se otorga al Ayuntamiento de Arafo, en nombre propio y en representación de los Ayuntamientos de Candelaria y Güímar, autorización de vertido desde tierra al mar de agu</w:t>
      </w:r>
      <w:r>
        <w:t xml:space="preserve">as residuales urbanas e industriales depuradas a través del emisario submarino del Polígono </w:t>
      </w:r>
    </w:p>
    <w:p w:rsidR="00085BB7" w:rsidRDefault="004441D3">
      <w:pPr>
        <w:spacing w:after="481"/>
        <w:ind w:left="736" w:right="903"/>
      </w:pPr>
      <w:r>
        <w:t>Industrial del Güímar, ubicado en el término municipal de Arafo</w:t>
      </w:r>
    </w:p>
    <w:p w:rsidR="00085BB7" w:rsidRDefault="004441D3">
      <w:pPr>
        <w:ind w:left="1885" w:right="903"/>
      </w:pPr>
      <w:r>
        <w:t xml:space="preserve">Tercero.- Con fecha 18 de septiembre de 2023, se formaliza el Convenio de </w:t>
      </w:r>
    </w:p>
    <w:p w:rsidR="00085BB7" w:rsidRDefault="004441D3">
      <w:pPr>
        <w:spacing w:after="276"/>
        <w:ind w:left="736" w:right="1412"/>
      </w:pPr>
      <w:r>
        <w:t>Cooperación Interadminis</w:t>
      </w:r>
      <w:r>
        <w:t xml:space="preserve">trativa entre el Consejo Insular de Arafo y los Ayuntamientos de Candelaria, Arafo y Güímar, para la gestión de las Infraestructuras de depuración y vertido de las aguas residuales, urbanas e industriales, de los Sistemas Territoriales del Valle de Güímar </w:t>
      </w:r>
      <w:r>
        <w:t>y el Polígono Industrial del Valle de Güímar.</w:t>
      </w:r>
    </w:p>
    <w:p w:rsidR="00085BB7" w:rsidRDefault="004441D3">
      <w:pPr>
        <w:spacing w:after="18"/>
        <w:ind w:left="730" w:right="979" w:firstLine="1148"/>
      </w:pPr>
      <w:r>
        <w:t xml:space="preserve">Cuarto. - El Consejo Insular de Aguas de Tenerife comunica al Ayuntamiento de Arafo con fecha 18 de diciembre de 2023 y registro de entrada en este Ayuntamiento nº </w:t>
      </w:r>
    </w:p>
    <w:p w:rsidR="00085BB7" w:rsidRDefault="004441D3">
      <w:pPr>
        <w:spacing w:after="19"/>
        <w:ind w:left="736" w:right="903"/>
      </w:pPr>
      <w:r>
        <w:t>2023-E-RC-6401, la recepción de la obra denom</w:t>
      </w:r>
      <w:r>
        <w:t xml:space="preserve">inada “ACTUACIONES NECESARIAS EN </w:t>
      </w:r>
    </w:p>
    <w:p w:rsidR="00085BB7" w:rsidRDefault="004441D3">
      <w:pPr>
        <w:spacing w:after="19"/>
        <w:ind w:left="736" w:right="903"/>
      </w:pPr>
      <w:r>
        <w:t xml:space="preserve">MATERIA DE TRATAMIENTO Y VERTIDO EN EL ÁMBITO DE LOS MUNICIPIOS DE </w:t>
      </w:r>
    </w:p>
    <w:p w:rsidR="00085BB7" w:rsidRDefault="004441D3">
      <w:pPr>
        <w:spacing w:after="19"/>
        <w:ind w:left="736" w:right="903"/>
      </w:pPr>
      <w:r>
        <w:t xml:space="preserve">CANDELARIA, ARAFO Y GÜÍMAR: EDARI DEL POLÍGONO DE VALLE DE GÜÍMAR Y </w:t>
      </w:r>
    </w:p>
    <w:p w:rsidR="00085BB7" w:rsidRDefault="004441D3">
      <w:pPr>
        <w:spacing w:after="484"/>
        <w:ind w:left="736" w:right="1414"/>
      </w:pPr>
      <w:r>
        <w:t>ACTUACIONES COMPLEMENTARIAS (T.M. CANDELARIA – T.M. ARAFO – T.M. DE GÜÍMAR)”, acredit</w:t>
      </w:r>
      <w:r>
        <w:t>ando la formalización del Acta de Recepción de la EDARi, con fecha 24 de noviembre de 2023.¨</w:t>
      </w:r>
    </w:p>
    <w:p w:rsidR="00085BB7" w:rsidRDefault="004441D3">
      <w:pPr>
        <w:spacing w:after="19"/>
        <w:ind w:left="1885" w:right="903"/>
      </w:pPr>
      <w:r>
        <w:t xml:space="preserve">Quinto.- Consta en el expediente oficio del Ayuntamiento de Arafo de 12 de julio </w:t>
      </w:r>
    </w:p>
    <w:p w:rsidR="00085BB7" w:rsidRDefault="004441D3">
      <w:pPr>
        <w:spacing w:after="224"/>
        <w:ind w:left="736" w:right="1403"/>
      </w:pPr>
      <w:r>
        <w:t>de 2023 a los Ayuntamientos de Candelaria, Güimar y el Consejo Insular de Aguas d</w:t>
      </w:r>
      <w:r>
        <w:t>e Tenerife en el que solicita la tramitación del expediente de mutación demanial del emisario submarino para la transmisión de su titularidad al Consejo Insular de Aguas de Tenerife:</w:t>
      </w:r>
    </w:p>
    <w:p w:rsidR="00085BB7" w:rsidRDefault="004441D3">
      <w:pPr>
        <w:spacing w:after="3" w:line="265" w:lineRule="auto"/>
        <w:ind w:left="1889" w:right="1396" w:hanging="10"/>
      </w:pPr>
      <w:r>
        <w:t xml:space="preserve">Por lo anteriormente expuesto, </w:t>
      </w:r>
      <w:r>
        <w:rPr>
          <w:u w:val="single" w:color="000000"/>
        </w:rPr>
        <w:t>se le traslada la necesidad de tramitar la</w:t>
      </w:r>
      <w:r>
        <w:t xml:space="preserve"> </w:t>
      </w:r>
    </w:p>
    <w:p w:rsidR="00085BB7" w:rsidRDefault="004441D3">
      <w:pPr>
        <w:spacing w:after="101" w:line="265" w:lineRule="auto"/>
        <w:ind w:left="730" w:right="1396" w:hanging="10"/>
      </w:pPr>
      <w:r>
        <w:rPr>
          <w:u w:val="single" w:color="000000"/>
        </w:rPr>
        <w:t>correspondiente baja del Emisario Submarino en los inventarios de bienes de los</w:t>
      </w:r>
      <w:r>
        <w:t xml:space="preserve"> </w:t>
      </w:r>
      <w:r>
        <w:rPr>
          <w:u w:val="single" w:color="000000"/>
        </w:rPr>
        <w:t>Ayuntamientos de Candelaria, Arafo y Güímar, quienes son titulares cada uno de ellos de la</w:t>
      </w:r>
      <w:r>
        <w:t xml:space="preserve"> </w:t>
      </w:r>
      <w:r>
        <w:rPr>
          <w:u w:val="single" w:color="000000"/>
        </w:rPr>
        <w:t>tercera parte de dicho bien, en régimen proindiviso, y proceder posteriormente a la</w:t>
      </w:r>
      <w:r>
        <w:t xml:space="preserve"> </w:t>
      </w:r>
      <w:r>
        <w:rPr>
          <w:u w:val="single" w:color="000000"/>
        </w:rPr>
        <w:t>aprobación de acuerdo de cesión por mutación demanial señalada.</w:t>
      </w:r>
      <w:r>
        <w:t xml:space="preserve"> </w:t>
      </w:r>
    </w:p>
    <w:p w:rsidR="00085BB7" w:rsidRDefault="004441D3">
      <w:pPr>
        <w:spacing w:after="19"/>
        <w:ind w:left="1885" w:right="903"/>
      </w:pPr>
      <w:r>
        <w:t xml:space="preserve">De igual manera se impulsará la aprobación de la Adenda al “Convenio de </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column">
                  <wp:posOffset>6542599</wp:posOffset>
                </wp:positionH>
                <wp:positionV relativeFrom="paragraph">
                  <wp:posOffset>981366</wp:posOffset>
                </wp:positionV>
                <wp:extent cx="237530" cy="3313100"/>
                <wp:effectExtent l="0" t="0" r="0" b="0"/>
                <wp:wrapSquare wrapText="bothSides"/>
                <wp:docPr id="143387" name="Group 1433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890" name="Rectangle 889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891" name="Rectangle 889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892" name="Rectangle 889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387" style="width:18.7031pt;height:260.874pt;position:absolute;mso-position-horizontal-relative:text;mso-position-horizontal:absolute;margin-left:515.165pt;mso-position-vertical-relative:text;margin-top:77.2729pt;" coordsize="2375,33131">
                <v:rect id="Rectangle 889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8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8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133 </w:t>
                        </w:r>
                      </w:p>
                    </w:txbxContent>
                  </v:textbox>
                </v:rect>
                <w10:wrap type="square"/>
              </v:group>
            </w:pict>
          </mc:Fallback>
        </mc:AlternateContent>
      </w:r>
      <w:r>
        <w:t>Cooperación Interadministrativa entre el Consejo Insular de Aguas de Tenerife y los Ayuntamientos de Candelaria, Arafo y Güímar para la gestión de las infraestruc</w:t>
      </w:r>
      <w:r>
        <w:t>turas de depuración y vertido de aguas residuales, urbanas e industriales, de los sistemas territoriales del Valle de Güímar y el Polígono Industrial del Valle de Güímar” en la que se transfiera la titularidad del servicio de depuración y vertido de las ag</w:t>
      </w:r>
      <w:r>
        <w:t xml:space="preserve">uas residuales urbanas e industriales depuradas a través del emisario submarino del Polígono Industrial del Valle de Güímar, a favor del Consejo Insular de Aguas de Tenerife. </w:t>
      </w:r>
    </w:p>
    <w:p w:rsidR="00085BB7" w:rsidRDefault="004441D3">
      <w:pPr>
        <w:spacing w:after="484"/>
        <w:ind w:left="730" w:right="903" w:firstLine="1134"/>
      </w:pPr>
      <w:r>
        <w:t>Asimismo, en el supuesto de que exista la voluntad de todos los firmantes del Co</w:t>
      </w:r>
      <w:r>
        <w:t>nvenio de anticipar la fecha de puesta en funcionamiento de la EDARu, se podría incluir en la Adenda donde se acuerde la transferencia de la titularidad de servicio de depuración y vertido, tal compromiso.</w:t>
      </w:r>
    </w:p>
    <w:p w:rsidR="00085BB7" w:rsidRDefault="004441D3">
      <w:pPr>
        <w:spacing w:after="19"/>
        <w:ind w:left="1885" w:right="903"/>
      </w:pPr>
      <w:r>
        <w:t>Sexto.- Consta en el expediente oficio del Gerente</w:t>
      </w:r>
      <w:r>
        <w:t xml:space="preserve"> del Consejo Insular de Aguas </w:t>
      </w:r>
    </w:p>
    <w:p w:rsidR="00085BB7" w:rsidRDefault="004441D3">
      <w:pPr>
        <w:ind w:left="736" w:right="903"/>
      </w:pPr>
      <w:r>
        <w:t xml:space="preserve">de Tenerife por el que se propone que se tenga por solicitada la modificación de a vigente autorización de vertidos, que se inicie el trámite del cambio de titularidad al CIATF de la autorización de vertidos de tierra al mar </w:t>
      </w:r>
      <w:r>
        <w:t>y la concesión de ocupación de terrenos en dominio público marítimo terrestre y se realice el traspaso de la titularidad demanial del emisario submarino desde los tres Ayuntamientos al Consejo Insular de Aguas de Tenerife.</w:t>
      </w:r>
    </w:p>
    <w:p w:rsidR="00085BB7" w:rsidRDefault="004441D3">
      <w:pPr>
        <w:spacing w:after="10"/>
        <w:ind w:left="1885" w:right="903"/>
      </w:pPr>
      <w:r>
        <w:t>SE PROPONE:</w:t>
      </w:r>
    </w:p>
    <w:p w:rsidR="00085BB7" w:rsidRDefault="004441D3">
      <w:pPr>
        <w:spacing w:after="19"/>
        <w:ind w:left="1885" w:right="903"/>
      </w:pPr>
      <w:r>
        <w:t xml:space="preserve"> − Dar traslado de todo lo anterior a la Dirección General de Transición Ecológica </w:t>
      </w:r>
    </w:p>
    <w:p w:rsidR="00085BB7" w:rsidRDefault="004441D3">
      <w:pPr>
        <w:spacing w:after="10"/>
        <w:ind w:left="736" w:right="903"/>
      </w:pPr>
      <w:r>
        <w:t xml:space="preserve">y Lucha contra el Cambio Climático a efectos de que: </w:t>
      </w:r>
    </w:p>
    <w:p w:rsidR="00085BB7" w:rsidRDefault="004441D3">
      <w:pPr>
        <w:numPr>
          <w:ilvl w:val="0"/>
          <w:numId w:val="21"/>
        </w:numPr>
        <w:spacing w:after="102"/>
        <w:ind w:right="903" w:hanging="735"/>
      </w:pPr>
      <w:r>
        <w:t>Se tenga por solicitada la modificación de la vigente AVM en base al nuevo PLAN DE ETAPAS sobrevenido, en relación con</w:t>
      </w:r>
      <w:r>
        <w:t xml:space="preserve"> la puesta en marcha parcial de la EDARu comarcal. </w:t>
      </w:r>
    </w:p>
    <w:p w:rsidR="00085BB7" w:rsidRDefault="004441D3">
      <w:pPr>
        <w:numPr>
          <w:ilvl w:val="0"/>
          <w:numId w:val="21"/>
        </w:numPr>
        <w:ind w:right="903" w:hanging="735"/>
      </w:pPr>
      <w:r>
        <w:t xml:space="preserve">II. Se inicie el trámite de cambio de titularidad al CIATF de la autorización de vertido al mar y concesión de ocupación de terrenos en dominio </w:t>
      </w:r>
    </w:p>
    <w:p w:rsidR="00085BB7" w:rsidRDefault="004441D3">
      <w:pPr>
        <w:spacing w:after="0"/>
        <w:ind w:left="2605" w:right="1397"/>
      </w:pPr>
      <w:r>
        <w:t>público marítimo terrestre, otorgadas previamente al Ayunta</w:t>
      </w:r>
      <w:r>
        <w:t xml:space="preserve">miento de Arafo, en nombre y representación además de los Ayuntamientos de Candelaria y Güímar, con destino al Emisario Submarino sito en el Polígono Industrial de Valle de Güímar, atendiendo a lo estipulado en el </w:t>
      </w:r>
    </w:p>
    <w:p w:rsidR="00085BB7" w:rsidRDefault="004441D3">
      <w:pPr>
        <w:spacing w:after="0"/>
        <w:ind w:left="2605" w:right="1394"/>
      </w:pPr>
      <w:r>
        <w:t>CONVENIO DE COLABORACIÓN ENTRE EL CONSEJO</w:t>
      </w:r>
      <w:r>
        <w:t xml:space="preserve"> INSULAR DE AGUAS, Y LOS AYUNTAMIENTOS DE ARAFO, CANDELARIA Y GÜÍMAR PARA EL DESARROLLO DEL PLAN DE ETAPAS EN EL MARCO DEL EXPEDIENTE 20147/11106 RELATIVO A EMISARIO SUBMARINO DEL POLÍGONO INDUSTRIAL DEL VALLE DE GÜÍMAR (formalizado el 10 de junio de 2019 </w:t>
      </w:r>
      <w:r>
        <w:t>y obrante en el Expediente ya tramitado), así como en el CONVENIO DE COOPERACIÓN INTERADMINISTRATIVA ENTRE EL CONSEJO INSULAR DE AGUAS DE TENERIFE Y LOS AYUNTAMIENTOS DE CANDELARIA, ARAFO Y GÜÍMAR PARA LA GESTIÓN DE LAS INFRAESTRUCTURAS DE DEPURACIÓN Y VER</w:t>
      </w:r>
      <w:r>
        <w:t xml:space="preserve">TIDO DE AGUAS RESIDUALES, URBANAS E INDUSTRIALES, DE LOS SISTEMAS TERRITORIALES DEL VALLE DE GÜIMAR Y DEL POLÍGONO INDUSTRIAL DEL VALLE DE GÜÍMAR </w:t>
      </w:r>
    </w:p>
    <w:p w:rsidR="00085BB7" w:rsidRDefault="004441D3">
      <w:pPr>
        <w:spacing w:after="413" w:line="265" w:lineRule="auto"/>
        <w:ind w:left="2609" w:right="1396" w:hanging="10"/>
      </w:pPr>
      <w:r>
        <w:t xml:space="preserve">(formalizado el 18 de septiembre de 2023), </w:t>
      </w:r>
      <w:r>
        <w:rPr>
          <w:u w:val="single" w:color="000000"/>
        </w:rPr>
        <w:t>y mientras en paralelo se</w:t>
      </w:r>
      <w:r>
        <w:t xml:space="preserve"> </w:t>
      </w:r>
      <w:r>
        <w:rPr>
          <w:u w:val="single" w:color="000000"/>
        </w:rPr>
        <w:t>trabaja por las distintas partes en la f</w:t>
      </w:r>
      <w:r>
        <w:rPr>
          <w:u w:val="single" w:color="000000"/>
        </w:rPr>
        <w:t>ormalización efectiva del traspaso</w:t>
      </w:r>
      <w:r>
        <w:t xml:space="preserve"> </w:t>
      </w:r>
      <w:r>
        <w:rPr>
          <w:u w:val="single" w:color="000000"/>
        </w:rPr>
        <w:t>de</w:t>
      </w:r>
      <w:r>
        <w:t xml:space="preserve"> </w:t>
      </w:r>
      <w:r>
        <w:rPr>
          <w:u w:val="single" w:color="000000"/>
        </w:rPr>
        <w:t>titularidad demanial del Emisario Submarino a que refiere el oficio del</w:t>
      </w:r>
      <w:r>
        <w:t xml:space="preserve"> </w:t>
      </w:r>
      <w:r>
        <w:rPr>
          <w:u w:val="single" w:color="000000"/>
        </w:rPr>
        <w:t>Ayuntamiento de Arafo, registrado de entrada en el CIATF el 15 de julio</w:t>
      </w:r>
      <w:r>
        <w:t xml:space="preserve"> </w:t>
      </w:r>
      <w:r>
        <w:rPr>
          <w:u w:val="single" w:color="000000"/>
        </w:rPr>
        <w:t xml:space="preserve">de 2024. </w:t>
      </w:r>
    </w:p>
    <w:p w:rsidR="00085BB7" w:rsidRDefault="004441D3">
      <w:pPr>
        <w:numPr>
          <w:ilvl w:val="0"/>
          <w:numId w:val="21"/>
        </w:numPr>
        <w:spacing w:after="845" w:line="265" w:lineRule="auto"/>
        <w:ind w:right="903" w:hanging="735"/>
      </w:pPr>
      <w:r>
        <w:rPr>
          <w:u w:val="single" w:color="000000"/>
        </w:rPr>
        <w:t>−</w:t>
      </w:r>
      <w:r>
        <w:rPr>
          <w:u w:val="single" w:color="000000"/>
        </w:rPr>
        <w:t xml:space="preserve">   Dar traslado de todo lo anterior a los Ayuntamientos de Araf</w:t>
      </w:r>
      <w:r>
        <w:rPr>
          <w:u w:val="single" w:color="000000"/>
        </w:rPr>
        <w:t xml:space="preserve">o, </w:t>
      </w:r>
      <w:r>
        <w:t xml:space="preserve"> </w:t>
      </w:r>
      <w:r>
        <w:rPr>
          <w:u w:val="single" w:color="000000"/>
        </w:rPr>
        <w:t>Candelaria y Güímar.</w:t>
      </w:r>
    </w:p>
    <w:p w:rsidR="00085BB7" w:rsidRDefault="004441D3">
      <w:pPr>
        <w:spacing w:after="372"/>
        <w:ind w:left="736" w:right="1406"/>
      </w:pPr>
      <w:r>
        <w:t>Séptimo. - Consta en el expediente informe técnico de fecha 18 de septiembre de 2024 emitido por la Técnico de Bienes Doña Alicia Torres Díaz que transcrito literalmente dice: Visto el expediente antedicho, Alicia Torres Díaz, Técn</w:t>
      </w:r>
      <w:r>
        <w:t>ica de Bienes Municipales, emite el siguiente informe:</w:t>
      </w:r>
    </w:p>
    <w:p w:rsidR="00085BB7" w:rsidRDefault="004441D3">
      <w:pPr>
        <w:spacing w:after="120" w:line="336" w:lineRule="auto"/>
        <w:ind w:left="730" w:hanging="1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column">
                  <wp:posOffset>6542599</wp:posOffset>
                </wp:positionH>
                <wp:positionV relativeFrom="paragraph">
                  <wp:posOffset>88557</wp:posOffset>
                </wp:positionV>
                <wp:extent cx="237530" cy="3313100"/>
                <wp:effectExtent l="0" t="0" r="0" b="0"/>
                <wp:wrapSquare wrapText="bothSides"/>
                <wp:docPr id="143682" name="Group 14368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84" name="Rectangle 8984"/>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8985" name="Rectangle 8985"/>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8986" name="Rectangle 8986"/>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682" style="width:18.7031pt;height:260.874pt;position:absolute;mso-position-horizontal-relative:text;mso-position-horizontal:absolute;margin-left:515.165pt;mso-position-vertical-relative:text;margin-top:6.97296pt;" coordsize="2375,33131">
                <v:rect id="Rectangle 8984"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898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98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133 </w:t>
                        </w:r>
                      </w:p>
                    </w:txbxContent>
                  </v:textbox>
                </v:rect>
                <w10:wrap type="square"/>
              </v:group>
            </w:pict>
          </mc:Fallback>
        </mc:AlternateContent>
      </w:r>
      <w:r>
        <w:rPr>
          <w:color w:val="222222"/>
        </w:rPr>
        <w:t>La creación del polígono industrial del Valle de Güimar se produjo en el año 1973 mediante decreto 1887/1973, de 12 de julio (BOE 30 de julio de 1973).</w:t>
      </w:r>
    </w:p>
    <w:p w:rsidR="00085BB7" w:rsidRDefault="004441D3">
      <w:pPr>
        <w:spacing w:after="0" w:line="336" w:lineRule="auto"/>
        <w:ind w:left="736" w:right="903"/>
      </w:pPr>
      <w:r>
        <w:t>Posteriormente, en la escritura de agrupación de fincas de fecha 31/12/1976, nº 2318 del Protocolo del D</w:t>
      </w:r>
      <w:r>
        <w:t xml:space="preserve">. Alfonso Cavallé Moya, se hace mención a la cesión obligatoria, entre otros, del emisario submarino, con la siguiente descripción: </w:t>
      </w:r>
    </w:p>
    <w:p w:rsidR="00085BB7" w:rsidRDefault="004441D3">
      <w:pPr>
        <w:spacing w:line="336" w:lineRule="auto"/>
        <w:ind w:left="736" w:right="903"/>
      </w:pPr>
      <w:r>
        <w:t xml:space="preserve">“Emisario submarino constituido, en su tramo terrestre, por una conducción de fundición de 157m de longitud y, en su tramo </w:t>
      </w:r>
      <w:r>
        <w:t xml:space="preserve">submarino, por otra conducción de fibrocemento de 500 mm de diámetro y de 540m de longitud. Ambas conducciones se encuentran alojadas en zanjas, y en el tramo final del emisario se derivan los difusores formados por tres ramales, dos de </w:t>
      </w:r>
    </w:p>
    <w:p w:rsidR="00085BB7" w:rsidRDefault="004441D3">
      <w:pPr>
        <w:spacing w:after="109" w:line="259" w:lineRule="auto"/>
        <w:ind w:left="1677" w:right="0" w:firstLine="0"/>
        <w:jc w:val="left"/>
      </w:pPr>
      <w:r>
        <w:rPr>
          <w:noProof/>
        </w:rPr>
        <w:drawing>
          <wp:inline distT="0" distB="0" distL="0" distR="0">
            <wp:extent cx="4890770" cy="3493770"/>
            <wp:effectExtent l="0" t="0" r="0" b="0"/>
            <wp:docPr id="9023" name="Picture 9023"/>
            <wp:cNvGraphicFramePr/>
            <a:graphic xmlns:a="http://schemas.openxmlformats.org/drawingml/2006/main">
              <a:graphicData uri="http://schemas.openxmlformats.org/drawingml/2006/picture">
                <pic:pic xmlns:pic="http://schemas.openxmlformats.org/drawingml/2006/picture">
                  <pic:nvPicPr>
                    <pic:cNvPr id="9023" name="Picture 9023"/>
                    <pic:cNvPicPr/>
                  </pic:nvPicPr>
                  <pic:blipFill>
                    <a:blip r:embed="rId42"/>
                    <a:stretch>
                      <a:fillRect/>
                    </a:stretch>
                  </pic:blipFill>
                  <pic:spPr>
                    <a:xfrm>
                      <a:off x="0" y="0"/>
                      <a:ext cx="4890770" cy="3493770"/>
                    </a:xfrm>
                    <a:prstGeom prst="rect">
                      <a:avLst/>
                    </a:prstGeom>
                  </pic:spPr>
                </pic:pic>
              </a:graphicData>
            </a:graphic>
          </wp:inline>
        </w:drawing>
      </w:r>
    </w:p>
    <w:p w:rsidR="00085BB7" w:rsidRDefault="004441D3">
      <w:pPr>
        <w:spacing w:after="91"/>
        <w:ind w:left="736" w:right="903"/>
      </w:pPr>
      <w:r>
        <w:t>39,5m de longitu</w:t>
      </w:r>
      <w:r>
        <w:t>d, y el tercero de 69,5m, todas de fibrocemento de 400mm de diámetro.</w:t>
      </w:r>
    </w:p>
    <w:p w:rsidR="00085BB7" w:rsidRDefault="004441D3">
      <w:pPr>
        <w:spacing w:after="2" w:line="336" w:lineRule="auto"/>
        <w:ind w:left="736" w:right="1405"/>
      </w:pPr>
      <w:r>
        <w:t>Asimismo, el emisario submarino consta, en su cabecera, de una fase de pretratamiento y de una pequeña edificación para la medición del caudal de aguas residuales que se vierten al mar”.</w:t>
      </w:r>
    </w:p>
    <w:p w:rsidR="00085BB7" w:rsidRDefault="004441D3">
      <w:pPr>
        <w:spacing w:after="386" w:line="336" w:lineRule="auto"/>
        <w:ind w:left="736" w:right="1406"/>
      </w:pPr>
      <w:r>
        <w:t>Consultadas las bases de datos del Sistema de Información Territorial de Canarias del Gobierno de Canarias “IDECAnarias”, se constata gráficamente a través de ortofotos históricas que, hasta el año 2005, en la parcela solo aparecían las construcciones des</w:t>
      </w:r>
      <w:r>
        <w:t>critas en la escritura existen.</w:t>
      </w:r>
    </w:p>
    <w:p w:rsidR="00085BB7" w:rsidRDefault="004441D3">
      <w:pPr>
        <w:spacing w:after="269" w:line="265" w:lineRule="auto"/>
        <w:ind w:left="548" w:right="1062" w:hanging="10"/>
        <w:jc w:val="center"/>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column">
                  <wp:posOffset>6542599</wp:posOffset>
                </wp:positionH>
                <wp:positionV relativeFrom="paragraph">
                  <wp:posOffset>-258152</wp:posOffset>
                </wp:positionV>
                <wp:extent cx="237530" cy="3313100"/>
                <wp:effectExtent l="0" t="0" r="0" b="0"/>
                <wp:wrapSquare wrapText="bothSides"/>
                <wp:docPr id="143730" name="Group 1437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026" name="Rectangle 902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027" name="Rectangle 902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028" name="Rectangle 902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3730" style="width:18.7031pt;height:260.874pt;position:absolute;mso-position-horizontal-relative:text;mso-position-horizontal:absolute;margin-left:515.165pt;mso-position-vertical-relative:text;margin-top:-20.327pt;" coordsize="2375,33131">
                <v:rect id="Rectangle 902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0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0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133 </w:t>
                        </w:r>
                      </w:p>
                    </w:txbxContent>
                  </v:textbox>
                </v:rect>
                <w10:wrap type="square"/>
              </v:group>
            </w:pict>
          </mc:Fallback>
        </mc:AlternateContent>
      </w:r>
      <w:r>
        <w:t>Año 2005</w:t>
      </w:r>
    </w:p>
    <w:p w:rsidR="00085BB7" w:rsidRDefault="004441D3">
      <w:pPr>
        <w:spacing w:after="0" w:line="336" w:lineRule="auto"/>
        <w:ind w:left="738" w:hanging="10"/>
      </w:pPr>
      <w:r>
        <w:rPr>
          <w:sz w:val="24"/>
        </w:rPr>
        <w:t>A partir del año 2006 se puede observar que, al margen de las edificaciones que se describen en las escrituras, aparecen nuevas construcciones que se van ampliando progresivamente hasta el año 2022, momento en el cual las edificaciones originarias ya no ap</w:t>
      </w:r>
      <w:r>
        <w:rPr>
          <w:sz w:val="24"/>
        </w:rPr>
        <w:t xml:space="preserve">arecen porque han sido eliminadas por las obras de construcción por fases de la EDARI del Polígono Industrial de Güímar. </w:t>
      </w:r>
    </w:p>
    <w:p w:rsidR="00085BB7" w:rsidRDefault="004441D3">
      <w:pPr>
        <w:tabs>
          <w:tab w:val="center" w:pos="4396"/>
          <w:tab w:val="center" w:pos="10490"/>
        </w:tabs>
        <w:spacing w:after="0"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3889375" cy="6514465"/>
                <wp:effectExtent l="0" t="0" r="0" b="0"/>
                <wp:docPr id="144130" name="Group 144130"/>
                <wp:cNvGraphicFramePr/>
                <a:graphic xmlns:a="http://schemas.openxmlformats.org/drawingml/2006/main">
                  <a:graphicData uri="http://schemas.microsoft.com/office/word/2010/wordprocessingGroup">
                    <wpg:wgp>
                      <wpg:cNvGrpSpPr/>
                      <wpg:grpSpPr>
                        <a:xfrm>
                          <a:off x="0" y="0"/>
                          <a:ext cx="3889375" cy="6514465"/>
                          <a:chOff x="0" y="0"/>
                          <a:chExt cx="3889375" cy="6514465"/>
                        </a:xfrm>
                      </wpg:grpSpPr>
                      <pic:pic xmlns:pic="http://schemas.openxmlformats.org/drawingml/2006/picture">
                        <pic:nvPicPr>
                          <pic:cNvPr id="9034" name="Picture 9034"/>
                          <pic:cNvPicPr/>
                        </pic:nvPicPr>
                        <pic:blipFill>
                          <a:blip r:embed="rId34"/>
                          <a:stretch>
                            <a:fillRect/>
                          </a:stretch>
                        </pic:blipFill>
                        <pic:spPr>
                          <a:xfrm>
                            <a:off x="0" y="3437255"/>
                            <a:ext cx="3542665" cy="3077210"/>
                          </a:xfrm>
                          <a:prstGeom prst="rect">
                            <a:avLst/>
                          </a:prstGeom>
                        </pic:spPr>
                      </pic:pic>
                      <wps:wsp>
                        <wps:cNvPr id="9035" name="Rectangle 9035"/>
                        <wps:cNvSpPr/>
                        <wps:spPr>
                          <a:xfrm>
                            <a:off x="278130" y="3925570"/>
                            <a:ext cx="36253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Año</w:t>
                              </w:r>
                            </w:p>
                          </w:txbxContent>
                        </wps:txbx>
                        <wps:bodyPr horzOverflow="overflow" vert="horz" lIns="0" tIns="0" rIns="0" bIns="0" rtlCol="0">
                          <a:noAutofit/>
                        </wps:bodyPr>
                      </wps:wsp>
                      <wps:wsp>
                        <wps:cNvPr id="9036" name="Rectangle 9036"/>
                        <wps:cNvSpPr/>
                        <wps:spPr>
                          <a:xfrm>
                            <a:off x="552450" y="3925570"/>
                            <a:ext cx="50389"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9037" name="Rectangle 9037"/>
                        <wps:cNvSpPr/>
                        <wps:spPr>
                          <a:xfrm>
                            <a:off x="605790" y="3925570"/>
                            <a:ext cx="45194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2006</w:t>
                              </w:r>
                            </w:p>
                          </w:txbxContent>
                        </wps:txbx>
                        <wps:bodyPr horzOverflow="overflow" vert="horz" lIns="0" tIns="0" rIns="0" bIns="0" rtlCol="0">
                          <a:noAutofit/>
                        </wps:bodyPr>
                      </wps:wsp>
                      <pic:pic xmlns:pic="http://schemas.openxmlformats.org/drawingml/2006/picture">
                        <pic:nvPicPr>
                          <pic:cNvPr id="9039" name="Picture 9039"/>
                          <pic:cNvPicPr/>
                        </pic:nvPicPr>
                        <pic:blipFill>
                          <a:blip r:embed="rId35"/>
                          <a:stretch>
                            <a:fillRect/>
                          </a:stretch>
                        </pic:blipFill>
                        <pic:spPr>
                          <a:xfrm>
                            <a:off x="56515" y="0"/>
                            <a:ext cx="3832860" cy="3429000"/>
                          </a:xfrm>
                          <a:prstGeom prst="rect">
                            <a:avLst/>
                          </a:prstGeom>
                        </pic:spPr>
                      </pic:pic>
                    </wpg:wgp>
                  </a:graphicData>
                </a:graphic>
              </wp:inline>
            </w:drawing>
          </mc:Choice>
          <mc:Fallback xmlns:a="http://schemas.openxmlformats.org/drawingml/2006/main" xmlns="">
            <w:pict>
              <v:group id="Group 144130" style="width:306.25pt;height:512.95pt;mso-position-horizontal-relative:char;mso-position-vertical-relative:line" coordsize="38893,65144">
                <v:shape id="Picture 9034" style="position:absolute;width:35426;height:30772;left:0;top:34372;" filled="f">
                  <v:imagedata r:id="rId36"/>
                </v:shape>
                <v:rect id="Rectangle 9035" style="position:absolute;width:3625;height:2026;left:2781;top:39255;" filled="f" stroked="f">
                  <v:textbox inset="0,0,0,0">
                    <w:txbxContent>
                      <w:p>
                        <w:pPr>
                          <w:spacing w:before="0" w:after="160" w:line="259" w:lineRule="auto"/>
                          <w:ind w:left="0" w:right="0" w:firstLine="0"/>
                          <w:jc w:val="left"/>
                        </w:pPr>
                        <w:r>
                          <w:rPr>
                            <w:rFonts w:cs="Calibri" w:hAnsi="Calibri" w:eastAsia="Calibri" w:ascii="Calibri"/>
                            <w:sz w:val="24"/>
                          </w:rPr>
                          <w:t xml:space="preserve">Año</w:t>
                        </w:r>
                      </w:p>
                    </w:txbxContent>
                  </v:textbox>
                </v:rect>
                <v:rect id="Rectangle 9036" style="position:absolute;width:503;height:2026;left:5524;top:39255;"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9037" style="position:absolute;width:4519;height:2026;left:6057;top:39255;" filled="f" stroked="f">
                  <v:textbox inset="0,0,0,0">
                    <w:txbxContent>
                      <w:p>
                        <w:pPr>
                          <w:spacing w:before="0" w:after="160" w:line="259" w:lineRule="auto"/>
                          <w:ind w:left="0" w:right="0" w:firstLine="0"/>
                          <w:jc w:val="left"/>
                        </w:pPr>
                        <w:r>
                          <w:rPr>
                            <w:rFonts w:cs="Calibri" w:hAnsi="Calibri" w:eastAsia="Calibri" w:ascii="Calibri"/>
                            <w:sz w:val="24"/>
                          </w:rPr>
                          <w:t xml:space="preserve">2006</w:t>
                        </w:r>
                      </w:p>
                    </w:txbxContent>
                  </v:textbox>
                </v:rect>
                <v:shape id="Picture 9039" style="position:absolute;width:38328;height:34290;left:565;top:0;" filled="f">
                  <v:imagedata r:id="rId37"/>
                </v:shape>
              </v:group>
            </w:pict>
          </mc:Fallback>
        </mc:AlternateContent>
      </w:r>
      <w:r>
        <w:rPr>
          <w:rFonts w:ascii="Calibri" w:eastAsia="Calibri" w:hAnsi="Calibri" w:cs="Calibri"/>
        </w:rPr>
        <w:tab/>
      </w:r>
      <w:r>
        <w:rPr>
          <w:rFonts w:ascii="Calibri" w:eastAsia="Calibri" w:hAnsi="Calibri" w:cs="Calibri"/>
          <w:noProof/>
        </w:rPr>
        <mc:AlternateContent>
          <mc:Choice Requires="wpg">
            <w:drawing>
              <wp:inline distT="0" distB="0" distL="0" distR="0">
                <wp:extent cx="237530" cy="3313100"/>
                <wp:effectExtent l="0" t="0" r="0" b="0"/>
                <wp:docPr id="144131" name="Group 14413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047" name="Rectangle 904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048" name="Rectangle 904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049" name="Rectangle 904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65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131" style="width:18.7031pt;height:260.874pt;mso-position-horizontal-relative:char;mso-position-vertical-relative:line" coordsize="2375,33131">
                <v:rect id="Rectangle 904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04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04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133 </w:t>
                        </w:r>
                      </w:p>
                    </w:txbxContent>
                  </v:textbox>
                </v:rect>
              </v:group>
            </w:pict>
          </mc:Fallback>
        </mc:AlternateContent>
      </w:r>
    </w:p>
    <w:p w:rsidR="00085BB7" w:rsidRDefault="004441D3">
      <w:pPr>
        <w:spacing w:after="75"/>
        <w:ind w:left="2773" w:right="903"/>
      </w:pPr>
      <w:r>
        <w:t>Año 2019</w:t>
      </w:r>
    </w:p>
    <w:p w:rsidR="00085BB7" w:rsidRDefault="004441D3">
      <w:pPr>
        <w:spacing w:after="298" w:line="259" w:lineRule="auto"/>
        <w:ind w:left="733" w:right="0" w:firstLine="0"/>
        <w:jc w:val="left"/>
      </w:pPr>
      <w:r>
        <w:rPr>
          <w:noProof/>
        </w:rPr>
        <w:drawing>
          <wp:inline distT="0" distB="0" distL="0" distR="0">
            <wp:extent cx="5394960" cy="3398520"/>
            <wp:effectExtent l="0" t="0" r="0" b="0"/>
            <wp:docPr id="9054" name="Picture 9054"/>
            <wp:cNvGraphicFramePr/>
            <a:graphic xmlns:a="http://schemas.openxmlformats.org/drawingml/2006/main">
              <a:graphicData uri="http://schemas.openxmlformats.org/drawingml/2006/picture">
                <pic:pic xmlns:pic="http://schemas.openxmlformats.org/drawingml/2006/picture">
                  <pic:nvPicPr>
                    <pic:cNvPr id="9054" name="Picture 9054"/>
                    <pic:cNvPicPr/>
                  </pic:nvPicPr>
                  <pic:blipFill>
                    <a:blip r:embed="rId38"/>
                    <a:stretch>
                      <a:fillRect/>
                    </a:stretch>
                  </pic:blipFill>
                  <pic:spPr>
                    <a:xfrm>
                      <a:off x="0" y="0"/>
                      <a:ext cx="5394960" cy="3398520"/>
                    </a:xfrm>
                    <a:prstGeom prst="rect">
                      <a:avLst/>
                    </a:prstGeom>
                  </pic:spPr>
                </pic:pic>
              </a:graphicData>
            </a:graphic>
          </wp:inline>
        </w:drawing>
      </w:r>
    </w:p>
    <w:p w:rsidR="00085BB7" w:rsidRDefault="004441D3">
      <w:pPr>
        <w:spacing w:after="10"/>
        <w:ind w:left="736" w:right="903"/>
      </w:pPr>
      <w:r>
        <w:t xml:space="preserve">En virtud del acta de cesión de 23 de julio de 2013, suscrita entre la Asociación Mixta de </w:t>
      </w:r>
    </w:p>
    <w:p w:rsidR="00085BB7" w:rsidRDefault="004441D3">
      <w:pPr>
        <w:spacing w:after="356" w:line="336" w:lineRule="auto"/>
        <w:ind w:left="736" w:right="903"/>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column">
                  <wp:posOffset>6542599</wp:posOffset>
                </wp:positionH>
                <wp:positionV relativeFrom="paragraph">
                  <wp:posOffset>1225207</wp:posOffset>
                </wp:positionV>
                <wp:extent cx="237530" cy="3313100"/>
                <wp:effectExtent l="0" t="0" r="0" b="0"/>
                <wp:wrapSquare wrapText="bothSides"/>
                <wp:docPr id="144217" name="Group 14421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098" name="Rectangle 909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099" name="Rectangle 909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100" name="Rectangle 910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4217" style="width:18.7031pt;height:260.874pt;position:absolute;mso-position-horizontal-relative:text;mso-position-horizontal:absolute;margin-left:515.165pt;mso-position-vertical-relative:text;margin-top:96.473pt;" coordsize="2375,33131">
                <v:rect id="Rectangle 909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0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133 </w:t>
                        </w:r>
                      </w:p>
                    </w:txbxContent>
                  </v:textbox>
                </v:rect>
                <w10:wrap type="square"/>
              </v:group>
            </w:pict>
          </mc:Fallback>
        </mc:AlternateContent>
      </w:r>
      <w:r>
        <w:t>Compensación del Polígono Industrial Valle de Güímar y los ayuntamientos de Candelaria, Arafo y Güímar, mediante la cual, dicha asociación cede a los 3 ayuntamientos antedichos la titularidad de determinados bienes de uso o servicio público del Polígono In</w:t>
      </w:r>
      <w:r>
        <w:t>dustrial del Valle de Güímar, entre los que se encuentra el emisario submarino, que figura en el revés de la hoja con código BJ3140861 de la escritura de segregación y cesión obligatoria gratuita de terrenos y otros bienes por obligaciones urbanísticas, ot</w:t>
      </w:r>
      <w:r>
        <w:t>orgada por D. Francisco Javier Juan Rico el 23 de julio de 2013, bajo el número 291 de su protocolo, así como en el certificado del acuerdo de pleno del Ayuntamiento de Candelaria de fecha 22 de julio de 2023. En el revés de la hoja BJ3140861 de dicha escr</w:t>
      </w:r>
      <w:r>
        <w:t>itura, aparece en el apartado “OTROS INMUEBLES” el emisario submarino descrito de la siguiente manera:</w:t>
      </w:r>
    </w:p>
    <w:p w:rsidR="00085BB7" w:rsidRDefault="004441D3">
      <w:pPr>
        <w:ind w:left="736" w:right="903"/>
      </w:pPr>
      <w:r>
        <w:t>“B) EMISARIO SUBMARINO</w:t>
      </w:r>
    </w:p>
    <w:p w:rsidR="00085BB7" w:rsidRDefault="004441D3">
      <w:pPr>
        <w:spacing w:after="2" w:line="336" w:lineRule="auto"/>
        <w:ind w:left="736" w:right="903"/>
      </w:pPr>
      <w:r>
        <w:t>Constituido, en su tramo terrestre, por una conducción de fundición de 157m de longitud y, en su tramo submarino, por otra conducc</w:t>
      </w:r>
      <w:r>
        <w:t>ión de fibrocemento de 500 mm de diámetro y de 540m de longitud. Ambas conducciones se encuentran alojadas en zanjas, y en el tramo final del emisario se derivan los difusores formados por tres ramales, dos de 39,5m de longitud, y el tercero de 69,5m, toda</w:t>
      </w:r>
      <w:r>
        <w:t>s de fibrocemento de 400mm de diámetro.</w:t>
      </w:r>
    </w:p>
    <w:p w:rsidR="00085BB7" w:rsidRDefault="004441D3">
      <w:pPr>
        <w:spacing w:after="0" w:line="336" w:lineRule="auto"/>
        <w:ind w:left="736" w:right="903"/>
      </w:pPr>
      <w:r>
        <w:t>Asimismo, el emisario submarino consta, en su cabecera, de una fase de pretratamiento y de una pequeña edificación para la medición del caudal de aguas residuales que se vierten al mar.</w:t>
      </w:r>
    </w:p>
    <w:p w:rsidR="00085BB7" w:rsidRDefault="004441D3">
      <w:pPr>
        <w:spacing w:after="356" w:line="336" w:lineRule="auto"/>
        <w:ind w:left="736" w:right="903"/>
      </w:pPr>
      <w:r>
        <w:t>Se encuentra en terrenos del t</w:t>
      </w:r>
      <w:r>
        <w:t>érmino municipal de Arafo, incluidos en la escritura de agrupación de fincas de fecha 31/12/1976, nº 2.318 del Protocolo de D. Alfonso Cavallé Moya”.</w:t>
      </w:r>
    </w:p>
    <w:p w:rsidR="00085BB7" w:rsidRDefault="004441D3">
      <w:pPr>
        <w:spacing w:after="2" w:line="336" w:lineRule="auto"/>
        <w:ind w:left="736" w:right="903"/>
      </w:pPr>
      <w:r>
        <w:t>De esta manera el Ayuntamiento de Candelaria se convierte en cotitular del emisario submarino de manera pr</w:t>
      </w:r>
      <w:r>
        <w:t>oindiviso, junto con los ayuntamientos de Arafo y Güímar.</w:t>
      </w:r>
    </w:p>
    <w:p w:rsidR="00085BB7" w:rsidRDefault="004441D3">
      <w:pPr>
        <w:spacing w:after="2" w:line="336" w:lineRule="auto"/>
        <w:ind w:left="736" w:right="1401"/>
      </w:pPr>
      <w:r>
        <w:t>Siendo que la estación depuradora de aguas residuales industriales del Polígono Industrial del Valle de Güímar (EDARI) se ha construido en virtud del convenio firmado el 10 de junio de 2019 entre el</w:t>
      </w:r>
      <w:r>
        <w:t xml:space="preserve"> Consejo Insular de Aguas y los ayuntamientos de Candelaria, Arafo y Güímar.</w:t>
      </w:r>
    </w:p>
    <w:p w:rsidR="00085BB7" w:rsidRDefault="004441D3">
      <w:pPr>
        <w:spacing w:after="2" w:line="336" w:lineRule="auto"/>
        <w:ind w:left="736" w:right="903"/>
      </w:pPr>
      <w:r>
        <w:t>Según oficio del Ayuntamiento de Arafo recibido el 15 de julio de 2024, consta que se ha formalizado el acta de recepción de la estación de aguas residuales industriales del Políg</w:t>
      </w:r>
      <w:r>
        <w:t>ono Industrial del Valle de Güímar (EDARI) con fecha 24 de noviembre de 2023. Por tanto, dicha infraestructura ha sido construida sobre la parcela del emisario submarino que se acredita en la escritura de segregación y cesión obligatoria gratuita de terren</w:t>
      </w:r>
      <w:r>
        <w:t>os y otros bienes por obligaciones urbanísticas, otorgada por D. Francisco Javier Juan Rico el 23 de julio de 2013, bajo el número 291 de su protocolo, de la que es copropietario el Ayuntamiento de Candelaria junto a los ayuntamientos de Arafo y Güímar.</w:t>
      </w:r>
    </w:p>
    <w:p w:rsidR="00085BB7" w:rsidRDefault="004441D3">
      <w:pPr>
        <w:spacing w:after="1500" w:line="298" w:lineRule="auto"/>
        <w:ind w:left="736" w:right="903"/>
      </w:pPr>
      <w:r>
        <w:t>Co</w:t>
      </w:r>
      <w:r>
        <w:t>mprobando la base de datos catastral, la referencia catastral de la parcela es 6151401CS6365S0001ME y ocupa una superficie de 6034m</w:t>
      </w:r>
      <w:r>
        <w:rPr>
          <w:vertAlign w:val="superscript"/>
        </w:rPr>
        <w:t>2</w:t>
      </w:r>
      <w:r>
        <w:t>.</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4424" name="Group 14442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142" name="Rectangle 914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143" name="Rectangle 914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144" name="Rectangle 914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67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424" style="width:18.7031pt;height:260.874pt;mso-position-horizontal-relative:char;mso-position-vertical-relative:line" coordsize="2375,33131">
                <v:rect id="Rectangle 914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1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133 </w:t>
                        </w:r>
                      </w:p>
                    </w:txbxContent>
                  </v:textbox>
                </v:rect>
              </v:group>
            </w:pict>
          </mc:Fallback>
        </mc:AlternateContent>
      </w:r>
    </w:p>
    <w:p w:rsidR="00085BB7" w:rsidRDefault="004441D3">
      <w:pPr>
        <w:spacing w:after="21" w:line="259" w:lineRule="auto"/>
        <w:ind w:left="538" w:right="0" w:firstLine="0"/>
        <w:jc w:val="left"/>
      </w:pPr>
      <w:r>
        <w:rPr>
          <w:noProof/>
        </w:rPr>
        <w:drawing>
          <wp:inline distT="0" distB="0" distL="0" distR="0">
            <wp:extent cx="5646420" cy="3985260"/>
            <wp:effectExtent l="0" t="0" r="0" b="0"/>
            <wp:docPr id="9150" name="Picture 9150"/>
            <wp:cNvGraphicFramePr/>
            <a:graphic xmlns:a="http://schemas.openxmlformats.org/drawingml/2006/main">
              <a:graphicData uri="http://schemas.openxmlformats.org/drawingml/2006/picture">
                <pic:pic xmlns:pic="http://schemas.openxmlformats.org/drawingml/2006/picture">
                  <pic:nvPicPr>
                    <pic:cNvPr id="9150" name="Picture 9150"/>
                    <pic:cNvPicPr/>
                  </pic:nvPicPr>
                  <pic:blipFill>
                    <a:blip r:embed="rId41"/>
                    <a:stretch>
                      <a:fillRect/>
                    </a:stretch>
                  </pic:blipFill>
                  <pic:spPr>
                    <a:xfrm>
                      <a:off x="0" y="0"/>
                      <a:ext cx="5646420" cy="3985260"/>
                    </a:xfrm>
                    <a:prstGeom prst="rect">
                      <a:avLst/>
                    </a:prstGeom>
                  </pic:spPr>
                </pic:pic>
              </a:graphicData>
            </a:graphic>
          </wp:inline>
        </w:drawing>
      </w:r>
    </w:p>
    <w:p w:rsidR="00085BB7" w:rsidRDefault="004441D3">
      <w:pPr>
        <w:spacing w:after="3" w:line="336" w:lineRule="auto"/>
        <w:ind w:left="730" w:right="896" w:hanging="10"/>
      </w:pPr>
      <w:r>
        <w:t xml:space="preserve">Por todo lo expuesto, tras las comprobaciones realizadas y la documentación obrante en el expediente, </w:t>
      </w:r>
      <w:r>
        <w:rPr>
          <w:u w:val="single" w:color="000000"/>
        </w:rPr>
        <w:t xml:space="preserve">se informa favorable la transmisión de la titularidad de </w:t>
      </w:r>
      <w:r>
        <w:rPr>
          <w:u w:val="single" w:color="000000"/>
        </w:rPr>
        <w:t>la parcela con referencia</w:t>
      </w:r>
      <w:r>
        <w:t xml:space="preserve"> </w:t>
      </w:r>
      <w:r>
        <w:rPr>
          <w:u w:val="single" w:color="000000"/>
        </w:rPr>
        <w:t>catastral 6151401CS6365S0001ME de la que es cotitular de forma proindiviso el</w:t>
      </w:r>
      <w:r>
        <w:t xml:space="preserve"> </w:t>
      </w:r>
      <w:r>
        <w:rPr>
          <w:u w:val="single" w:color="000000"/>
        </w:rPr>
        <w:t>Ayuntamiento</w:t>
      </w:r>
      <w:r>
        <w:t xml:space="preserve"> </w:t>
      </w:r>
      <w:r>
        <w:rPr>
          <w:u w:val="single" w:color="000000"/>
        </w:rPr>
        <w:t>de Candelaria, junto con los ayuntamientos de Arafo y Güímar, según</w:t>
      </w:r>
      <w:r>
        <w:t xml:space="preserve"> </w:t>
      </w:r>
      <w:r>
        <w:rPr>
          <w:u w:val="single" w:color="000000"/>
        </w:rPr>
        <w:t>escritura de 23 de julio de</w:t>
      </w:r>
      <w:r>
        <w:t xml:space="preserve"> </w:t>
      </w:r>
      <w:r>
        <w:rPr>
          <w:u w:val="single" w:color="000000"/>
        </w:rPr>
        <w:t>2013 bajo el número 291 de protocolo del no</w:t>
      </w:r>
      <w:r>
        <w:rPr>
          <w:u w:val="single" w:color="000000"/>
        </w:rPr>
        <w:t>tario D. Francisco</w:t>
      </w:r>
      <w:r>
        <w:t xml:space="preserve"> </w:t>
      </w:r>
      <w:r>
        <w:rPr>
          <w:u w:val="single" w:color="000000"/>
        </w:rPr>
        <w:t>Javier Juan Rico y según la ficha</w:t>
      </w:r>
      <w:r>
        <w:t xml:space="preserve"> </w:t>
      </w:r>
      <w:r>
        <w:rPr>
          <w:u w:val="single" w:color="000000"/>
        </w:rPr>
        <w:t>catastral que a continuación se expresa:</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4295" name="Group 1442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183" name="Rectangle 918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184" name="Rectangle 918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185" name="Rectangle 918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68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295" style="width:18.7031pt;height:260.874pt;mso-position-horizontal-relative:char;mso-position-vertical-relative:line" coordsize="2375,33131">
                <v:rect id="Rectangle 918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1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133 </w:t>
                        </w:r>
                      </w:p>
                    </w:txbxContent>
                  </v:textbox>
                </v:rect>
              </v:group>
            </w:pict>
          </mc:Fallback>
        </mc:AlternateContent>
      </w:r>
    </w:p>
    <w:p w:rsidR="00085BB7" w:rsidRDefault="004441D3">
      <w:pPr>
        <w:spacing w:after="351" w:line="259" w:lineRule="auto"/>
        <w:ind w:left="493" w:right="0" w:firstLine="0"/>
        <w:jc w:val="left"/>
      </w:pPr>
      <w:r>
        <w:rPr>
          <w:noProof/>
        </w:rPr>
        <w:drawing>
          <wp:inline distT="0" distB="0" distL="0" distR="0">
            <wp:extent cx="5646420" cy="3985260"/>
            <wp:effectExtent l="0" t="0" r="0" b="0"/>
            <wp:docPr id="9191" name="Picture 9191"/>
            <wp:cNvGraphicFramePr/>
            <a:graphic xmlns:a="http://schemas.openxmlformats.org/drawingml/2006/main">
              <a:graphicData uri="http://schemas.openxmlformats.org/drawingml/2006/picture">
                <pic:pic xmlns:pic="http://schemas.openxmlformats.org/drawingml/2006/picture">
                  <pic:nvPicPr>
                    <pic:cNvPr id="9191" name="Picture 9191"/>
                    <pic:cNvPicPr/>
                  </pic:nvPicPr>
                  <pic:blipFill>
                    <a:blip r:embed="rId41"/>
                    <a:stretch>
                      <a:fillRect/>
                    </a:stretch>
                  </pic:blipFill>
                  <pic:spPr>
                    <a:xfrm>
                      <a:off x="0" y="0"/>
                      <a:ext cx="5646420" cy="3985260"/>
                    </a:xfrm>
                    <a:prstGeom prst="rect">
                      <a:avLst/>
                    </a:prstGeom>
                  </pic:spPr>
                </pic:pic>
              </a:graphicData>
            </a:graphic>
          </wp:inline>
        </w:drawing>
      </w:r>
    </w:p>
    <w:p w:rsidR="00085BB7" w:rsidRDefault="004441D3">
      <w:pPr>
        <w:spacing w:after="51" w:line="265" w:lineRule="auto"/>
        <w:ind w:left="548" w:right="878" w:hanging="10"/>
        <w:jc w:val="center"/>
      </w:pPr>
      <w:r>
        <w:t>FUNDAMENTOS DE DERECHO</w:t>
      </w:r>
    </w:p>
    <w:p w:rsidR="00085BB7" w:rsidRDefault="004441D3">
      <w:pPr>
        <w:ind w:left="736" w:right="903"/>
      </w:pPr>
      <w:r>
        <w:t>Primero. - Es de aplicación en la transmisión del emisario submarino (que es un bien de dominio público afecto a un servicio público) de</w:t>
      </w:r>
      <w:r>
        <w:t xml:space="preserve">sde el Ayuntamiento de Arafo, Candelara y Gúimar al Consejo Insular de Aguas de Tenerife, la normativa en materia de patrimonio de las Administraciones Públicas, que regula la mutación demanial subjetiva: </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column">
                  <wp:posOffset>6542599</wp:posOffset>
                </wp:positionH>
                <wp:positionV relativeFrom="paragraph">
                  <wp:posOffset>127927</wp:posOffset>
                </wp:positionV>
                <wp:extent cx="237530" cy="3313100"/>
                <wp:effectExtent l="0" t="0" r="0" b="0"/>
                <wp:wrapSquare wrapText="bothSides"/>
                <wp:docPr id="144530" name="Group 1445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236" name="Rectangle 923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237" name="Rectangle 923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V</w:t>
                              </w:r>
                              <w:r>
                                <w:rPr>
                                  <w:sz w:val="12"/>
                                </w:rPr>
                                <w:t xml:space="preserve">erificación: https://candelaria.sedelectronica.es/ </w:t>
                              </w:r>
                            </w:p>
                          </w:txbxContent>
                        </wps:txbx>
                        <wps:bodyPr horzOverflow="overflow" vert="horz" lIns="0" tIns="0" rIns="0" bIns="0" rtlCol="0">
                          <a:noAutofit/>
                        </wps:bodyPr>
                      </wps:wsp>
                      <wps:wsp>
                        <wps:cNvPr id="9238" name="Rectangle 923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69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4530" style="width:18.7031pt;height:260.874pt;position:absolute;mso-position-horizontal-relative:text;mso-position-horizontal:absolute;margin-left:515.165pt;mso-position-vertical-relative:text;margin-top:10.073pt;" coordsize="2375,33131">
                <v:rect id="Rectangle 923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23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23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133 </w:t>
                        </w:r>
                      </w:p>
                    </w:txbxContent>
                  </v:textbox>
                </v:rect>
                <w10:wrap type="square"/>
              </v:group>
            </w:pict>
          </mc:Fallback>
        </mc:AlternateContent>
      </w:r>
      <w:r>
        <w:t>La cesión de titularidad de bienes inmuebles a otras Administraciones para los mismos fines a los que el bie</w:t>
      </w:r>
      <w:r>
        <w:t>n se había destinado en la Administración de origen (depuración de aguas residuales industriales) pero modificando el titular del bien que pasa de las entidades locales territoriales que lo tenían en propiedad proindiviso, Ayuntamientos de Arafo, Candelari</w:t>
      </w:r>
      <w:r>
        <w:t>a y Güimar, a una entidad local no territorial supramunicipal como es el Consejo Insular de Aguas adscrito al ente local territorial insular, Cabildo Insular de Tenerife.</w:t>
      </w:r>
    </w:p>
    <w:p w:rsidR="00085BB7" w:rsidRDefault="004441D3">
      <w:pPr>
        <w:spacing w:after="484"/>
        <w:ind w:left="736" w:right="903"/>
      </w:pPr>
      <w:r>
        <w:t xml:space="preserve">Siguiendo al profesor Santamaría Dacal, son mutaciones demaniales las modificaciones </w:t>
      </w:r>
      <w:r>
        <w:t>que se producen en el estatuto jurídico de un bien demanial y que pueden consistir en la alteración de su afectación o destino, o en el cambio del sujeto público que ostenta la titularidad correspondiente. En la mutación demanial subjetiva -esto es, aquell</w:t>
      </w:r>
      <w:r>
        <w:t>a que implica una traslación de la titularidad del bien (a otra Administración Pública), manteniéndose la naturaleza demanial del bien, pero cambiando la entidad titular de éste; ejemplo: sobre un edificio municipal dedicado a servicios sociales se hace un</w:t>
      </w:r>
      <w:r>
        <w:t>a mutación demanial subjetiva a favor de la Junta de Andalucía de los locales de la planta baja del mismo para que ésta instale en ellos un Centro de Salud.</w:t>
      </w:r>
    </w:p>
    <w:p w:rsidR="00085BB7" w:rsidRDefault="004441D3">
      <w:pPr>
        <w:spacing w:after="10"/>
        <w:ind w:left="736" w:right="903"/>
      </w:pPr>
      <w:r>
        <w:t xml:space="preserve">Arts 73- 74 del Real Decreto 1373/2009, de 28 de agosto, por el que se aprueba </w:t>
      </w:r>
    </w:p>
    <w:p w:rsidR="00085BB7" w:rsidRDefault="004441D3">
      <w:pPr>
        <w:spacing w:after="472"/>
        <w:ind w:left="736" w:right="903"/>
      </w:pPr>
      <w:r>
        <w:t>el Reglamento General de la Ley 33/2003, de 3 de noviembre, del Patrimonio de las Administraciones Públicas que regula la mutación demanial:</w:t>
      </w:r>
    </w:p>
    <w:p w:rsidR="00085BB7" w:rsidRDefault="004441D3">
      <w:pPr>
        <w:ind w:left="736" w:right="903"/>
      </w:pPr>
      <w:r>
        <w:t>Artículo 73. Competencia.</w:t>
      </w:r>
    </w:p>
    <w:p w:rsidR="00085BB7" w:rsidRDefault="004441D3">
      <w:pPr>
        <w:numPr>
          <w:ilvl w:val="0"/>
          <w:numId w:val="22"/>
        </w:numPr>
        <w:spacing w:after="354"/>
        <w:ind w:right="903" w:firstLine="345"/>
      </w:pPr>
      <w:r>
        <w:t>Corresponde al Ministro de Economía y Hacienda acordar la mutación de destino de bienes y</w:t>
      </w:r>
      <w:r>
        <w:t xml:space="preserve"> derechos demaniales de la Administración General del Estado o de sus organismos públicos, al cumplimiento de fines de uso o servicio público competencia de otras Administraciones Públicas.</w:t>
      </w:r>
    </w:p>
    <w:p w:rsidR="00085BB7" w:rsidRDefault="004441D3">
      <w:pPr>
        <w:spacing w:after="344"/>
        <w:ind w:left="730" w:right="903" w:firstLine="360"/>
      </w:pPr>
      <w:r>
        <w:t>Dicha mutación podrá efectuarse a favor de Comunidades Autónomas c</w:t>
      </w:r>
      <w:r>
        <w:t xml:space="preserve">uando éstas prevean en su legislación la posibilidad de afectar bienes demaniales de su titularidad a la Administración General del Estado o sus organismos públicos, para su dedicación a un uso o servicio de su competencia, de acuerdo con el artículo 71.4 </w:t>
      </w:r>
      <w:r>
        <w:t>de la Ley.</w:t>
      </w:r>
    </w:p>
    <w:p w:rsidR="00085BB7" w:rsidRDefault="004441D3">
      <w:pPr>
        <w:numPr>
          <w:ilvl w:val="0"/>
          <w:numId w:val="22"/>
        </w:numPr>
        <w:spacing w:after="112"/>
        <w:ind w:right="903" w:firstLine="345"/>
      </w:pPr>
      <w:r>
        <w:t>Las mutaciones demaniales de bienes o derechos de otras Administraciones Públicas a favor de la Administración General del Estado se aceptarán por el Ministro de Economía y Hacienda, a propuesta del departamento interesado. En la orden se determ</w:t>
      </w:r>
      <w:r>
        <w:t>inará el destino del bien o derecho y la asunción de las competencias demaniales por el departamento correspondiente.</w:t>
      </w:r>
    </w:p>
    <w:p w:rsidR="00085BB7" w:rsidRDefault="004441D3">
      <w:pPr>
        <w:spacing w:after="534"/>
        <w:ind w:left="730" w:right="903" w:firstLine="360"/>
      </w:pPr>
      <w:r>
        <w:t>Si la mutación se efectúa a favor de un organismo dependiente de la Administración General del Estado, corresponderá a su presidente o dir</w:t>
      </w:r>
      <w:r>
        <w:t>ector su aceptación, que se notificará a la Dirección General del Patrimonio del Estado a efectos de su constancia en el Inventario General de Bienes y Derechos del Estado</w:t>
      </w:r>
    </w:p>
    <w:p w:rsidR="00085BB7" w:rsidRDefault="004441D3">
      <w:pPr>
        <w:spacing w:after="341"/>
        <w:ind w:left="736" w:right="903"/>
      </w:pPr>
      <w:r>
        <w:t>Artículo 74. Procedimiento.</w:t>
      </w:r>
    </w:p>
    <w:p w:rsidR="00085BB7" w:rsidRDefault="004441D3">
      <w:pPr>
        <w:spacing w:after="15"/>
        <w:ind w:left="736" w:right="903"/>
      </w:pPr>
      <w:r>
        <w:t>La tramitación del procedimiento de mutación compete a l</w:t>
      </w:r>
      <w:r>
        <w:t xml:space="preserve">a Dirección General del Patrimonio del </w:t>
      </w:r>
    </w:p>
    <w:p w:rsidR="00085BB7" w:rsidRDefault="004441D3">
      <w:pPr>
        <w:spacing w:after="624"/>
        <w:ind w:left="1027" w:right="903"/>
      </w:pPr>
      <w:r>
        <w:t>Estado, que lo iniciará de oficio, bien a iniciativa propia o a petición de la Administración Pública interesada. En el procedimiento que se sustancie deberá aportarse la documentación identificativa del bien o derec</w:t>
      </w:r>
      <w:r>
        <w:t>ho cuya mutación se interesa, así como una memoria justificativa en la que se describa el fin, uso o servicio público al que se destinará el mismo.</w:t>
      </w:r>
    </w:p>
    <w:p w:rsidR="00085BB7" w:rsidRDefault="004441D3">
      <w:pPr>
        <w:spacing w:after="350"/>
        <w:ind w:left="730" w:right="903" w:firstLine="36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column">
                  <wp:posOffset>6542599</wp:posOffset>
                </wp:positionH>
                <wp:positionV relativeFrom="paragraph">
                  <wp:posOffset>186346</wp:posOffset>
                </wp:positionV>
                <wp:extent cx="237530" cy="3313100"/>
                <wp:effectExtent l="0" t="0" r="0" b="0"/>
                <wp:wrapSquare wrapText="bothSides"/>
                <wp:docPr id="144567" name="Group 1445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321" name="Rectangle 932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322" name="Rectangle 932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323" name="Rectangle 932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4567" style="width:18.7031pt;height:260.874pt;position:absolute;mso-position-horizontal-relative:text;mso-position-horizontal:absolute;margin-left:515.165pt;mso-position-vertical-relative:text;margin-top:14.6729pt;" coordsize="2375,33131">
                <v:rect id="Rectangle 932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32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32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133 </w:t>
                        </w:r>
                      </w:p>
                    </w:txbxContent>
                  </v:textbox>
                </v:rect>
                <w10:wrap type="square"/>
              </v:group>
            </w:pict>
          </mc:Fallback>
        </mc:AlternateContent>
      </w:r>
      <w:r>
        <w:t xml:space="preserve">2. La orden de mutación demanial deberá contener las menciones requeridas por el artículo 66.1 de la Ley y la referencia catastral, cuando la naturaleza del bien </w:t>
      </w:r>
      <w:r>
        <w:t>o derecho lo permita, y fijará cuantas condiciones, requisitos y plazos se estimen necesarios para el adecuado uso del bien o derecho, así como las causas de resolución.</w:t>
      </w:r>
    </w:p>
    <w:p w:rsidR="00085BB7" w:rsidRDefault="004441D3">
      <w:pPr>
        <w:spacing w:after="544"/>
        <w:ind w:left="730" w:right="903" w:firstLine="360"/>
      </w:pPr>
      <w:r>
        <w:t xml:space="preserve">La orden surtirá efectos desde la recepción de los bienes por el órgano competente de </w:t>
      </w:r>
      <w:r>
        <w:t>la Administración Pública a que se destinen, mediante la suscripción de un acta entre el representante de ésta, el del departamento u organismo público correspondiente, y el nombrado por la Dirección General del Patrimonio del Estado.</w:t>
      </w:r>
    </w:p>
    <w:p w:rsidR="00085BB7" w:rsidRDefault="004441D3">
      <w:pPr>
        <w:ind w:left="730" w:right="903" w:firstLine="360"/>
      </w:pPr>
      <w:r>
        <w:t>Segundo. - Es igualme</w:t>
      </w:r>
      <w:r>
        <w:t>nte de aplicación la normativa autonómica de régimen local en la materia que es el artículo 12 del Decreto 8/2015, de 5 de febrero, para la agilización y modernización de la gestión del patrimonio de las Corporaciones Locales Canarias (BOC 28, de 11.2.2015</w:t>
      </w:r>
      <w:r>
        <w:t>)</w:t>
      </w:r>
    </w:p>
    <w:p w:rsidR="00085BB7" w:rsidRDefault="004441D3">
      <w:pPr>
        <w:spacing w:after="10"/>
        <w:ind w:left="736" w:right="903"/>
      </w:pPr>
      <w:r>
        <w:t xml:space="preserve">Artículo 12. Cesión de bienes inmuebles demaniales por mutación. </w:t>
      </w:r>
    </w:p>
    <w:p w:rsidR="00085BB7" w:rsidRDefault="004441D3">
      <w:pPr>
        <w:numPr>
          <w:ilvl w:val="0"/>
          <w:numId w:val="23"/>
        </w:numPr>
        <w:spacing w:after="102"/>
        <w:ind w:right="903" w:hanging="10"/>
      </w:pPr>
      <w:r>
        <w:t>La cesión de la titularidad de bienes inmuebles demaniales de las entidades locales a favor de las instituciones de la Comunidad Autónoma Canaria, para fines de su competencia vinculados a</w:t>
      </w:r>
      <w:r>
        <w:t xml:space="preserve">l uso o servicio público, se llevará a cabo por mutación demanial. </w:t>
      </w:r>
    </w:p>
    <w:p w:rsidR="00085BB7" w:rsidRDefault="004441D3">
      <w:pPr>
        <w:numPr>
          <w:ilvl w:val="0"/>
          <w:numId w:val="23"/>
        </w:numPr>
        <w:ind w:right="903" w:hanging="10"/>
      </w:pPr>
      <w:r>
        <w:t xml:space="preserve">Asimismo, podrá utilizarse tal mutación demanial a favor de la Administración General del Estado y sus organismos públicos, y de las entidades locales a condición de reciprocidad. </w:t>
      </w:r>
    </w:p>
    <w:p w:rsidR="00085BB7" w:rsidRDefault="004441D3">
      <w:pPr>
        <w:numPr>
          <w:ilvl w:val="0"/>
          <w:numId w:val="23"/>
        </w:numPr>
        <w:spacing w:after="91" w:line="265" w:lineRule="auto"/>
        <w:ind w:right="903" w:hanging="10"/>
      </w:pPr>
      <w:r>
        <w:t>Los cam</w:t>
      </w:r>
      <w:r>
        <w:t xml:space="preserve">bios de titularidad producidos en las alteraciones de términos municipales </w:t>
      </w:r>
      <w:r>
        <w:rPr>
          <w:u w:val="single" w:color="000000"/>
        </w:rPr>
        <w:t>y la</w:t>
      </w:r>
      <w:r>
        <w:t xml:space="preserve"> </w:t>
      </w:r>
      <w:r>
        <w:rPr>
          <w:u w:val="single" w:color="000000"/>
        </w:rPr>
        <w:t>adscripción de bienes demaniales a organismos públicos locales, se considerarán</w:t>
      </w:r>
      <w:r>
        <w:t xml:space="preserve"> </w:t>
      </w:r>
      <w:r>
        <w:rPr>
          <w:u w:val="single" w:color="000000"/>
        </w:rPr>
        <w:t>mutaciones</w:t>
      </w:r>
      <w:r>
        <w:t xml:space="preserve"> </w:t>
      </w:r>
      <w:r>
        <w:rPr>
          <w:u w:val="single" w:color="000000"/>
        </w:rPr>
        <w:t>demaniales, debiendo los acuerdos finalizadores respectivos determinar si se</w:t>
      </w:r>
      <w:r>
        <w:t xml:space="preserve"> </w:t>
      </w:r>
      <w:r>
        <w:rPr>
          <w:u w:val="single" w:color="000000"/>
        </w:rPr>
        <w:t xml:space="preserve">produce </w:t>
      </w:r>
      <w:r>
        <w:rPr>
          <w:u w:val="single" w:color="000000"/>
        </w:rPr>
        <w:t>o no</w:t>
      </w:r>
      <w:r>
        <w:t xml:space="preserve"> </w:t>
      </w:r>
      <w:r>
        <w:rPr>
          <w:u w:val="single" w:color="000000"/>
        </w:rPr>
        <w:t xml:space="preserve">cambio de afectación o destino. </w:t>
      </w:r>
    </w:p>
    <w:p w:rsidR="00085BB7" w:rsidRDefault="004441D3">
      <w:pPr>
        <w:numPr>
          <w:ilvl w:val="0"/>
          <w:numId w:val="23"/>
        </w:numPr>
        <w:spacing w:after="103"/>
        <w:ind w:right="903" w:hanging="10"/>
      </w:pPr>
      <w:r>
        <w:t>El expediente se tramitará por la Corporación Local con arreglo a lo previsto para las mutaciones demaniales en la legislación patrimonial autonómica, no siendo de aplicación lo dispuesto para las cesiones gratuitas po</w:t>
      </w:r>
      <w:r>
        <w:t xml:space="preserve">r la de régimen local estatal. </w:t>
      </w:r>
      <w:r>
        <w:rPr>
          <w:u w:val="single" w:color="000000"/>
        </w:rPr>
        <w:t>La efectividad de la</w:t>
      </w:r>
      <w:r>
        <w:t xml:space="preserve"> </w:t>
      </w:r>
      <w:r>
        <w:rPr>
          <w:u w:val="single" w:color="000000"/>
        </w:rPr>
        <w:t>mutación requerirá aceptación del receptor, con formalización de un acta de entrega y</w:t>
      </w:r>
      <w:r>
        <w:t xml:space="preserve"> </w:t>
      </w:r>
      <w:r>
        <w:rPr>
          <w:u w:val="single" w:color="000000"/>
        </w:rPr>
        <w:t>recepción,</w:t>
      </w:r>
      <w:r>
        <w:t xml:space="preserve"> </w:t>
      </w:r>
      <w:r>
        <w:rPr>
          <w:u w:val="single" w:color="000000"/>
        </w:rPr>
        <w:t>sin perjuicio de la dación de cuenta al órgano competente de la Comunidad</w:t>
      </w:r>
      <w:r>
        <w:t xml:space="preserve"> </w:t>
      </w:r>
      <w:r>
        <w:rPr>
          <w:u w:val="single" w:color="000000"/>
        </w:rPr>
        <w:t>Autónoma de</w:t>
      </w:r>
      <w:r>
        <w:t xml:space="preserve"> </w:t>
      </w:r>
      <w:r>
        <w:rPr>
          <w:u w:val="single" w:color="000000"/>
        </w:rPr>
        <w:t>Canarias en materia d</w:t>
      </w:r>
      <w:r>
        <w:rPr>
          <w:u w:val="single" w:color="000000"/>
        </w:rPr>
        <w:t xml:space="preserve">e administración local. </w:t>
      </w:r>
    </w:p>
    <w:p w:rsidR="00085BB7" w:rsidRDefault="004441D3">
      <w:pPr>
        <w:numPr>
          <w:ilvl w:val="0"/>
          <w:numId w:val="23"/>
        </w:numPr>
        <w:spacing w:after="110"/>
        <w:ind w:right="903" w:hanging="10"/>
      </w:pPr>
      <w:r>
        <w:t xml:space="preserve">Si el bien o derecho no fuera destinado al uso o servicio público para el que fue cedido, o dejare de destinarse posteriormente a tal fin, revertirá a la entidad local transmitente, </w:t>
      </w:r>
      <w:r>
        <w:t>integrándose a su propio patrimonio con todas sus pertenencias y accesiones</w:t>
      </w:r>
    </w:p>
    <w:p w:rsidR="00085BB7" w:rsidRDefault="004441D3">
      <w:pPr>
        <w:spacing w:after="0"/>
        <w:ind w:left="736" w:right="903"/>
      </w:pPr>
      <w:r>
        <w:t>Por tanto, de ambas normas, estatales y autonómicas, concluimos que el procedimiento para la mutación demanial subjetiva se requiere los siguientes trámites:</w:t>
      </w:r>
    </w:p>
    <w:p w:rsidR="00085BB7" w:rsidRDefault="004441D3">
      <w:pPr>
        <w:spacing w:after="0"/>
        <w:ind w:left="736" w:right="903"/>
      </w:pPr>
      <w:r>
        <w:t xml:space="preserve">           1.- Acuerdo</w:t>
      </w:r>
      <w:r>
        <w:t xml:space="preserve"> del pleno del Ayuntamiento de Candelaria de la aprobación de la mutación demanial subjetiva porque muta o cambia el sujeto titular del bien de dominio público (emisario submarino del Polígono de Güimar) que ahora es proindiviso los Ayuntamientos de Arafo,</w:t>
      </w:r>
      <w:r>
        <w:t xml:space="preserve"> Candelaria y Güimar y después de la transmisión pasa a ser el </w:t>
      </w:r>
    </w:p>
    <w:p w:rsidR="00085BB7" w:rsidRDefault="004441D3">
      <w:pPr>
        <w:spacing w:after="0"/>
        <w:ind w:left="736" w:right="903"/>
      </w:pPr>
      <w:r>
        <w:t>Consejo Insular de Aguas de Tenerife) pero no cambia la afectación o destino del bien (sigue siendo la depuración de aguas industriales) y se conserva la calificación jurídica del bien que sig</w:t>
      </w:r>
      <w:r>
        <w:t>ue siendo de dominio público y la afectación del bien que sigue estando afecto a la depuración de aguas residuales industriales, pero ahora con un sistema constructivo de estación depuradora que cumple con las directivas comunitarias.</w:t>
      </w:r>
    </w:p>
    <w:p w:rsidR="00085BB7" w:rsidRDefault="004441D3">
      <w:pPr>
        <w:spacing w:after="10"/>
        <w:ind w:left="1883" w:right="903"/>
      </w:pPr>
      <w:r>
        <w:t>2.- Notificación a lo</w:t>
      </w:r>
      <w:r>
        <w:t>s copropietarios y al transmitido, Consejo Insular de Aguas.</w:t>
      </w:r>
    </w:p>
    <w:p w:rsidR="00085BB7" w:rsidRDefault="004441D3">
      <w:pPr>
        <w:spacing w:after="0"/>
        <w:ind w:left="736" w:right="903"/>
      </w:pPr>
      <w:r>
        <w:t xml:space="preserve">                  3.- Acta de aceptación del receptor, con formalización de un acta de entrega y recepción entre los representantes de los Ayuntamientos cedentes y el CIATF receptor del que den f</w:t>
      </w:r>
      <w:r>
        <w:t>e los Secretarios.</w:t>
      </w:r>
    </w:p>
    <w:p w:rsidR="00085BB7" w:rsidRDefault="004441D3">
      <w:pPr>
        <w:spacing w:after="10"/>
        <w:ind w:left="736" w:right="903"/>
      </w:pPr>
      <w:r>
        <w:t>4.- Dación de cuenta a la Comunidad Autónoma como control de legalidad.</w:t>
      </w:r>
    </w:p>
    <w:p w:rsidR="00085BB7" w:rsidRDefault="004441D3">
      <w:pPr>
        <w:spacing w:after="195"/>
        <w:ind w:left="736" w:right="903"/>
      </w:pPr>
      <w:r>
        <w:t>Tercero.- Es competente el Pleno de la Corporación siendo de aplicación por analogía el artículo 22.2 letra i) de la Ley de Bases del Régimen local:</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4308" name="Group 14430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413" name="Rectangle 941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Cód. Validaci</w:t>
                              </w:r>
                              <w:r>
                                <w:rPr>
                                  <w:sz w:val="12"/>
                                </w:rPr>
                                <w:t xml:space="preserve">ón: J2W7FCWL64NSP9GMWA6CM2H9T </w:t>
                              </w:r>
                            </w:p>
                          </w:txbxContent>
                        </wps:txbx>
                        <wps:bodyPr horzOverflow="overflow" vert="horz" lIns="0" tIns="0" rIns="0" bIns="0" rtlCol="0">
                          <a:noAutofit/>
                        </wps:bodyPr>
                      </wps:wsp>
                      <wps:wsp>
                        <wps:cNvPr id="9414" name="Rectangle 941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415" name="Rectangle 941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71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308" style="width:18.7031pt;height:260.874pt;mso-position-horizontal-relative:char;mso-position-vertical-relative:line" coordsize="2375,33131">
                <v:rect id="Rectangle 941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4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4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133 </w:t>
                        </w:r>
                      </w:p>
                    </w:txbxContent>
                  </v:textbox>
                </v:rect>
              </v:group>
            </w:pict>
          </mc:Fallback>
        </mc:AlternateContent>
      </w:r>
    </w:p>
    <w:p w:rsidR="00085BB7" w:rsidRDefault="004441D3">
      <w:pPr>
        <w:ind w:left="3017" w:right="903"/>
      </w:pPr>
      <w:r>
        <w:t>PROPUESTA DE ACUERDO AL PLENO</w:t>
      </w:r>
    </w:p>
    <w:p w:rsidR="00085BB7" w:rsidRDefault="004441D3">
      <w:pPr>
        <w:ind w:left="736" w:right="903"/>
      </w:pPr>
      <w:r>
        <w:t>Primero.- Aprobar la transmisión mediante mutación demanial subjetiva a favor del Consejo Insular de Aguas de Tenerife del siguiente bien de dominio público afecto a un servicio público (depuración de aguas residuales industriales) del que es copropietario</w:t>
      </w:r>
      <w:r>
        <w:t xml:space="preserve"> proindiviso el Ayuntamiento de Candelaria ( junto a los Ayuntamientos de Arafo y Güimar) según la siguiente escritura pública:</w:t>
      </w:r>
    </w:p>
    <w:p w:rsidR="00085BB7" w:rsidRDefault="004441D3">
      <w:pPr>
        <w:spacing w:after="0"/>
        <w:ind w:left="736" w:right="903"/>
      </w:pPr>
      <w:r>
        <w:t>Escritura pública numero de protocolo 291 de fecha 23 de julio de 2023 del notario D. Francisco Javier Juan Rico de la ciudad de</w:t>
      </w:r>
      <w:r>
        <w:t xml:space="preserve"> Güimar hoja de la escritura BJ3140861: </w:t>
      </w:r>
    </w:p>
    <w:p w:rsidR="00085BB7" w:rsidRDefault="004441D3">
      <w:pPr>
        <w:spacing w:after="0"/>
        <w:ind w:left="736" w:right="903"/>
      </w:pPr>
      <w:r>
        <w:t>EMISARIO SUBMARINO: constituido, en su tramo terrestre, por una conducción de fundición de 157 m de longitud y, en su tramo submarno, por otra conducción de fibrocemento de 500 mm de diámetro y de 540 m de longitud.</w:t>
      </w:r>
      <w:r>
        <w:t xml:space="preserve"> Ambas conducciones se encuentran alojadas en zanjas, en el tramo final del emisario se derivan difusores formados por tres ramales, dos de 39,5 m de longitud y el tercero de 69,5m, todos de fibrocemento de 400mm de diámetro. Asimismo el emisario submarino</w:t>
      </w:r>
      <w:r>
        <w:t xml:space="preserve"> consta, en su cabecera, de una fase de pretratamiento y de una pequeña edificación para la medición del caudal de aguas residuales que vierten al mar. Se encuentra en terrenos del término municipal de Arafo, incluidos en la escritura de agrupación de finc</w:t>
      </w:r>
      <w:r>
        <w:t xml:space="preserve">as de fecha </w:t>
      </w:r>
    </w:p>
    <w:p w:rsidR="00085BB7" w:rsidRDefault="004441D3">
      <w:pPr>
        <w:spacing w:after="3598"/>
        <w:ind w:left="736" w:right="903"/>
      </w:pPr>
      <w:r>
        <w:t>31/12/1976, nº 2318 del Protocolo de D. Alfonso Cavallé Moya (…)”</w:t>
      </w:r>
    </w:p>
    <w:p w:rsidR="00085BB7" w:rsidRDefault="004441D3">
      <w:pPr>
        <w:tabs>
          <w:tab w:val="center" w:pos="5249"/>
          <w:tab w:val="center" w:pos="10490"/>
        </w:tabs>
        <w:ind w:left="0" w:right="0"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column">
                  <wp:posOffset>312888</wp:posOffset>
                </wp:positionH>
                <wp:positionV relativeFrom="paragraph">
                  <wp:posOffset>-2128625</wp:posOffset>
                </wp:positionV>
                <wp:extent cx="5646420" cy="4162341"/>
                <wp:effectExtent l="0" t="0" r="0" b="0"/>
                <wp:wrapSquare wrapText="bothSides"/>
                <wp:docPr id="144765" name="Group 144765"/>
                <wp:cNvGraphicFramePr/>
                <a:graphic xmlns:a="http://schemas.openxmlformats.org/drawingml/2006/main">
                  <a:graphicData uri="http://schemas.microsoft.com/office/word/2010/wordprocessingGroup">
                    <wpg:wgp>
                      <wpg:cNvGrpSpPr/>
                      <wpg:grpSpPr>
                        <a:xfrm>
                          <a:off x="0" y="0"/>
                          <a:ext cx="5646420" cy="4162341"/>
                          <a:chOff x="0" y="0"/>
                          <a:chExt cx="5646420" cy="4162341"/>
                        </a:xfrm>
                      </wpg:grpSpPr>
                      <wps:wsp>
                        <wps:cNvPr id="9425" name="Rectangle 9425"/>
                        <wps:cNvSpPr/>
                        <wps:spPr>
                          <a:xfrm>
                            <a:off x="151130" y="0"/>
                            <a:ext cx="162197"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Y</w:t>
                              </w:r>
                            </w:p>
                          </w:txbxContent>
                        </wps:txbx>
                        <wps:bodyPr horzOverflow="overflow" vert="horz" lIns="0" tIns="0" rIns="0" bIns="0" rtlCol="0">
                          <a:noAutofit/>
                        </wps:bodyPr>
                      </wps:wsp>
                      <wps:wsp>
                        <wps:cNvPr id="9426" name="Rectangle 9426"/>
                        <wps:cNvSpPr/>
                        <wps:spPr>
                          <a:xfrm>
                            <a:off x="273050" y="0"/>
                            <a:ext cx="56162"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27" name="Rectangle 9427"/>
                        <wps:cNvSpPr/>
                        <wps:spPr>
                          <a:xfrm>
                            <a:off x="328930" y="0"/>
                            <a:ext cx="162871"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la</w:t>
                              </w:r>
                            </w:p>
                          </w:txbxContent>
                        </wps:txbx>
                        <wps:bodyPr horzOverflow="overflow" vert="horz" lIns="0" tIns="0" rIns="0" bIns="0" rtlCol="0">
                          <a:noAutofit/>
                        </wps:bodyPr>
                      </wps:wsp>
                      <wps:wsp>
                        <wps:cNvPr id="9428" name="Rectangle 9428"/>
                        <wps:cNvSpPr/>
                        <wps:spPr>
                          <a:xfrm>
                            <a:off x="450850" y="0"/>
                            <a:ext cx="56162"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29" name="Rectangle 9429"/>
                        <wps:cNvSpPr/>
                        <wps:spPr>
                          <a:xfrm>
                            <a:off x="506730" y="0"/>
                            <a:ext cx="810311"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siguiente</w:t>
                              </w:r>
                            </w:p>
                          </w:txbxContent>
                        </wps:txbx>
                        <wps:bodyPr horzOverflow="overflow" vert="horz" lIns="0" tIns="0" rIns="0" bIns="0" rtlCol="0">
                          <a:noAutofit/>
                        </wps:bodyPr>
                      </wps:wsp>
                      <wps:wsp>
                        <wps:cNvPr id="9430" name="Rectangle 9430"/>
                        <wps:cNvSpPr/>
                        <wps:spPr>
                          <a:xfrm>
                            <a:off x="1116330" y="0"/>
                            <a:ext cx="56163"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31" name="Rectangle 9431"/>
                        <wps:cNvSpPr/>
                        <wps:spPr>
                          <a:xfrm>
                            <a:off x="1174750" y="0"/>
                            <a:ext cx="649462"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parcela</w:t>
                              </w:r>
                            </w:p>
                          </w:txbxContent>
                        </wps:txbx>
                        <wps:bodyPr horzOverflow="overflow" vert="horz" lIns="0" tIns="0" rIns="0" bIns="0" rtlCol="0">
                          <a:noAutofit/>
                        </wps:bodyPr>
                      </wps:wsp>
                      <wps:wsp>
                        <wps:cNvPr id="9432" name="Rectangle 9432"/>
                        <wps:cNvSpPr/>
                        <wps:spPr>
                          <a:xfrm>
                            <a:off x="1662430" y="0"/>
                            <a:ext cx="56163"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33" name="Rectangle 9433"/>
                        <wps:cNvSpPr/>
                        <wps:spPr>
                          <a:xfrm>
                            <a:off x="1718310" y="0"/>
                            <a:ext cx="810311"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rPr>
                                <w:t>catastral:</w:t>
                              </w:r>
                            </w:p>
                          </w:txbxContent>
                        </wps:txbx>
                        <wps:bodyPr horzOverflow="overflow" vert="horz" lIns="0" tIns="0" rIns="0" bIns="0" rtlCol="0">
                          <a:noAutofit/>
                        </wps:bodyPr>
                      </wps:wsp>
                      <wps:wsp>
                        <wps:cNvPr id="9434" name="Rectangle 9434"/>
                        <wps:cNvSpPr/>
                        <wps:spPr>
                          <a:xfrm>
                            <a:off x="2326640" y="2150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44718" name="Rectangle 144718"/>
                        <wps:cNvSpPr/>
                        <wps:spPr>
                          <a:xfrm>
                            <a:off x="151130" y="208196"/>
                            <a:ext cx="665887"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Parcela</w:t>
                              </w:r>
                            </w:p>
                          </w:txbxContent>
                        </wps:txbx>
                        <wps:bodyPr horzOverflow="overflow" vert="horz" lIns="0" tIns="0" rIns="0" bIns="0" rtlCol="0">
                          <a:noAutofit/>
                        </wps:bodyPr>
                      </wps:wsp>
                      <wps:wsp>
                        <wps:cNvPr id="144720" name="Rectangle 144720"/>
                        <wps:cNvSpPr/>
                        <wps:spPr>
                          <a:xfrm>
                            <a:off x="651510" y="20819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22" name="Rectangle 144722"/>
                        <wps:cNvSpPr/>
                        <wps:spPr>
                          <a:xfrm>
                            <a:off x="703580" y="208196"/>
                            <a:ext cx="33158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con</w:t>
                              </w:r>
                            </w:p>
                          </w:txbxContent>
                        </wps:txbx>
                        <wps:bodyPr horzOverflow="overflow" vert="horz" lIns="0" tIns="0" rIns="0" bIns="0" rtlCol="0">
                          <a:noAutofit/>
                        </wps:bodyPr>
                      </wps:wsp>
                      <wps:wsp>
                        <wps:cNvPr id="144723" name="Rectangle 144723"/>
                        <wps:cNvSpPr/>
                        <wps:spPr>
                          <a:xfrm>
                            <a:off x="952500" y="20819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24" name="Rectangle 144724"/>
                        <wps:cNvSpPr/>
                        <wps:spPr>
                          <a:xfrm>
                            <a:off x="1004570" y="208196"/>
                            <a:ext cx="92640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referencia</w:t>
                              </w:r>
                            </w:p>
                          </w:txbxContent>
                        </wps:txbx>
                        <wps:bodyPr horzOverflow="overflow" vert="horz" lIns="0" tIns="0" rIns="0" bIns="0" rtlCol="0">
                          <a:noAutofit/>
                        </wps:bodyPr>
                      </wps:wsp>
                      <wps:wsp>
                        <wps:cNvPr id="144725" name="Rectangle 144725"/>
                        <wps:cNvSpPr/>
                        <wps:spPr>
                          <a:xfrm>
                            <a:off x="1701800" y="20819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26" name="Rectangle 144726"/>
                        <wps:cNvSpPr/>
                        <wps:spPr>
                          <a:xfrm>
                            <a:off x="1756410" y="208196"/>
                            <a:ext cx="777698"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catastral</w:t>
                              </w:r>
                            </w:p>
                          </w:txbxContent>
                        </wps:txbx>
                        <wps:bodyPr horzOverflow="overflow" vert="horz" lIns="0" tIns="0" rIns="0" bIns="0" rtlCol="0">
                          <a:noAutofit/>
                        </wps:bodyPr>
                      </wps:wsp>
                      <wps:wsp>
                        <wps:cNvPr id="144727" name="Rectangle 144727"/>
                        <wps:cNvSpPr/>
                        <wps:spPr>
                          <a:xfrm>
                            <a:off x="2340610" y="20819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44751" name="Rectangle 144751"/>
                        <wps:cNvSpPr/>
                        <wps:spPr>
                          <a:xfrm>
                            <a:off x="151130" y="393616"/>
                            <a:ext cx="2046096"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6151401CS6365S0001</w:t>
                              </w:r>
                            </w:p>
                          </w:txbxContent>
                        </wps:txbx>
                        <wps:bodyPr horzOverflow="overflow" vert="horz" lIns="0" tIns="0" rIns="0" bIns="0" rtlCol="0">
                          <a:noAutofit/>
                        </wps:bodyPr>
                      </wps:wsp>
                      <wps:wsp>
                        <wps:cNvPr id="144752" name="Rectangle 144752"/>
                        <wps:cNvSpPr/>
                        <wps:spPr>
                          <a:xfrm>
                            <a:off x="1688527" y="393616"/>
                            <a:ext cx="30442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ME</w:t>
                              </w:r>
                            </w:p>
                          </w:txbxContent>
                        </wps:txbx>
                        <wps:bodyPr horzOverflow="overflow" vert="horz" lIns="0" tIns="0" rIns="0" bIns="0" rtlCol="0">
                          <a:noAutofit/>
                        </wps:bodyPr>
                      </wps:wsp>
                      <wps:wsp>
                        <wps:cNvPr id="144750" name="Rectangle 144750"/>
                        <wps:cNvSpPr/>
                        <wps:spPr>
                          <a:xfrm>
                            <a:off x="1921510" y="39361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53" name="Rectangle 144753"/>
                        <wps:cNvSpPr/>
                        <wps:spPr>
                          <a:xfrm>
                            <a:off x="1976120" y="393616"/>
                            <a:ext cx="665887"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Parcela</w:t>
                              </w:r>
                            </w:p>
                          </w:txbxContent>
                        </wps:txbx>
                        <wps:bodyPr horzOverflow="overflow" vert="horz" lIns="0" tIns="0" rIns="0" bIns="0" rtlCol="0">
                          <a:noAutofit/>
                        </wps:bodyPr>
                      </wps:wsp>
                      <wps:wsp>
                        <wps:cNvPr id="144754" name="Rectangle 144754"/>
                        <wps:cNvSpPr/>
                        <wps:spPr>
                          <a:xfrm>
                            <a:off x="2476500" y="39361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44755" name="Rectangle 144755"/>
                        <wps:cNvSpPr/>
                        <wps:spPr>
                          <a:xfrm>
                            <a:off x="151130" y="580306"/>
                            <a:ext cx="33362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con</w:t>
                              </w:r>
                            </w:p>
                          </w:txbxContent>
                        </wps:txbx>
                        <wps:bodyPr horzOverflow="overflow" vert="horz" lIns="0" tIns="0" rIns="0" bIns="0" rtlCol="0">
                          <a:noAutofit/>
                        </wps:bodyPr>
                      </wps:wsp>
                      <wps:wsp>
                        <wps:cNvPr id="144756" name="Rectangle 144756"/>
                        <wps:cNvSpPr/>
                        <wps:spPr>
                          <a:xfrm>
                            <a:off x="401320" y="58030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57" name="Rectangle 144757"/>
                        <wps:cNvSpPr/>
                        <wps:spPr>
                          <a:xfrm>
                            <a:off x="453390" y="580306"/>
                            <a:ext cx="92617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referencia</w:t>
                              </w:r>
                            </w:p>
                          </w:txbxContent>
                        </wps:txbx>
                        <wps:bodyPr horzOverflow="overflow" vert="horz" lIns="0" tIns="0" rIns="0" bIns="0" rtlCol="0">
                          <a:noAutofit/>
                        </wps:bodyPr>
                      </wps:wsp>
                      <wps:wsp>
                        <wps:cNvPr id="144758" name="Rectangle 144758"/>
                        <wps:cNvSpPr/>
                        <wps:spPr>
                          <a:xfrm>
                            <a:off x="1149350" y="58030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59" name="Rectangle 144759"/>
                        <wps:cNvSpPr/>
                        <wps:spPr>
                          <a:xfrm>
                            <a:off x="1203960" y="580306"/>
                            <a:ext cx="777924"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catastral</w:t>
                              </w:r>
                            </w:p>
                          </w:txbxContent>
                        </wps:txbx>
                        <wps:bodyPr horzOverflow="overflow" vert="horz" lIns="0" tIns="0" rIns="0" bIns="0" rtlCol="0">
                          <a:noAutofit/>
                        </wps:bodyPr>
                      </wps:wsp>
                      <wps:wsp>
                        <wps:cNvPr id="144760" name="Rectangle 144760"/>
                        <wps:cNvSpPr/>
                        <wps:spPr>
                          <a:xfrm>
                            <a:off x="1789430" y="58030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44762" name="Rectangle 144762"/>
                        <wps:cNvSpPr/>
                        <wps:spPr>
                          <a:xfrm>
                            <a:off x="151130" y="765726"/>
                            <a:ext cx="2046096"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6151401CS6365S0001</w:t>
                              </w:r>
                            </w:p>
                          </w:txbxContent>
                        </wps:txbx>
                        <wps:bodyPr horzOverflow="overflow" vert="horz" lIns="0" tIns="0" rIns="0" bIns="0" rtlCol="0">
                          <a:noAutofit/>
                        </wps:bodyPr>
                      </wps:wsp>
                      <wps:wsp>
                        <wps:cNvPr id="144763" name="Rectangle 144763"/>
                        <wps:cNvSpPr/>
                        <wps:spPr>
                          <a:xfrm>
                            <a:off x="1688527" y="765726"/>
                            <a:ext cx="304425"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ME</w:t>
                              </w:r>
                            </w:p>
                          </w:txbxContent>
                        </wps:txbx>
                        <wps:bodyPr horzOverflow="overflow" vert="horz" lIns="0" tIns="0" rIns="0" bIns="0" rtlCol="0">
                          <a:noAutofit/>
                        </wps:bodyPr>
                      </wps:wsp>
                      <wps:wsp>
                        <wps:cNvPr id="144761" name="Rectangle 144761"/>
                        <wps:cNvSpPr/>
                        <wps:spPr>
                          <a:xfrm>
                            <a:off x="1921510" y="765726"/>
                            <a:ext cx="51152"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sz w:val="24"/>
                                  <w:u w:val="single" w:color="000000"/>
                                </w:rPr>
                                <w:t xml:space="preserve"> </w:t>
                              </w:r>
                            </w:p>
                          </w:txbxContent>
                        </wps:txbx>
                        <wps:bodyPr horzOverflow="overflow" vert="horz" lIns="0" tIns="0" rIns="0" bIns="0" rtlCol="0">
                          <a:noAutofit/>
                        </wps:bodyPr>
                      </wps:wsp>
                      <wps:wsp>
                        <wps:cNvPr id="144728" name="Rectangle 144728"/>
                        <wps:cNvSpPr/>
                        <wps:spPr>
                          <a:xfrm>
                            <a:off x="151130" y="240030"/>
                            <a:ext cx="665434"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Parcela</w:t>
                              </w:r>
                            </w:p>
                          </w:txbxContent>
                        </wps:txbx>
                        <wps:bodyPr horzOverflow="overflow" vert="horz" lIns="0" tIns="0" rIns="0" bIns="0" rtlCol="0">
                          <a:noAutofit/>
                        </wps:bodyPr>
                      </wps:wsp>
                      <wps:wsp>
                        <wps:cNvPr id="144729" name="Rectangle 144729"/>
                        <wps:cNvSpPr/>
                        <wps:spPr>
                          <a:xfrm>
                            <a:off x="652780" y="240030"/>
                            <a:ext cx="56585"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wps:wsp>
                        <wps:cNvPr id="144733" name="Rectangle 144733"/>
                        <wps:cNvSpPr/>
                        <wps:spPr>
                          <a:xfrm>
                            <a:off x="708660" y="240030"/>
                            <a:ext cx="326379"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con</w:t>
                              </w:r>
                            </w:p>
                          </w:txbxContent>
                        </wps:txbx>
                        <wps:bodyPr horzOverflow="overflow" vert="horz" lIns="0" tIns="0" rIns="0" bIns="0" rtlCol="0">
                          <a:noAutofit/>
                        </wps:bodyPr>
                      </wps:wsp>
                      <wps:wsp>
                        <wps:cNvPr id="144734" name="Rectangle 144734"/>
                        <wps:cNvSpPr/>
                        <wps:spPr>
                          <a:xfrm>
                            <a:off x="953770" y="240030"/>
                            <a:ext cx="56584"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wps:wsp>
                        <wps:cNvPr id="144742" name="Rectangle 144742"/>
                        <wps:cNvSpPr/>
                        <wps:spPr>
                          <a:xfrm>
                            <a:off x="1009650" y="240030"/>
                            <a:ext cx="903541"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referencia</w:t>
                              </w:r>
                            </w:p>
                          </w:txbxContent>
                        </wps:txbx>
                        <wps:bodyPr horzOverflow="overflow" vert="horz" lIns="0" tIns="0" rIns="0" bIns="0" rtlCol="0">
                          <a:noAutofit/>
                        </wps:bodyPr>
                      </wps:wsp>
                      <wps:wsp>
                        <wps:cNvPr id="144743" name="Rectangle 144743"/>
                        <wps:cNvSpPr/>
                        <wps:spPr>
                          <a:xfrm>
                            <a:off x="1690370" y="240030"/>
                            <a:ext cx="56584"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wps:wsp>
                        <wps:cNvPr id="144744" name="Rectangle 144744"/>
                        <wps:cNvSpPr/>
                        <wps:spPr>
                          <a:xfrm>
                            <a:off x="1748790" y="240030"/>
                            <a:ext cx="752800"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catastral</w:t>
                              </w:r>
                            </w:p>
                          </w:txbxContent>
                        </wps:txbx>
                        <wps:bodyPr horzOverflow="overflow" vert="horz" lIns="0" tIns="0" rIns="0" bIns="0" rtlCol="0">
                          <a:noAutofit/>
                        </wps:bodyPr>
                      </wps:wsp>
                      <wps:wsp>
                        <wps:cNvPr id="144745" name="Rectangle 144745"/>
                        <wps:cNvSpPr/>
                        <wps:spPr>
                          <a:xfrm>
                            <a:off x="2315210" y="240030"/>
                            <a:ext cx="56584"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wps:wsp>
                        <wps:cNvPr id="144747" name="Rectangle 144747"/>
                        <wps:cNvSpPr/>
                        <wps:spPr>
                          <a:xfrm>
                            <a:off x="2369820" y="240030"/>
                            <a:ext cx="2100417"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6151401CS6365S0001</w:t>
                              </w:r>
                            </w:p>
                          </w:txbxContent>
                        </wps:txbx>
                        <wps:bodyPr horzOverflow="overflow" vert="horz" lIns="0" tIns="0" rIns="0" bIns="0" rtlCol="0">
                          <a:noAutofit/>
                        </wps:bodyPr>
                      </wps:wsp>
                      <wps:wsp>
                        <wps:cNvPr id="144748" name="Rectangle 144748"/>
                        <wps:cNvSpPr/>
                        <wps:spPr>
                          <a:xfrm>
                            <a:off x="3949081" y="240030"/>
                            <a:ext cx="337923"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ME</w:t>
                              </w:r>
                            </w:p>
                          </w:txbxContent>
                        </wps:txbx>
                        <wps:bodyPr horzOverflow="overflow" vert="horz" lIns="0" tIns="0" rIns="0" bIns="0" rtlCol="0">
                          <a:noAutofit/>
                        </wps:bodyPr>
                      </wps:wsp>
                      <wps:wsp>
                        <wps:cNvPr id="144746" name="Rectangle 144746"/>
                        <wps:cNvSpPr/>
                        <wps:spPr>
                          <a:xfrm>
                            <a:off x="4204970" y="240030"/>
                            <a:ext cx="56584" cy="224466"/>
                          </a:xfrm>
                          <a:prstGeom prst="rect">
                            <a:avLst/>
                          </a:prstGeom>
                          <a:ln>
                            <a:noFill/>
                          </a:ln>
                        </wps:spPr>
                        <wps:txbx>
                          <w:txbxContent>
                            <w:p w:rsidR="00085BB7" w:rsidRDefault="004441D3">
                              <w:pPr>
                                <w:spacing w:after="160" w:line="259" w:lineRule="auto"/>
                                <w:ind w:left="0" w:right="0" w:firstLine="0"/>
                                <w:jc w:val="left"/>
                              </w:pPr>
                              <w:r>
                                <w:rPr>
                                  <w:rFonts w:ascii="Times New Roman" w:eastAsia="Times New Roman" w:hAnsi="Times New Roman" w:cs="Times New Roman"/>
                                  <w:sz w:val="24"/>
                                  <w:u w:val="single" w:color="000000"/>
                                </w:rPr>
                                <w:t xml:space="preserve"> </w:t>
                              </w:r>
                            </w:p>
                          </w:txbxContent>
                        </wps:txbx>
                        <wps:bodyPr horzOverflow="overflow" vert="horz" lIns="0" tIns="0" rIns="0" bIns="0" rtlCol="0">
                          <a:noAutofit/>
                        </wps:bodyPr>
                      </wps:wsp>
                      <pic:pic xmlns:pic="http://schemas.openxmlformats.org/drawingml/2006/picture">
                        <pic:nvPicPr>
                          <pic:cNvPr id="9493" name="Picture 9493"/>
                          <pic:cNvPicPr/>
                        </pic:nvPicPr>
                        <pic:blipFill>
                          <a:blip r:embed="rId43"/>
                          <a:stretch>
                            <a:fillRect/>
                          </a:stretch>
                        </pic:blipFill>
                        <pic:spPr>
                          <a:xfrm>
                            <a:off x="0" y="173906"/>
                            <a:ext cx="5646420" cy="3988435"/>
                          </a:xfrm>
                          <a:prstGeom prst="rect">
                            <a:avLst/>
                          </a:prstGeom>
                        </pic:spPr>
                      </pic:pic>
                    </wpg:wgp>
                  </a:graphicData>
                </a:graphic>
              </wp:anchor>
            </w:drawing>
          </mc:Choice>
          <mc:Fallback xmlns:a="http://schemas.openxmlformats.org/drawingml/2006/main" xmlns="">
            <w:pict>
              <v:group id="Group 144765" style="width:444.6pt;height:327.743pt;position:absolute;mso-position-horizontal-relative:text;mso-position-horizontal:absolute;margin-left:24.6368pt;mso-position-vertical-relative:text;margin-top:-167.608pt;" coordsize="56464,41623">
                <v:rect id="Rectangle 9425" style="position:absolute;width:1621;height:2244;left:151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Y</w:t>
                        </w:r>
                      </w:p>
                    </w:txbxContent>
                  </v:textbox>
                </v:rect>
                <v:rect id="Rectangle 9426" style="position:absolute;width:561;height:2244;left:2730;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9427" style="position:absolute;width:1628;height:2244;left:3289;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la</w:t>
                        </w:r>
                      </w:p>
                    </w:txbxContent>
                  </v:textbox>
                </v:rect>
                <v:rect id="Rectangle 9428" style="position:absolute;width:561;height:2244;left:4508;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9429" style="position:absolute;width:8103;height:2244;left:506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siguiente</w:t>
                        </w:r>
                      </w:p>
                    </w:txbxContent>
                  </v:textbox>
                </v:rect>
                <v:rect id="Rectangle 9430" style="position:absolute;width:561;height:2244;left:1116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9431" style="position:absolute;width:6494;height:2244;left:11747;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parcela</w:t>
                        </w:r>
                      </w:p>
                    </w:txbxContent>
                  </v:textbox>
                </v:rect>
                <v:rect id="Rectangle 9432" style="position:absolute;width:561;height:2244;left:1662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9433" style="position:absolute;width:8103;height:2244;left:17183;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catastral:</w:t>
                        </w:r>
                      </w:p>
                    </w:txbxContent>
                  </v:textbox>
                </v:rect>
                <v:rect id="Rectangle 9434" style="position:absolute;width:511;height:2026;left:23266;top:215;"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144718" style="position:absolute;width:6658;height:2026;left:1511;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Parcela</w:t>
                        </w:r>
                      </w:p>
                    </w:txbxContent>
                  </v:textbox>
                </v:rect>
                <v:rect id="Rectangle 144720" style="position:absolute;width:511;height:2026;left:6515;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22" style="position:absolute;width:3315;height:2026;left:7035;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con</w:t>
                        </w:r>
                      </w:p>
                    </w:txbxContent>
                  </v:textbox>
                </v:rect>
                <v:rect id="Rectangle 144723" style="position:absolute;width:511;height:2026;left:9525;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24" style="position:absolute;width:9264;height:2026;left:10045;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referencia</w:t>
                        </w:r>
                      </w:p>
                    </w:txbxContent>
                  </v:textbox>
                </v:rect>
                <v:rect id="Rectangle 144725" style="position:absolute;width:511;height:2026;left:17018;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26" style="position:absolute;width:7776;height:2026;left:17564;top:2081;"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catastral</w:t>
                        </w:r>
                      </w:p>
                    </w:txbxContent>
                  </v:textbox>
                </v:rect>
                <v:rect id="Rectangle 144727" style="position:absolute;width:511;height:2026;left:23406;top:2081;"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144751" style="position:absolute;width:20460;height:2026;left:1511;top:3936;"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6151401CS6365S0001</w:t>
                        </w:r>
                      </w:p>
                    </w:txbxContent>
                  </v:textbox>
                </v:rect>
                <v:rect id="Rectangle 144752" style="position:absolute;width:3044;height:2026;left:16885;top:3936;"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ME</w:t>
                        </w:r>
                      </w:p>
                    </w:txbxContent>
                  </v:textbox>
                </v:rect>
                <v:rect id="Rectangle 144750" style="position:absolute;width:511;height:2026;left:19215;top:3936;"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53" style="position:absolute;width:6658;height:2026;left:19761;top:3936;"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Parcela</w:t>
                        </w:r>
                      </w:p>
                    </w:txbxContent>
                  </v:textbox>
                </v:rect>
                <v:rect id="Rectangle 144754" style="position:absolute;width:511;height:2026;left:24765;top:3936;"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144755" style="position:absolute;width:3336;height:2026;left:1511;top:5803;"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con</w:t>
                        </w:r>
                      </w:p>
                    </w:txbxContent>
                  </v:textbox>
                </v:rect>
                <v:rect id="Rectangle 144756" style="position:absolute;width:511;height:2026;left:4013;top:5803;"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57" style="position:absolute;width:9261;height:2026;left:4533;top:5803;"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referencia</w:t>
                        </w:r>
                      </w:p>
                    </w:txbxContent>
                  </v:textbox>
                </v:rect>
                <v:rect id="Rectangle 144758" style="position:absolute;width:511;height:2026;left:11493;top:5803;"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59" style="position:absolute;width:7779;height:2026;left:12039;top:5803;"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catastral</w:t>
                        </w:r>
                      </w:p>
                    </w:txbxContent>
                  </v:textbox>
                </v:rect>
                <v:rect id="Rectangle 144760" style="position:absolute;width:511;height:2026;left:17894;top:5803;" filled="f" stroked="f">
                  <v:textbox inset="0,0,0,0">
                    <w:txbxContent>
                      <w:p>
                        <w:pPr>
                          <w:spacing w:before="0" w:after="160" w:line="259" w:lineRule="auto"/>
                          <w:ind w:left="0" w:right="0" w:firstLine="0"/>
                          <w:jc w:val="left"/>
                        </w:pPr>
                        <w:r>
                          <w:rPr>
                            <w:rFonts w:cs="Calibri" w:hAnsi="Calibri" w:eastAsia="Calibri" w:ascii="Calibri"/>
                            <w:sz w:val="24"/>
                          </w:rPr>
                          <w:t xml:space="preserve"> </w:t>
                        </w:r>
                      </w:p>
                    </w:txbxContent>
                  </v:textbox>
                </v:rect>
                <v:rect id="Rectangle 144762" style="position:absolute;width:20460;height:2026;left:1511;top:7657;"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6151401CS6365S0001</w:t>
                        </w:r>
                      </w:p>
                    </w:txbxContent>
                  </v:textbox>
                </v:rect>
                <v:rect id="Rectangle 144763" style="position:absolute;width:3044;height:2026;left:16885;top:7657;"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ME</w:t>
                        </w:r>
                      </w:p>
                    </w:txbxContent>
                  </v:textbox>
                </v:rect>
                <v:rect id="Rectangle 144761" style="position:absolute;width:511;height:2026;left:19215;top:7657;" filled="f" stroked="f">
                  <v:textbox inset="0,0,0,0">
                    <w:txbxContent>
                      <w:p>
                        <w:pPr>
                          <w:spacing w:before="0" w:after="160" w:line="259" w:lineRule="auto"/>
                          <w:ind w:left="0" w:right="0" w:firstLine="0"/>
                          <w:jc w:val="left"/>
                        </w:pPr>
                        <w:r>
                          <w:rPr>
                            <w:rFonts w:cs="Calibri" w:hAnsi="Calibri" w:eastAsia="Calibri" w:ascii="Calibri"/>
                            <w:sz w:val="24"/>
                            <w:u w:val="single" w:color="000000"/>
                          </w:rPr>
                          <w:t xml:space="preserve"> </w:t>
                        </w:r>
                      </w:p>
                    </w:txbxContent>
                  </v:textbox>
                </v:rect>
                <v:rect id="Rectangle 144728" style="position:absolute;width:6654;height:2244;left:1511;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Parcela</w:t>
                        </w:r>
                      </w:p>
                    </w:txbxContent>
                  </v:textbox>
                </v:rect>
                <v:rect id="Rectangle 144729" style="position:absolute;width:565;height:2244;left:6527;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 </w:t>
                        </w:r>
                      </w:p>
                    </w:txbxContent>
                  </v:textbox>
                </v:rect>
                <v:rect id="Rectangle 144733" style="position:absolute;width:3263;height:2244;left:7086;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con</w:t>
                        </w:r>
                      </w:p>
                    </w:txbxContent>
                  </v:textbox>
                </v:rect>
                <v:rect id="Rectangle 144734" style="position:absolute;width:565;height:2244;left:9537;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 </w:t>
                        </w:r>
                      </w:p>
                    </w:txbxContent>
                  </v:textbox>
                </v:rect>
                <v:rect id="Rectangle 144742" style="position:absolute;width:9035;height:2244;left:10096;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referencia</w:t>
                        </w:r>
                      </w:p>
                    </w:txbxContent>
                  </v:textbox>
                </v:rect>
                <v:rect id="Rectangle 144743" style="position:absolute;width:565;height:2244;left:16903;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 </w:t>
                        </w:r>
                      </w:p>
                    </w:txbxContent>
                  </v:textbox>
                </v:rect>
                <v:rect id="Rectangle 144744" style="position:absolute;width:7528;height:2244;left:17487;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catastral</w:t>
                        </w:r>
                      </w:p>
                    </w:txbxContent>
                  </v:textbox>
                </v:rect>
                <v:rect id="Rectangle 144745" style="position:absolute;width:565;height:2244;left:23152;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 </w:t>
                        </w:r>
                      </w:p>
                    </w:txbxContent>
                  </v:textbox>
                </v:rect>
                <v:rect id="Rectangle 144747" style="position:absolute;width:21004;height:2244;left:23698;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6151401CS6365S0001</w:t>
                        </w:r>
                      </w:p>
                    </w:txbxContent>
                  </v:textbox>
                </v:rect>
                <v:rect id="Rectangle 144748" style="position:absolute;width:3379;height:2244;left:39490;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ME</w:t>
                        </w:r>
                      </w:p>
                    </w:txbxContent>
                  </v:textbox>
                </v:rect>
                <v:rect id="Rectangle 144746" style="position:absolute;width:565;height:2244;left:42049;top:2400;" filled="f" stroked="f">
                  <v:textbox inset="0,0,0,0">
                    <w:txbxContent>
                      <w:p>
                        <w:pPr>
                          <w:spacing w:before="0" w:after="160" w:line="259" w:lineRule="auto"/>
                          <w:ind w:left="0" w:right="0" w:firstLine="0"/>
                          <w:jc w:val="left"/>
                        </w:pPr>
                        <w:r>
                          <w:rPr>
                            <w:rFonts w:cs="Times New Roman" w:hAnsi="Times New Roman" w:eastAsia="Times New Roman" w:ascii="Times New Roman"/>
                            <w:sz w:val="24"/>
                            <w:u w:val="single" w:color="000000"/>
                          </w:rPr>
                          <w:t xml:space="preserve"> </w:t>
                        </w:r>
                      </w:p>
                    </w:txbxContent>
                  </v:textbox>
                </v:rect>
                <v:shape id="Picture 9493" style="position:absolute;width:56464;height:39884;left:0;top:1739;" filled="f">
                  <v:imagedata r:id="rId44"/>
                </v:shape>
                <w10:wrap type="square"/>
              </v:group>
            </w:pict>
          </mc:Fallback>
        </mc:AlternateContent>
      </w:r>
      <w:r>
        <w:rPr>
          <w:rFonts w:ascii="Calibri" w:eastAsia="Calibri" w:hAnsi="Calibri" w:cs="Calibri"/>
        </w:rPr>
        <w:tab/>
      </w:r>
      <w:r>
        <w:rPr>
          <w:rFonts w:ascii="Calibri" w:eastAsia="Calibri" w:hAnsi="Calibri" w:cs="Calibri"/>
          <w:b/>
          <w:sz w:val="16"/>
        </w:rPr>
        <w:t xml:space="preserve">                               </w:t>
      </w:r>
      <w:r>
        <w:t>2.- Notificación a los copropietarios y al transmitido, Consejo Insular de Aguas.</w:t>
      </w:r>
      <w:r>
        <w:tab/>
      </w:r>
      <w:r>
        <w:rPr>
          <w:rFonts w:ascii="Calibri" w:eastAsia="Calibri" w:hAnsi="Calibri" w:cs="Calibri"/>
          <w:noProof/>
        </w:rPr>
        <mc:AlternateContent>
          <mc:Choice Requires="wpg">
            <w:drawing>
              <wp:inline distT="0" distB="0" distL="0" distR="0">
                <wp:extent cx="237530" cy="3313100"/>
                <wp:effectExtent l="0" t="0" r="0" b="0"/>
                <wp:docPr id="144766" name="Group 1447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531" name="Rectangle 953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532" name="Rectangle 953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533" name="Rectangle 953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w:t>
                              </w:r>
                              <w:r>
                                <w:rPr>
                                  <w:sz w:val="12"/>
                                </w:rPr>
                                <w:t xml:space="preserve">ona | Página 72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766" style="width:18.7031pt;height:260.874pt;mso-position-horizontal-relative:char;mso-position-vertical-relative:line" coordsize="2375,33131">
                <v:rect id="Rectangle 953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5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5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133 </w:t>
                        </w:r>
                      </w:p>
                    </w:txbxContent>
                  </v:textbox>
                </v:rect>
              </v:group>
            </w:pict>
          </mc:Fallback>
        </mc:AlternateContent>
      </w:r>
    </w:p>
    <w:p w:rsidR="00085BB7" w:rsidRDefault="004441D3">
      <w:pPr>
        <w:spacing w:after="0"/>
        <w:ind w:left="736" w:right="903"/>
      </w:pPr>
      <w:r>
        <w:t xml:space="preserve">                       3.- Citarlos para la firma del acta de aceptación del receptor, con formalización de un acta de entrega y recepción entre los representantes de los Ayuntamientos cedentes y el CIATF receptor del que den fe lo</w:t>
      </w:r>
      <w:r>
        <w:t>s Secretarios en la superficie del bien objeto de mutación subjetiva.</w:t>
      </w:r>
    </w:p>
    <w:p w:rsidR="00085BB7" w:rsidRDefault="004441D3">
      <w:pPr>
        <w:ind w:left="736" w:right="903"/>
      </w:pPr>
      <w:r>
        <w:t xml:space="preserve">                        4.- Dación de cuenta a la Comunidad Autónoma como control de legalidad de la presente mutación demanial”</w:t>
      </w:r>
    </w:p>
    <w:p w:rsidR="00085BB7" w:rsidRDefault="004441D3">
      <w:pPr>
        <w:spacing w:after="10"/>
        <w:ind w:left="1873" w:right="903"/>
      </w:pPr>
      <w:r>
        <w:t xml:space="preserve">Visto el informe transcrito precedentemente, esta Alcaldía eleva al Pleno la siguiente </w:t>
      </w:r>
    </w:p>
    <w:p w:rsidR="00085BB7" w:rsidRDefault="004441D3">
      <w:pPr>
        <w:spacing w:after="407"/>
        <w:ind w:left="736" w:right="903"/>
      </w:pPr>
      <w:r>
        <w:t xml:space="preserve">PROPUESTA </w:t>
      </w:r>
    </w:p>
    <w:p w:rsidR="00085BB7" w:rsidRDefault="004441D3">
      <w:pPr>
        <w:spacing w:after="438"/>
        <w:ind w:left="736" w:right="903"/>
      </w:pPr>
      <w:r>
        <w:t xml:space="preserve">Primero.- Aprobar la transmisión mediante mutación demanial subjetiva a favor del Consejo Insular de Aguas de Tenerife del siguiente bien de dominio público </w:t>
      </w:r>
      <w:r>
        <w:t>afecto a un servicio público (depuración de aguas residuales industriales) del que es copropietario proindiviso el Ayuntamiento de Candelaria (junto a los Ayuntamientos de Arafo y Güimar) según la siguiente escritura pública:</w:t>
      </w:r>
    </w:p>
    <w:p w:rsidR="00085BB7" w:rsidRDefault="004441D3">
      <w:pPr>
        <w:spacing w:after="88"/>
        <w:ind w:left="736" w:right="903"/>
      </w:pPr>
      <w:r>
        <w:t>Escritura pública número de pr</w:t>
      </w:r>
      <w:r>
        <w:t xml:space="preserve">otocolo 291 de fecha 23 de julio de 2023 del notario D. Francisco Javier Juan Rico de la ciudad de Güimar hoja de la escritura BJ3140861: </w:t>
      </w:r>
    </w:p>
    <w:p w:rsidR="00085BB7" w:rsidRDefault="004441D3">
      <w:pPr>
        <w:spacing w:after="3"/>
        <w:ind w:left="736" w:right="903"/>
      </w:pPr>
      <w:r>
        <w:t xml:space="preserve">EMISARIO SUBMARINO: constituido, en su tramo terrestre, por una conducción de fundición de </w:t>
      </w:r>
      <w:r>
        <w:t>157 m de longitud y, en su tramo submarno, por otra conducción de fibrocemento de 500 mm de diámetro y de 540 m de longitud. Ambas conducciones se encuentran alojadas en zanjas, en el tramo final del emisario se derivan difusores formados por tres ramales,</w:t>
      </w:r>
      <w:r>
        <w:t xml:space="preserve"> dos de 39,5 m de longitud y el tercero de 69,5m, todos de fibrocemento de 400mm de diámetro. Asimismo, el emisario submarino consta, en su cabecera, de una fase de pretratamiento y de una pequeña edificación para la medición del caudal de aguas residuales</w:t>
      </w:r>
      <w:r>
        <w:t xml:space="preserve"> que vierten al mar. Se encuentra en terrenos del término municipal de Arafo, incluidos en la escritura de agrupación de fincas de fecha </w:t>
      </w:r>
    </w:p>
    <w:p w:rsidR="00085BB7" w:rsidRDefault="004441D3">
      <w:pPr>
        <w:spacing w:after="761"/>
        <w:ind w:left="736" w:right="903"/>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7526020</wp:posOffset>
                </wp:positionH>
                <wp:positionV relativeFrom="page">
                  <wp:posOffset>10274310</wp:posOffset>
                </wp:positionV>
                <wp:extent cx="98023" cy="152400"/>
                <wp:effectExtent l="0" t="0" r="0" b="0"/>
                <wp:wrapSquare wrapText="bothSides"/>
                <wp:docPr id="144916" name="Group 144916"/>
                <wp:cNvGraphicFramePr/>
                <a:graphic xmlns:a="http://schemas.openxmlformats.org/drawingml/2006/main">
                  <a:graphicData uri="http://schemas.microsoft.com/office/word/2010/wordprocessingGroup">
                    <wpg:wgp>
                      <wpg:cNvGrpSpPr/>
                      <wpg:grpSpPr>
                        <a:xfrm>
                          <a:off x="0" y="0"/>
                          <a:ext cx="98023" cy="152400"/>
                          <a:chOff x="0" y="0"/>
                          <a:chExt cx="98023" cy="152400"/>
                        </a:xfrm>
                      </wpg:grpSpPr>
                      <wps:wsp>
                        <wps:cNvPr id="9555" name="Rectangle 9555"/>
                        <wps:cNvSpPr/>
                        <wps:spPr>
                          <a:xfrm>
                            <a:off x="0" y="0"/>
                            <a:ext cx="130370"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b/>
                                  <w:sz w:val="24"/>
                                </w:rPr>
                                <w:t>p</w:t>
                              </w:r>
                            </w:p>
                          </w:txbxContent>
                        </wps:txbx>
                        <wps:bodyPr horzOverflow="overflow" vert="horz" lIns="0" tIns="0" rIns="0" bIns="0" rtlCol="0">
                          <a:noAutofit/>
                        </wps:bodyPr>
                      </wps:wsp>
                    </wpg:wgp>
                  </a:graphicData>
                </a:graphic>
              </wp:anchor>
            </w:drawing>
          </mc:Choice>
          <mc:Fallback xmlns:a="http://schemas.openxmlformats.org/drawingml/2006/main" xmlns="">
            <w:pict>
              <v:group id="Group 144916" style="width:7.71832pt;height:12pt;position:absolute;mso-position-horizontal-relative:page;mso-position-horizontal:absolute;margin-left:592.6pt;mso-position-vertical-relative:page;margin-top:809.001pt;" coordsize="980,1524">
                <v:rect id="Rectangle 9555" style="position:absolute;width:1303;height:2026;left:0;top:0;" filled="f" stroked="f">
                  <v:textbox inset="0,0,0,0">
                    <w:txbxContent>
                      <w:p>
                        <w:pPr>
                          <w:spacing w:before="0" w:after="160" w:line="259" w:lineRule="auto"/>
                          <w:ind w:left="0" w:right="0" w:firstLine="0"/>
                          <w:jc w:val="left"/>
                        </w:pPr>
                        <w:r>
                          <w:rPr>
                            <w:rFonts w:cs="Calibri" w:hAnsi="Calibri" w:eastAsia="Calibri" w:ascii="Calibri"/>
                            <w:b w:val="1"/>
                            <w:sz w:val="24"/>
                          </w:rPr>
                          <w:t xml:space="preserve">p</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7546007</wp:posOffset>
                </wp:positionH>
                <wp:positionV relativeFrom="page">
                  <wp:posOffset>10511799</wp:posOffset>
                </wp:positionV>
                <wp:extent cx="88794" cy="152400"/>
                <wp:effectExtent l="0" t="0" r="0" b="0"/>
                <wp:wrapSquare wrapText="bothSides"/>
                <wp:docPr id="144917" name="Group 144917"/>
                <wp:cNvGraphicFramePr/>
                <a:graphic xmlns:a="http://schemas.openxmlformats.org/drawingml/2006/main">
                  <a:graphicData uri="http://schemas.microsoft.com/office/word/2010/wordprocessingGroup">
                    <wpg:wgp>
                      <wpg:cNvGrpSpPr/>
                      <wpg:grpSpPr>
                        <a:xfrm>
                          <a:off x="0" y="0"/>
                          <a:ext cx="88794" cy="152400"/>
                          <a:chOff x="0" y="0"/>
                          <a:chExt cx="88794" cy="152400"/>
                        </a:xfrm>
                      </wpg:grpSpPr>
                      <wps:wsp>
                        <wps:cNvPr id="144805" name="Rectangle 144805"/>
                        <wps:cNvSpPr/>
                        <wps:spPr>
                          <a:xfrm>
                            <a:off x="0" y="0"/>
                            <a:ext cx="118096" cy="202692"/>
                          </a:xfrm>
                          <a:prstGeom prst="rect">
                            <a:avLst/>
                          </a:prstGeom>
                          <a:ln>
                            <a:noFill/>
                          </a:ln>
                        </wps:spPr>
                        <wps:txbx>
                          <w:txbxContent>
                            <w:p w:rsidR="00085BB7" w:rsidRDefault="004441D3">
                              <w:pPr>
                                <w:spacing w:after="160" w:line="259" w:lineRule="auto"/>
                                <w:ind w:left="0" w:right="0" w:firstLine="0"/>
                                <w:jc w:val="left"/>
                              </w:pPr>
                              <w:r>
                                <w:rPr>
                                  <w:rFonts w:ascii="Calibri" w:eastAsia="Calibri" w:hAnsi="Calibri" w:cs="Calibri"/>
                                  <w:b/>
                                  <w:sz w:val="24"/>
                                </w:rPr>
                                <w:t>e</w:t>
                              </w:r>
                            </w:p>
                          </w:txbxContent>
                        </wps:txbx>
                        <wps:bodyPr horzOverflow="overflow" vert="horz" lIns="0" tIns="0" rIns="0" bIns="0" rtlCol="0">
                          <a:noAutofit/>
                        </wps:bodyPr>
                      </wps:wsp>
                    </wpg:wgp>
                  </a:graphicData>
                </a:graphic>
              </wp:anchor>
            </w:drawing>
          </mc:Choice>
          <mc:Fallback xmlns:a="http://schemas.openxmlformats.org/drawingml/2006/main" xmlns="">
            <w:pict>
              <v:group id="Group 144917" style="width:6.99164pt;height:12pt;position:absolute;mso-position-horizontal-relative:page;mso-position-horizontal:absolute;margin-left:594.174pt;mso-position-vertical-relative:page;margin-top:827.701pt;" coordsize="887,1524">
                <v:rect id="Rectangle 144805" style="position:absolute;width:1180;height:2026;left:0;top:0;" filled="f" stroked="f">
                  <v:textbox inset="0,0,0,0">
                    <w:txbxContent>
                      <w:p>
                        <w:pPr>
                          <w:spacing w:before="0" w:after="160" w:line="259" w:lineRule="auto"/>
                          <w:ind w:left="0" w:right="0" w:firstLine="0"/>
                          <w:jc w:val="left"/>
                        </w:pPr>
                        <w:r>
                          <w:rPr>
                            <w:rFonts w:cs="Calibri" w:hAnsi="Calibri" w:eastAsia="Calibri" w:ascii="Calibri"/>
                            <w:b w:val="1"/>
                            <w:sz w:val="24"/>
                          </w:rPr>
                          <w:t xml:space="preserve">e</w:t>
                        </w:r>
                      </w:p>
                    </w:txbxContent>
                  </v:textbox>
                </v:rect>
                <w10:wrap type="square"/>
              </v:group>
            </w:pict>
          </mc:Fallback>
        </mc:AlternateContent>
      </w:r>
      <w:r>
        <w:t>31/12/1976, nº 2318 del Protocolo de D. Alfonso Cavallé Moya (…)”</w:t>
      </w:r>
    </w:p>
    <w:p w:rsidR="00085BB7" w:rsidRDefault="004441D3">
      <w:pPr>
        <w:spacing w:after="722" w:line="259" w:lineRule="auto"/>
        <w:ind w:left="10303" w:right="0" w:firstLine="0"/>
        <w:jc w:val="left"/>
      </w:pPr>
      <w:r>
        <w:rPr>
          <w:rFonts w:ascii="Calibri" w:eastAsia="Calibri" w:hAnsi="Calibri" w:cs="Calibri"/>
          <w:noProof/>
        </w:rPr>
        <mc:AlternateContent>
          <mc:Choice Requires="wpg">
            <w:drawing>
              <wp:inline distT="0" distB="0" distL="0" distR="0">
                <wp:extent cx="237530" cy="3313100"/>
                <wp:effectExtent l="0" t="0" r="0" b="0"/>
                <wp:docPr id="144812" name="Group 14481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616" name="Rectangle 961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617" name="Rectangle 961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618" name="Rectangle 961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73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4812" style="width:18.7031pt;height:260.874pt;mso-position-horizontal-relative:char;mso-position-vertical-relative:line" coordsize="2375,33131">
                <v:rect id="Rectangle 961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6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6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133 </w:t>
                        </w:r>
                      </w:p>
                    </w:txbxContent>
                  </v:textbox>
                </v:rect>
              </v:group>
            </w:pict>
          </mc:Fallback>
        </mc:AlternateContent>
      </w:r>
    </w:p>
    <w:p w:rsidR="00085BB7" w:rsidRDefault="004441D3">
      <w:pPr>
        <w:spacing w:after="58" w:line="259" w:lineRule="auto"/>
        <w:ind w:left="0" w:right="119" w:firstLine="0"/>
        <w:jc w:val="right"/>
      </w:pPr>
      <w:r>
        <w:rPr>
          <w:rFonts w:ascii="Calibri" w:eastAsia="Calibri" w:hAnsi="Calibri" w:cs="Calibri"/>
          <w:b/>
          <w:sz w:val="24"/>
        </w:rPr>
        <w:t xml:space="preserve">Y la siguiente </w:t>
      </w:r>
    </w:p>
    <w:p w:rsidR="00085BB7" w:rsidRDefault="004441D3">
      <w:pPr>
        <w:spacing w:after="0" w:line="259" w:lineRule="auto"/>
        <w:ind w:left="0" w:right="0" w:firstLine="0"/>
        <w:jc w:val="right"/>
      </w:pPr>
      <w:r>
        <w:rPr>
          <w:noProof/>
        </w:rPr>
        <w:drawing>
          <wp:anchor distT="0" distB="0" distL="114300" distR="114300" simplePos="0" relativeHeight="251724800" behindDoc="0" locked="0" layoutInCell="1" allowOverlap="0">
            <wp:simplePos x="0" y="0"/>
            <wp:positionH relativeFrom="column">
              <wp:posOffset>5857073</wp:posOffset>
            </wp:positionH>
            <wp:positionV relativeFrom="paragraph">
              <wp:posOffset>-94613</wp:posOffset>
            </wp:positionV>
            <wp:extent cx="1252728" cy="252985"/>
            <wp:effectExtent l="0" t="0" r="0" b="0"/>
            <wp:wrapNone/>
            <wp:docPr id="152707" name="Picture 152707"/>
            <wp:cNvGraphicFramePr/>
            <a:graphic xmlns:a="http://schemas.openxmlformats.org/drawingml/2006/main">
              <a:graphicData uri="http://schemas.openxmlformats.org/drawingml/2006/picture">
                <pic:pic xmlns:pic="http://schemas.openxmlformats.org/drawingml/2006/picture">
                  <pic:nvPicPr>
                    <pic:cNvPr id="152707" name="Picture 152707"/>
                    <pic:cNvPicPr/>
                  </pic:nvPicPr>
                  <pic:blipFill>
                    <a:blip r:embed="rId45"/>
                    <a:stretch>
                      <a:fillRect/>
                    </a:stretch>
                  </pic:blipFill>
                  <pic:spPr>
                    <a:xfrm>
                      <a:off x="0" y="0"/>
                      <a:ext cx="1252728" cy="252985"/>
                    </a:xfrm>
                    <a:prstGeom prst="rect">
                      <a:avLst/>
                    </a:prstGeom>
                  </pic:spPr>
                </pic:pic>
              </a:graphicData>
            </a:graphic>
          </wp:anchor>
        </w:drawing>
      </w:r>
      <w:r>
        <w:rPr>
          <w:rFonts w:ascii="Calibri" w:eastAsia="Calibri" w:hAnsi="Calibri" w:cs="Calibri"/>
          <w:b/>
          <w:sz w:val="24"/>
          <w:u w:val="single" w:color="000000"/>
        </w:rPr>
        <w:t>Parcela con ref</w:t>
      </w:r>
    </w:p>
    <w:p w:rsidR="00085BB7" w:rsidRDefault="004441D3">
      <w:pPr>
        <w:spacing w:after="713"/>
        <w:ind w:left="501" w:right="0"/>
      </w:pPr>
      <w:r>
        <w:t>2.- Notificación a los copr</w:t>
      </w:r>
      <w:r>
        <w:t>opietarios y al transmitido, Consejo Insular de Aguas.</w:t>
      </w:r>
    </w:p>
    <w:p w:rsidR="00085BB7" w:rsidRDefault="004441D3">
      <w:pPr>
        <w:spacing w:after="714"/>
        <w:ind w:left="501" w:right="903"/>
      </w:pPr>
      <w:r>
        <w:t>3.- Citarlos para la firma del acta de aceptación del receptor, con formalización de un acta de entrega y recepción entre los representantes de los Ayuntamientos cedentes y el CIATF receptor del que de</w:t>
      </w:r>
      <w:r>
        <w:t>n fe los Secretarios en la superficie del bien objeto de mutación subjetiva.</w:t>
      </w:r>
    </w:p>
    <w:p w:rsidR="00085BB7" w:rsidRDefault="004441D3">
      <w:pPr>
        <w:spacing w:after="714"/>
        <w:ind w:left="501" w:right="903"/>
      </w:pPr>
      <w:r>
        <w:t>4.- Dación de cuenta a la Comunidad Autónoma como control de legalidad de la presente mutación demanial.</w:t>
      </w:r>
    </w:p>
    <w:p w:rsidR="00085BB7" w:rsidRDefault="004441D3">
      <w:pPr>
        <w:ind w:left="736" w:right="903"/>
      </w:pPr>
      <w:r>
        <w:t>DICTAMEN FAVORABLE DE LA COMISIÓN INFORMATIVA DE P.G. URBANÍSTICA Y AMBIEN</w:t>
      </w:r>
      <w:r>
        <w:t xml:space="preserve">TAL, OBRAS y SERVICIOS PÚBLICOS DE 23 DE SEPTIEMBRE DE 2024. </w:t>
      </w:r>
    </w:p>
    <w:p w:rsidR="00085BB7" w:rsidRDefault="004441D3">
      <w:pPr>
        <w:ind w:left="736" w:right="903"/>
      </w:pPr>
      <w:r>
        <w:t>Votos a favor: 4.</w:t>
      </w:r>
    </w:p>
    <w:p w:rsidR="00085BB7" w:rsidRDefault="004441D3">
      <w:pPr>
        <w:ind w:left="736" w:right="903"/>
      </w:pPr>
      <w:r>
        <w:t>Los 4 concejales del Grupo Socialista: D. Reinaldo José Triviño Blanco, Don Olegario Francisco Alonso Bello, Dª María Del Carmen Clemente Díaz y Dª Mónica Monserrat Yanes Delga</w:t>
      </w:r>
      <w:r>
        <w:t>do.</w:t>
      </w:r>
    </w:p>
    <w:p w:rsidR="00085BB7" w:rsidRDefault="004441D3">
      <w:pPr>
        <w:ind w:left="736" w:right="903"/>
      </w:pPr>
      <w:r>
        <w:t>Votos en contra: 0.</w:t>
      </w:r>
    </w:p>
    <w:p w:rsidR="00085BB7" w:rsidRDefault="004441D3">
      <w:pPr>
        <w:ind w:left="736" w:right="903"/>
      </w:pPr>
      <w:r>
        <w:rPr>
          <w:noProof/>
        </w:rPr>
        <w:drawing>
          <wp:anchor distT="0" distB="0" distL="114300" distR="114300" simplePos="0" relativeHeight="251725824" behindDoc="0" locked="0" layoutInCell="1" allowOverlap="0">
            <wp:simplePos x="0" y="0"/>
            <wp:positionH relativeFrom="page">
              <wp:posOffset>6293485</wp:posOffset>
            </wp:positionH>
            <wp:positionV relativeFrom="page">
              <wp:posOffset>9</wp:posOffset>
            </wp:positionV>
            <wp:extent cx="1252728" cy="3532632"/>
            <wp:effectExtent l="0" t="0" r="0" b="0"/>
            <wp:wrapSquare wrapText="bothSides"/>
            <wp:docPr id="152708" name="Picture 152708"/>
            <wp:cNvGraphicFramePr/>
            <a:graphic xmlns:a="http://schemas.openxmlformats.org/drawingml/2006/main">
              <a:graphicData uri="http://schemas.openxmlformats.org/drawingml/2006/picture">
                <pic:pic xmlns:pic="http://schemas.openxmlformats.org/drawingml/2006/picture">
                  <pic:nvPicPr>
                    <pic:cNvPr id="152708" name="Picture 152708"/>
                    <pic:cNvPicPr/>
                  </pic:nvPicPr>
                  <pic:blipFill>
                    <a:blip r:embed="rId46"/>
                    <a:stretch>
                      <a:fillRect/>
                    </a:stretch>
                  </pic:blipFill>
                  <pic:spPr>
                    <a:xfrm>
                      <a:off x="0" y="0"/>
                      <a:ext cx="1252728" cy="3532632"/>
                    </a:xfrm>
                    <a:prstGeom prst="rect">
                      <a:avLst/>
                    </a:prstGeom>
                  </pic:spPr>
                </pic:pic>
              </a:graphicData>
            </a:graphic>
          </wp:anchor>
        </w:drawing>
      </w:r>
      <w:r>
        <w:t>Abstenciones: 3.</w:t>
      </w:r>
    </w:p>
    <w:p w:rsidR="00085BB7" w:rsidRDefault="004441D3">
      <w:pPr>
        <w:ind w:left="736" w:right="903"/>
      </w:pPr>
      <w:r>
        <w:t xml:space="preserve">Los 2 concejales del Grupo Popular: D Jacobo López Fariña, y Dª Raquel Martín Castro. </w:t>
      </w:r>
    </w:p>
    <w:p w:rsidR="00085BB7" w:rsidRDefault="004441D3">
      <w:pPr>
        <w:spacing w:after="497"/>
        <w:ind w:left="736" w:right="903"/>
      </w:pPr>
      <w:r>
        <w:t>1 del concejal del Grupo Mixto: D. José Fierros Sierra.</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column">
                  <wp:posOffset>6542599</wp:posOffset>
                </wp:positionH>
                <wp:positionV relativeFrom="paragraph">
                  <wp:posOffset>-386422</wp:posOffset>
                </wp:positionV>
                <wp:extent cx="237530" cy="3313100"/>
                <wp:effectExtent l="0" t="0" r="0" b="0"/>
                <wp:wrapSquare wrapText="bothSides"/>
                <wp:docPr id="145010" name="Group 14501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678" name="Rectangle 967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679" name="Rectangle 967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680" name="Rectangle 968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010" style="width:18.7031pt;height:260.874pt;position:absolute;mso-position-horizontal-relative:text;mso-position-horizontal:absolute;margin-left:515.165pt;mso-position-vertical-relative:text;margin-top:-30.427pt;" coordsize="2375,33131">
                <v:rect id="Rectangle 967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6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6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133 </w:t>
                        </w:r>
                      </w:p>
                    </w:txbxContent>
                  </v:textbox>
                </v:rect>
                <w10:wrap type="square"/>
              </v:group>
            </w:pict>
          </mc:Fallback>
        </mc:AlternateContent>
      </w:r>
      <w:r>
        <w:t xml:space="preserve">JUNTA DE PORTAVOCES DE 23 DE SEPTIEMBRE DE 2024. Quedó oída. </w:t>
      </w:r>
    </w:p>
    <w:p w:rsidR="00085BB7" w:rsidRDefault="004441D3">
      <w:pPr>
        <w:ind w:left="736" w:right="903"/>
      </w:pPr>
      <w:r>
        <w:t>VOTACIÓN EN EL PLENO DE 26 DE SEPTIEMBRE DE 2</w:t>
      </w:r>
      <w:r>
        <w:t xml:space="preserve">024. La unanimidad de los 21 concejales presentes: </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Reinaldo </w:t>
      </w:r>
    </w:p>
    <w:p w:rsidR="00085BB7" w:rsidRDefault="004441D3">
      <w:pPr>
        <w:ind w:left="736" w:right="903"/>
      </w:pPr>
      <w:r>
        <w:t>José Triviño Blanco, Don M</w:t>
      </w:r>
      <w:r>
        <w:t xml:space="preserve">anuel Alberto González Pestano, Doña Margarita Eva Tendero Barroso, Don Airam Pérez Chinea, Doña María del Carmen Clemente Díaz, Don Olegario Francisco Alonso Bello, Doña Mónica Monserrat Yanes Delgado. </w:t>
      </w:r>
    </w:p>
    <w:p w:rsidR="00085BB7" w:rsidRDefault="004441D3">
      <w:pPr>
        <w:ind w:left="736" w:right="903"/>
      </w:pPr>
      <w:r>
        <w:t>6 concejales del Grupo Popular: Don Jacobo López Far</w:t>
      </w:r>
      <w:r>
        <w:t xml:space="preserve">iña, Doña Raquel Martín Castro, Don David Crego Cháves, Doña María Carlota Díaz González, Don José Daniel Sosa González, y Doña Shaila Castellano Batista. </w:t>
      </w:r>
    </w:p>
    <w:p w:rsidR="00085BB7" w:rsidRDefault="004441D3">
      <w:pPr>
        <w:spacing w:after="12"/>
        <w:ind w:left="736" w:right="903"/>
      </w:pPr>
      <w:r>
        <w:t>4 concejales del Grupo Mixto: Doña Ángela Cruz Perera y Don Emilio Jesús Atienzar Armas, (CC), D. Jo</w:t>
      </w:r>
      <w:r>
        <w:t>sé Fierros Sierra (USP), Don José Tortosa Pallarés (VOX).</w:t>
      </w:r>
    </w:p>
    <w:p w:rsidR="00085BB7" w:rsidRDefault="004441D3">
      <w:pPr>
        <w:spacing w:after="0" w:line="259" w:lineRule="auto"/>
        <w:ind w:left="733" w:firstLine="0"/>
        <w:jc w:val="left"/>
      </w:pPr>
      <w:r>
        <w:rPr>
          <w:rFonts w:ascii="Times New Roman" w:eastAsia="Times New Roman" w:hAnsi="Times New Roman" w:cs="Times New Roman"/>
          <w:b/>
          <w:sz w:val="24"/>
        </w:rPr>
        <w:t xml:space="preserve">                          </w:t>
      </w:r>
    </w:p>
    <w:p w:rsidR="00085BB7" w:rsidRDefault="004441D3">
      <w:pPr>
        <w:spacing w:after="467" w:line="265" w:lineRule="auto"/>
        <w:ind w:left="548" w:right="713" w:hanging="10"/>
        <w:jc w:val="center"/>
      </w:pPr>
      <w:r>
        <w:t>ACUERDO DEL PLENO DE 26 DE SEPTIEMBRE DE 2024.</w:t>
      </w:r>
    </w:p>
    <w:p w:rsidR="00085BB7" w:rsidRDefault="004441D3">
      <w:pPr>
        <w:spacing w:after="3" w:line="265" w:lineRule="auto"/>
        <w:ind w:left="10" w:right="906" w:hanging="10"/>
        <w:jc w:val="right"/>
      </w:pPr>
      <w:r>
        <w:t xml:space="preserve">Primero. - Aprobar la transmisión mediante mutación demanial subjetiva a </w:t>
      </w:r>
    </w:p>
    <w:p w:rsidR="00085BB7" w:rsidRDefault="004441D3">
      <w:pPr>
        <w:spacing w:after="90"/>
        <w:ind w:left="736" w:right="903"/>
      </w:pPr>
      <w:r>
        <w:t>favor del Consejo Insular de Aguas de Tenerife del siguiente bien de dominio público afecto a un servicio público (depuración de aguas residuales industriales) del que es copropietario proindiviso el Ayuntamiento de Candelaria (junto a los Ayuntamientos de</w:t>
      </w:r>
      <w:r>
        <w:t xml:space="preserve"> Arafo y Güimar) según la siguiente escritura pública:</w:t>
      </w:r>
    </w:p>
    <w:p w:rsidR="00085BB7" w:rsidRDefault="004441D3">
      <w:pPr>
        <w:spacing w:after="123" w:line="224" w:lineRule="auto"/>
        <w:ind w:left="715" w:right="874" w:hanging="8"/>
      </w:pPr>
      <w:r>
        <w:rPr>
          <w:sz w:val="23"/>
        </w:rPr>
        <w:t xml:space="preserve">Escritura pública número de protocolo 291 de fecha 23 de julio de 2023 del notario D. Francisco Javier Juan Rico de la ciudad de Güimar hoja de la escritura BJ3140861: </w:t>
      </w:r>
    </w:p>
    <w:p w:rsidR="00085BB7" w:rsidRDefault="004441D3">
      <w:pPr>
        <w:spacing w:after="44" w:line="224" w:lineRule="auto"/>
        <w:ind w:left="715" w:right="874" w:hanging="8"/>
      </w:pPr>
      <w:r>
        <w:rPr>
          <w:noProof/>
        </w:rPr>
        <w:drawing>
          <wp:anchor distT="0" distB="0" distL="114300" distR="114300" simplePos="0" relativeHeight="251727872" behindDoc="0" locked="0" layoutInCell="1" allowOverlap="0">
            <wp:simplePos x="0" y="0"/>
            <wp:positionH relativeFrom="column">
              <wp:posOffset>454493</wp:posOffset>
            </wp:positionH>
            <wp:positionV relativeFrom="paragraph">
              <wp:posOffset>1237082</wp:posOffset>
            </wp:positionV>
            <wp:extent cx="4930140" cy="3122295"/>
            <wp:effectExtent l="0" t="0" r="0" b="0"/>
            <wp:wrapSquare wrapText="bothSides"/>
            <wp:docPr id="9750" name="Picture 9750"/>
            <wp:cNvGraphicFramePr/>
            <a:graphic xmlns:a="http://schemas.openxmlformats.org/drawingml/2006/main">
              <a:graphicData uri="http://schemas.openxmlformats.org/drawingml/2006/picture">
                <pic:pic xmlns:pic="http://schemas.openxmlformats.org/drawingml/2006/picture">
                  <pic:nvPicPr>
                    <pic:cNvPr id="9750" name="Picture 9750"/>
                    <pic:cNvPicPr/>
                  </pic:nvPicPr>
                  <pic:blipFill>
                    <a:blip r:embed="rId47"/>
                    <a:stretch>
                      <a:fillRect/>
                    </a:stretch>
                  </pic:blipFill>
                  <pic:spPr>
                    <a:xfrm>
                      <a:off x="0" y="0"/>
                      <a:ext cx="4930140" cy="3122295"/>
                    </a:xfrm>
                    <a:prstGeom prst="rect">
                      <a:avLst/>
                    </a:prstGeom>
                  </pic:spPr>
                </pic:pic>
              </a:graphicData>
            </a:graphic>
          </wp:anchor>
        </w:drawing>
      </w:r>
      <w:r>
        <w:rPr>
          <w:sz w:val="23"/>
        </w:rPr>
        <w:t>EMISARIO SUBMARINO: constituido</w:t>
      </w:r>
      <w:r>
        <w:rPr>
          <w:sz w:val="23"/>
        </w:rPr>
        <w:t xml:space="preserve">, en su tramo terrestre, por una conducción de fundición de 157 m de longitud y, en su tramo submarno, por otra conducción de fibrocemento de 500 mm de diámetro y de 540 m de longitud. Ambas conducciones se encuentran alojadas en zanjas, en el tramo final </w:t>
      </w:r>
      <w:r>
        <w:rPr>
          <w:sz w:val="23"/>
        </w:rPr>
        <w:t>del emisario se derivan difusores formados por tres ramales, dos de 39,5 m de longitud y el tercero de 69,5m, todos de fibrocemento de 400mm de diámetro. Asimismo, el emisario submarino consta, en su cabecera, de una fase de pretratamiento y de una pequeña</w:t>
      </w:r>
      <w:r>
        <w:rPr>
          <w:sz w:val="23"/>
        </w:rPr>
        <w:t xml:space="preserve"> edificación para la medición del caudal de aguas residuales que vierten al mar. Se encuentra en terrenos del término municipal de Arafo, incluidos en la escritura de agrupación de fincas de fecha 31/12/1976, nº 2318 del Protocolo de D. Alfonso Cavallé Moy</w:t>
      </w:r>
      <w:r>
        <w:rPr>
          <w:sz w:val="23"/>
        </w:rPr>
        <w:t>a (…)”</w:t>
      </w:r>
      <w:r>
        <w:rPr>
          <w:rFonts w:ascii="Calibri" w:eastAsia="Calibri" w:hAnsi="Calibri" w:cs="Calibri"/>
          <w:b/>
          <w:sz w:val="24"/>
        </w:rPr>
        <w:t>Y la siguiente parcela catastral:</w:t>
      </w:r>
      <w:r>
        <w:rPr>
          <w:rFonts w:ascii="Calibri" w:eastAsia="Calibri" w:hAnsi="Calibri" w:cs="Calibri"/>
          <w:sz w:val="24"/>
        </w:rPr>
        <w:t xml:space="preserve"> </w:t>
      </w:r>
    </w:p>
    <w:p w:rsidR="00085BB7" w:rsidRDefault="004441D3">
      <w:pPr>
        <w:spacing w:after="0" w:line="265" w:lineRule="auto"/>
        <w:ind w:left="935" w:right="0" w:hanging="10"/>
        <w:jc w:val="left"/>
      </w:pPr>
      <w:r>
        <w:rPr>
          <w:rFonts w:ascii="Calibri" w:eastAsia="Calibri" w:hAnsi="Calibri" w:cs="Calibri"/>
          <w:sz w:val="24"/>
          <w:u w:val="single" w:color="000000"/>
        </w:rPr>
        <w:t xml:space="preserve">Parcela con referencia catastral 6151401CS6365S0001ME </w:t>
      </w:r>
    </w:p>
    <w:p w:rsidR="00085BB7" w:rsidRDefault="004441D3">
      <w:pPr>
        <w:tabs>
          <w:tab w:val="center" w:pos="2480"/>
          <w:tab w:val="center" w:pos="5698"/>
        </w:tabs>
        <w:spacing w:after="2739" w:line="265" w:lineRule="auto"/>
        <w:ind w:left="0" w:right="0" w:firstLine="0"/>
        <w:jc w:val="left"/>
      </w:pPr>
      <w:r>
        <w:rPr>
          <w:rFonts w:ascii="Calibri" w:eastAsia="Calibri" w:hAnsi="Calibri" w:cs="Calibri"/>
        </w:rPr>
        <w:tab/>
      </w:r>
      <w:r>
        <w:rPr>
          <w:u w:val="single" w:color="000000"/>
        </w:rPr>
        <w:t xml:space="preserve"> Parcela</w:t>
      </w:r>
      <w:r>
        <w:rPr>
          <w:rFonts w:ascii="Calibri" w:eastAsia="Calibri" w:hAnsi="Calibri" w:cs="Calibri"/>
          <w:sz w:val="24"/>
          <w:u w:val="single" w:color="000000"/>
        </w:rPr>
        <w:t>6151401CS6365S0001</w:t>
      </w:r>
      <w:r>
        <w:rPr>
          <w:u w:val="single" w:color="000000"/>
        </w:rPr>
        <w:t xml:space="preserve">  con  referencia  catastral</w:t>
      </w:r>
      <w:r>
        <w:rPr>
          <w:rFonts w:ascii="Calibri" w:eastAsia="Calibri" w:hAnsi="Calibri" w:cs="Calibri"/>
          <w:sz w:val="24"/>
          <w:u w:val="single" w:color="000000"/>
        </w:rPr>
        <w:t xml:space="preserve">ME </w:t>
      </w:r>
      <w:r>
        <w:rPr>
          <w:rFonts w:ascii="Calibri" w:eastAsia="Calibri" w:hAnsi="Calibri" w:cs="Calibri"/>
          <w:sz w:val="24"/>
          <w:u w:val="single" w:color="000000"/>
        </w:rPr>
        <w:tab/>
      </w:r>
      <w:r>
        <w:rPr>
          <w:u w:val="single" w:color="000000"/>
        </w:rPr>
        <w:t xml:space="preserve">  6151401CS6365S0001ME </w:t>
      </w:r>
    </w:p>
    <w:p w:rsidR="00085BB7" w:rsidRDefault="004441D3">
      <w:pPr>
        <w:tabs>
          <w:tab w:val="center" w:pos="5678"/>
          <w:tab w:val="center" w:pos="10490"/>
        </w:tabs>
        <w:spacing w:after="10"/>
        <w:ind w:left="0" w:right="0" w:firstLine="0"/>
        <w:jc w:val="left"/>
      </w:pPr>
      <w:r>
        <w:rPr>
          <w:rFonts w:ascii="Calibri" w:eastAsia="Calibri" w:hAnsi="Calibri" w:cs="Calibri"/>
        </w:rPr>
        <w:tab/>
      </w:r>
      <w:r>
        <w:t>2.- Notificación a los copropietarios y al transmitido, Consejo Insular de Aguas.</w:t>
      </w:r>
      <w:r>
        <w:tab/>
      </w:r>
      <w:r>
        <w:rPr>
          <w:rFonts w:ascii="Calibri" w:eastAsia="Calibri" w:hAnsi="Calibri" w:cs="Calibri"/>
          <w:noProof/>
        </w:rPr>
        <mc:AlternateContent>
          <mc:Choice Requires="wpg">
            <w:drawing>
              <wp:inline distT="0" distB="0" distL="0" distR="0">
                <wp:extent cx="237530" cy="3313100"/>
                <wp:effectExtent l="0" t="0" r="0" b="0"/>
                <wp:docPr id="145280" name="Group 1452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830" name="Rectangle 983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831" name="Rectangle 983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832" name="Rectangle 983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w:t>
                              </w:r>
                              <w:r>
                                <w:rPr>
                                  <w:sz w:val="12"/>
                                </w:rPr>
                                <w:t xml:space="preserve">ona | Página 75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5280" style="width:18.7031pt;height:260.874pt;mso-position-horizontal-relative:char;mso-position-vertical-relative:line" coordsize="2375,33131">
                <v:rect id="Rectangle 983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8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8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133 </w:t>
                        </w:r>
                      </w:p>
                    </w:txbxContent>
                  </v:textbox>
                </v:rect>
              </v:group>
            </w:pict>
          </mc:Fallback>
        </mc:AlternateContent>
      </w:r>
    </w:p>
    <w:p w:rsidR="00085BB7" w:rsidRDefault="004441D3">
      <w:pPr>
        <w:ind w:left="1859" w:right="903"/>
      </w:pPr>
      <w:r>
        <w:t xml:space="preserve">3.- Citarlos para la firma del acta de aceptación del receptor, con </w:t>
      </w:r>
    </w:p>
    <w:p w:rsidR="00085BB7" w:rsidRDefault="004441D3">
      <w:pPr>
        <w:spacing w:after="92"/>
        <w:ind w:left="736" w:right="903"/>
      </w:pPr>
      <w:r>
        <w:t>formalización de un acta de entrega y recepción entre los representantes de los Ayuntamientos cedentes y el CIATF receptor del que den fe los Secretarios en la su</w:t>
      </w:r>
      <w:r>
        <w:t>perficie del bien objeto de mutación subjetiva.</w:t>
      </w:r>
    </w:p>
    <w:p w:rsidR="00085BB7" w:rsidRDefault="004441D3">
      <w:pPr>
        <w:spacing w:after="69" w:line="265" w:lineRule="auto"/>
        <w:ind w:left="548" w:right="723" w:hanging="10"/>
        <w:jc w:val="center"/>
      </w:pPr>
      <w:r>
        <w:t xml:space="preserve"> 4.- Dación de cuenta a la Comunidad Autónoma como control de legalidad </w:t>
      </w:r>
    </w:p>
    <w:p w:rsidR="00085BB7" w:rsidRDefault="004441D3">
      <w:pPr>
        <w:spacing w:after="7012"/>
        <w:ind w:left="736" w:right="903"/>
      </w:pPr>
      <w:r>
        <w:t>de la presente mutación demanial.</w:t>
      </w:r>
    </w:p>
    <w:p w:rsidR="00085BB7" w:rsidRDefault="004441D3">
      <w:pPr>
        <w:tabs>
          <w:tab w:val="center" w:pos="733"/>
          <w:tab w:val="center" w:pos="10490"/>
        </w:tabs>
        <w:spacing w:after="0" w:line="259" w:lineRule="auto"/>
        <w:ind w:left="0" w:right="0" w:firstLine="0"/>
        <w:jc w:val="left"/>
      </w:pPr>
      <w:r>
        <w:rPr>
          <w:rFonts w:ascii="Calibri" w:eastAsia="Calibri" w:hAnsi="Calibri" w:cs="Calibri"/>
        </w:rPr>
        <w:tab/>
      </w:r>
      <w:r>
        <w:t xml:space="preserve"> </w:t>
      </w:r>
      <w:r>
        <w:tab/>
      </w:r>
      <w:r>
        <w:rPr>
          <w:rFonts w:ascii="Calibri" w:eastAsia="Calibri" w:hAnsi="Calibri" w:cs="Calibri"/>
          <w:noProof/>
        </w:rPr>
        <mc:AlternateContent>
          <mc:Choice Requires="wpg">
            <w:drawing>
              <wp:inline distT="0" distB="0" distL="0" distR="0">
                <wp:extent cx="237530" cy="3313100"/>
                <wp:effectExtent l="0" t="0" r="0" b="0"/>
                <wp:docPr id="145240" name="Group 14524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863" name="Rectangle 986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864" name="Rectangle 986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865" name="Rectangle 986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76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5240" style="width:18.7031pt;height:260.874pt;mso-position-horizontal-relative:char;mso-position-vertical-relative:line" coordsize="2375,33131">
                <v:rect id="Rectangle 986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8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8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133 </w:t>
                        </w:r>
                      </w:p>
                    </w:txbxContent>
                  </v:textbox>
                </v:rect>
              </v:group>
            </w:pict>
          </mc:Fallback>
        </mc:AlternateContent>
      </w:r>
    </w:p>
    <w:p w:rsidR="00085BB7" w:rsidRDefault="004441D3">
      <w:pPr>
        <w:spacing w:after="523" w:line="250" w:lineRule="auto"/>
        <w:ind w:left="738" w:hanging="10"/>
      </w:pPr>
      <w:r>
        <w:rPr>
          <w:sz w:val="24"/>
        </w:rPr>
        <w:t xml:space="preserve">8.- Expediente 7831/2019. Propuesta de la Alcaldesa-Presidenta de fecha 20 de </w:t>
      </w:r>
      <w:r>
        <w:rPr>
          <w:sz w:val="24"/>
        </w:rPr>
        <w:t>septiembre de 2024 al Pleno de aprobación de la Junta de compensación de la unidad de actuación UA-C02 Chipas y su remisión al Registro de Entidades Urbanísticas colaboradoras del Gobierno de Canarias.</w:t>
      </w:r>
    </w:p>
    <w:p w:rsidR="00085BB7" w:rsidRDefault="004441D3">
      <w:pPr>
        <w:spacing w:after="99" w:line="259" w:lineRule="auto"/>
        <w:ind w:left="733" w:right="0" w:firstLine="0"/>
        <w:jc w:val="left"/>
      </w:pPr>
      <w:r>
        <w:t xml:space="preserve">     </w:t>
      </w:r>
    </w:p>
    <w:p w:rsidR="00085BB7" w:rsidRDefault="004441D3">
      <w:pPr>
        <w:spacing w:after="504"/>
        <w:ind w:left="736" w:right="903"/>
      </w:pPr>
      <w:r>
        <w:t xml:space="preserve">     Consta en el expediente informe jurídico em</w:t>
      </w:r>
      <w:r>
        <w:t>itido por Doña Olga Fernández Méndez-Bencomo, que desempeña el puesto de trabajo de Técnica Jurista, de 20 de septiembre de 2024, debidamente conformado por D. Octavio Manuel Fernández Hernández, Secretario General, de 20 de septiembre de 2024, del siguien</w:t>
      </w:r>
      <w:r>
        <w:t>te tenor literal:</w:t>
      </w:r>
    </w:p>
    <w:p w:rsidR="00085BB7" w:rsidRDefault="004441D3">
      <w:pPr>
        <w:pStyle w:val="Ttulo1"/>
        <w:spacing w:after="80"/>
        <w:ind w:left="545" w:right="705" w:hanging="10"/>
      </w:pPr>
      <w:r>
        <w:rPr>
          <w:rFonts w:ascii="Arial" w:eastAsia="Arial" w:hAnsi="Arial" w:cs="Arial"/>
        </w:rPr>
        <w:t xml:space="preserve"> “INFORME JURIDICO</w:t>
      </w:r>
    </w:p>
    <w:p w:rsidR="00085BB7" w:rsidRDefault="004441D3">
      <w:pPr>
        <w:spacing w:after="431" w:line="360" w:lineRule="auto"/>
        <w:ind w:left="730" w:right="903" w:firstLine="708"/>
      </w:pPr>
      <w:r>
        <w:t>La Técnico Jurista Olga Fernández Méndez-Bencomo, en relación con el expediente arriba indicado, emite el siguiente informe debidamente conformado por el secretario general Octavio Manuel Fernández Hernández.</w:t>
      </w:r>
    </w:p>
    <w:p w:rsidR="00085BB7" w:rsidRDefault="004441D3">
      <w:pPr>
        <w:pStyle w:val="Ttulo1"/>
        <w:spacing w:after="234"/>
        <w:ind w:left="0" w:right="174"/>
      </w:pPr>
      <w:r>
        <w:rPr>
          <w:b/>
        </w:rPr>
        <w:t>ANTECEDENTES</w:t>
      </w:r>
    </w:p>
    <w:p w:rsidR="00085BB7" w:rsidRDefault="004441D3">
      <w:pPr>
        <w:spacing w:after="379" w:line="360" w:lineRule="auto"/>
        <w:ind w:left="730" w:right="903" w:firstLine="708"/>
      </w:pPr>
      <w:r>
        <w:t>PRIMERO.- Visto el expediente iniciado con fecha 2/08/2019 y registro de entrada en esta Corporación nº 2019-E-RC-15875, a instancia de Doña. LIDIA JANET MESA MARRERO, de DNI nº ***1317**, para ESTABLECIMIENTO y ADJUDICACION DE SISTEMA DE EJEC</w:t>
      </w:r>
      <w:r>
        <w:t>UCIÓN PRIVADA POR COMPENSACIÓN, referido al Sector UA-04 Chipas, en este término municipal.</w:t>
      </w:r>
    </w:p>
    <w:p w:rsidR="00085BB7" w:rsidRDefault="004441D3">
      <w:pPr>
        <w:spacing w:after="379" w:line="359" w:lineRule="auto"/>
        <w:ind w:left="730" w:right="903" w:firstLine="708"/>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column">
                  <wp:posOffset>6542599</wp:posOffset>
                </wp:positionH>
                <wp:positionV relativeFrom="paragraph">
                  <wp:posOffset>484796</wp:posOffset>
                </wp:positionV>
                <wp:extent cx="237530" cy="3313100"/>
                <wp:effectExtent l="0" t="0" r="0" b="0"/>
                <wp:wrapSquare wrapText="bothSides"/>
                <wp:docPr id="145399" name="Group 14539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933" name="Rectangle 9933"/>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9934" name="Rectangle 9934"/>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9935" name="Rectangle 9935"/>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w:t>
                              </w:r>
                              <w:r>
                                <w:rPr>
                                  <w:sz w:val="12"/>
                                </w:rPr>
                                <w:t xml:space="preserve">lico Gestiona | Página 77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399" style="width:18.7031pt;height:260.874pt;position:absolute;mso-position-horizontal-relative:text;mso-position-horizontal:absolute;margin-left:515.165pt;mso-position-vertical-relative:text;margin-top:38.1729pt;" coordsize="2375,33131">
                <v:rect id="Rectangle 9933"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99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9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133 </w:t>
                        </w:r>
                      </w:p>
                    </w:txbxContent>
                  </v:textbox>
                </v:rect>
                <w10:wrap type="square"/>
              </v:group>
            </w:pict>
          </mc:Fallback>
        </mc:AlternateContent>
      </w:r>
      <w:r>
        <w:t>SEGUNDO.-  Visto que los Estatutos y las Bases de Actuación de la Junta de Compensación de la unidad de actuación UA-C02 Chipas, fueron aprobados definitivamente por el Ayuntamiento Pleno en sesión ordinaria celebrada el d</w:t>
      </w:r>
      <w:r>
        <w:t>ía 26 de enero de 2023, publicándose en el BOP de Santa Cruz de Tenerife de 17 de abril de 2023.</w:t>
      </w:r>
    </w:p>
    <w:p w:rsidR="00085BB7" w:rsidRDefault="004441D3">
      <w:pPr>
        <w:spacing w:after="415" w:line="360" w:lineRule="auto"/>
        <w:ind w:left="730" w:right="903" w:firstLine="708"/>
      </w:pPr>
      <w:r>
        <w:t>TERCERO.-  Consta en el expediente la escritura notarial de constitución y protocolización de dicha Junta de Compensación, otorgada ante la Notario Dª. Beatriz</w:t>
      </w:r>
      <w:r>
        <w:t xml:space="preserve"> Eugenia Cabello Mestres con el número 791 de su protocolo, de fecha 26 de abril de 2023. También consta la escritura complementaria otorgada ante la misma notaria, con el número mil setecientos cincuenta y ocho de su protocolo y de fecha 3 de septiembre d</w:t>
      </w:r>
      <w:r>
        <w:t xml:space="preserve">e 2024. </w:t>
      </w:r>
    </w:p>
    <w:p w:rsidR="00085BB7" w:rsidRDefault="004441D3">
      <w:pPr>
        <w:spacing w:after="99" w:line="265" w:lineRule="auto"/>
        <w:ind w:left="10" w:right="906" w:hanging="10"/>
        <w:jc w:val="right"/>
      </w:pPr>
      <w:r>
        <w:t xml:space="preserve">CUARTO.-  Se solicita  la emisión de la certificación del acuerdo de constitución de la </w:t>
      </w:r>
    </w:p>
    <w:p w:rsidR="00085BB7" w:rsidRDefault="004441D3">
      <w:pPr>
        <w:spacing w:line="360" w:lineRule="auto"/>
        <w:ind w:left="736" w:right="903"/>
      </w:pPr>
      <w:r>
        <w:t xml:space="preserve">Junta de Compensación, de conformidad con lo exigido por el art. 136 del Decreto 183/2018, de </w:t>
      </w:r>
      <w:r>
        <w:t>26 de diciembre, por el que se aprueba el Reglamento de Gestión y Ejecución del Planeamiento de Canarias.</w:t>
      </w:r>
    </w:p>
    <w:p w:rsidR="00085BB7" w:rsidRDefault="004441D3">
      <w:pPr>
        <w:spacing w:after="225" w:line="265" w:lineRule="auto"/>
        <w:ind w:left="548" w:right="709" w:hanging="10"/>
        <w:jc w:val="center"/>
      </w:pPr>
      <w:r>
        <w:t>LEGISLACIÓN APLICABLE</w:t>
      </w:r>
    </w:p>
    <w:p w:rsidR="00085BB7" w:rsidRDefault="004441D3">
      <w:pPr>
        <w:spacing w:after="495"/>
        <w:ind w:left="1447" w:right="903"/>
      </w:pPr>
      <w:r>
        <w:t>La Legislación aplicable viene determinada por:</w:t>
      </w:r>
    </w:p>
    <w:p w:rsidR="00085BB7" w:rsidRDefault="004441D3">
      <w:pPr>
        <w:spacing w:after="380" w:line="359" w:lineRule="auto"/>
        <w:ind w:left="730" w:right="903" w:firstLine="708"/>
      </w:pPr>
      <w:r>
        <w:t xml:space="preserve">El Decreto 183/2018, de 26 de diciembre, por el que se aprueba el Reglamento de </w:t>
      </w:r>
      <w:r>
        <w:t>Gestión y Ejecución del Planeamiento de Canarias.</w:t>
      </w:r>
    </w:p>
    <w:p w:rsidR="00085BB7" w:rsidRDefault="004441D3">
      <w:pPr>
        <w:spacing w:after="117"/>
        <w:ind w:left="1447" w:right="903"/>
      </w:pPr>
      <w:r>
        <w:t>Artículo 83. Junta de compensación.</w:t>
      </w:r>
    </w:p>
    <w:p w:rsidR="00085BB7" w:rsidRDefault="004441D3">
      <w:pPr>
        <w:numPr>
          <w:ilvl w:val="0"/>
          <w:numId w:val="24"/>
        </w:numPr>
        <w:spacing w:after="0" w:line="360" w:lineRule="auto"/>
        <w:ind w:right="903" w:firstLine="708"/>
      </w:pPr>
      <w:r>
        <w:t>La junta de compensación ostenta la condición de asociación administrativa de propietarios con personalidad jurídica propia y plena capacidad de obrar para el cumplimient</w:t>
      </w:r>
      <w:r>
        <w:t>o de sus fines desde su inscripción en el registro de entidades urbanísticas colaboradoras.</w:t>
      </w:r>
    </w:p>
    <w:p w:rsidR="00085BB7" w:rsidRDefault="004441D3">
      <w:pPr>
        <w:numPr>
          <w:ilvl w:val="0"/>
          <w:numId w:val="24"/>
        </w:numPr>
        <w:spacing w:after="0" w:line="360" w:lineRule="auto"/>
        <w:ind w:right="903" w:firstLine="708"/>
      </w:pPr>
      <w:r>
        <w:t>La junta de compensación será directamente responsable frente a la administración competente, de la urbanización completa de la unidad de actuación y, en su caso, d</w:t>
      </w:r>
      <w:r>
        <w:t>e la edificación de los solares resultantes, cuando así se hubiere establecido, formando parte de sus órganos de gobierno un representante de la Administración actuante.</w:t>
      </w:r>
    </w:p>
    <w:p w:rsidR="00085BB7" w:rsidRDefault="004441D3">
      <w:pPr>
        <w:numPr>
          <w:ilvl w:val="0"/>
          <w:numId w:val="24"/>
        </w:numPr>
        <w:spacing w:after="1" w:line="360" w:lineRule="auto"/>
        <w:ind w:right="903" w:firstLine="708"/>
      </w:pPr>
      <w:r>
        <w:t>Podrán incorporarse a la junta de compensación empresas urbanizadoras e inversores a q</w:t>
      </w:r>
      <w:r>
        <w:t>uienes se le adjudique la urbanización del ámbito por el procedimiento establecido en este título.</w:t>
      </w:r>
    </w:p>
    <w:p w:rsidR="00085BB7" w:rsidRDefault="004441D3">
      <w:pPr>
        <w:numPr>
          <w:ilvl w:val="0"/>
          <w:numId w:val="24"/>
        </w:numPr>
        <w:spacing w:after="0" w:line="360" w:lineRule="auto"/>
        <w:ind w:right="903" w:firstLine="708"/>
      </w:pPr>
      <w:r>
        <w:t xml:space="preserve">Las juntas de compensación actuarán como fiduciarias con pleno poder dispositivo sobre las fincas pertenecientes a los propietarios miembros de aquella, sin </w:t>
      </w:r>
      <w:r>
        <w:t>más limitaciones que las establecidas en los Estatutos.</w:t>
      </w:r>
    </w:p>
    <w:p w:rsidR="00085BB7" w:rsidRDefault="004441D3">
      <w:pPr>
        <w:numPr>
          <w:ilvl w:val="0"/>
          <w:numId w:val="24"/>
        </w:numPr>
        <w:spacing w:after="1" w:line="360" w:lineRule="auto"/>
        <w:ind w:right="903" w:firstLine="708"/>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column">
                  <wp:posOffset>6542599</wp:posOffset>
                </wp:positionH>
                <wp:positionV relativeFrom="paragraph">
                  <wp:posOffset>450507</wp:posOffset>
                </wp:positionV>
                <wp:extent cx="237530" cy="3313100"/>
                <wp:effectExtent l="0" t="0" r="0" b="0"/>
                <wp:wrapSquare wrapText="bothSides"/>
                <wp:docPr id="145614" name="Group 14561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010" name="Rectangle 1001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011" name="Rectangle 1001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012" name="Rectangle 1001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614" style="width:18.7031pt;height:260.874pt;position:absolute;mso-position-horizontal-relative:text;mso-position-horizontal:absolute;margin-left:515.165pt;mso-position-vertical-relative:text;margin-top:35.473pt;" coordsize="2375,33131">
                <v:rect id="Rectangle 1001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0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0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133 </w:t>
                        </w:r>
                      </w:p>
                    </w:txbxContent>
                  </v:textbox>
                </v:rect>
                <w10:wrap type="square"/>
              </v:group>
            </w:pict>
          </mc:Fallback>
        </mc:AlternateContent>
      </w:r>
      <w:r>
        <w:t>Contra todos los acuerdos y decisiones de la entidad urbanística de compensación podrá interponerse recurso ante la administración actuante, en los términos previstos para el recurso administrativo de alzada.</w:t>
      </w:r>
    </w:p>
    <w:p w:rsidR="00085BB7" w:rsidRDefault="004441D3">
      <w:pPr>
        <w:numPr>
          <w:ilvl w:val="0"/>
          <w:numId w:val="24"/>
        </w:numPr>
        <w:spacing w:after="0" w:line="360" w:lineRule="auto"/>
        <w:ind w:right="903" w:firstLine="708"/>
      </w:pPr>
      <w:r>
        <w:t>La constitución de la junta de compensación req</w:t>
      </w:r>
      <w:r>
        <w:t xml:space="preserve">uerirá la aprobación por la Administración actuante de los Estatutos y bases de actuación, que se llevará a cabo en el mismo procedimiento que para la determinación y adjudicación del sistema. Los propietarios que representen el 50% o más de las cuotas de </w:t>
      </w:r>
      <w:r>
        <w:t>propiedad deberán aportar a la Administración actuante la documentación establecida en el artículo 66 de este Reglamento, que será sometida al procedimiento establecido al efecto en la Sección 1ª del Capítulo I del Título I de la presente norma.</w:t>
      </w:r>
    </w:p>
    <w:p w:rsidR="00085BB7" w:rsidRDefault="004441D3">
      <w:pPr>
        <w:numPr>
          <w:ilvl w:val="0"/>
          <w:numId w:val="24"/>
        </w:numPr>
        <w:spacing w:after="380" w:line="360" w:lineRule="auto"/>
        <w:ind w:right="903" w:firstLine="708"/>
      </w:pPr>
      <w:r>
        <w:t>Una vez ap</w:t>
      </w:r>
      <w:r>
        <w:t>robada la iniciativa para el establecimiento y adjudicación del sistema, así como los estatutos de la junta de compensación a constituir y demás documentos que integran la iniciativa, en caso de haber optado por este sistema de actuación, los propietarios,</w:t>
      </w:r>
      <w:r>
        <w:t xml:space="preserve"> sin necesidad de requerimiento previo, procederán a la constitución de la junta de compensación en un plazo de diez días desde la publicación de los anteriores acuerdos en el Boletín Oficial de la Provincia, debiendo el documento de constitución contener </w:t>
      </w:r>
      <w:r>
        <w:t>el texto íntegro de los Estatutos y Bases de Actuación. Asimismo, procederán a tramitar su posterior inscripción en el Registro de Entidades Urbanísticas Colaboradoras.</w:t>
      </w:r>
    </w:p>
    <w:p w:rsidR="00085BB7" w:rsidRDefault="004441D3">
      <w:pPr>
        <w:spacing w:after="1" w:line="360" w:lineRule="auto"/>
        <w:ind w:left="730" w:right="903" w:firstLine="708"/>
      </w:pPr>
      <w:r>
        <w:t>Para la inscripción de la entidad en el Registro de la Propiedad, bastará con acompañar</w:t>
      </w:r>
      <w:r>
        <w:t xml:space="preserve"> la certificación del acuerdo de aprobación del procedimiento de establecimiento y adjudicación del sistema, en el que se aprueben definitivamente los Estatutos de la entidad, el texto íntegro de los Estatutos debidamente publicados en el Boletín Oficial d</w:t>
      </w:r>
      <w:r>
        <w:t>e la Provincia, así como certificación del Acta de la Asamblea Constituyente de la entidad.</w:t>
      </w:r>
    </w:p>
    <w:p w:rsidR="00085BB7" w:rsidRDefault="004441D3">
      <w:pPr>
        <w:numPr>
          <w:ilvl w:val="0"/>
          <w:numId w:val="24"/>
        </w:numPr>
        <w:spacing w:after="1" w:line="359" w:lineRule="auto"/>
        <w:ind w:right="903" w:firstLine="708"/>
      </w:pPr>
      <w:r>
        <w:t>El incumplimiento por los miembros de la junta de las obligaciones y cargas impuestas habilitará a la Administración actuante para expropiar sus respectivos derecho</w:t>
      </w:r>
      <w:r>
        <w:t>s en favor de la junta de compensación, que tendrá la condición jurídica de beneficiaria. A tal efecto, la junta de compensación presentará ante la Administración actuante el correspondiente proyecto expropiatorio con el contenido establecido en el artícul</w:t>
      </w:r>
      <w:r>
        <w:t>o 37 de este Reglamento, y que se someterá al siguiente procedimiento:</w:t>
      </w:r>
    </w:p>
    <w:p w:rsidR="00085BB7" w:rsidRDefault="004441D3">
      <w:pPr>
        <w:numPr>
          <w:ilvl w:val="0"/>
          <w:numId w:val="25"/>
        </w:numPr>
        <w:spacing w:after="1" w:line="359" w:lineRule="auto"/>
        <w:ind w:right="906" w:firstLine="708"/>
        <w:jc w:val="right"/>
      </w:pPr>
      <w:r>
        <w:t xml:space="preserve">Solicitud de expropiación de la finca al propietario incumplidor con aportación del correspondiente proyecto expropiatorio, teniendo en cuenta que, al tratarse de expropiación motivada </w:t>
      </w:r>
      <w:r>
        <w:t>por incumplimiento de las obligaciones y cargas impuestas, la propiedad se valorará en su condición de suelo no urbanizado.</w:t>
      </w:r>
    </w:p>
    <w:p w:rsidR="00085BB7" w:rsidRDefault="004441D3">
      <w:pPr>
        <w:numPr>
          <w:ilvl w:val="0"/>
          <w:numId w:val="25"/>
        </w:numPr>
        <w:spacing w:after="99" w:line="265" w:lineRule="auto"/>
        <w:ind w:right="906" w:firstLine="708"/>
        <w:jc w:val="right"/>
      </w:pPr>
      <w:r>
        <w:t xml:space="preserve">Información pública por un período de un mes y audiencia al expropiado por el mismo </w:t>
      </w:r>
    </w:p>
    <w:p w:rsidR="00085BB7" w:rsidRDefault="004441D3">
      <w:pPr>
        <w:spacing w:after="117"/>
        <w:ind w:left="736" w:right="903"/>
      </w:pPr>
      <w:r>
        <w:t>período.</w:t>
      </w:r>
    </w:p>
    <w:p w:rsidR="00085BB7" w:rsidRDefault="004441D3">
      <w:pPr>
        <w:numPr>
          <w:ilvl w:val="0"/>
          <w:numId w:val="25"/>
        </w:numPr>
        <w:spacing w:after="99" w:line="265" w:lineRule="auto"/>
        <w:ind w:right="906" w:firstLine="708"/>
        <w:jc w:val="right"/>
      </w:pPr>
      <w:r>
        <w:t xml:space="preserve">Aprobación definitiva del proyecto, y emplazamiento al expropiado para el abono del </w:t>
      </w:r>
    </w:p>
    <w:p w:rsidR="00085BB7" w:rsidRDefault="004441D3">
      <w:pPr>
        <w:spacing w:after="909"/>
        <w:ind w:left="736" w:right="903"/>
      </w:pPr>
      <w:r>
        <w:t>justiprecio fijado y levantamientos de las pertinentes actas de ocupación y pago.</w:t>
      </w:r>
    </w:p>
    <w:p w:rsidR="00085BB7" w:rsidRDefault="004441D3">
      <w:pPr>
        <w:numPr>
          <w:ilvl w:val="0"/>
          <w:numId w:val="26"/>
        </w:numPr>
        <w:spacing w:after="0" w:line="361" w:lineRule="auto"/>
        <w:ind w:right="903" w:firstLine="708"/>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column">
                  <wp:posOffset>6542599</wp:posOffset>
                </wp:positionH>
                <wp:positionV relativeFrom="paragraph">
                  <wp:posOffset>-453733</wp:posOffset>
                </wp:positionV>
                <wp:extent cx="237530" cy="3313100"/>
                <wp:effectExtent l="0" t="0" r="0" b="0"/>
                <wp:wrapSquare wrapText="bothSides"/>
                <wp:docPr id="145571" name="Group 14557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092" name="Rectangle 1009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093" name="Rectangle 1009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094" name="Rectangle 1009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79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571" style="width:18.7031pt;height:260.874pt;position:absolute;mso-position-horizontal-relative:text;mso-position-horizontal:absolute;margin-left:515.165pt;mso-position-vertical-relative:text;margin-top:-35.7271pt;" coordsize="2375,33131">
                <v:rect id="Rectangle 1009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0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0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133 </w:t>
                        </w:r>
                      </w:p>
                    </w:txbxContent>
                  </v:textbox>
                </v:rect>
                <w10:wrap type="square"/>
              </v:group>
            </w:pict>
          </mc:Fallback>
        </mc:AlternateContent>
      </w:r>
      <w:r>
        <w:t xml:space="preserve">La certificación del acuerdo de aprobación definitiva será título suficiente para la inscripción registral </w:t>
      </w:r>
      <w:r>
        <w:t>de la expropiación a favor de la junta de compensación.</w:t>
      </w:r>
    </w:p>
    <w:p w:rsidR="00085BB7" w:rsidRDefault="004441D3">
      <w:pPr>
        <w:numPr>
          <w:ilvl w:val="0"/>
          <w:numId w:val="26"/>
        </w:numPr>
        <w:spacing w:after="0" w:line="360" w:lineRule="auto"/>
        <w:ind w:right="903" w:firstLine="708"/>
      </w:pPr>
      <w:r>
        <w:t>Del mismo modo, y por el mismo procedimiento, la junta de compensación expropiará también al propietario que, habiéndose adherido a la iniciativa o formando parte de los promotores de la iniciativa, n</w:t>
      </w:r>
      <w:r>
        <w:t>o comparezca al acto de constitución de la Junta, siempre que haya sido previamente convocado en legal forma y no acredite causa justificada.</w:t>
      </w:r>
    </w:p>
    <w:p w:rsidR="00085BB7" w:rsidRDefault="004441D3">
      <w:pPr>
        <w:numPr>
          <w:ilvl w:val="0"/>
          <w:numId w:val="26"/>
        </w:numPr>
        <w:spacing w:after="0" w:line="361" w:lineRule="auto"/>
        <w:ind w:right="903" w:firstLine="708"/>
      </w:pPr>
      <w:r>
        <w:t xml:space="preserve">Con carácter general, la junta de compensación se regirá por lo establecido en este reglamento para las Entidades </w:t>
      </w:r>
      <w:r>
        <w:t>Urbanísticas Colaboradoras.</w:t>
      </w:r>
    </w:p>
    <w:p w:rsidR="00085BB7" w:rsidRDefault="004441D3">
      <w:pPr>
        <w:spacing w:after="495"/>
        <w:ind w:left="1447" w:right="903"/>
      </w:pPr>
      <w:r>
        <w:t>Artículo 136 Constitución de la entidad urbanística</w:t>
      </w:r>
    </w:p>
    <w:p w:rsidR="00085BB7" w:rsidRDefault="004441D3">
      <w:pPr>
        <w:numPr>
          <w:ilvl w:val="0"/>
          <w:numId w:val="27"/>
        </w:numPr>
        <w:spacing w:after="380" w:line="367" w:lineRule="auto"/>
        <w:ind w:right="903" w:hanging="360"/>
      </w:pPr>
      <w:r>
        <w:t xml:space="preserve">La constitución de las Entidades urbanísticas de gestión se acomodarán a lo previsto en las disposiciones contenidas en los respectivos sistemas de actuación, teniendo </w:t>
      </w:r>
      <w:r>
        <w:t>que ser aprobadas, al igual que sus Estatutos, por la Administración urbanística actuante.</w:t>
      </w:r>
    </w:p>
    <w:p w:rsidR="00085BB7" w:rsidRDefault="004441D3">
      <w:pPr>
        <w:numPr>
          <w:ilvl w:val="0"/>
          <w:numId w:val="27"/>
        </w:numPr>
        <w:spacing w:after="495"/>
        <w:ind w:right="903" w:hanging="360"/>
      </w:pPr>
      <w:r>
        <w:t>La constitución de la entidad urbanística requerirá:</w:t>
      </w:r>
    </w:p>
    <w:p w:rsidR="00085BB7" w:rsidRDefault="004441D3">
      <w:pPr>
        <w:numPr>
          <w:ilvl w:val="0"/>
          <w:numId w:val="28"/>
        </w:numPr>
        <w:spacing w:after="379" w:line="360" w:lineRule="auto"/>
        <w:ind w:right="903" w:firstLine="708"/>
      </w:pPr>
      <w:r>
        <w:t xml:space="preserve">Aprobación inicial por la Administración actuante en el mismo expediente que la iniciativa para la adjudicación </w:t>
      </w:r>
      <w:r>
        <w:t>y determinación del sistema de actuación, con información pública y audiencia a los interesados.</w:t>
      </w:r>
    </w:p>
    <w:p w:rsidR="00085BB7" w:rsidRDefault="004441D3">
      <w:pPr>
        <w:numPr>
          <w:ilvl w:val="0"/>
          <w:numId w:val="28"/>
        </w:numPr>
        <w:spacing w:after="101" w:line="265" w:lineRule="auto"/>
        <w:ind w:right="903" w:firstLine="708"/>
      </w:pPr>
      <w:r>
        <w:t xml:space="preserve">Aprobación definitiva en el mismo acto que se adjudica el sistema y se aprueba la </w:t>
      </w:r>
    </w:p>
    <w:p w:rsidR="00085BB7" w:rsidRDefault="004441D3">
      <w:pPr>
        <w:spacing w:after="115"/>
        <w:ind w:left="736" w:right="903"/>
      </w:pPr>
      <w:r>
        <w:t>documentación propia de la gestión.</w:t>
      </w:r>
    </w:p>
    <w:p w:rsidR="00085BB7" w:rsidRDefault="004441D3">
      <w:pPr>
        <w:numPr>
          <w:ilvl w:val="0"/>
          <w:numId w:val="28"/>
        </w:numPr>
        <w:spacing w:after="378" w:line="361" w:lineRule="auto"/>
        <w:ind w:right="903" w:firstLine="708"/>
      </w:pPr>
      <w:r>
        <w:t xml:space="preserve">La publicación del texto íntegro de los </w:t>
      </w:r>
      <w:r>
        <w:t>Estatutos y Bases de Actuación en el Boletín Oficial de la Provincia.</w:t>
      </w:r>
    </w:p>
    <w:p w:rsidR="00085BB7" w:rsidRDefault="004441D3">
      <w:pPr>
        <w:numPr>
          <w:ilvl w:val="0"/>
          <w:numId w:val="28"/>
        </w:numPr>
        <w:spacing w:after="410" w:line="363" w:lineRule="auto"/>
        <w:ind w:right="903" w:firstLine="708"/>
      </w:pPr>
      <w:r>
        <w:t>El acto constituyente de la entidad donde necesariamente se habrá de ratificar por los integrantes los documentos de gestión y de ejecución material de la actuación aprobados definitivam</w:t>
      </w:r>
      <w:r>
        <w:t>ente por la Administración actuante, así como cualesquiera otras actuaciones urbanísticas que en</w:t>
      </w:r>
      <w:r>
        <w:rPr>
          <w:rFonts w:ascii="Times New Roman" w:eastAsia="Times New Roman" w:hAnsi="Times New Roman" w:cs="Times New Roman"/>
          <w:sz w:val="24"/>
        </w:rPr>
        <w:t xml:space="preserve"> </w:t>
      </w:r>
      <w:r>
        <w:t>relación con el ámbito de ejecución hayan llevado a cabo los promotores de la iniciativa. La certificación del acuerdo de constitución de la entidad deberá ser</w:t>
      </w:r>
      <w:r>
        <w:t xml:space="preserve"> formalizado ante Notario o bien ante la Secretaría Municipal.</w:t>
      </w:r>
    </w:p>
    <w:p w:rsidR="00085BB7" w:rsidRDefault="004441D3">
      <w:pPr>
        <w:numPr>
          <w:ilvl w:val="0"/>
          <w:numId w:val="28"/>
        </w:numPr>
        <w:spacing w:after="379" w:line="360" w:lineRule="auto"/>
        <w:ind w:right="903" w:firstLine="708"/>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column">
                  <wp:posOffset>6542599</wp:posOffset>
                </wp:positionH>
                <wp:positionV relativeFrom="paragraph">
                  <wp:posOffset>246037</wp:posOffset>
                </wp:positionV>
                <wp:extent cx="237530" cy="3313100"/>
                <wp:effectExtent l="0" t="0" r="0" b="0"/>
                <wp:wrapSquare wrapText="bothSides"/>
                <wp:docPr id="146465" name="Group 14646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180" name="Rectangle 1018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181" name="Rectangle 1018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182" name="Rectangle 1018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465" style="width:18.7031pt;height:260.874pt;position:absolute;mso-position-horizontal-relative:text;mso-position-horizontal:absolute;margin-left:515.165pt;mso-position-vertical-relative:text;margin-top:19.373pt;" coordsize="2375,33131">
                <v:rect id="Rectangle 1018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18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18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133 </w:t>
                        </w:r>
                      </w:p>
                    </w:txbxContent>
                  </v:textbox>
                </v:rect>
                <w10:wrap type="square"/>
              </v:group>
            </w:pict>
          </mc:Fallback>
        </mc:AlternateContent>
      </w:r>
      <w:r>
        <w:t>Inscripción del acuerdo de constitución de la entidad formalizado ante la Secretaría Municipal o Notario junto con el tenor literal de los Estatutos y Bases de Ac</w:t>
      </w:r>
      <w:r>
        <w:t>tuación en el Registro de Entidades Urbanísticas Colaboradoras y en el Registro Mercantil en caso de las Sociedades mercantiles. A tal efecto, se remitirá por la Administración urbanística actuante o por la Secretaría de la entidad urbanística la certifica</w:t>
      </w:r>
      <w:r>
        <w:t>ción del acuerdo de aprobación definitiva, junto con los estatutos y bases de actuación y la formalización del acto de constitución, al órgano autonómico encargado de la llevanza de tal Registro y la formalización del acto de constitución.</w:t>
      </w:r>
    </w:p>
    <w:p w:rsidR="00085BB7" w:rsidRDefault="004441D3">
      <w:pPr>
        <w:numPr>
          <w:ilvl w:val="0"/>
          <w:numId w:val="29"/>
        </w:numPr>
        <w:spacing w:after="0" w:line="361" w:lineRule="auto"/>
        <w:ind w:right="903" w:firstLine="708"/>
      </w:pPr>
      <w:r>
        <w:t xml:space="preserve">La modificación </w:t>
      </w:r>
      <w:r>
        <w:t>de los Estatutos requerirá aprobación de la Administración urbanística actuante, debiendo quedar constancia de dichos acuerdos en el Registro de entidades.</w:t>
      </w:r>
    </w:p>
    <w:p w:rsidR="00085BB7" w:rsidRDefault="004441D3">
      <w:pPr>
        <w:numPr>
          <w:ilvl w:val="0"/>
          <w:numId w:val="29"/>
        </w:numPr>
        <w:spacing w:line="360" w:lineRule="auto"/>
        <w:ind w:right="903" w:firstLine="708"/>
      </w:pPr>
      <w:r>
        <w:t xml:space="preserve">Los nombramientos y ceses de las personas encargadas del gobierno y administración de la Entidad se </w:t>
      </w:r>
      <w:r>
        <w:t>inscribirán en el Registro de Entidades Urbanísticas Colaboradoras, y en su caso, además en el Registro Mercantil, y cuantos actos sean exigibles conforme a los estatutos de las entidades urbanísticas de gestión.</w:t>
      </w:r>
    </w:p>
    <w:p w:rsidR="00085BB7" w:rsidRDefault="004441D3">
      <w:pPr>
        <w:numPr>
          <w:ilvl w:val="0"/>
          <w:numId w:val="29"/>
        </w:numPr>
        <w:spacing w:after="379" w:line="360" w:lineRule="auto"/>
        <w:ind w:right="903" w:firstLine="708"/>
      </w:pPr>
      <w:r>
        <w:t>Las Actas que se levanten de los acuerdos a</w:t>
      </w:r>
      <w:r>
        <w:t>doptados por los órganos de gobierno de la entidad, deberán figurar en los correspondientes libros, custodiados por la Secretaría de la entidad que previamente habrán de ser diligenciados por la Administración Actuante.</w:t>
      </w:r>
    </w:p>
    <w:p w:rsidR="00085BB7" w:rsidRDefault="004441D3">
      <w:pPr>
        <w:spacing w:after="379" w:line="359" w:lineRule="auto"/>
        <w:ind w:left="730" w:right="903" w:firstLine="708"/>
      </w:pPr>
      <w:r>
        <w:t xml:space="preserve">Visto cuanto antecede, se considera </w:t>
      </w:r>
      <w:r>
        <w:t>que el expediente ha seguido la tramitación establecida en la Legislación aplicable, procediendo su aprobación por el Pleno, de conformidad con el artículo 212 de la Ley 4/2017, de 13 de julio, del Suelo y de los Espacios Naturales Protegidos de Canarias.</w:t>
      </w:r>
    </w:p>
    <w:p w:rsidR="00085BB7" w:rsidRDefault="004441D3">
      <w:pPr>
        <w:spacing w:after="101" w:line="265" w:lineRule="auto"/>
        <w:ind w:left="10" w:right="906" w:hanging="10"/>
        <w:jc w:val="right"/>
      </w:pPr>
      <w:r>
        <w:t xml:space="preserve">Por ello, de conformidad con lo establecido en el artículo 175 del Reglamento de </w:t>
      </w:r>
    </w:p>
    <w:p w:rsidR="00085BB7" w:rsidRDefault="004441D3">
      <w:pPr>
        <w:spacing w:after="379" w:line="360" w:lineRule="auto"/>
        <w:ind w:left="736" w:right="903"/>
      </w:pPr>
      <w:r>
        <w:t>Organización, Funcionamiento y Régimen Jurídico de las Entidades Locales, aprobado por Real Decreto 2568/1986, de 28 de noviembre, el que suscribe eleva la siguiente propuest</w:t>
      </w:r>
      <w:r>
        <w:t>a de resolución:</w:t>
      </w:r>
    </w:p>
    <w:p w:rsidR="00085BB7" w:rsidRDefault="004441D3">
      <w:pPr>
        <w:spacing w:after="479" w:line="265" w:lineRule="auto"/>
        <w:ind w:left="548" w:right="0" w:hanging="10"/>
        <w:jc w:val="center"/>
      </w:pPr>
      <w:r>
        <w:t>PROPUESTA DE RESOLUCIÓN</w:t>
      </w:r>
    </w:p>
    <w:p w:rsidR="00085BB7" w:rsidRDefault="004441D3">
      <w:pPr>
        <w:spacing w:after="379" w:line="359" w:lineRule="auto"/>
        <w:ind w:left="730" w:right="903" w:firstLine="708"/>
      </w:pPr>
      <w:r>
        <w:t xml:space="preserve">PRIMERO. Aprobar la constitución de la Junta de compensación de la unidad de actuación en virtud de escritura de constitución otorgada ante la notaria Dª. Beatriz Eugenia </w:t>
      </w:r>
      <w:r>
        <w:t>Cabello Mestres con fecha 26 de abril de 2023 y número 791 de su protocolo y la escritura complementaria número mil setecientos cincuenta y ocho del protocolo, de fecha 3 de septiembre de 2024, en cumplimiento del requerimiento efectuado por el Registro de</w:t>
      </w:r>
      <w:r>
        <w:t xml:space="preserve"> Entidades Urbanísticas Colaboradora.</w:t>
      </w:r>
    </w:p>
    <w:p w:rsidR="00085BB7" w:rsidRDefault="004441D3">
      <w:pPr>
        <w:spacing w:after="0" w:line="361" w:lineRule="auto"/>
        <w:ind w:left="730" w:right="903" w:firstLine="708"/>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column">
                  <wp:posOffset>6542599</wp:posOffset>
                </wp:positionH>
                <wp:positionV relativeFrom="paragraph">
                  <wp:posOffset>-190842</wp:posOffset>
                </wp:positionV>
                <wp:extent cx="237530" cy="3313100"/>
                <wp:effectExtent l="0" t="0" r="0" b="0"/>
                <wp:wrapSquare wrapText="bothSides"/>
                <wp:docPr id="146969" name="Group 14696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235" name="Rectangle 1023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236" name="Rectangle 1023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237" name="Rectangle 1023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969" style="width:18.7031pt;height:260.874pt;position:absolute;mso-position-horizontal-relative:text;mso-position-horizontal:absolute;margin-left:515.165pt;mso-position-vertical-relative:text;margin-top:-15.027pt;" coordsize="2375,33131">
                <v:rect id="Rectangle 1023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2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2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133 </w:t>
                        </w:r>
                      </w:p>
                    </w:txbxContent>
                  </v:textbox>
                </v:rect>
                <w10:wrap type="square"/>
              </v:group>
            </w:pict>
          </mc:Fallback>
        </mc:AlternateContent>
      </w:r>
      <w:r>
        <w:t>SEGUNDO.-  Dar trasl</w:t>
      </w:r>
      <w:r>
        <w:t>ado al Registro de Entidades Urbanísticas Colaboradoras de la certificación del acuerdo de la presente resolución.</w:t>
      </w:r>
    </w:p>
    <w:p w:rsidR="00085BB7" w:rsidRDefault="004441D3">
      <w:pPr>
        <w:spacing w:after="378" w:line="361" w:lineRule="auto"/>
        <w:ind w:left="730" w:right="903" w:firstLine="708"/>
      </w:pPr>
      <w:r>
        <w:t>TERCERO.- Notificar la presente Resolución al Promotor y a aquellos propietarios que no se hayan adherido a la iniciativa.</w:t>
      </w:r>
    </w:p>
    <w:p w:rsidR="00085BB7" w:rsidRDefault="004441D3">
      <w:pPr>
        <w:spacing w:after="1127"/>
        <w:ind w:left="1447" w:right="903"/>
      </w:pPr>
      <w:r>
        <w:t>No obstante, la Co</w:t>
      </w:r>
      <w:r>
        <w:t>rporación acordará lo que estime pertinente.”</w:t>
      </w:r>
    </w:p>
    <w:p w:rsidR="00085BB7" w:rsidRDefault="004441D3">
      <w:pPr>
        <w:spacing w:after="871"/>
        <w:ind w:left="736" w:right="903"/>
      </w:pPr>
      <w:r>
        <w:t xml:space="preserve">     Consta en el expediente propuesta de la Alcaldesa-Presidenta, de fecha 20 de septiembre de 2024, cuyo tenor literal es el siguiente:</w:t>
      </w:r>
    </w:p>
    <w:p w:rsidR="00085BB7" w:rsidRDefault="004441D3">
      <w:pPr>
        <w:spacing w:after="225" w:line="265" w:lineRule="auto"/>
        <w:ind w:left="548" w:right="1062" w:hanging="10"/>
        <w:jc w:val="center"/>
      </w:pPr>
      <w:r>
        <w:t>“PROPUESTA</w:t>
      </w:r>
    </w:p>
    <w:p w:rsidR="00085BB7" w:rsidRDefault="004441D3">
      <w:pPr>
        <w:spacing w:after="379" w:line="359" w:lineRule="auto"/>
        <w:ind w:left="730" w:right="903" w:firstLine="708"/>
      </w:pPr>
      <w:r>
        <w:t xml:space="preserve">La que suscribe, Alcaldesa-Presidenta del Ayuntamiento de la Villa de Candelaria, al amparo de lo dispuesto en el Reglamento de Organización, Funcionamiento y Régimen Jurídico de las Entidades Locales, así como en la Ley 7/85, de 2 de abril, Reguladora de </w:t>
      </w:r>
      <w:r>
        <w:t xml:space="preserve">las Bases de Régimen Local, tiene el honor de someter al Pleno, la siguiente propuesta: </w:t>
      </w:r>
    </w:p>
    <w:p w:rsidR="00085BB7" w:rsidRDefault="004441D3">
      <w:pPr>
        <w:spacing w:line="360" w:lineRule="auto"/>
        <w:ind w:left="730" w:right="903" w:firstLine="708"/>
      </w:pPr>
      <w:r>
        <w:t xml:space="preserve">Visto el informe jurídico de la Técnico Jurista Olga Fernández Méndez-Bencomo, en </w:t>
      </w:r>
      <w:r>
        <w:t>relación con el expediente arriba indicado, debidamente conformado por el Secretario General Octavio Manuel Fernández Hernández. que transcrito literalmente dice:</w:t>
      </w:r>
    </w:p>
    <w:p w:rsidR="00085BB7" w:rsidRDefault="004441D3">
      <w:pPr>
        <w:spacing w:after="353" w:line="265" w:lineRule="auto"/>
        <w:ind w:left="548" w:right="710" w:hanging="10"/>
        <w:jc w:val="center"/>
      </w:pPr>
      <w:r>
        <w:t>“…ANTECEDENTES</w:t>
      </w:r>
    </w:p>
    <w:p w:rsidR="00085BB7" w:rsidRDefault="004441D3">
      <w:pPr>
        <w:spacing w:after="379" w:line="360" w:lineRule="auto"/>
        <w:ind w:left="730" w:right="903" w:firstLine="708"/>
      </w:pPr>
      <w:r>
        <w:t>PRIMERO. - Visto el expediente iniciado con fecha 2/08/2019 y registro de entr</w:t>
      </w:r>
      <w:r>
        <w:t>ada en esta Corporación nº 2019-E-RC-15875, a instancia de Doña. LIDIA JANET MESA MARRERO, de DNI nº ***1317**, para ESTABLECIMIENTO y ADJUDICACION DE SISTEMA DE EJECUCIÓN PRIVADA POR COMPENSACIÓN, referido al Sector UA-04 Chipas, en este término municipal</w:t>
      </w:r>
      <w:r>
        <w:t>.</w:t>
      </w:r>
    </w:p>
    <w:p w:rsidR="00085BB7" w:rsidRDefault="004441D3">
      <w:pPr>
        <w:spacing w:after="379" w:line="359" w:lineRule="auto"/>
        <w:ind w:left="730" w:right="903" w:firstLine="708"/>
      </w:pPr>
      <w:r>
        <w:t>SEGUNDO. -  Visto que los Estatutos y las Bases de Actuación de la Junta de Compensación de la unidad de actuación UA-C02 Chipas, fueron aprobados definitivamente por el Ayuntamiento Pleno en sesión ordinaria celebrada el día 26 de enero de 2023, publicá</w:t>
      </w:r>
      <w:r>
        <w:t>ndose en el BOP de Santa Cruz de Tenerife de 17 de abril de 2023.</w:t>
      </w:r>
    </w:p>
    <w:p w:rsidR="00085BB7" w:rsidRDefault="004441D3">
      <w:pPr>
        <w:spacing w:after="379" w:line="360" w:lineRule="auto"/>
        <w:ind w:left="730" w:right="903" w:firstLine="708"/>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column">
                  <wp:posOffset>6542599</wp:posOffset>
                </wp:positionH>
                <wp:positionV relativeFrom="paragraph">
                  <wp:posOffset>450507</wp:posOffset>
                </wp:positionV>
                <wp:extent cx="237530" cy="3313100"/>
                <wp:effectExtent l="0" t="0" r="0" b="0"/>
                <wp:wrapSquare wrapText="bothSides"/>
                <wp:docPr id="146339" name="Group 14633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298" name="Rectangle 1029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299" name="Rectangle 1029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300" name="Rectangle 1030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339" style="width:18.7031pt;height:260.874pt;position:absolute;mso-position-horizontal-relative:text;mso-position-horizontal:absolute;margin-left:515.165pt;mso-position-vertical-relative:text;margin-top:35.473pt;" coordsize="2375,33131">
                <v:rect id="Rectangle 1029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2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3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133 </w:t>
                        </w:r>
                      </w:p>
                    </w:txbxContent>
                  </v:textbox>
                </v:rect>
                <w10:wrap type="square"/>
              </v:group>
            </w:pict>
          </mc:Fallback>
        </mc:AlternateContent>
      </w:r>
      <w:r>
        <w:t>TERCERO. -  Consta en el expediente la escritura notarial de constitución y protocolización de dicha Junta de Compensación, otorgada ante la Notario Dª. Beatriz E</w:t>
      </w:r>
      <w:r>
        <w:t xml:space="preserve">ugenia Cabello Mestres con el número 791 de su protocolo, de fecha 26 de abril de 2023. También consta la escritura complementaria otorgada ante la misma notario, con el número mil setecientos cincuenta y ocho de su protocolo y de fecha 3 de Septiembre de </w:t>
      </w:r>
      <w:r>
        <w:t xml:space="preserve">2024. </w:t>
      </w:r>
    </w:p>
    <w:p w:rsidR="00085BB7" w:rsidRDefault="004441D3">
      <w:pPr>
        <w:spacing w:after="101" w:line="265" w:lineRule="auto"/>
        <w:ind w:left="10" w:right="906" w:hanging="10"/>
        <w:jc w:val="right"/>
      </w:pPr>
      <w:r>
        <w:t xml:space="preserve">CUARTO. -  Se solicita la emisión de la certificación del acuerdo de constitución de la </w:t>
      </w:r>
    </w:p>
    <w:p w:rsidR="00085BB7" w:rsidRDefault="004441D3">
      <w:pPr>
        <w:spacing w:after="505" w:line="360" w:lineRule="auto"/>
        <w:ind w:left="736" w:right="903"/>
      </w:pPr>
      <w:r>
        <w:t xml:space="preserve">Junta de Compensación, de conformidad con lo exigido por el art. 136 del Decreto 183/2018, de 26 de diciembre, por el que se aprueba el Reglamento de Gestión y </w:t>
      </w:r>
      <w:r>
        <w:t>Ejecución del Planeamiento de Canarias.</w:t>
      </w:r>
    </w:p>
    <w:p w:rsidR="00085BB7" w:rsidRDefault="004441D3">
      <w:pPr>
        <w:spacing w:after="225" w:line="265" w:lineRule="auto"/>
        <w:ind w:left="548" w:right="1062" w:hanging="10"/>
        <w:jc w:val="center"/>
      </w:pPr>
      <w:r>
        <w:t>LEGISLACIÓN APLICABLE</w:t>
      </w:r>
    </w:p>
    <w:p w:rsidR="00085BB7" w:rsidRDefault="004441D3">
      <w:pPr>
        <w:spacing w:after="495"/>
        <w:ind w:left="1447" w:right="903"/>
      </w:pPr>
      <w:r>
        <w:t>La Legislación aplicable viene determinada por:</w:t>
      </w:r>
    </w:p>
    <w:p w:rsidR="00085BB7" w:rsidRDefault="004441D3">
      <w:pPr>
        <w:spacing w:line="361" w:lineRule="auto"/>
        <w:ind w:left="730" w:right="903" w:firstLine="708"/>
      </w:pPr>
      <w:r>
        <w:t>El Decreto 183/2018, de 26 de diciembre, por el que se aprueba el Reglamento de Gestión y Ejecución del Planeamiento de Canarias.</w:t>
      </w:r>
    </w:p>
    <w:p w:rsidR="00085BB7" w:rsidRDefault="004441D3">
      <w:pPr>
        <w:spacing w:after="117"/>
        <w:ind w:left="1447" w:right="903"/>
      </w:pPr>
      <w:r>
        <w:t>Artículo 83. Jun</w:t>
      </w:r>
      <w:r>
        <w:t>ta de compensación.</w:t>
      </w:r>
    </w:p>
    <w:p w:rsidR="00085BB7" w:rsidRDefault="004441D3">
      <w:pPr>
        <w:numPr>
          <w:ilvl w:val="0"/>
          <w:numId w:val="30"/>
        </w:numPr>
        <w:spacing w:after="0" w:line="360" w:lineRule="auto"/>
        <w:ind w:right="903" w:firstLine="708"/>
      </w:pPr>
      <w:r>
        <w:t>La junta de compensación ostenta la condición de asociación administrativa de propietarios con personalidad jurídica propia y plena capacidad de obrar para el cumplimiento de sus fines desde su inscripción en el registro de entidades ur</w:t>
      </w:r>
      <w:r>
        <w:t>banísticas colaboradoras.</w:t>
      </w:r>
    </w:p>
    <w:p w:rsidR="00085BB7" w:rsidRDefault="004441D3">
      <w:pPr>
        <w:numPr>
          <w:ilvl w:val="0"/>
          <w:numId w:val="30"/>
        </w:numPr>
        <w:spacing w:after="0" w:line="360" w:lineRule="auto"/>
        <w:ind w:right="903" w:firstLine="708"/>
      </w:pPr>
      <w:r>
        <w:t>La junta de compensación será directamente responsable frente a la administración competente, de la urbanización completa de la unidad de actuación y, en su caso, de la edificación de los solares resultantes, cuando así se hubiere</w:t>
      </w:r>
      <w:r>
        <w:t xml:space="preserve"> establecido, formando parte de sus órganos de gobierno un representante de la Administración actuante.</w:t>
      </w:r>
    </w:p>
    <w:p w:rsidR="00085BB7" w:rsidRDefault="004441D3">
      <w:pPr>
        <w:numPr>
          <w:ilvl w:val="0"/>
          <w:numId w:val="30"/>
        </w:numPr>
        <w:spacing w:after="1" w:line="360" w:lineRule="auto"/>
        <w:ind w:right="903" w:firstLine="708"/>
      </w:pPr>
      <w:r>
        <w:t>Podrán incorporarse a la junta de compensación empresas urbanizadoras e inversores a quienes se le adjudique la urbanización del ámbito por el procedimi</w:t>
      </w:r>
      <w:r>
        <w:t>ento establecido en este título.</w:t>
      </w:r>
    </w:p>
    <w:p w:rsidR="00085BB7" w:rsidRDefault="004441D3">
      <w:pPr>
        <w:numPr>
          <w:ilvl w:val="0"/>
          <w:numId w:val="30"/>
        </w:numPr>
        <w:spacing w:after="0" w:line="360" w:lineRule="auto"/>
        <w:ind w:right="903" w:firstLine="708"/>
      </w:pPr>
      <w:r>
        <w:t>Las juntas de compensación actuarán como fiduciarias con pleno poder dispositivo sobre las fincas pertenecientes a los propietarios miembros de aquella, sin más limitaciones que las establecidas en los Estatutos.</w:t>
      </w:r>
    </w:p>
    <w:p w:rsidR="00085BB7" w:rsidRDefault="004441D3">
      <w:pPr>
        <w:numPr>
          <w:ilvl w:val="0"/>
          <w:numId w:val="30"/>
        </w:numPr>
        <w:spacing w:after="1" w:line="360" w:lineRule="auto"/>
        <w:ind w:right="903" w:firstLine="708"/>
      </w:pPr>
      <w:r>
        <w:t>Contra todos los acuerdos y decisiones de la entidad urbanística de compensación podrá interponerse recurso ante la administración actuante, en los términos previstos para el recurso administrativo de alzada.</w:t>
      </w:r>
    </w:p>
    <w:p w:rsidR="00085BB7" w:rsidRDefault="004441D3">
      <w:pPr>
        <w:numPr>
          <w:ilvl w:val="0"/>
          <w:numId w:val="30"/>
        </w:numPr>
        <w:spacing w:after="99" w:line="265" w:lineRule="auto"/>
        <w:ind w:right="903" w:firstLine="708"/>
      </w:pPr>
      <w:r>
        <w:t>La constitución de la junta de compensación req</w:t>
      </w:r>
      <w:r>
        <w:t xml:space="preserve">uerirá la aprobación por la </w:t>
      </w:r>
    </w:p>
    <w:p w:rsidR="00085BB7" w:rsidRDefault="004441D3">
      <w:pPr>
        <w:spacing w:after="495"/>
        <w:ind w:left="736" w:right="903"/>
      </w:pPr>
      <w:r>
        <w:t xml:space="preserve">Administración actuante de los Estatutos y bases de actuación, que se llevará a cabo </w:t>
      </w:r>
    </w:p>
    <w:p w:rsidR="00085BB7" w:rsidRDefault="004441D3">
      <w:pPr>
        <w:spacing w:after="379" w:line="360" w:lineRule="auto"/>
        <w:ind w:left="730" w:right="903" w:firstLine="708"/>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column">
                  <wp:posOffset>6542599</wp:posOffset>
                </wp:positionH>
                <wp:positionV relativeFrom="paragraph">
                  <wp:posOffset>290487</wp:posOffset>
                </wp:positionV>
                <wp:extent cx="237530" cy="3313100"/>
                <wp:effectExtent l="0" t="0" r="0" b="0"/>
                <wp:wrapSquare wrapText="bothSides"/>
                <wp:docPr id="146392" name="Group 14639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368" name="Rectangle 1036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369" name="Rectangle 1036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370" name="Rectangle 1037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w:t>
                              </w:r>
                              <w:r>
                                <w:rPr>
                                  <w:sz w:val="12"/>
                                </w:rPr>
                                <w:t xml:space="preserve">sde la plataforma esPublico Gestiona | Página 83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392" style="width:18.7031pt;height:260.874pt;position:absolute;mso-position-horizontal-relative:text;mso-position-horizontal:absolute;margin-left:515.165pt;mso-position-vertical-relative:text;margin-top:22.873pt;" coordsize="2375,33131">
                <v:rect id="Rectangle 1036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36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37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133 </w:t>
                        </w:r>
                      </w:p>
                    </w:txbxContent>
                  </v:textbox>
                </v:rect>
                <w10:wrap type="square"/>
              </v:group>
            </w:pict>
          </mc:Fallback>
        </mc:AlternateContent>
      </w:r>
      <w:r>
        <w:t>en el mismo procedimiento que para la determinación y adjudicación del sistema. Los propietarios que representen el 50% o más de las cuotas de propiedad deberán aportar a la Administración actuante l</w:t>
      </w:r>
      <w:r>
        <w:t>a documentación establecida en el artículo 66 de este Reglamento, que será sometida al procedimiento establecido al efecto en la Sección 1ª del Capítulo I del Título I de la presente norma.</w:t>
      </w:r>
    </w:p>
    <w:p w:rsidR="00085BB7" w:rsidRDefault="004441D3">
      <w:pPr>
        <w:numPr>
          <w:ilvl w:val="0"/>
          <w:numId w:val="30"/>
        </w:numPr>
        <w:spacing w:line="360" w:lineRule="auto"/>
        <w:ind w:right="903" w:firstLine="708"/>
      </w:pPr>
      <w:r>
        <w:t>Una vez aprobada la iniciativa para el establecimiento y adjudicac</w:t>
      </w:r>
      <w:r>
        <w:t xml:space="preserve">ión del sistema, así como los estatutos de la junta de compensación a constituir y demás documentos que integran la iniciativa, en caso de haber optado por este sistema de actuación, los propietarios, sin necesidad de requerimiento previo, procederán a la </w:t>
      </w:r>
      <w:r>
        <w:t xml:space="preserve">constitución de la junta de compensación en un plazo de diez días desde la publicación de los anteriores acuerdos en el Boletín Oficial de la Provincia, debiendo el documento de constitución contener el texto íntegro de los Estatutos y Bases de Actuación. </w:t>
      </w:r>
      <w:r>
        <w:t>Asimismo, procederán a tramitar su posterior inscripción en el Registro de Entidades Urbanísticas Colaboradoras.</w:t>
      </w:r>
    </w:p>
    <w:p w:rsidR="00085BB7" w:rsidRDefault="004441D3">
      <w:pPr>
        <w:spacing w:after="379" w:line="360" w:lineRule="auto"/>
        <w:ind w:left="730" w:right="903" w:firstLine="708"/>
      </w:pPr>
      <w:r>
        <w:t>Para la inscripción de la entidad en el Registro de la Propiedad, bastará con acompañar la certificación del acuerdo de aprobación del procedim</w:t>
      </w:r>
      <w:r>
        <w:t>iento de establecimiento y adjudicación del sistema, en el que se aprueben definitivamente los Estatutos de la entidad, el texto íntegro de los Estatutos debidamente publicados en el Boletín Oficial de la Provincia, así como certificación del Acta de la As</w:t>
      </w:r>
      <w:r>
        <w:t>amblea Constituyente de la entidad.</w:t>
      </w:r>
    </w:p>
    <w:p w:rsidR="00085BB7" w:rsidRDefault="004441D3">
      <w:pPr>
        <w:numPr>
          <w:ilvl w:val="0"/>
          <w:numId w:val="30"/>
        </w:numPr>
        <w:spacing w:after="379" w:line="359" w:lineRule="auto"/>
        <w:ind w:right="903" w:firstLine="708"/>
      </w:pPr>
      <w:r>
        <w:t xml:space="preserve">El incumplimiento por los miembros de la junta de las obligaciones y cargas impuestas habilitará a la Administración actuante para expropiar sus respectivos derechos en favor de la </w:t>
      </w:r>
      <w:r>
        <w:t>junta de compensación, que tendrá la condición jurídica de beneficiaria. A tal efecto, la junta de compensación presentará ante la Administración actuante el correspondiente proyecto expropiatorio con el contenido establecido en el artículo 37 de este Regl</w:t>
      </w:r>
      <w:r>
        <w:t>amento, y que se someterá al siguiente procedimiento:</w:t>
      </w:r>
    </w:p>
    <w:p w:rsidR="00085BB7" w:rsidRDefault="004441D3">
      <w:pPr>
        <w:numPr>
          <w:ilvl w:val="0"/>
          <w:numId w:val="31"/>
        </w:numPr>
        <w:spacing w:after="0" w:line="360" w:lineRule="auto"/>
        <w:ind w:right="906" w:firstLine="708"/>
        <w:jc w:val="right"/>
      </w:pPr>
      <w:r>
        <w:t>Solicitud de expropiación de la finca al propietario incumplidor con aportación del correspondiente proyecto expropiatorio, teniendo en cuenta que, al tratarse de expropiación motivada por incumplimient</w:t>
      </w:r>
      <w:r>
        <w:t>o de las obligaciones y cargas impuestas, la propiedad se valorará en su condición de suelo no urbanizado.</w:t>
      </w:r>
    </w:p>
    <w:p w:rsidR="00085BB7" w:rsidRDefault="004441D3">
      <w:pPr>
        <w:numPr>
          <w:ilvl w:val="0"/>
          <w:numId w:val="31"/>
        </w:numPr>
        <w:spacing w:after="101" w:line="265" w:lineRule="auto"/>
        <w:ind w:right="906" w:firstLine="708"/>
        <w:jc w:val="right"/>
      </w:pPr>
      <w:r>
        <w:t xml:space="preserve">Información pública por un período de un mes y audiencia al expropiado por el mismo </w:t>
      </w:r>
    </w:p>
    <w:p w:rsidR="00085BB7" w:rsidRDefault="004441D3">
      <w:pPr>
        <w:spacing w:after="115"/>
        <w:ind w:left="736" w:right="903"/>
      </w:pPr>
      <w:r>
        <w:t>período.</w:t>
      </w:r>
    </w:p>
    <w:p w:rsidR="00085BB7" w:rsidRDefault="004441D3">
      <w:pPr>
        <w:numPr>
          <w:ilvl w:val="0"/>
          <w:numId w:val="31"/>
        </w:numPr>
        <w:spacing w:after="101" w:line="265" w:lineRule="auto"/>
        <w:ind w:right="906" w:firstLine="708"/>
        <w:jc w:val="right"/>
      </w:pPr>
      <w:r>
        <w:t xml:space="preserve">Aprobación definitiva del proyecto, y emplazamiento al </w:t>
      </w:r>
      <w:r>
        <w:t xml:space="preserve">expropiado para el abono del </w:t>
      </w:r>
    </w:p>
    <w:p w:rsidR="00085BB7" w:rsidRDefault="004441D3">
      <w:pPr>
        <w:spacing w:after="115"/>
        <w:ind w:left="736" w:right="903"/>
      </w:pPr>
      <w:r>
        <w:t>justiprecio fijado y levantamientos de las pertinentes actas de ocupación y pago.</w:t>
      </w:r>
    </w:p>
    <w:p w:rsidR="00085BB7" w:rsidRDefault="004441D3">
      <w:pPr>
        <w:numPr>
          <w:ilvl w:val="0"/>
          <w:numId w:val="32"/>
        </w:numPr>
        <w:spacing w:after="0" w:line="361" w:lineRule="auto"/>
        <w:ind w:right="903" w:firstLine="708"/>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column">
                  <wp:posOffset>6542599</wp:posOffset>
                </wp:positionH>
                <wp:positionV relativeFrom="paragraph">
                  <wp:posOffset>290487</wp:posOffset>
                </wp:positionV>
                <wp:extent cx="237530" cy="3313100"/>
                <wp:effectExtent l="0" t="0" r="0" b="0"/>
                <wp:wrapSquare wrapText="bothSides"/>
                <wp:docPr id="146815" name="Group 14681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452" name="Rectangle 1045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453" name="Rectangle 1045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454" name="Rectangle 1045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w:t>
                              </w:r>
                              <w:r>
                                <w:rPr>
                                  <w:sz w:val="12"/>
                                </w:rPr>
                                <w:t xml:space="preserve"> la plataforma esPublico Gestiona | Página 84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815" style="width:18.7031pt;height:260.874pt;position:absolute;mso-position-horizontal-relative:text;mso-position-horizontal:absolute;margin-left:515.165pt;mso-position-vertical-relative:text;margin-top:22.873pt;" coordsize="2375,33131">
                <v:rect id="Rectangle 1045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45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45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133 </w:t>
                        </w:r>
                      </w:p>
                    </w:txbxContent>
                  </v:textbox>
                </v:rect>
                <w10:wrap type="square"/>
              </v:group>
            </w:pict>
          </mc:Fallback>
        </mc:AlternateContent>
      </w:r>
      <w:r>
        <w:t>La certificación del acuerdo de aprobación definitiva será título suficiente para la inscripción registral de la expropiación a favor de la junta de compensación.</w:t>
      </w:r>
    </w:p>
    <w:p w:rsidR="00085BB7" w:rsidRDefault="004441D3">
      <w:pPr>
        <w:numPr>
          <w:ilvl w:val="0"/>
          <w:numId w:val="32"/>
        </w:numPr>
        <w:spacing w:after="0" w:line="360" w:lineRule="auto"/>
        <w:ind w:right="903" w:firstLine="708"/>
      </w:pPr>
      <w:r>
        <w:t>Del mismo modo, y por el mismo procedimiento, la junta de compensación expropiará también al propietario que, habiéndose adherido a la iniciativa o formando parte de los promotores de la iniciativa, no comparezca al acto de constitución de la Junta, siempr</w:t>
      </w:r>
      <w:r>
        <w:t>e que haya sido previamente convocado en legal forma y no acredite causa justificada.</w:t>
      </w:r>
    </w:p>
    <w:p w:rsidR="00085BB7" w:rsidRDefault="004441D3">
      <w:pPr>
        <w:numPr>
          <w:ilvl w:val="0"/>
          <w:numId w:val="32"/>
        </w:numPr>
        <w:spacing w:after="0" w:line="361" w:lineRule="auto"/>
        <w:ind w:right="903" w:firstLine="708"/>
      </w:pPr>
      <w:r>
        <w:t>Con carácter general, la junta de compensación se regirá por lo establecido en este reglamento para las Entidades Urbanísticas Colaboradoras.</w:t>
      </w:r>
    </w:p>
    <w:p w:rsidR="00085BB7" w:rsidRDefault="004441D3">
      <w:pPr>
        <w:spacing w:after="495"/>
        <w:ind w:left="1447" w:right="903"/>
      </w:pPr>
      <w:r>
        <w:t xml:space="preserve">Artículo 136 </w:t>
      </w:r>
      <w:r>
        <w:t>Constitución de la entidad urbanística</w:t>
      </w:r>
    </w:p>
    <w:p w:rsidR="00085BB7" w:rsidRDefault="004441D3">
      <w:pPr>
        <w:numPr>
          <w:ilvl w:val="0"/>
          <w:numId w:val="33"/>
        </w:numPr>
        <w:spacing w:after="379" w:line="360" w:lineRule="auto"/>
        <w:ind w:right="903" w:firstLine="708"/>
      </w:pPr>
      <w:r>
        <w:t>La constitución de las Entidades urbanísticas de gestión se acomodarán a lo previsto en las disposiciones contenidas en los respectivos sistemas de actuación, teniendo que ser aprobadas, al igual que sus Estatutos, po</w:t>
      </w:r>
      <w:r>
        <w:t>r la Administración urbanística actuante.</w:t>
      </w:r>
    </w:p>
    <w:p w:rsidR="00085BB7" w:rsidRDefault="004441D3">
      <w:pPr>
        <w:numPr>
          <w:ilvl w:val="0"/>
          <w:numId w:val="33"/>
        </w:numPr>
        <w:ind w:right="903" w:firstLine="708"/>
      </w:pPr>
      <w:r>
        <w:t>La constitución de la entidad urbanística requerirá:</w:t>
      </w:r>
    </w:p>
    <w:p w:rsidR="00085BB7" w:rsidRDefault="004441D3">
      <w:pPr>
        <w:numPr>
          <w:ilvl w:val="0"/>
          <w:numId w:val="34"/>
        </w:numPr>
        <w:spacing w:after="99" w:line="265" w:lineRule="auto"/>
        <w:ind w:right="903" w:firstLine="708"/>
      </w:pPr>
      <w:r>
        <w:t>Aprobación inicial por la Administración actuante en el mismo expediente que la</w:t>
      </w:r>
    </w:p>
    <w:p w:rsidR="00085BB7" w:rsidRDefault="004441D3">
      <w:pPr>
        <w:spacing w:after="378" w:line="361" w:lineRule="auto"/>
        <w:ind w:left="736" w:right="903"/>
      </w:pPr>
      <w:r>
        <w:t>iniciativa para la adjudicación y determinación del sistema de actuación, con inf</w:t>
      </w:r>
      <w:r>
        <w:t>ormación pública y audiencia a los interesados.</w:t>
      </w:r>
    </w:p>
    <w:p w:rsidR="00085BB7" w:rsidRDefault="004441D3">
      <w:pPr>
        <w:numPr>
          <w:ilvl w:val="0"/>
          <w:numId w:val="34"/>
        </w:numPr>
        <w:spacing w:after="99" w:line="265" w:lineRule="auto"/>
        <w:ind w:right="903" w:firstLine="708"/>
      </w:pPr>
      <w:r>
        <w:t xml:space="preserve">Aprobación definitiva en el mismo acto que se adjudica el sistema y se aprueba la </w:t>
      </w:r>
    </w:p>
    <w:p w:rsidR="00085BB7" w:rsidRDefault="004441D3">
      <w:pPr>
        <w:spacing w:after="495"/>
        <w:ind w:left="736" w:right="903"/>
      </w:pPr>
      <w:r>
        <w:t>documentación propia de la gestión.</w:t>
      </w:r>
    </w:p>
    <w:p w:rsidR="00085BB7" w:rsidRDefault="004441D3">
      <w:pPr>
        <w:numPr>
          <w:ilvl w:val="0"/>
          <w:numId w:val="34"/>
        </w:numPr>
        <w:spacing w:after="378" w:line="361" w:lineRule="auto"/>
        <w:ind w:right="903" w:firstLine="708"/>
      </w:pPr>
      <w:r>
        <w:t>La publicación del texto íntegro de los Estatutos y Bases de Actuación en el Boletín Ofic</w:t>
      </w:r>
      <w:r>
        <w:t>ial de la Provincia.</w:t>
      </w:r>
    </w:p>
    <w:p w:rsidR="00085BB7" w:rsidRDefault="004441D3">
      <w:pPr>
        <w:numPr>
          <w:ilvl w:val="0"/>
          <w:numId w:val="34"/>
        </w:numPr>
        <w:spacing w:after="379" w:line="359" w:lineRule="auto"/>
        <w:ind w:right="903" w:firstLine="708"/>
      </w:pPr>
      <w:r>
        <w:t xml:space="preserve">El acto constituyente de la entidad donde necesariamente se habrá de ratificar por los integrantes los documentos de gestión y de ejecución material de la actuación aprobados </w:t>
      </w:r>
      <w:r>
        <w:t>definitivamente por la Administración actuante, así como cualesquiera otras actuaciones urbanísticas que en relación con el ámbito de ejecución hayan llevado a cabo los promotores de la iniciativa. La certificación del acuerdo de constitución de la entidad</w:t>
      </w:r>
      <w:r>
        <w:t xml:space="preserve"> deberá ser formalizado ante Notario o bien ante la Secretaría Municipal.</w:t>
      </w:r>
    </w:p>
    <w:p w:rsidR="00085BB7" w:rsidRDefault="004441D3">
      <w:pPr>
        <w:numPr>
          <w:ilvl w:val="0"/>
          <w:numId w:val="34"/>
        </w:numPr>
        <w:spacing w:after="379" w:line="360" w:lineRule="auto"/>
        <w:ind w:right="903" w:firstLine="708"/>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column">
                  <wp:posOffset>6542599</wp:posOffset>
                </wp:positionH>
                <wp:positionV relativeFrom="paragraph">
                  <wp:posOffset>1253147</wp:posOffset>
                </wp:positionV>
                <wp:extent cx="237530" cy="3313100"/>
                <wp:effectExtent l="0" t="0" r="0" b="0"/>
                <wp:wrapSquare wrapText="bothSides"/>
                <wp:docPr id="145819" name="Group 14581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541" name="Rectangle 1054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542" name="Rectangle 1054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543" name="Rectangle 1054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Gestiona | Pá</w:t>
                              </w:r>
                              <w:r>
                                <w:rPr>
                                  <w:sz w:val="12"/>
                                </w:rPr>
                                <w:t xml:space="preserve">gina 85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819" style="width:18.7031pt;height:260.874pt;position:absolute;mso-position-horizontal-relative:text;mso-position-horizontal:absolute;margin-left:515.165pt;mso-position-vertical-relative:text;margin-top:98.673pt;" coordsize="2375,33131">
                <v:rect id="Rectangle 1054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5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5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133 </w:t>
                        </w:r>
                      </w:p>
                    </w:txbxContent>
                  </v:textbox>
                </v:rect>
                <w10:wrap type="square"/>
              </v:group>
            </w:pict>
          </mc:Fallback>
        </mc:AlternateContent>
      </w:r>
      <w:r>
        <w:t>Inscripción del acuerdo de constitución de la entidad formalizado ante la Secretaría Municipal o Notario junto con el tenor literal de los Estatutos y Bases de Actuación en el Registro de Entidades Urbanísticas Colaboradoras y en el Registr</w:t>
      </w:r>
      <w:r>
        <w:t xml:space="preserve">o Mercantil en caso de las Sociedades mercantiles. A tal efecto, se remitirá por la Administración urbanística actuante o por la Secretaría de la entidad urbanística la certificación del acuerdo de aprobación definitiva, junto con los estatutos y bases de </w:t>
      </w:r>
      <w:r>
        <w:t>actuación y la formalización del acto de constitución, al órgano autonómico encargado de la llevanza de tal Registro y la formalización del acto de constitución.</w:t>
      </w:r>
    </w:p>
    <w:p w:rsidR="00085BB7" w:rsidRDefault="004441D3">
      <w:pPr>
        <w:numPr>
          <w:ilvl w:val="0"/>
          <w:numId w:val="35"/>
        </w:numPr>
        <w:spacing w:after="0" w:line="361" w:lineRule="auto"/>
        <w:ind w:right="903" w:firstLine="708"/>
      </w:pPr>
      <w:r>
        <w:t>La modificación de los Estatutos requerirá aprobación de la Administración urbanística actuant</w:t>
      </w:r>
      <w:r>
        <w:t>e, debiendo quedar constancia de dichos acuerdos en el Registro de entidades.</w:t>
      </w:r>
    </w:p>
    <w:p w:rsidR="00085BB7" w:rsidRDefault="004441D3">
      <w:pPr>
        <w:numPr>
          <w:ilvl w:val="0"/>
          <w:numId w:val="35"/>
        </w:numPr>
        <w:spacing w:after="379" w:line="360" w:lineRule="auto"/>
        <w:ind w:right="903" w:firstLine="708"/>
      </w:pPr>
      <w:r>
        <w:t>Los nombramientos y ceses de las personas encargadas del gobierno y administración de la Entidad se inscribirán en el Registro de Entidades Urbanísticas Colaboradoras, y en su ca</w:t>
      </w:r>
      <w:r>
        <w:t>so, además en el Registro Mercantil, y cuantos actos sean exigibles conforme a los estatutos de las entidades urbanísticas de gestión.</w:t>
      </w:r>
    </w:p>
    <w:p w:rsidR="00085BB7" w:rsidRDefault="004441D3">
      <w:pPr>
        <w:numPr>
          <w:ilvl w:val="0"/>
          <w:numId w:val="35"/>
        </w:numPr>
        <w:spacing w:after="0" w:line="360" w:lineRule="auto"/>
        <w:ind w:right="903" w:firstLine="708"/>
      </w:pPr>
      <w:r>
        <w:t>Las Actas que se levanten de los acuerdos adoptados por los órganos de gobierno de la entidad, deberán figurar en los cor</w:t>
      </w:r>
      <w:r>
        <w:t>respondientes libros, custodiados por la Secretaría de la entidad que previamente habrán de ser diligenciados por la Administración Actuante.</w:t>
      </w:r>
    </w:p>
    <w:p w:rsidR="00085BB7" w:rsidRDefault="004441D3">
      <w:pPr>
        <w:spacing w:after="380" w:line="361" w:lineRule="auto"/>
        <w:ind w:left="730" w:right="903" w:firstLine="708"/>
      </w:pPr>
      <w:r>
        <w:t xml:space="preserve">Visto cuanto antecede, se considera que el expediente ha seguido la tramitación </w:t>
      </w:r>
      <w:r>
        <w:t>establecida en la Legislación aplicable, procediendo su aprobación por el Pleno, de conformidad con el artículo 212 de la Ley 4/2017, de 13 de julio, del Suelo y de los Espacios Naturales Protegidos de Canarias.</w:t>
      </w:r>
    </w:p>
    <w:p w:rsidR="00085BB7" w:rsidRDefault="004441D3">
      <w:pPr>
        <w:spacing w:after="101" w:line="265" w:lineRule="auto"/>
        <w:ind w:left="10" w:right="906" w:hanging="10"/>
        <w:jc w:val="right"/>
      </w:pPr>
      <w:r>
        <w:t xml:space="preserve">Por ello, de conformidad con lo establecido </w:t>
      </w:r>
      <w:r>
        <w:t xml:space="preserve">en el artículo 175 del Reglamento de </w:t>
      </w:r>
    </w:p>
    <w:p w:rsidR="00085BB7" w:rsidRDefault="004441D3">
      <w:pPr>
        <w:spacing w:after="433" w:line="360" w:lineRule="auto"/>
        <w:ind w:left="736" w:right="903"/>
      </w:pPr>
      <w:r>
        <w:t>Organización, Funcionamiento y Régimen Jurídico de las Entidades Locales, aprobado por Real Decreto 2568/1986, de 28 de noviembre, el que suscribe eleva la siguiente propuesta de resolución:</w:t>
      </w:r>
    </w:p>
    <w:p w:rsidR="00085BB7" w:rsidRDefault="004441D3">
      <w:pPr>
        <w:pStyle w:val="Ttulo2"/>
        <w:ind w:left="545" w:right="0"/>
      </w:pPr>
      <w:r>
        <w:t>PROPUESTA DE RESOLUCIÓN</w:t>
      </w:r>
    </w:p>
    <w:p w:rsidR="00085BB7" w:rsidRDefault="004441D3">
      <w:pPr>
        <w:spacing w:after="379" w:line="360" w:lineRule="auto"/>
        <w:ind w:left="730" w:right="903" w:firstLine="708"/>
      </w:pPr>
      <w:r>
        <w:t>PRI</w:t>
      </w:r>
      <w:r>
        <w:t>MERO. Aprobar la constitución de la Junta de compensación de la unidad de actuación en virtud de escritura de constitución otorgada ante la notario Dª. Beatriz Eugenia Cabello Mestres con fecha 26 de abril de 2023 y número 791 de su protocolo y la escritur</w:t>
      </w:r>
      <w:r>
        <w:t>a complementaria número mil setecientos cincuenta y ocho del protocolo, de fecha 3 de Septiembre de 2024, en cumplimiento del requerimiento efectuado por el Registro de Entidades Urbanísticas Colaboradora.</w:t>
      </w:r>
    </w:p>
    <w:p w:rsidR="00085BB7" w:rsidRDefault="004441D3">
      <w:pPr>
        <w:spacing w:after="380" w:line="359" w:lineRule="auto"/>
        <w:ind w:left="730" w:right="903" w:firstLine="708"/>
      </w:pPr>
      <w:r>
        <w:t>SEGUNDO.-  Dar traslado al Registro de Entidades U</w:t>
      </w:r>
      <w:r>
        <w:t>rbanísticas Colaboradoras de la certificación del acuerdo de la presente resolución.</w:t>
      </w:r>
    </w:p>
    <w:p w:rsidR="00085BB7" w:rsidRDefault="004441D3">
      <w:pPr>
        <w:spacing w:after="31" w:line="361" w:lineRule="auto"/>
        <w:ind w:left="730" w:right="903" w:firstLine="708"/>
      </w:pPr>
      <w:r>
        <w:t>TERCERO.- Notificar la presente Resolución al Promotor y a aquellos propietarios que no se hayan adherido a la iniciativa…”</w:t>
      </w:r>
    </w:p>
    <w:p w:rsidR="00085BB7" w:rsidRDefault="004441D3">
      <w:pPr>
        <w:spacing w:after="525"/>
        <w:ind w:left="2807" w:right="903"/>
      </w:pPr>
      <w:r>
        <w:t>No obstante, la Corporación acordará lo que est</w:t>
      </w:r>
      <w:r>
        <w:t>ime pertinente</w:t>
      </w:r>
      <w:r>
        <w:rPr>
          <w:rFonts w:ascii="Times New Roman" w:eastAsia="Times New Roman" w:hAnsi="Times New Roman" w:cs="Times New Roman"/>
          <w:sz w:val="24"/>
        </w:rPr>
        <w:t>.</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column">
                  <wp:posOffset>6542599</wp:posOffset>
                </wp:positionH>
                <wp:positionV relativeFrom="paragraph">
                  <wp:posOffset>-279742</wp:posOffset>
                </wp:positionV>
                <wp:extent cx="237530" cy="3313100"/>
                <wp:effectExtent l="0" t="0" r="0" b="0"/>
                <wp:wrapSquare wrapText="bothSides"/>
                <wp:docPr id="145615" name="Group 14561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599" name="Rectangle 1059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600" name="Rectangle 1060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601" name="Rectangle 1060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615" style="width:18.7031pt;height:260.874pt;position:absolute;mso-position-horizontal-relative:text;mso-position-horizontal:absolute;margin-left:515.165pt;mso-position-vertical-relative:text;margin-top:-22.027pt;" coordsize="2375,33131">
                <v:rect id="Rectangle 1059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6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6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133 </w:t>
                        </w:r>
                      </w:p>
                    </w:txbxContent>
                  </v:textbox>
                </v:rect>
                <w10:wrap type="square"/>
              </v:group>
            </w:pict>
          </mc:Fallback>
        </mc:AlternateContent>
      </w:r>
      <w:r>
        <w:t xml:space="preserve">DICTAMEN FAVORABLE DE LA COMISIÓN INFORMATIVA DE P.G. URBANÍSTICA Y AMBIENTAL, OBRAS y SERVICIOS PÚBLICOS DE 23 DE SEPTIEMBRE DE 2024. </w:t>
      </w:r>
    </w:p>
    <w:p w:rsidR="00085BB7" w:rsidRDefault="004441D3">
      <w:pPr>
        <w:spacing w:after="10"/>
        <w:ind w:left="736" w:right="903"/>
      </w:pPr>
      <w:r>
        <w:t>Votos a favor: 4.</w:t>
      </w:r>
    </w:p>
    <w:p w:rsidR="00085BB7" w:rsidRDefault="004441D3">
      <w:pPr>
        <w:ind w:left="736" w:right="903"/>
      </w:pPr>
      <w:r>
        <w:t xml:space="preserve">Los 4 concejales del Grupo Socialista: D. Reinaldo José Triviño Blanco, Don Olegario Francisco Alonso </w:t>
      </w:r>
      <w:r>
        <w:t>Bello, Dª María Del Carmen Clemente Díaz y Dª Mónica Montserrat Yanes Delgado.</w:t>
      </w:r>
    </w:p>
    <w:p w:rsidR="00085BB7" w:rsidRDefault="004441D3">
      <w:pPr>
        <w:ind w:left="736" w:right="903"/>
      </w:pPr>
      <w:r>
        <w:t>Votos en contra: 0.</w:t>
      </w:r>
    </w:p>
    <w:p w:rsidR="00085BB7" w:rsidRDefault="004441D3">
      <w:pPr>
        <w:ind w:left="736" w:right="903"/>
      </w:pPr>
      <w:r>
        <w:t>Abstenciones: 3.</w:t>
      </w:r>
    </w:p>
    <w:p w:rsidR="00085BB7" w:rsidRDefault="004441D3">
      <w:pPr>
        <w:ind w:left="736" w:right="903"/>
      </w:pPr>
      <w:r>
        <w:t xml:space="preserve">Los 2 concejales del Grupo Popular: D Jacobo López Fariña, y Dª Raquel Martín Castro. </w:t>
      </w:r>
    </w:p>
    <w:p w:rsidR="00085BB7" w:rsidRDefault="004441D3">
      <w:pPr>
        <w:ind w:left="736" w:right="903"/>
      </w:pPr>
      <w:r>
        <w:t>1 del concejal del Grupo Mixto: D. José Fierros Sierr</w:t>
      </w:r>
      <w:r>
        <w:t>a.</w:t>
      </w:r>
    </w:p>
    <w:p w:rsidR="00085BB7" w:rsidRDefault="004441D3">
      <w:pPr>
        <w:spacing w:after="500"/>
        <w:ind w:left="736" w:right="903"/>
      </w:pPr>
      <w:r>
        <w:t xml:space="preserve">JUNTA DE PORTAVOCES DE 23 DE SEPTIEMBRE DE 2024. Quedó oída. </w:t>
      </w:r>
    </w:p>
    <w:p w:rsidR="00085BB7" w:rsidRDefault="004441D3">
      <w:pPr>
        <w:spacing w:after="225" w:line="265" w:lineRule="auto"/>
        <w:ind w:left="548" w:right="713" w:hanging="10"/>
        <w:jc w:val="center"/>
      </w:pPr>
      <w:r>
        <w:t>VOTACIÓN EN EL PLENO DE 26 DE SEPTIEMBRE DE 2024.</w:t>
      </w:r>
    </w:p>
    <w:p w:rsidR="00085BB7" w:rsidRDefault="004441D3">
      <w:pPr>
        <w:spacing w:after="10"/>
        <w:ind w:left="736" w:right="903"/>
      </w:pPr>
      <w:r>
        <w:t>Votos a favor: 20.</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Reinaldo </w:t>
      </w:r>
    </w:p>
    <w:p w:rsidR="00085BB7" w:rsidRDefault="004441D3">
      <w:pPr>
        <w:ind w:left="736" w:right="903"/>
      </w:pPr>
      <w:r>
        <w:t>José Triviño Blanco, Don Manuel Alberto González Pestano, Doña Margarita Eva Tendero Barroso, Don Airam Pérez Chinea, Doña María del Carmen Clemente Díaz, Don Olegari</w:t>
      </w:r>
      <w:r>
        <w:t xml:space="preserve">o Francisco Alonso Bello, Doña Mónica Monserrat Yanes Delgado. </w:t>
      </w:r>
    </w:p>
    <w:p w:rsidR="00085BB7" w:rsidRDefault="004441D3">
      <w:pPr>
        <w:ind w:left="736" w:right="903"/>
      </w:pPr>
      <w:r>
        <w:t>6 concejales del Grupo Popular: Don Jacobo López Fariña, Doña Raquel Martín Castro, Don David Crego Cháves, Doña María Carlota Díaz González, Don José Daniel Sosa González, y Doña Shaila Caste</w:t>
      </w:r>
      <w:r>
        <w:t xml:space="preserve">llano Batista. </w:t>
      </w:r>
    </w:p>
    <w:p w:rsidR="00085BB7" w:rsidRDefault="004441D3">
      <w:pPr>
        <w:ind w:left="736" w:right="903"/>
      </w:pPr>
      <w:r>
        <w:t>3 concejales del Grupo Mixto: Doña Ángela Cruz Perera y Don Emilio Jesús Atiénzar Armas, (CC), Don José Tortosa Pallarés (VOX).</w:t>
      </w:r>
    </w:p>
    <w:p w:rsidR="00085BB7" w:rsidRDefault="004441D3">
      <w:pPr>
        <w:spacing w:after="10"/>
        <w:ind w:left="736" w:right="903"/>
      </w:pPr>
      <w:r>
        <w:t xml:space="preserve">Votos en contra: 1: </w:t>
      </w:r>
    </w:p>
    <w:p w:rsidR="00085BB7" w:rsidRDefault="004441D3">
      <w:pPr>
        <w:ind w:left="736" w:right="903"/>
      </w:pPr>
      <w:r>
        <w:t>1 del concejal del Grupo Mixto, D. José Fierros Sierra (USP).</w:t>
      </w:r>
    </w:p>
    <w:p w:rsidR="00085BB7" w:rsidRDefault="004441D3">
      <w:pPr>
        <w:spacing w:after="735"/>
        <w:ind w:left="736" w:right="903"/>
      </w:pPr>
      <w:r>
        <w:t>Abstenciones: 0.</w:t>
      </w:r>
    </w:p>
    <w:p w:rsidR="00085BB7" w:rsidRDefault="004441D3">
      <w:pPr>
        <w:spacing w:after="473" w:line="265" w:lineRule="auto"/>
        <w:ind w:left="548" w:right="713" w:hanging="10"/>
        <w:jc w:val="center"/>
      </w:pPr>
      <w:r>
        <w:t>ACUERDO DEL PLENO DE 26 DE SEPTIEMBRE DE 2024.</w:t>
      </w:r>
    </w:p>
    <w:p w:rsidR="00085BB7" w:rsidRDefault="004441D3">
      <w:pPr>
        <w:spacing w:after="379" w:line="360" w:lineRule="auto"/>
        <w:ind w:left="730" w:right="903" w:firstLine="708"/>
      </w:pPr>
      <w:r>
        <w:t>PRIMERO. Aprobar la constitución de la Junta de compensación de la unidad de actuación UA-C02 Chipas en virtud de escritura de constitución otorgada ante la notaria Dª. Beatriz Eugenia Cabello Mestres con fech</w:t>
      </w:r>
      <w:r>
        <w:t xml:space="preserve">a 26 de abril de 2023 y número 791 de su protocolo y la escritura complementaria número mil setecientos cincuenta y ocho del protocolo, de fecha 3 de septiembre de 2024, en cumplimiento del requerimiento efectuado por el Registro de Entidades Urbanísticas </w:t>
      </w:r>
      <w:r>
        <w:t>Colaboradora.</w:t>
      </w:r>
    </w:p>
    <w:p w:rsidR="00085BB7" w:rsidRDefault="004441D3">
      <w:pPr>
        <w:spacing w:after="380" w:line="359" w:lineRule="auto"/>
        <w:ind w:left="730" w:right="903" w:firstLine="708"/>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column">
                  <wp:posOffset>6542599</wp:posOffset>
                </wp:positionH>
                <wp:positionV relativeFrom="paragraph">
                  <wp:posOffset>-344512</wp:posOffset>
                </wp:positionV>
                <wp:extent cx="237530" cy="3313100"/>
                <wp:effectExtent l="0" t="0" r="0" b="0"/>
                <wp:wrapSquare wrapText="bothSides"/>
                <wp:docPr id="145677" name="Group 14567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651" name="Rectangle 10651"/>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652" name="Rectangle 10652"/>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653" name="Rectangle 10653"/>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5677" style="width:18.7031pt;height:260.874pt;position:absolute;mso-position-horizontal-relative:text;mso-position-horizontal:absolute;margin-left:515.165pt;mso-position-vertical-relative:text;margin-top:-27.127pt;" coordsize="2375,33131">
                <v:rect id="Rectangle 10651"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65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65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133 </w:t>
                        </w:r>
                      </w:p>
                    </w:txbxContent>
                  </v:textbox>
                </v:rect>
                <w10:wrap type="square"/>
              </v:group>
            </w:pict>
          </mc:Fallback>
        </mc:AlternateContent>
      </w:r>
      <w:r>
        <w:t>SEGUNDO. -  Dar traslado al Registro de Entidades Urbanísticas Colaboradoras de la certificación del acuerdo de la presente resolución.</w:t>
      </w:r>
    </w:p>
    <w:p w:rsidR="00085BB7" w:rsidRDefault="004441D3">
      <w:pPr>
        <w:spacing w:line="361" w:lineRule="auto"/>
        <w:ind w:left="730" w:right="903" w:firstLine="708"/>
      </w:pPr>
      <w:r>
        <w:t>TERCERO. - Notificar la presente Resolución al promotor y a aquellos propietarios que no se hayan adherido a la iniciati</w:t>
      </w:r>
      <w:r>
        <w:t>va y al resto de interesados.</w:t>
      </w:r>
    </w:p>
    <w:p w:rsidR="00085BB7" w:rsidRDefault="004441D3">
      <w:pPr>
        <w:spacing w:after="523" w:line="250" w:lineRule="auto"/>
        <w:ind w:left="738" w:right="921" w:hanging="10"/>
      </w:pPr>
      <w:r>
        <w:rPr>
          <w:sz w:val="24"/>
        </w:rPr>
        <w:t>9.- Expediente 9852/2020. Propuesta de la Alcaldesa-Presidenta al Pleno de fecha 19 de septiembre de 2024 de primera modificación del convenio entre el CIATF y los Ayuntamientos de Arafo, Candelaria y Güimar de gestión de infr</w:t>
      </w:r>
      <w:r>
        <w:rPr>
          <w:sz w:val="24"/>
        </w:rPr>
        <w:t>aestructuras de depuración y vertido del Polígono Industral del Valle de Güimar.</w:t>
      </w:r>
    </w:p>
    <w:p w:rsidR="00085BB7" w:rsidRDefault="004441D3">
      <w:pPr>
        <w:spacing w:after="762"/>
        <w:ind w:left="736" w:right="903"/>
      </w:pPr>
      <w:r>
        <w:t xml:space="preserve">       Consta en el expediente Informe Jurídico emitido por Don Octavio Manuel Fernández Hernández, que desempeña el puesto de trabajo de Secretario General, de 19 de septiemb</w:t>
      </w:r>
      <w:r>
        <w:t>re de 2024, del siguiente tenor literal:</w:t>
      </w:r>
    </w:p>
    <w:p w:rsidR="00085BB7" w:rsidRDefault="004441D3">
      <w:pPr>
        <w:spacing w:after="0" w:line="355" w:lineRule="auto"/>
        <w:ind w:left="1867" w:right="2685" w:firstLine="2268"/>
      </w:pPr>
      <w:r>
        <w:t>“INFORME JURÍDICO                            Visto el expediente antedicho se emite el siguiente informe:</w:t>
      </w:r>
    </w:p>
    <w:p w:rsidR="00085BB7" w:rsidRDefault="004441D3">
      <w:pPr>
        <w:tabs>
          <w:tab w:val="center" w:pos="733"/>
          <w:tab w:val="center" w:pos="4624"/>
        </w:tabs>
        <w:spacing w:after="118"/>
        <w:ind w:left="0" w:right="0" w:firstLine="0"/>
        <w:jc w:val="left"/>
      </w:pPr>
      <w:r>
        <w:rPr>
          <w:rFonts w:ascii="Calibri" w:eastAsia="Calibri" w:hAnsi="Calibri" w:cs="Calibri"/>
        </w:rPr>
        <w:tab/>
      </w:r>
      <w:r>
        <w:t xml:space="preserve"> </w:t>
      </w:r>
      <w:r>
        <w:tab/>
        <w:t xml:space="preserve">                    Antecedentes de hecho </w:t>
      </w:r>
    </w:p>
    <w:p w:rsidR="00085BB7" w:rsidRDefault="004441D3">
      <w:pPr>
        <w:spacing w:after="3" w:line="265" w:lineRule="auto"/>
        <w:ind w:left="10" w:right="906" w:hanging="10"/>
        <w:jc w:val="right"/>
      </w:pPr>
      <w:r>
        <w:t>PRIMERO.- El día 18 de septiembre de 2023 tuvo lugar la firma d</w:t>
      </w:r>
      <w:r>
        <w:t xml:space="preserve">el CONVENIO DE </w:t>
      </w:r>
    </w:p>
    <w:p w:rsidR="00085BB7" w:rsidRDefault="004441D3">
      <w:pPr>
        <w:spacing w:after="10"/>
        <w:ind w:left="736" w:right="903"/>
      </w:pPr>
      <w:r>
        <w:t xml:space="preserve">COOPERACIÓN INTERADMINISTRATIVA ENTRE EL CONSEJO INSULAR DE AGUAS DE </w:t>
      </w:r>
    </w:p>
    <w:p w:rsidR="00085BB7" w:rsidRDefault="004441D3">
      <w:pPr>
        <w:spacing w:after="10"/>
        <w:ind w:left="736" w:right="903"/>
      </w:pPr>
      <w:r>
        <w:t xml:space="preserve">TENERIFE Y LOS AYUNTAMIENTOS DE CANDELARIA, ARAFO Y GÜÍMAR PARA LA GESTIÓN </w:t>
      </w:r>
    </w:p>
    <w:p w:rsidR="00085BB7" w:rsidRDefault="004441D3">
      <w:pPr>
        <w:spacing w:after="10"/>
        <w:ind w:left="736" w:right="903"/>
      </w:pPr>
      <w:r>
        <w:t xml:space="preserve">DE LAS INFRAESTRUCTURAS DE DEPURACIÓN Y VERTIDO DE AGUAS RESIDUALES, </w:t>
      </w:r>
    </w:p>
    <w:p w:rsidR="00085BB7" w:rsidRDefault="004441D3">
      <w:pPr>
        <w:spacing w:after="486"/>
        <w:ind w:left="736" w:right="903"/>
      </w:pPr>
      <w:r>
        <w:t xml:space="preserve">URBANAS E INDUSTRIALES, </w:t>
      </w:r>
      <w:r>
        <w:t>DE LOS SISTEMAS TERRITORIALES DEL VALLE DE GÜÍMAR Y POLÍGONO INDUSTRIAL DEL VALLE DE GÜÍMAR entrando en vigor en esa misma fecha , de conformidad con lo establecido en la cláusula séptima del citado convenio.</w:t>
      </w:r>
    </w:p>
    <w:p w:rsidR="00085BB7" w:rsidRDefault="004441D3">
      <w:pPr>
        <w:spacing w:after="110"/>
        <w:ind w:left="730" w:right="903" w:firstLine="1134"/>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column">
                  <wp:posOffset>6542599</wp:posOffset>
                </wp:positionH>
                <wp:positionV relativeFrom="paragraph">
                  <wp:posOffset>-29552</wp:posOffset>
                </wp:positionV>
                <wp:extent cx="237530" cy="3313100"/>
                <wp:effectExtent l="0" t="0" r="0" b="0"/>
                <wp:wrapSquare wrapText="bothSides"/>
                <wp:docPr id="146205" name="Group 1462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769" name="Rectangle 10769"/>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770" name="Rectangle 10770"/>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771" name="Rectangle 10771"/>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205" style="width:18.7031pt;height:260.874pt;position:absolute;mso-position-horizontal-relative:text;mso-position-horizontal:absolute;margin-left:515.165pt;mso-position-vertical-relative:text;margin-top:-2.32703pt;" coordsize="2375,33131">
                <v:rect id="Rectangle 10769"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7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7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133 </w:t>
                        </w:r>
                      </w:p>
                    </w:txbxContent>
                  </v:textbox>
                </v:rect>
                <w10:wrap type="square"/>
              </v:group>
            </w:pict>
          </mc:Fallback>
        </mc:AlternateContent>
      </w:r>
      <w:r>
        <w:t xml:space="preserve">SEGUNDO.- Con fecha 5 de agosto de 2024 se recibe en el Departamento de Contratación y Convenios informe </w:t>
      </w:r>
      <w:r>
        <w:t>del Área de Infraestructura Hidráulica en el siguiente sentido: […] La “REHABILITACIÓN DE LA ESTACIÓN DE BOMBEO DE AGUAS RESIDUALES EN GÜIMAR CASCO” se adjudicó el 11/11/2022 a la empresa HIDROTEC AGUAS, S.L. por el importe de 230.787,27 €. En la actualida</w:t>
      </w:r>
      <w:r>
        <w:t>d la obra ha sido recibida favorablemente con fecha de 29 de abril de 2024.</w:t>
      </w:r>
    </w:p>
    <w:p w:rsidR="00085BB7" w:rsidRDefault="004441D3">
      <w:pPr>
        <w:spacing w:after="0"/>
        <w:ind w:left="730" w:right="903" w:firstLine="1134"/>
      </w:pPr>
      <w:r>
        <w:t>Una vez finalizadas las actuaciones para la REHABILITACIÓN DE LA ESTACIÓN DE BOMBEO DE AGUAS RESIDUALES EN GÜIMAR CASCO, y realizadas las verificaciones de colectores y trámites ad</w:t>
      </w:r>
      <w:r>
        <w:t xml:space="preserve">ministrativos, la EBAR está disposición de prestar el servicio de bombeo hacia la EDARu Comarcal del Valle de Güímar, siendo incorporada al SISTEMA COMARCAL DE </w:t>
      </w:r>
    </w:p>
    <w:p w:rsidR="00085BB7" w:rsidRDefault="004441D3">
      <w:pPr>
        <w:spacing w:after="10"/>
        <w:ind w:left="736" w:right="903"/>
      </w:pPr>
      <w:r>
        <w:t xml:space="preserve">DEPURACION Y REGENERACION DE AGUA RESIDUAL DEL VALLE DE GÜIMAR. </w:t>
      </w:r>
    </w:p>
    <w:p w:rsidR="00085BB7" w:rsidRDefault="004441D3">
      <w:pPr>
        <w:spacing w:after="486"/>
        <w:ind w:left="736" w:right="903"/>
      </w:pPr>
      <w:r>
        <w:t>(SCIH_RAR_VG). Con la puesta e</w:t>
      </w:r>
      <w:r>
        <w:t>n marcha de la EBAR GÜIMAR CASCO se incorpora a la gestión del sistema comarcal dicha Estación de Bombeo, así como los colectores que transportan el agua hasta la EDARu comarcal del Valle de Güímar y las estaciones para el control de caudal y calidad inter</w:t>
      </w:r>
      <w:r>
        <w:t>municipales.</w:t>
      </w:r>
    </w:p>
    <w:p w:rsidR="00085BB7" w:rsidRDefault="004441D3">
      <w:pPr>
        <w:spacing w:after="10"/>
        <w:ind w:left="1873" w:right="903"/>
      </w:pPr>
      <w:r>
        <w:t xml:space="preserve">TERCERO.- La Presidencia del Consejo Insular de Aguas de Tenerife, con fecha 19 </w:t>
      </w:r>
    </w:p>
    <w:p w:rsidR="00085BB7" w:rsidRDefault="004441D3">
      <w:pPr>
        <w:spacing w:after="111"/>
        <w:ind w:left="736" w:right="903"/>
      </w:pPr>
      <w:r>
        <w:t>de agosto de 2024, ha adoptado, entre otros, el siguiente Decreto:</w:t>
      </w:r>
    </w:p>
    <w:p w:rsidR="00085BB7" w:rsidRDefault="004441D3">
      <w:pPr>
        <w:spacing w:after="0" w:line="259" w:lineRule="auto"/>
        <w:ind w:left="10" w:right="869" w:hanging="10"/>
        <w:jc w:val="right"/>
      </w:pPr>
      <w:r>
        <w:rPr>
          <w:sz w:val="23"/>
        </w:rPr>
        <w:t xml:space="preserve">PRIMERO: Aprobar la primera modificación del “CONVENIO DE COOPERACIÓN </w:t>
      </w:r>
      <w:r>
        <w:rPr>
          <w:sz w:val="23"/>
        </w:rPr>
        <w:t xml:space="preserve">INTERADMINISTRATIVA ENTRE EL CONSEJO INSULAR DE AGUAS DE TENERIFE Y LOS </w:t>
      </w:r>
    </w:p>
    <w:p w:rsidR="00085BB7" w:rsidRDefault="004441D3">
      <w:pPr>
        <w:spacing w:after="33" w:line="224" w:lineRule="auto"/>
        <w:ind w:left="715" w:right="874" w:hanging="8"/>
      </w:pPr>
      <w:r>
        <w:rPr>
          <w:sz w:val="23"/>
        </w:rPr>
        <w:t xml:space="preserve">AYUNTAMIENTOS DE CANDELARIA, ARAFO Y GÜÍMAR PARA LA GESTIÓN DE LAS </w:t>
      </w:r>
    </w:p>
    <w:p w:rsidR="00085BB7" w:rsidRDefault="004441D3">
      <w:pPr>
        <w:spacing w:after="33" w:line="224" w:lineRule="auto"/>
        <w:ind w:left="715" w:right="874" w:hanging="8"/>
      </w:pPr>
      <w:r>
        <w:rPr>
          <w:sz w:val="23"/>
        </w:rPr>
        <w:t xml:space="preserve">INFRAESTRUCTURAS DE DEPURACIÓN Y VERTIDO DE AGUAS RESIDUALES, URBANAS E </w:t>
      </w:r>
    </w:p>
    <w:p w:rsidR="00085BB7" w:rsidRDefault="004441D3">
      <w:pPr>
        <w:spacing w:after="123" w:line="224" w:lineRule="auto"/>
        <w:ind w:left="715" w:right="874" w:hanging="8"/>
      </w:pPr>
      <w:r>
        <w:rPr>
          <w:sz w:val="23"/>
        </w:rPr>
        <w:t>INDUSTRIALES, DE LOS SISTEMAS TERRITORIALES DEL VALLE DE GÜÍMAR Y POLÍGONO INDUSTRIAL DEL VALLE DE GÜÍMAR”, suscrito entre las partes con fecha 18 de septiembre de 2023 y que se encuentra en vigor desde dicha fecha en atención a la cláusula séptima del mis</w:t>
      </w:r>
      <w:r>
        <w:rPr>
          <w:sz w:val="23"/>
        </w:rPr>
        <w:t xml:space="preserve">mo. La modificación consiste, en aplicación de la cláusula primera del Convenio, en la inclusión en el objeto del mismo de las siguientes instalaciones: </w:t>
      </w:r>
    </w:p>
    <w:p w:rsidR="00085BB7" w:rsidRDefault="004441D3">
      <w:pPr>
        <w:spacing w:after="123" w:line="224" w:lineRule="auto"/>
        <w:ind w:left="1862" w:right="874" w:hanging="8"/>
      </w:pPr>
      <w:r>
        <w:rPr>
          <w:sz w:val="23"/>
        </w:rPr>
        <w:t xml:space="preserve">EBAR GÜIMAR CASCO. </w:t>
      </w:r>
    </w:p>
    <w:p w:rsidR="00085BB7" w:rsidRDefault="004441D3">
      <w:pPr>
        <w:spacing w:after="123" w:line="224" w:lineRule="auto"/>
        <w:ind w:left="707" w:right="874" w:firstLine="1134"/>
      </w:pPr>
      <w:r>
        <w:rPr>
          <w:sz w:val="23"/>
        </w:rPr>
        <w:t>La EBAR Güímar Casco, emplazada en el T.M de Güímar, el las coordenadas UTM X: 362</w:t>
      </w:r>
      <w:r>
        <w:rPr>
          <w:sz w:val="23"/>
        </w:rPr>
        <w:t>440.57; Y: 31325596.50, consta de una edificación, en la se alojan una sala de desbaste previo con reja autolimpiante, una sala de bombeo con 1+1 bombas, sistema de desodorización por carbón activo y sala de cuadros eléctricos. A la instalación llegan el c</w:t>
      </w:r>
      <w:r>
        <w:rPr>
          <w:sz w:val="23"/>
        </w:rPr>
        <w:t>olector municipal de PVC 315 existente que discurre por la parte frontal de la instalación en las que incorporan aguas provenientes del Casco de Güímar y de Guaza. Previa a la entrada se ha habilitado una arqueta aliviadero para casos de lluvia o paradas d</w:t>
      </w:r>
      <w:r>
        <w:rPr>
          <w:sz w:val="23"/>
        </w:rPr>
        <w:t xml:space="preserve">e la estación de bombeo, que alivia con la red existente. </w:t>
      </w:r>
    </w:p>
    <w:p w:rsidR="00085BB7" w:rsidRDefault="004441D3">
      <w:pPr>
        <w:spacing w:after="123" w:line="224" w:lineRule="auto"/>
        <w:ind w:left="1862" w:right="874" w:hanging="8"/>
      </w:pPr>
      <w:r>
        <w:rPr>
          <w:sz w:val="23"/>
        </w:rPr>
        <w:t>COLECTORES DE AGUAS RESIDUALES A EDARu</w:t>
      </w:r>
    </w:p>
    <w:p w:rsidR="00085BB7" w:rsidRDefault="004441D3">
      <w:pPr>
        <w:spacing w:after="0" w:line="259" w:lineRule="auto"/>
        <w:ind w:left="10" w:right="869" w:hanging="10"/>
        <w:jc w:val="right"/>
      </w:pPr>
      <w:r>
        <w:rPr>
          <w:sz w:val="23"/>
        </w:rPr>
        <w:t xml:space="preserve">Además de la EBAR, se incorporan al sistema los colectores de impulsión y gravedad </w:t>
      </w:r>
    </w:p>
    <w:p w:rsidR="00085BB7" w:rsidRDefault="004441D3">
      <w:pPr>
        <w:spacing w:after="8" w:line="224" w:lineRule="auto"/>
        <w:ind w:left="715" w:right="874" w:hanging="8"/>
      </w:pPr>
      <w:r>
        <w:rPr>
          <w:sz w:val="23"/>
        </w:rPr>
        <w:t>por los que se transporta el agua residual hasta la Estación de Depuración</w:t>
      </w:r>
      <w:r>
        <w:rPr>
          <w:sz w:val="23"/>
        </w:rPr>
        <w:t xml:space="preserve"> de Aguas Residuales Urbanas del Valle de Güímar (EDARu). Estos colectores están compuestos por un primer tramo en impulsión, mediante tubería de FDC DN-250, con origen en la EBAR Güímar Casco, que discurre por el Camino Lomo Molino hasta el pozo situado e</w:t>
      </w:r>
      <w:r>
        <w:rPr>
          <w:sz w:val="23"/>
        </w:rPr>
        <w:t>n el Camino del Tonazo. Posteriormente el colector comarcal, prosigue su traza por gravedad mediante una conducción de PVC 315, atravesando el Camino el Tonazo, Camino Taro, Camino el Carretón (TM. Arafo), Camino la Molineta, Camino del Medio Camino y Finc</w:t>
      </w:r>
      <w:r>
        <w:rPr>
          <w:sz w:val="23"/>
        </w:rPr>
        <w:t xml:space="preserve">as particulares hasta su llegada a la </w:t>
      </w:r>
    </w:p>
    <w:p w:rsidR="00085BB7" w:rsidRDefault="004441D3">
      <w:pPr>
        <w:spacing w:after="33" w:line="224" w:lineRule="auto"/>
        <w:ind w:left="715" w:right="874" w:hanging="8"/>
      </w:pPr>
      <w:r>
        <w:rPr>
          <w:sz w:val="23"/>
        </w:rPr>
        <w:t xml:space="preserve">EDARu. En este tramo por gravedad se incorporan las aguas de los colectores siguientes: - </w:t>
      </w:r>
    </w:p>
    <w:p w:rsidR="00085BB7" w:rsidRDefault="004441D3">
      <w:pPr>
        <w:spacing w:after="33" w:line="224" w:lineRule="auto"/>
        <w:ind w:left="715" w:right="874" w:hanging="8"/>
      </w:pPr>
      <w:r>
        <w:rPr>
          <w:sz w:val="23"/>
        </w:rPr>
        <w:t xml:space="preserve">Colector de la Calle Poeta Arístides Hernandez Mora que transportan aguas del casco Güímar. - </w:t>
      </w:r>
    </w:p>
    <w:p w:rsidR="00085BB7" w:rsidRDefault="004441D3">
      <w:pPr>
        <w:spacing w:after="123" w:line="224" w:lineRule="auto"/>
        <w:ind w:left="715" w:right="874" w:hanging="8"/>
      </w:pPr>
      <w:r>
        <w:rPr>
          <w:sz w:val="23"/>
        </w:rPr>
        <w:t>Colector del tramo superior del</w:t>
      </w:r>
      <w:r>
        <w:rPr>
          <w:sz w:val="23"/>
        </w:rPr>
        <w:t xml:space="preserve"> Camino Taro, que incorpora las aguas del entorno del Barrio de Fatima y del Barrio del Carmen en Arafo. - Colector del tramo superior del Camino de la Molineta que incorpora las aguas del Casco de Arafo. </w:t>
      </w:r>
    </w:p>
    <w:p w:rsidR="00085BB7" w:rsidRDefault="004441D3">
      <w:pPr>
        <w:spacing w:after="123" w:line="224" w:lineRule="auto"/>
        <w:ind w:left="1862" w:right="874" w:hanging="8"/>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column">
                  <wp:posOffset>6542599</wp:posOffset>
                </wp:positionH>
                <wp:positionV relativeFrom="paragraph">
                  <wp:posOffset>-16852</wp:posOffset>
                </wp:positionV>
                <wp:extent cx="237530" cy="3313100"/>
                <wp:effectExtent l="0" t="0" r="0" b="0"/>
                <wp:wrapSquare wrapText="bothSides"/>
                <wp:docPr id="147122" name="Group 1471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862" name="Rectangle 10862"/>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863" name="Rectangle 10863"/>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0864" name="Rectangle 10864"/>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89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7122" style="width:18.7031pt;height:260.874pt;position:absolute;mso-position-horizontal-relative:text;mso-position-horizontal:absolute;margin-left:515.165pt;mso-position-vertical-relative:text;margin-top:-1.32703pt;" coordsize="2375,33131">
                <v:rect id="Rectangle 10862"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8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8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133 </w:t>
                        </w:r>
                      </w:p>
                    </w:txbxContent>
                  </v:textbox>
                </v:rect>
                <w10:wrap type="square"/>
              </v:group>
            </w:pict>
          </mc:Fallback>
        </mc:AlternateContent>
      </w:r>
      <w:r>
        <w:rPr>
          <w:sz w:val="23"/>
        </w:rPr>
        <w:t>ESTACIÓN DE CONTROL DE CAUDAL Y CALIDAD (ECCC)</w:t>
      </w:r>
    </w:p>
    <w:p w:rsidR="00085BB7" w:rsidRDefault="004441D3">
      <w:pPr>
        <w:spacing w:after="493" w:line="232" w:lineRule="auto"/>
        <w:ind w:left="705" w:right="861" w:firstLine="1124"/>
        <w:jc w:val="left"/>
      </w:pPr>
      <w:r>
        <w:rPr>
          <w:sz w:val="23"/>
        </w:rPr>
        <w:t>En el tramo de colectores que se incorpora al SISTEMA COMARC</w:t>
      </w:r>
      <w:r>
        <w:rPr>
          <w:sz w:val="23"/>
        </w:rPr>
        <w:t>AL DE DEPURACION Y REGENERACION DE AGUA RESIDUAL DEL VALLE DE GÜÍMAR, dispone de dos ESTACIONES DE CONTROL DE CAUDAL Y CALIDAD, emplazadas en los cruces de colectores de los límites municipales entre Arafo y Güímar. La posición de estas estaciones de contr</w:t>
      </w:r>
      <w:r>
        <w:rPr>
          <w:sz w:val="23"/>
        </w:rPr>
        <w:t xml:space="preserve">ol son las siguientes: - ECCC Arafo, situado en el Limite municipal Arafo-Güímar de la Carretera TF-525. - ECCC camino El Taro, Situado la intersección entre el Camino El Taro y la carretera TF-281, en el Limite municipal Arafo-Güímar. </w:t>
      </w:r>
    </w:p>
    <w:p w:rsidR="00085BB7" w:rsidRDefault="004441D3">
      <w:pPr>
        <w:spacing w:after="118" w:line="232" w:lineRule="auto"/>
        <w:ind w:left="705" w:right="861" w:firstLine="1124"/>
        <w:jc w:val="left"/>
      </w:pPr>
      <w:r>
        <w:rPr>
          <w:sz w:val="23"/>
        </w:rPr>
        <w:t xml:space="preserve">De esta manera, la </w:t>
      </w:r>
      <w:r>
        <w:rPr>
          <w:sz w:val="23"/>
        </w:rPr>
        <w:t>representación gráfica del SISTEMA COMARCAL DE DEPURACION Y REGENERACION DEL AGUAS RESIDUAL DEL VALLE DE GÜIMAR, queda de la siguiente manera y tal como se adjunta en el ANEXO I actualizado:</w:t>
      </w:r>
    </w:p>
    <w:p w:rsidR="00085BB7" w:rsidRDefault="004441D3">
      <w:pPr>
        <w:spacing w:after="123" w:line="224" w:lineRule="auto"/>
        <w:ind w:left="715" w:right="874" w:hanging="8"/>
      </w:pPr>
      <w:r>
        <w:rPr>
          <w:noProof/>
        </w:rPr>
        <w:drawing>
          <wp:anchor distT="0" distB="0" distL="114300" distR="114300" simplePos="0" relativeHeight="251742208" behindDoc="0" locked="0" layoutInCell="1" allowOverlap="0">
            <wp:simplePos x="0" y="0"/>
            <wp:positionH relativeFrom="column">
              <wp:posOffset>620228</wp:posOffset>
            </wp:positionH>
            <wp:positionV relativeFrom="paragraph">
              <wp:posOffset>-5857773</wp:posOffset>
            </wp:positionV>
            <wp:extent cx="5760720" cy="5539740"/>
            <wp:effectExtent l="0" t="0" r="0" b="0"/>
            <wp:wrapSquare wrapText="bothSides"/>
            <wp:docPr id="10872" name="Picture 10872"/>
            <wp:cNvGraphicFramePr/>
            <a:graphic xmlns:a="http://schemas.openxmlformats.org/drawingml/2006/main">
              <a:graphicData uri="http://schemas.openxmlformats.org/drawingml/2006/picture">
                <pic:pic xmlns:pic="http://schemas.openxmlformats.org/drawingml/2006/picture">
                  <pic:nvPicPr>
                    <pic:cNvPr id="10872" name="Picture 10872"/>
                    <pic:cNvPicPr/>
                  </pic:nvPicPr>
                  <pic:blipFill>
                    <a:blip r:embed="rId48"/>
                    <a:stretch>
                      <a:fillRect/>
                    </a:stretch>
                  </pic:blipFill>
                  <pic:spPr>
                    <a:xfrm>
                      <a:off x="0" y="0"/>
                      <a:ext cx="5760720" cy="553974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column">
                  <wp:posOffset>6542599</wp:posOffset>
                </wp:positionH>
                <wp:positionV relativeFrom="paragraph">
                  <wp:posOffset>-508342</wp:posOffset>
                </wp:positionV>
                <wp:extent cx="237530" cy="3313100"/>
                <wp:effectExtent l="0" t="0" r="0" b="0"/>
                <wp:wrapSquare wrapText="bothSides"/>
                <wp:docPr id="146464" name="Group 14646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914" name="Rectangle 10914"/>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0915" name="Rectangle 10915"/>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w:t>
                              </w:r>
                              <w:r>
                                <w:rPr>
                                  <w:sz w:val="12"/>
                                </w:rPr>
                                <w:t xml:space="preserve">ttps://candelaria.sedelectronica.es/ </w:t>
                              </w:r>
                            </w:p>
                          </w:txbxContent>
                        </wps:txbx>
                        <wps:bodyPr horzOverflow="overflow" vert="horz" lIns="0" tIns="0" rIns="0" bIns="0" rtlCol="0">
                          <a:noAutofit/>
                        </wps:bodyPr>
                      </wps:wsp>
                      <wps:wsp>
                        <wps:cNvPr id="10916" name="Rectangle 10916"/>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464" style="width:18.7031pt;height:260.874pt;position:absolute;mso-position-horizontal-relative:text;mso-position-horizontal:absolute;margin-left:515.165pt;mso-position-vertical-relative:text;margin-top:-40.027pt;" coordsize="2375,33131">
                <v:rect id="Rectangle 10914"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09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9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133 </w:t>
                        </w:r>
                      </w:p>
                    </w:txbxContent>
                  </v:textbox>
                </v:rect>
                <w10:wrap type="square"/>
              </v:group>
            </w:pict>
          </mc:Fallback>
        </mc:AlternateContent>
      </w:r>
      <w:r>
        <w:rPr>
          <w:sz w:val="23"/>
        </w:rPr>
        <w:t>SEGUNDO: Notificar la resolución que se adopte a los Ayuntamientos de Arafo, Candelaria y Güímar, con objeto de que se pro</w:t>
      </w:r>
      <w:r>
        <w:rPr>
          <w:sz w:val="23"/>
        </w:rPr>
        <w:t>ceda a la formalización de la Adenda que recoja la primera modificación al Convenio en los términos del Anexo que se adjunta, indicándose que, en su caso, procederá la interposición de RECURSO CONTENCIOSO-ADMINISTRATIVO ante los Juzgados de lo Contencioso-</w:t>
      </w:r>
      <w:r>
        <w:rPr>
          <w:sz w:val="23"/>
        </w:rPr>
        <w:t xml:space="preserve">Administrativo de Santa Cruz de Tenerife, dentro del plazo de DOS MESES contados a partir del día siguiente al de la recepción de la presente notificación sin perjuicio de dirigir a esta Corporación el REQUERIMIENTO PREVIO establecido en el artículo 44 de </w:t>
      </w:r>
      <w:r>
        <w:rPr>
          <w:sz w:val="23"/>
        </w:rPr>
        <w:t xml:space="preserve">la Ley 29/1998, de 13 de julio, Reguladora de la Jurisdicción Contencioso Administrativa, así como de la interposición de cualquier otro recurso que estime procedente. TERCERO: Dar cuenta de la presente Resolución a la Comisión de Seguimiento del Convenio </w:t>
      </w:r>
      <w:r>
        <w:rPr>
          <w:sz w:val="23"/>
        </w:rPr>
        <w:t>para que proceda a su ratificación en la próxima sesión que se celebre</w:t>
      </w:r>
    </w:p>
    <w:p w:rsidR="00085BB7" w:rsidRDefault="004441D3">
      <w:pPr>
        <w:spacing w:after="93" w:line="265" w:lineRule="auto"/>
        <w:ind w:left="548" w:right="1062" w:hanging="10"/>
        <w:jc w:val="center"/>
      </w:pPr>
      <w:r>
        <w:t>FUNDAMENTOS DE DERECHO</w:t>
      </w:r>
    </w:p>
    <w:p w:rsidR="00085BB7" w:rsidRDefault="004441D3">
      <w:pPr>
        <w:spacing w:after="3" w:line="265" w:lineRule="auto"/>
        <w:ind w:left="10" w:right="906" w:hanging="10"/>
        <w:jc w:val="right"/>
      </w:pPr>
      <w:r>
        <w:t xml:space="preserve">Primero. - El presente convenio tiene naturaleza administrativa y está excluido del </w:t>
      </w:r>
    </w:p>
    <w:p w:rsidR="00085BB7" w:rsidRDefault="004441D3">
      <w:pPr>
        <w:spacing w:after="115"/>
        <w:ind w:left="736" w:right="903"/>
      </w:pPr>
      <w:r>
        <w:t>ámbito de aplicación de la Ley 9/2017, de Contratos del Sector Público conforme a lo establecido en el apartado 2 de su art. 6. Todo ello sin perjuicio de la aplicación de los principios de la citada norma para resolver las dudas y lagunas que pudieran pre</w:t>
      </w:r>
      <w:r>
        <w:t>sentarse, según dispone su artículo 4. Las partes, interpretarán, desarrollarán y ejecutarán el contenido del presente convenio teniendo en cuenta los fines que con el mismo se persiguen, comprometiéndose a resolver de buena fe y común acuerdo todas las cu</w:t>
      </w:r>
      <w:r>
        <w:t xml:space="preserve">estiones que puedan surgir en relación con su interpretación y ejecución. </w:t>
      </w:r>
    </w:p>
    <w:p w:rsidR="00085BB7" w:rsidRDefault="004441D3">
      <w:pPr>
        <w:spacing w:after="10"/>
        <w:ind w:left="1873" w:right="903"/>
      </w:pPr>
      <w:r>
        <w:t xml:space="preserve">Segundo.- La cláusula primera del Convenio en relación con el objeto del mismo </w:t>
      </w:r>
    </w:p>
    <w:p w:rsidR="00085BB7" w:rsidRDefault="004441D3">
      <w:pPr>
        <w:spacing w:after="112"/>
        <w:ind w:left="736" w:right="903"/>
      </w:pPr>
      <w:r>
        <w:t>indica: […] Es objeto del presente Convenio establecer las bases de colaboración entre el Consejo Ins</w:t>
      </w:r>
      <w:r>
        <w:t>ular de Aguas de Tenerife (CIATF) y los Ayuntamientos de Candelaria, Arafo y Güímar, para la gestión conjunta por el CIATF de las infraestructuras de depuración y vertido integradas en los Sistemas Territoriales de Saneamiento del Valle de Güímar y del Pol</w:t>
      </w:r>
      <w:r>
        <w:t>ígono Industrial del Valle de Güímar, que se identifican a continuación, con el fin de garantizar el servicio público de depuración y tratamiento de aguas residuales, de origen urbano e industrial, procedentes de los núcleos de población identificados en l</w:t>
      </w:r>
      <w:r>
        <w:t xml:space="preserve">a presente cláusula, y cumplir con las obligaciones medioambientales y de calidad del agua residual, dimanantes de la Directiva 271/91, del RD Ley 11/95 que la traspone a nuestro ordenamiento jurídico y del Real Decreto 509/1996 que lo desarrolla: </w:t>
      </w:r>
    </w:p>
    <w:p w:rsidR="00085BB7" w:rsidRDefault="004441D3">
      <w:pPr>
        <w:numPr>
          <w:ilvl w:val="0"/>
          <w:numId w:val="36"/>
        </w:numPr>
        <w:spacing w:after="96"/>
        <w:ind w:left="2099" w:right="903" w:hanging="232"/>
      </w:pPr>
      <w:r>
        <w:t xml:space="preserve">EDARU: </w:t>
      </w:r>
      <w:r>
        <w:t xml:space="preserve">Estación Depuradora de Aguas Residuales Urbanas. </w:t>
      </w:r>
    </w:p>
    <w:p w:rsidR="00085BB7" w:rsidRDefault="004441D3">
      <w:pPr>
        <w:numPr>
          <w:ilvl w:val="0"/>
          <w:numId w:val="36"/>
        </w:numPr>
        <w:spacing w:after="94"/>
        <w:ind w:left="2099" w:right="903" w:hanging="232"/>
      </w:pPr>
      <w:r>
        <w:t xml:space="preserve">EDARI: Estación Depuradora de Aguas Residuales Industriales. </w:t>
      </w:r>
    </w:p>
    <w:p w:rsidR="00085BB7" w:rsidRDefault="004441D3">
      <w:pPr>
        <w:numPr>
          <w:ilvl w:val="0"/>
          <w:numId w:val="36"/>
        </w:numPr>
        <w:spacing w:after="95"/>
        <w:ind w:left="2099" w:right="903" w:hanging="232"/>
      </w:pPr>
      <w:r>
        <w:t xml:space="preserve">Emisario terrestre y emisario submarino del Valle de Güímar. </w:t>
      </w:r>
    </w:p>
    <w:p w:rsidR="00085BB7" w:rsidRDefault="004441D3">
      <w:pPr>
        <w:numPr>
          <w:ilvl w:val="0"/>
          <w:numId w:val="36"/>
        </w:numPr>
        <w:spacing w:after="10"/>
        <w:ind w:left="2099" w:right="903" w:hanging="232"/>
      </w:pPr>
      <w:r>
        <w:t xml:space="preserve">Estaciones de Bombeo, colectores y conducciones de transporte de carácter </w:t>
      </w:r>
    </w:p>
    <w:p w:rsidR="00085BB7" w:rsidRDefault="004441D3">
      <w:pPr>
        <w:spacing w:after="486"/>
        <w:ind w:left="736" w:right="903"/>
      </w:pPr>
      <w:r>
        <w:t>supramu</w:t>
      </w:r>
      <w:r>
        <w:t>nicipal que se determinen por la Comisión de Seguimiento durante la vigencia del convenio, cuya inclusión requerirá la modificación del convenio que deberá plasmarse en la correspondiente Adenda. Sin perjuicio de lo anterior, previa conformidad de las part</w:t>
      </w:r>
      <w:r>
        <w:t>es, se podrá ampliar el objeto del presente convenio extendiéndolo a otras infraestructuras necesarias para la depuración y vertido de las aguas residuales generadas en el marco del presente Sistema Territorial, modificación que deberá plasmarse en la corr</w:t>
      </w:r>
      <w:r>
        <w:t>espondiente Adenda en la que se describirán las nuevas infraestructuras que se añadan.</w:t>
      </w:r>
    </w:p>
    <w:p w:rsidR="00085BB7" w:rsidRDefault="004441D3">
      <w:pPr>
        <w:spacing w:after="10"/>
        <w:ind w:left="1873" w:right="903"/>
      </w:pPr>
      <w:r>
        <w:t xml:space="preserve">Tercero. -.- La cláusula sexta del Convenio sobre la modificación y resolución del </w:t>
      </w:r>
    </w:p>
    <w:p w:rsidR="00085BB7" w:rsidRDefault="004441D3">
      <w:pPr>
        <w:spacing w:after="486"/>
        <w:ind w:left="736" w:right="903"/>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column">
                  <wp:posOffset>6542599</wp:posOffset>
                </wp:positionH>
                <wp:positionV relativeFrom="paragraph">
                  <wp:posOffset>633387</wp:posOffset>
                </wp:positionV>
                <wp:extent cx="237530" cy="3313100"/>
                <wp:effectExtent l="0" t="0" r="0" b="0"/>
                <wp:wrapSquare wrapText="bothSides"/>
                <wp:docPr id="146996" name="Group 14699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020" name="Rectangle 1102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021" name="Rectangle 1102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022" name="Rectangle 1102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6996" style="width:18.7031pt;height:260.874pt;position:absolute;mso-position-horizontal-relative:text;mso-position-horizontal:absolute;margin-left:515.165pt;mso-position-vertical-relative:text;margin-top:49.873pt;" coordsize="2375,33131">
                <v:rect id="Rectangle 1102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02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02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133 </w:t>
                        </w:r>
                      </w:p>
                    </w:txbxContent>
                  </v:textbox>
                </v:rect>
                <w10:wrap type="square"/>
              </v:group>
            </w:pict>
          </mc:Fallback>
        </mc:AlternateContent>
      </w:r>
      <w:r>
        <w:t>Convenio recoge lo siguiente: […] Cualquiera de las partes podrá promover la revisión del Convenio para inc</w:t>
      </w:r>
      <w:r>
        <w:t>orporar aspectos no previstos, modificarlo o ampliarlo en su alcance y contenido, debiendo comunicarlo con un plazo mínimo de antelación de dos meses. El presente Convenio se extinguirá por terminación de su plazo o si concurriesen las causas de resolución</w:t>
      </w:r>
      <w:r>
        <w:t xml:space="preserve"> a que se refiere el art. 51.2 de la Ley 40/2015, de 1 de octubre. En caso de resolución del Convenio, las partes quedan obligadas al cumplimiento de sus respectivos compromisos hasta la fecha en que ésta se produzca. Los efectos de la resolución se adecua</w:t>
      </w:r>
      <w:r>
        <w:t>rán a lo establecido por el artículo 52 de la Ley 40/2015, de 1 de octubre.</w:t>
      </w:r>
    </w:p>
    <w:p w:rsidR="00085BB7" w:rsidRDefault="004441D3">
      <w:pPr>
        <w:spacing w:after="0"/>
        <w:ind w:left="730" w:right="903" w:firstLine="1134"/>
      </w:pPr>
      <w:r>
        <w:t xml:space="preserve">CUARTO.- Atendiendo a la estimación presupuestaria inicial incluida en el CONVENIO PARA LA GESTIÓN DE LAS INFRAESTRUCTURAS DE DEPURACIÓN Y VERTIDO </w:t>
      </w:r>
    </w:p>
    <w:p w:rsidR="00085BB7" w:rsidRDefault="004441D3">
      <w:pPr>
        <w:ind w:left="736" w:right="903"/>
      </w:pPr>
      <w:r>
        <w:t>DE AGUAS RESIDUALES, URBANAS E INDUSTRIALES, DE LOS SISTEMAS TERRITORIALES DEL VALLE DE GÜIMAR, que asciende a la cantidad de 3.953.601,06 Euros; ha de ponerse de manifiesto que, el ritmo de ejecución presupuestario está muy por debajo del inicialmente pre</w:t>
      </w:r>
      <w:r>
        <w:t>visto debido a la demora en la actuaciones necesarias para la puesta en marcha completa de la EDARu comarcal del Valle de Güímar. Esto ha provocado que los caudales tratado y los gastos de explotación asociados sean inferiores inicialmente previstos. Es po</w:t>
      </w:r>
      <w:r>
        <w:t>r ello que la repercusión económica asociada a la incorporación de la ESTACION DE BOMBEO DE AGUAS RESIDUALES DE GÜIMAR CASCO Y COLECTORES COMARCALES AL SISTEMA COMARCAL DE DEPURACION Y REGENERACION DE AGUAS RESIDUALES DEL VALLE DE GÜIMAR, puede ser cubiert</w:t>
      </w:r>
      <w:r>
        <w:t>a con las estimaciones presupuestarias aprobadas en el convenio en su límite temporal, NO REQUIRIENDO UN INCREMENTO PRESUPUESTARIO del convenio asociado a la incorporación de las instalaciones descritas en el presente informe.</w:t>
      </w:r>
    </w:p>
    <w:p w:rsidR="00085BB7" w:rsidRDefault="004441D3">
      <w:pPr>
        <w:spacing w:after="109"/>
        <w:ind w:left="1873" w:right="903"/>
      </w:pPr>
      <w:r>
        <w:t>PROPUESTA DE ACUERDO AL PLENO</w:t>
      </w:r>
      <w:r>
        <w:t xml:space="preserve"> DE LA CORPORACIÓN</w:t>
      </w:r>
    </w:p>
    <w:p w:rsidR="00085BB7" w:rsidRDefault="004441D3">
      <w:pPr>
        <w:spacing w:after="10"/>
        <w:ind w:left="1873" w:right="903"/>
      </w:pPr>
      <w:r>
        <w:t xml:space="preserve">Con carácter previo se debe de forma urgente firmar informe técnico favorable a esta </w:t>
      </w:r>
    </w:p>
    <w:p w:rsidR="00085BB7" w:rsidRDefault="004441D3">
      <w:pPr>
        <w:spacing w:after="109"/>
        <w:ind w:left="736" w:right="903"/>
      </w:pPr>
      <w:r>
        <w:t>modificación y posteriormente, elevar al pleno la siguiente propuesta:</w:t>
      </w:r>
    </w:p>
    <w:p w:rsidR="00085BB7" w:rsidRDefault="004441D3">
      <w:pPr>
        <w:spacing w:after="10"/>
        <w:ind w:left="1873" w:right="903"/>
      </w:pPr>
      <w:r>
        <w:t xml:space="preserve">PRIMERO: Aprobar la primera modificación del “CONVENIO DE COOPERACIÓN </w:t>
      </w:r>
    </w:p>
    <w:p w:rsidR="00085BB7" w:rsidRDefault="004441D3">
      <w:pPr>
        <w:spacing w:after="10"/>
        <w:ind w:left="736" w:right="903"/>
      </w:pPr>
      <w:r>
        <w:t xml:space="preserve">INTERADMINISTRATIVA ENTRE EL CONSEJO INSULAR DE AGUAS DE TENERIFE Y LOS </w:t>
      </w:r>
    </w:p>
    <w:p w:rsidR="00085BB7" w:rsidRDefault="004441D3">
      <w:pPr>
        <w:spacing w:after="114"/>
        <w:ind w:left="736" w:right="903"/>
      </w:pPr>
      <w:r>
        <w:t xml:space="preserve">AYUNTAMIENTOS DE CANDELARIA, ARAFO Y GÜÍMAR PARA LA GESTIÓN DE LAS INFRAESTRUCTURAS DE DEPURACIÓN Y VERTIDO DE AGUAS RESIDUALES, URBANAS E INDUSTRIALES, DE LOS SISTEMAS TERRITORIALES </w:t>
      </w:r>
      <w:r>
        <w:t xml:space="preserve">DEL VALLE DE GÜÍMAR Y POLÍGONO INDUSTRIAL DEL VALLE DE GÜÍMAR”, suscrito entre las partes con fecha 18 de septiembre de 2023 y que se encuentra en vigor desde dicha fecha en atención a la cláusula séptima del mismo. La modificación consiste, en aplicación </w:t>
      </w:r>
      <w:r>
        <w:t>de la cláusula primera del Convenio, en la inclusión en el objeto del mismo de las siguientes instalaciones:</w:t>
      </w:r>
    </w:p>
    <w:p w:rsidR="00085BB7" w:rsidRDefault="004441D3">
      <w:pPr>
        <w:spacing w:after="123" w:line="224" w:lineRule="auto"/>
        <w:ind w:left="1862" w:right="874" w:hanging="8"/>
      </w:pPr>
      <w:r>
        <w:rPr>
          <w:sz w:val="23"/>
        </w:rPr>
        <w:t xml:space="preserve">EBAR GÜIMAR CASCO. </w:t>
      </w:r>
    </w:p>
    <w:p w:rsidR="00085BB7" w:rsidRDefault="004441D3">
      <w:pPr>
        <w:spacing w:after="123" w:line="224" w:lineRule="auto"/>
        <w:ind w:left="707" w:right="874" w:firstLine="1134"/>
      </w:pPr>
      <w:r>
        <w:rPr>
          <w:sz w:val="23"/>
        </w:rPr>
        <w:t>La EBAR Güímar Casco, emplazada en el T.M de Güímar, el las coordenadas UTM X: 362440.57; Y: 31325596.50, consta de una edifica</w:t>
      </w:r>
      <w:r>
        <w:rPr>
          <w:sz w:val="23"/>
        </w:rPr>
        <w:t>ción, en la se alojan una sala de desbaste previo con reja autolimpiante, una sala de bombeo con 1+1 bombas, sistema de desodorización por carbón activo y sala de cuadros eléctricos. A la instalación llegan el colector municipal de PVC 315 existente que di</w:t>
      </w:r>
      <w:r>
        <w:rPr>
          <w:sz w:val="23"/>
        </w:rPr>
        <w:t>scurre por la parte frontal de la instalación en las que incorporan aguas provenientes del Casco de Güímar y de Guaza. Previa a la entrada se ha habilitado una arqueta aliviadero para casos de lluvia o paradas de la estación de bombeo, que alivia con la re</w:t>
      </w:r>
      <w:r>
        <w:rPr>
          <w:sz w:val="23"/>
        </w:rPr>
        <w:t xml:space="preserve">d existente. </w:t>
      </w:r>
    </w:p>
    <w:p w:rsidR="00085BB7" w:rsidRDefault="004441D3">
      <w:pPr>
        <w:spacing w:after="123" w:line="224" w:lineRule="auto"/>
        <w:ind w:left="1862" w:right="874" w:hanging="8"/>
      </w:pPr>
      <w:r>
        <w:rPr>
          <w:sz w:val="23"/>
        </w:rPr>
        <w:t>COLECTORES DE AGUAS RESIDUALES A EDARu</w:t>
      </w:r>
    </w:p>
    <w:p w:rsidR="00085BB7" w:rsidRDefault="004441D3">
      <w:pPr>
        <w:spacing w:after="33" w:line="224" w:lineRule="auto"/>
        <w:ind w:left="1862" w:right="874" w:hanging="8"/>
      </w:pPr>
      <w:r>
        <w:rPr>
          <w:sz w:val="23"/>
        </w:rPr>
        <w:t xml:space="preserve">Además de la EBAR, se incorporan al sistema los colectores de impulsión y gravedad </w:t>
      </w:r>
    </w:p>
    <w:p w:rsidR="00085BB7" w:rsidRDefault="004441D3">
      <w:pPr>
        <w:spacing w:after="8" w:line="224" w:lineRule="auto"/>
        <w:ind w:left="715" w:right="874" w:hanging="8"/>
      </w:pPr>
      <w:r>
        <w:rPr>
          <w:sz w:val="23"/>
        </w:rPr>
        <w:t>por los que se transporta el agua residual hasta la Estación de Depuración de Aguas Residuales Urbanas del Valle de Güí</w:t>
      </w:r>
      <w:r>
        <w:rPr>
          <w:sz w:val="23"/>
        </w:rPr>
        <w:t>mar (EDARu). Estos colectores están compuestos por un primer tramo en impulsión, mediante tubería de FDC DN-250, con origen en la EBAR Güímar Casco, que discurre por el Camino Lomo Molino hasta el pozo situado en el Camino del Tonazo. Posteriormente el col</w:t>
      </w:r>
      <w:r>
        <w:rPr>
          <w:sz w:val="23"/>
        </w:rPr>
        <w:t xml:space="preserve">ector comarcal, prosigue su traza por gravedad mediante una conducción de PVC 315, atravesando el Camino el Tonazo, Camino Taro, Camino el Carretón (TM. Arafo), Camino la Molineta, Camino del Medio Camino y Fincas particulares hasta su llegada a la </w:t>
      </w:r>
    </w:p>
    <w:p w:rsidR="00085BB7" w:rsidRDefault="004441D3">
      <w:pPr>
        <w:spacing w:after="33" w:line="224" w:lineRule="auto"/>
        <w:ind w:left="715" w:right="874" w:hanging="8"/>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column">
                  <wp:posOffset>6542599</wp:posOffset>
                </wp:positionH>
                <wp:positionV relativeFrom="paragraph">
                  <wp:posOffset>66967</wp:posOffset>
                </wp:positionV>
                <wp:extent cx="237530" cy="3313100"/>
                <wp:effectExtent l="0" t="0" r="0" b="0"/>
                <wp:wrapSquare wrapText="bothSides"/>
                <wp:docPr id="147230" name="Group 1472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115" name="Rectangle 11115"/>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Cód</w:t>
                              </w:r>
                              <w:r>
                                <w:rPr>
                                  <w:sz w:val="12"/>
                                </w:rPr>
                                <w:t xml:space="preserve">. Validación: J2W7FCWL64NSP9GMWA6CM2H9T </w:t>
                              </w:r>
                            </w:p>
                          </w:txbxContent>
                        </wps:txbx>
                        <wps:bodyPr horzOverflow="overflow" vert="horz" lIns="0" tIns="0" rIns="0" bIns="0" rtlCol="0">
                          <a:noAutofit/>
                        </wps:bodyPr>
                      </wps:wsp>
                      <wps:wsp>
                        <wps:cNvPr id="11116" name="Rectangle 11116"/>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117" name="Rectangle 11117"/>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7230" style="width:18.7031pt;height:260.874pt;position:absolute;mso-position-horizontal-relative:text;mso-position-horizontal:absolute;margin-left:515.165pt;mso-position-vertical-relative:text;margin-top:5.27298pt;" coordsize="2375,33131">
                <v:rect id="Rectangle 11115"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11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11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133 </w:t>
                        </w:r>
                      </w:p>
                    </w:txbxContent>
                  </v:textbox>
                </v:rect>
                <w10:wrap type="square"/>
              </v:group>
            </w:pict>
          </mc:Fallback>
        </mc:AlternateContent>
      </w:r>
      <w:r>
        <w:rPr>
          <w:sz w:val="23"/>
        </w:rPr>
        <w:t xml:space="preserve">EDARu. En este tramo por gravedad se incorporan las aguas de los colectores siguientes: - </w:t>
      </w:r>
    </w:p>
    <w:p w:rsidR="00085BB7" w:rsidRDefault="004441D3">
      <w:pPr>
        <w:spacing w:after="33" w:line="224" w:lineRule="auto"/>
        <w:ind w:left="715" w:right="874" w:hanging="8"/>
      </w:pPr>
      <w:r>
        <w:rPr>
          <w:sz w:val="23"/>
        </w:rPr>
        <w:t xml:space="preserve">Colector de la Calle Poeta Arístides Hernandez Mora que transportan aguas del casco Güímar. - </w:t>
      </w:r>
    </w:p>
    <w:p w:rsidR="00085BB7" w:rsidRDefault="004441D3">
      <w:pPr>
        <w:spacing w:after="123" w:line="224" w:lineRule="auto"/>
        <w:ind w:left="715" w:right="874" w:hanging="8"/>
      </w:pPr>
      <w:r>
        <w:rPr>
          <w:sz w:val="23"/>
        </w:rPr>
        <w:t>Colector del tramo superior del Camino Taro, que incorpora las aguas d</w:t>
      </w:r>
      <w:r>
        <w:rPr>
          <w:sz w:val="23"/>
        </w:rPr>
        <w:t xml:space="preserve">el entorno del Barrio de Fatima y del Barrio del Carmen en Arafo. - Colector del tramo superior del Camino de la Molineta que incorpora las aguas del Casco de Arafo. </w:t>
      </w:r>
    </w:p>
    <w:p w:rsidR="00085BB7" w:rsidRDefault="004441D3">
      <w:pPr>
        <w:spacing w:after="123" w:line="224" w:lineRule="auto"/>
        <w:ind w:left="1862" w:right="874" w:hanging="8"/>
      </w:pPr>
      <w:r>
        <w:rPr>
          <w:sz w:val="23"/>
        </w:rPr>
        <w:t>ESTACIÓN DE CONTROL DE CAUDAL Y CALIDAD (ECCC)</w:t>
      </w:r>
    </w:p>
    <w:p w:rsidR="00085BB7" w:rsidRDefault="004441D3">
      <w:pPr>
        <w:spacing w:after="118" w:line="232" w:lineRule="auto"/>
        <w:ind w:left="705" w:right="861" w:firstLine="1124"/>
        <w:jc w:val="left"/>
      </w:pPr>
      <w:r>
        <w:rPr>
          <w:sz w:val="23"/>
        </w:rPr>
        <w:t>En el tramo de colectores que se incorpora</w:t>
      </w:r>
      <w:r>
        <w:rPr>
          <w:sz w:val="23"/>
        </w:rPr>
        <w:t xml:space="preserve"> al SISTEMA COMARCAL DE DEPURACION Y REGENERACION DE AGUA RESIDUAL DEL VALLE DE GÜÍMAR, dispone de dos ESTACIONES DE CONTROL DE CAUDAL Y CALIDAD, emplazadas en los cruces de colectores de los límites municipales entre Arafo y Güímar. La posición de estas e</w:t>
      </w:r>
      <w:r>
        <w:rPr>
          <w:sz w:val="23"/>
        </w:rPr>
        <w:t xml:space="preserve">staciones de control son las siguientes: - ECCC Arafo, situado en el Limite municipal Arafo-Güímar de la Carretera TF-525. - ECCC camino El Taro, Situado la intersección entre el Camino El Taro y la carretera TF-281, en el Limite municipal Arafo-Güímar. </w:t>
      </w:r>
    </w:p>
    <w:p w:rsidR="00085BB7" w:rsidRDefault="004441D3">
      <w:pPr>
        <w:spacing w:after="118" w:line="232" w:lineRule="auto"/>
        <w:ind w:left="705" w:right="861" w:firstLine="1124"/>
        <w:jc w:val="left"/>
      </w:pPr>
      <w:r>
        <w:rPr>
          <w:sz w:val="23"/>
        </w:rPr>
        <w:t>D</w:t>
      </w:r>
      <w:r>
        <w:rPr>
          <w:sz w:val="23"/>
        </w:rPr>
        <w:t>e esta manera, la representación gráfica del SISTEMA COMARCAL DE DEPURACION Y REGENERACION DEL AGUAS RESIDUAL DEL VALLE DE GÜIMAR, queda de la siguiente manera y tal como se adjunta en el ANEXO I actualizado:</w:t>
      </w:r>
    </w:p>
    <w:p w:rsidR="00085BB7" w:rsidRDefault="004441D3">
      <w:pPr>
        <w:spacing w:after="0" w:line="259" w:lineRule="auto"/>
        <w:ind w:left="731" w:right="0" w:firstLine="0"/>
        <w:jc w:val="left"/>
      </w:pPr>
      <w:r>
        <w:rPr>
          <w:rFonts w:ascii="Calibri" w:eastAsia="Calibri" w:hAnsi="Calibri" w:cs="Calibri"/>
          <w:noProof/>
        </w:rPr>
        <mc:AlternateContent>
          <mc:Choice Requires="wpg">
            <w:drawing>
              <wp:inline distT="0" distB="0" distL="0" distR="0">
                <wp:extent cx="6316110" cy="8662530"/>
                <wp:effectExtent l="0" t="0" r="0" b="0"/>
                <wp:docPr id="147080" name="Group 147080"/>
                <wp:cNvGraphicFramePr/>
                <a:graphic xmlns:a="http://schemas.openxmlformats.org/drawingml/2006/main">
                  <a:graphicData uri="http://schemas.microsoft.com/office/word/2010/wordprocessingGroup">
                    <wpg:wgp>
                      <wpg:cNvGrpSpPr/>
                      <wpg:grpSpPr>
                        <a:xfrm>
                          <a:off x="0" y="0"/>
                          <a:ext cx="6316110" cy="8662530"/>
                          <a:chOff x="0" y="0"/>
                          <a:chExt cx="6316110" cy="8662530"/>
                        </a:xfrm>
                      </wpg:grpSpPr>
                      <pic:pic xmlns:pic="http://schemas.openxmlformats.org/drawingml/2006/picture">
                        <pic:nvPicPr>
                          <pic:cNvPr id="11125" name="Picture 11125"/>
                          <pic:cNvPicPr/>
                        </pic:nvPicPr>
                        <pic:blipFill>
                          <a:blip r:embed="rId48"/>
                          <a:stretch>
                            <a:fillRect/>
                          </a:stretch>
                        </pic:blipFill>
                        <pic:spPr>
                          <a:xfrm>
                            <a:off x="0" y="0"/>
                            <a:ext cx="6189345" cy="5853430"/>
                          </a:xfrm>
                          <a:prstGeom prst="rect">
                            <a:avLst/>
                          </a:prstGeom>
                        </pic:spPr>
                      </pic:pic>
                      <wps:wsp>
                        <wps:cNvPr id="11126" name="Rectangle 11126"/>
                        <wps:cNvSpPr/>
                        <wps:spPr>
                          <a:xfrm>
                            <a:off x="1270" y="6171463"/>
                            <a:ext cx="8071010" cy="207575"/>
                          </a:xfrm>
                          <a:prstGeom prst="rect">
                            <a:avLst/>
                          </a:prstGeom>
                          <a:ln>
                            <a:noFill/>
                          </a:ln>
                        </wps:spPr>
                        <wps:txbx>
                          <w:txbxContent>
                            <w:p w:rsidR="00085BB7" w:rsidRDefault="004441D3">
                              <w:pPr>
                                <w:spacing w:after="160" w:line="259" w:lineRule="auto"/>
                                <w:ind w:left="0" w:right="0" w:firstLine="0"/>
                                <w:jc w:val="left"/>
                              </w:pPr>
                              <w:r>
                                <w:t>SEGUNDO: Notificar la resolución que se adop</w:t>
                              </w:r>
                              <w:r>
                                <w:t>te a los Ayuntamientos de Arafo, Candelaria y</w:t>
                              </w:r>
                            </w:p>
                          </w:txbxContent>
                        </wps:txbx>
                        <wps:bodyPr horzOverflow="overflow" vert="horz" lIns="0" tIns="0" rIns="0" bIns="0" rtlCol="0">
                          <a:noAutofit/>
                        </wps:bodyPr>
                      </wps:wsp>
                      <wps:wsp>
                        <wps:cNvPr id="11127" name="Rectangle 11127"/>
                        <wps:cNvSpPr/>
                        <wps:spPr>
                          <a:xfrm>
                            <a:off x="6074410" y="617146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28" name="Rectangle 11128"/>
                        <wps:cNvSpPr/>
                        <wps:spPr>
                          <a:xfrm>
                            <a:off x="1270" y="6332753"/>
                            <a:ext cx="8072682" cy="207575"/>
                          </a:xfrm>
                          <a:prstGeom prst="rect">
                            <a:avLst/>
                          </a:prstGeom>
                          <a:ln>
                            <a:noFill/>
                          </a:ln>
                        </wps:spPr>
                        <wps:txbx>
                          <w:txbxContent>
                            <w:p w:rsidR="00085BB7" w:rsidRDefault="004441D3">
                              <w:pPr>
                                <w:spacing w:after="160" w:line="259" w:lineRule="auto"/>
                                <w:ind w:left="0" w:right="0" w:firstLine="0"/>
                                <w:jc w:val="left"/>
                              </w:pPr>
                              <w:r>
                                <w:t>Güímar, con objeto de que se proceda a la formalización de la Adenda que recoja la primera</w:t>
                              </w:r>
                            </w:p>
                          </w:txbxContent>
                        </wps:txbx>
                        <wps:bodyPr horzOverflow="overflow" vert="horz" lIns="0" tIns="0" rIns="0" bIns="0" rtlCol="0">
                          <a:noAutofit/>
                        </wps:bodyPr>
                      </wps:wsp>
                      <wps:wsp>
                        <wps:cNvPr id="11129" name="Rectangle 11129"/>
                        <wps:cNvSpPr/>
                        <wps:spPr>
                          <a:xfrm>
                            <a:off x="6075680" y="633275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30" name="Rectangle 11130"/>
                        <wps:cNvSpPr/>
                        <wps:spPr>
                          <a:xfrm>
                            <a:off x="1270" y="6492773"/>
                            <a:ext cx="8070639" cy="207575"/>
                          </a:xfrm>
                          <a:prstGeom prst="rect">
                            <a:avLst/>
                          </a:prstGeom>
                          <a:ln>
                            <a:noFill/>
                          </a:ln>
                        </wps:spPr>
                        <wps:txbx>
                          <w:txbxContent>
                            <w:p w:rsidR="00085BB7" w:rsidRDefault="004441D3">
                              <w:pPr>
                                <w:spacing w:after="160" w:line="259" w:lineRule="auto"/>
                                <w:ind w:left="0" w:right="0" w:firstLine="0"/>
                                <w:jc w:val="left"/>
                              </w:pPr>
                              <w:r>
                                <w:t>modificación al Convenio en los términos del Anexo que se adjunta, indicándose que, en su caso,</w:t>
                              </w:r>
                            </w:p>
                          </w:txbxContent>
                        </wps:txbx>
                        <wps:bodyPr horzOverflow="overflow" vert="horz" lIns="0" tIns="0" rIns="0" bIns="0" rtlCol="0">
                          <a:noAutofit/>
                        </wps:bodyPr>
                      </wps:wsp>
                      <wps:wsp>
                        <wps:cNvPr id="11131" name="Rectangle 11131"/>
                        <wps:cNvSpPr/>
                        <wps:spPr>
                          <a:xfrm>
                            <a:off x="6075680" y="649277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32" name="Rectangle 11132"/>
                        <wps:cNvSpPr/>
                        <wps:spPr>
                          <a:xfrm>
                            <a:off x="1270" y="6654064"/>
                            <a:ext cx="8067109" cy="207575"/>
                          </a:xfrm>
                          <a:prstGeom prst="rect">
                            <a:avLst/>
                          </a:prstGeom>
                          <a:ln>
                            <a:noFill/>
                          </a:ln>
                        </wps:spPr>
                        <wps:txbx>
                          <w:txbxContent>
                            <w:p w:rsidR="00085BB7" w:rsidRDefault="004441D3">
                              <w:pPr>
                                <w:spacing w:after="160" w:line="259" w:lineRule="auto"/>
                                <w:ind w:left="0" w:right="0" w:firstLine="0"/>
                                <w:jc w:val="left"/>
                              </w:pPr>
                              <w:r>
                                <w:t>procederá la interposición de RECURSO CONTENCIOSO-ADMINISTRATIVO ante los Juzgados</w:t>
                              </w:r>
                            </w:p>
                          </w:txbxContent>
                        </wps:txbx>
                        <wps:bodyPr horzOverflow="overflow" vert="horz" lIns="0" tIns="0" rIns="0" bIns="0" rtlCol="0">
                          <a:noAutofit/>
                        </wps:bodyPr>
                      </wps:wsp>
                      <wps:wsp>
                        <wps:cNvPr id="11133" name="Rectangle 11133"/>
                        <wps:cNvSpPr/>
                        <wps:spPr>
                          <a:xfrm>
                            <a:off x="6074410" y="6654064"/>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34" name="Rectangle 11134"/>
                        <wps:cNvSpPr/>
                        <wps:spPr>
                          <a:xfrm>
                            <a:off x="1270" y="6814084"/>
                            <a:ext cx="8063392" cy="207575"/>
                          </a:xfrm>
                          <a:prstGeom prst="rect">
                            <a:avLst/>
                          </a:prstGeom>
                          <a:ln>
                            <a:noFill/>
                          </a:ln>
                        </wps:spPr>
                        <wps:txbx>
                          <w:txbxContent>
                            <w:p w:rsidR="00085BB7" w:rsidRDefault="004441D3">
                              <w:pPr>
                                <w:spacing w:after="160" w:line="259" w:lineRule="auto"/>
                                <w:ind w:left="0" w:right="0" w:firstLine="0"/>
                                <w:jc w:val="left"/>
                              </w:pPr>
                              <w:r>
                                <w:t>de lo Contencioso-Administrativo de Santa Cruz de Tenerife, dentro del plazo de DOS MESES</w:t>
                              </w:r>
                            </w:p>
                          </w:txbxContent>
                        </wps:txbx>
                        <wps:bodyPr horzOverflow="overflow" vert="horz" lIns="0" tIns="0" rIns="0" bIns="0" rtlCol="0">
                          <a:noAutofit/>
                        </wps:bodyPr>
                      </wps:wsp>
                      <wps:wsp>
                        <wps:cNvPr id="11135" name="Rectangle 11135"/>
                        <wps:cNvSpPr/>
                        <wps:spPr>
                          <a:xfrm>
                            <a:off x="6074410" y="6814084"/>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36" name="Rectangle 11136"/>
                        <wps:cNvSpPr/>
                        <wps:spPr>
                          <a:xfrm>
                            <a:off x="1270" y="6975373"/>
                            <a:ext cx="8061535" cy="207575"/>
                          </a:xfrm>
                          <a:prstGeom prst="rect">
                            <a:avLst/>
                          </a:prstGeom>
                          <a:ln>
                            <a:noFill/>
                          </a:ln>
                        </wps:spPr>
                        <wps:txbx>
                          <w:txbxContent>
                            <w:p w:rsidR="00085BB7" w:rsidRDefault="004441D3">
                              <w:pPr>
                                <w:spacing w:after="160" w:line="259" w:lineRule="auto"/>
                                <w:ind w:left="0" w:right="0" w:firstLine="0"/>
                                <w:jc w:val="left"/>
                              </w:pPr>
                              <w:r>
                                <w:t>contados a partir del día siguiente al de la recepción de la presente notificación sin perjuicio de</w:t>
                              </w:r>
                            </w:p>
                          </w:txbxContent>
                        </wps:txbx>
                        <wps:bodyPr horzOverflow="overflow" vert="horz" lIns="0" tIns="0" rIns="0" bIns="0" rtlCol="0">
                          <a:noAutofit/>
                        </wps:bodyPr>
                      </wps:wsp>
                      <wps:wsp>
                        <wps:cNvPr id="11137" name="Rectangle 11137"/>
                        <wps:cNvSpPr/>
                        <wps:spPr>
                          <a:xfrm>
                            <a:off x="6075680" y="697537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38" name="Rectangle 11138"/>
                        <wps:cNvSpPr/>
                        <wps:spPr>
                          <a:xfrm>
                            <a:off x="1270" y="7135393"/>
                            <a:ext cx="8065808" cy="207575"/>
                          </a:xfrm>
                          <a:prstGeom prst="rect">
                            <a:avLst/>
                          </a:prstGeom>
                          <a:ln>
                            <a:noFill/>
                          </a:ln>
                        </wps:spPr>
                        <wps:txbx>
                          <w:txbxContent>
                            <w:p w:rsidR="00085BB7" w:rsidRDefault="004441D3">
                              <w:pPr>
                                <w:spacing w:after="160" w:line="259" w:lineRule="auto"/>
                                <w:ind w:left="0" w:right="0" w:firstLine="0"/>
                                <w:jc w:val="left"/>
                              </w:pPr>
                              <w:r>
                                <w:t>dirigir a esta Corporación el REQUERIMIENTO PREVIO establecido en el artículo 44 de la Ley</w:t>
                              </w:r>
                            </w:p>
                          </w:txbxContent>
                        </wps:txbx>
                        <wps:bodyPr horzOverflow="overflow" vert="horz" lIns="0" tIns="0" rIns="0" bIns="0" rtlCol="0">
                          <a:noAutofit/>
                        </wps:bodyPr>
                      </wps:wsp>
                      <wps:wsp>
                        <wps:cNvPr id="11139" name="Rectangle 11139"/>
                        <wps:cNvSpPr/>
                        <wps:spPr>
                          <a:xfrm>
                            <a:off x="6074410" y="713539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46967" name="Rectangle 146967"/>
                        <wps:cNvSpPr/>
                        <wps:spPr>
                          <a:xfrm>
                            <a:off x="1270" y="7296684"/>
                            <a:ext cx="206425" cy="207575"/>
                          </a:xfrm>
                          <a:prstGeom prst="rect">
                            <a:avLst/>
                          </a:prstGeom>
                          <a:ln>
                            <a:noFill/>
                          </a:ln>
                        </wps:spPr>
                        <wps:txbx>
                          <w:txbxContent>
                            <w:p w:rsidR="00085BB7" w:rsidRDefault="004441D3">
                              <w:pPr>
                                <w:spacing w:after="160" w:line="259" w:lineRule="auto"/>
                                <w:ind w:left="0" w:right="0" w:firstLine="0"/>
                                <w:jc w:val="left"/>
                              </w:pPr>
                              <w:r>
                                <w:t>29</w:t>
                              </w:r>
                            </w:p>
                          </w:txbxContent>
                        </wps:txbx>
                        <wps:bodyPr horzOverflow="overflow" vert="horz" lIns="0" tIns="0" rIns="0" bIns="0" rtlCol="0">
                          <a:noAutofit/>
                        </wps:bodyPr>
                      </wps:wsp>
                      <wps:wsp>
                        <wps:cNvPr id="146968" name="Rectangle 146968"/>
                        <wps:cNvSpPr/>
                        <wps:spPr>
                          <a:xfrm>
                            <a:off x="156337" y="7296684"/>
                            <a:ext cx="7861799" cy="207575"/>
                          </a:xfrm>
                          <a:prstGeom prst="rect">
                            <a:avLst/>
                          </a:prstGeom>
                          <a:ln>
                            <a:noFill/>
                          </a:ln>
                        </wps:spPr>
                        <wps:txbx>
                          <w:txbxContent>
                            <w:p w:rsidR="00085BB7" w:rsidRDefault="004441D3">
                              <w:pPr>
                                <w:spacing w:after="160" w:line="259" w:lineRule="auto"/>
                                <w:ind w:left="0" w:right="0" w:firstLine="0"/>
                                <w:jc w:val="left"/>
                              </w:pPr>
                              <w:r>
                                <w:t>/1998, de 13 de julio, Reguladora de la Jurisdic</w:t>
                              </w:r>
                              <w:r>
                                <w:t>ción Contencioso Administrativa, así como de la</w:t>
                              </w:r>
                            </w:p>
                          </w:txbxContent>
                        </wps:txbx>
                        <wps:bodyPr horzOverflow="overflow" vert="horz" lIns="0" tIns="0" rIns="0" bIns="0" rtlCol="0">
                          <a:noAutofit/>
                        </wps:bodyPr>
                      </wps:wsp>
                      <wps:wsp>
                        <wps:cNvPr id="11141" name="Rectangle 11141"/>
                        <wps:cNvSpPr/>
                        <wps:spPr>
                          <a:xfrm>
                            <a:off x="6075680" y="7296684"/>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42" name="Rectangle 11142"/>
                        <wps:cNvSpPr/>
                        <wps:spPr>
                          <a:xfrm>
                            <a:off x="1270" y="7456703"/>
                            <a:ext cx="5193324" cy="207575"/>
                          </a:xfrm>
                          <a:prstGeom prst="rect">
                            <a:avLst/>
                          </a:prstGeom>
                          <a:ln>
                            <a:noFill/>
                          </a:ln>
                        </wps:spPr>
                        <wps:txbx>
                          <w:txbxContent>
                            <w:p w:rsidR="00085BB7" w:rsidRDefault="004441D3">
                              <w:pPr>
                                <w:spacing w:after="160" w:line="259" w:lineRule="auto"/>
                                <w:ind w:left="0" w:right="0" w:firstLine="0"/>
                                <w:jc w:val="left"/>
                              </w:pPr>
                              <w:r>
                                <w:t xml:space="preserve">interposición de cualquier otro recurso que estime procedente. </w:t>
                              </w:r>
                            </w:p>
                          </w:txbxContent>
                        </wps:txbx>
                        <wps:bodyPr horzOverflow="overflow" vert="horz" lIns="0" tIns="0" rIns="0" bIns="0" rtlCol="0">
                          <a:noAutofit/>
                        </wps:bodyPr>
                      </wps:wsp>
                      <wps:wsp>
                        <wps:cNvPr id="11143" name="Rectangle 11143"/>
                        <wps:cNvSpPr/>
                        <wps:spPr>
                          <a:xfrm>
                            <a:off x="1270" y="7694193"/>
                            <a:ext cx="8065622" cy="207575"/>
                          </a:xfrm>
                          <a:prstGeom prst="rect">
                            <a:avLst/>
                          </a:prstGeom>
                          <a:ln>
                            <a:noFill/>
                          </a:ln>
                        </wps:spPr>
                        <wps:txbx>
                          <w:txbxContent>
                            <w:p w:rsidR="00085BB7" w:rsidRDefault="004441D3">
                              <w:pPr>
                                <w:spacing w:after="160" w:line="259" w:lineRule="auto"/>
                                <w:ind w:left="0" w:right="0" w:firstLine="0"/>
                                <w:jc w:val="left"/>
                              </w:pPr>
                              <w:r>
                                <w:t>TERCERO: Dar cuenta de la presente Resolución a la Comisión de Seguimiento del Convenio</w:t>
                              </w:r>
                            </w:p>
                          </w:txbxContent>
                        </wps:txbx>
                        <wps:bodyPr horzOverflow="overflow" vert="horz" lIns="0" tIns="0" rIns="0" bIns="0" rtlCol="0">
                          <a:noAutofit/>
                        </wps:bodyPr>
                      </wps:wsp>
                      <wps:wsp>
                        <wps:cNvPr id="11144" name="Rectangle 11144"/>
                        <wps:cNvSpPr/>
                        <wps:spPr>
                          <a:xfrm>
                            <a:off x="6074410" y="7694193"/>
                            <a:ext cx="51467" cy="207575"/>
                          </a:xfrm>
                          <a:prstGeom prst="rect">
                            <a:avLst/>
                          </a:prstGeom>
                          <a:ln>
                            <a:noFill/>
                          </a:ln>
                        </wps:spPr>
                        <wps:txbx>
                          <w:txbxContent>
                            <w:p w:rsidR="00085BB7" w:rsidRDefault="004441D3">
                              <w:pPr>
                                <w:spacing w:after="160" w:line="259" w:lineRule="auto"/>
                                <w:ind w:left="0" w:right="0" w:firstLine="0"/>
                                <w:jc w:val="left"/>
                              </w:pPr>
                              <w:r>
                                <w:t xml:space="preserve"> </w:t>
                              </w:r>
                            </w:p>
                          </w:txbxContent>
                        </wps:txbx>
                        <wps:bodyPr horzOverflow="overflow" vert="horz" lIns="0" tIns="0" rIns="0" bIns="0" rtlCol="0">
                          <a:noAutofit/>
                        </wps:bodyPr>
                      </wps:wsp>
                      <wps:wsp>
                        <wps:cNvPr id="11145" name="Rectangle 11145"/>
                        <wps:cNvSpPr/>
                        <wps:spPr>
                          <a:xfrm>
                            <a:off x="1270" y="7854214"/>
                            <a:ext cx="5824305" cy="207574"/>
                          </a:xfrm>
                          <a:prstGeom prst="rect">
                            <a:avLst/>
                          </a:prstGeom>
                          <a:ln>
                            <a:noFill/>
                          </a:ln>
                        </wps:spPr>
                        <wps:txbx>
                          <w:txbxContent>
                            <w:p w:rsidR="00085BB7" w:rsidRDefault="004441D3">
                              <w:pPr>
                                <w:spacing w:after="160" w:line="259" w:lineRule="auto"/>
                                <w:ind w:left="0" w:right="0" w:firstLine="0"/>
                                <w:jc w:val="left"/>
                              </w:pPr>
                              <w:r>
                                <w:t>para que proceda a su ratificación en la próxima sesión que se celebre</w:t>
                              </w:r>
                            </w:p>
                          </w:txbxContent>
                        </wps:txbx>
                        <wps:bodyPr horzOverflow="overflow" vert="horz" lIns="0" tIns="0" rIns="0" bIns="0" rtlCol="0">
                          <a:noAutofit/>
                        </wps:bodyPr>
                      </wps:wsp>
                      <wps:wsp>
                        <wps:cNvPr id="11152" name="Rectangle 11152"/>
                        <wps:cNvSpPr/>
                        <wps:spPr>
                          <a:xfrm rot="-5399999">
                            <a:off x="4889447" y="736017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153" name="Rectangle 11153"/>
                        <wps:cNvSpPr/>
                        <wps:spPr>
                          <a:xfrm rot="-5399999">
                            <a:off x="5102414" y="749694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154" name="Rectangle 11154"/>
                        <wps:cNvSpPr/>
                        <wps:spPr>
                          <a:xfrm rot="-5399999">
                            <a:off x="4084381" y="6402706"/>
                            <a:ext cx="4406424"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 Gestiona | Página</w:t>
                              </w:r>
                              <w:r>
                                <w:rPr>
                                  <w:sz w:val="12"/>
                                </w:rPr>
                                <w:t xml:space="preserve"> 93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7080" style="width:497.332pt;height:682.089pt;mso-position-horizontal-relative:char;mso-position-vertical-relative:line" coordsize="63161,86625">
                <v:shape id="Picture 11125" style="position:absolute;width:61893;height:58534;left:0;top:0;" filled="f">
                  <v:imagedata r:id="rId49"/>
                </v:shape>
                <v:rect id="Rectangle 11126" style="position:absolute;width:80710;height:2075;left:12;top:61714;" filled="f" stroked="f">
                  <v:textbox inset="0,0,0,0">
                    <w:txbxContent>
                      <w:p>
                        <w:pPr>
                          <w:spacing w:before="0" w:after="160" w:line="259" w:lineRule="auto"/>
                          <w:ind w:left="0" w:right="0" w:firstLine="0"/>
                          <w:jc w:val="left"/>
                        </w:pPr>
                        <w:r>
                          <w:rPr/>
                          <w:t xml:space="preserve">SEGUNDO: Notificar la resolución que se adopte a los Ayuntamientos de Arafo, Candelaria y</w:t>
                        </w:r>
                      </w:p>
                    </w:txbxContent>
                  </v:textbox>
                </v:rect>
                <v:rect id="Rectangle 11127" style="position:absolute;width:514;height:2075;left:60744;top:61714;" filled="f" stroked="f">
                  <v:textbox inset="0,0,0,0">
                    <w:txbxContent>
                      <w:p>
                        <w:pPr>
                          <w:spacing w:before="0" w:after="160" w:line="259" w:lineRule="auto"/>
                          <w:ind w:left="0" w:right="0" w:firstLine="0"/>
                          <w:jc w:val="left"/>
                        </w:pPr>
                        <w:r>
                          <w:rPr/>
                          <w:t xml:space="preserve"> </w:t>
                        </w:r>
                      </w:p>
                    </w:txbxContent>
                  </v:textbox>
                </v:rect>
                <v:rect id="Rectangle 11128" style="position:absolute;width:80726;height:2075;left:12;top:63327;" filled="f" stroked="f">
                  <v:textbox inset="0,0,0,0">
                    <w:txbxContent>
                      <w:p>
                        <w:pPr>
                          <w:spacing w:before="0" w:after="160" w:line="259" w:lineRule="auto"/>
                          <w:ind w:left="0" w:right="0" w:firstLine="0"/>
                          <w:jc w:val="left"/>
                        </w:pPr>
                        <w:r>
                          <w:rPr/>
                          <w:t xml:space="preserve">Güímar, con objeto de que se proceda a la formalización de la Adenda que recoja la primera</w:t>
                        </w:r>
                      </w:p>
                    </w:txbxContent>
                  </v:textbox>
                </v:rect>
                <v:rect id="Rectangle 11129" style="position:absolute;width:514;height:2075;left:60756;top:63327;" filled="f" stroked="f">
                  <v:textbox inset="0,0,0,0">
                    <w:txbxContent>
                      <w:p>
                        <w:pPr>
                          <w:spacing w:before="0" w:after="160" w:line="259" w:lineRule="auto"/>
                          <w:ind w:left="0" w:right="0" w:firstLine="0"/>
                          <w:jc w:val="left"/>
                        </w:pPr>
                        <w:r>
                          <w:rPr/>
                          <w:t xml:space="preserve"> </w:t>
                        </w:r>
                      </w:p>
                    </w:txbxContent>
                  </v:textbox>
                </v:rect>
                <v:rect id="Rectangle 11130" style="position:absolute;width:80706;height:2075;left:12;top:64927;" filled="f" stroked="f">
                  <v:textbox inset="0,0,0,0">
                    <w:txbxContent>
                      <w:p>
                        <w:pPr>
                          <w:spacing w:before="0" w:after="160" w:line="259" w:lineRule="auto"/>
                          <w:ind w:left="0" w:right="0" w:firstLine="0"/>
                          <w:jc w:val="left"/>
                        </w:pPr>
                        <w:r>
                          <w:rPr/>
                          <w:t xml:space="preserve">modificación al Convenio en los términos del Anexo que se adjunta, indicándose que, en su caso,</w:t>
                        </w:r>
                      </w:p>
                    </w:txbxContent>
                  </v:textbox>
                </v:rect>
                <v:rect id="Rectangle 11131" style="position:absolute;width:514;height:2075;left:60756;top:64927;" filled="f" stroked="f">
                  <v:textbox inset="0,0,0,0">
                    <w:txbxContent>
                      <w:p>
                        <w:pPr>
                          <w:spacing w:before="0" w:after="160" w:line="259" w:lineRule="auto"/>
                          <w:ind w:left="0" w:right="0" w:firstLine="0"/>
                          <w:jc w:val="left"/>
                        </w:pPr>
                        <w:r>
                          <w:rPr/>
                          <w:t xml:space="preserve"> </w:t>
                        </w:r>
                      </w:p>
                    </w:txbxContent>
                  </v:textbox>
                </v:rect>
                <v:rect id="Rectangle 11132" style="position:absolute;width:80671;height:2075;left:12;top:66540;" filled="f" stroked="f">
                  <v:textbox inset="0,0,0,0">
                    <w:txbxContent>
                      <w:p>
                        <w:pPr>
                          <w:spacing w:before="0" w:after="160" w:line="259" w:lineRule="auto"/>
                          <w:ind w:left="0" w:right="0" w:firstLine="0"/>
                          <w:jc w:val="left"/>
                        </w:pPr>
                        <w:r>
                          <w:rPr/>
                          <w:t xml:space="preserve">procederá la interposición de RECURSO CONTENCIOSO-ADMINISTRATIVO ante los Juzgados</w:t>
                        </w:r>
                      </w:p>
                    </w:txbxContent>
                  </v:textbox>
                </v:rect>
                <v:rect id="Rectangle 11133" style="position:absolute;width:514;height:2075;left:60744;top:66540;" filled="f" stroked="f">
                  <v:textbox inset="0,0,0,0">
                    <w:txbxContent>
                      <w:p>
                        <w:pPr>
                          <w:spacing w:before="0" w:after="160" w:line="259" w:lineRule="auto"/>
                          <w:ind w:left="0" w:right="0" w:firstLine="0"/>
                          <w:jc w:val="left"/>
                        </w:pPr>
                        <w:r>
                          <w:rPr/>
                          <w:t xml:space="preserve"> </w:t>
                        </w:r>
                      </w:p>
                    </w:txbxContent>
                  </v:textbox>
                </v:rect>
                <v:rect id="Rectangle 11134" style="position:absolute;width:80633;height:2075;left:12;top:68140;" filled="f" stroked="f">
                  <v:textbox inset="0,0,0,0">
                    <w:txbxContent>
                      <w:p>
                        <w:pPr>
                          <w:spacing w:before="0" w:after="160" w:line="259" w:lineRule="auto"/>
                          <w:ind w:left="0" w:right="0" w:firstLine="0"/>
                          <w:jc w:val="left"/>
                        </w:pPr>
                        <w:r>
                          <w:rPr/>
                          <w:t xml:space="preserve">de lo Contencioso-Administrativo de Santa Cruz de Tenerife, dentro del plazo de DOS MESES</w:t>
                        </w:r>
                      </w:p>
                    </w:txbxContent>
                  </v:textbox>
                </v:rect>
                <v:rect id="Rectangle 11135" style="position:absolute;width:514;height:2075;left:60744;top:68140;" filled="f" stroked="f">
                  <v:textbox inset="0,0,0,0">
                    <w:txbxContent>
                      <w:p>
                        <w:pPr>
                          <w:spacing w:before="0" w:after="160" w:line="259" w:lineRule="auto"/>
                          <w:ind w:left="0" w:right="0" w:firstLine="0"/>
                          <w:jc w:val="left"/>
                        </w:pPr>
                        <w:r>
                          <w:rPr/>
                          <w:t xml:space="preserve"> </w:t>
                        </w:r>
                      </w:p>
                    </w:txbxContent>
                  </v:textbox>
                </v:rect>
                <v:rect id="Rectangle 11136" style="position:absolute;width:80615;height:2075;left:12;top:69753;" filled="f" stroked="f">
                  <v:textbox inset="0,0,0,0">
                    <w:txbxContent>
                      <w:p>
                        <w:pPr>
                          <w:spacing w:before="0" w:after="160" w:line="259" w:lineRule="auto"/>
                          <w:ind w:left="0" w:right="0" w:firstLine="0"/>
                          <w:jc w:val="left"/>
                        </w:pPr>
                        <w:r>
                          <w:rPr/>
                          <w:t xml:space="preserve">contados a partir del día siguiente al de la recepción de la presente notificación sin perjuicio de</w:t>
                        </w:r>
                      </w:p>
                    </w:txbxContent>
                  </v:textbox>
                </v:rect>
                <v:rect id="Rectangle 11137" style="position:absolute;width:514;height:2075;left:60756;top:69753;" filled="f" stroked="f">
                  <v:textbox inset="0,0,0,0">
                    <w:txbxContent>
                      <w:p>
                        <w:pPr>
                          <w:spacing w:before="0" w:after="160" w:line="259" w:lineRule="auto"/>
                          <w:ind w:left="0" w:right="0" w:firstLine="0"/>
                          <w:jc w:val="left"/>
                        </w:pPr>
                        <w:r>
                          <w:rPr/>
                          <w:t xml:space="preserve"> </w:t>
                        </w:r>
                      </w:p>
                    </w:txbxContent>
                  </v:textbox>
                </v:rect>
                <v:rect id="Rectangle 11138" style="position:absolute;width:80658;height:2075;left:12;top:71353;" filled="f" stroked="f">
                  <v:textbox inset="0,0,0,0">
                    <w:txbxContent>
                      <w:p>
                        <w:pPr>
                          <w:spacing w:before="0" w:after="160" w:line="259" w:lineRule="auto"/>
                          <w:ind w:left="0" w:right="0" w:firstLine="0"/>
                          <w:jc w:val="left"/>
                        </w:pPr>
                        <w:r>
                          <w:rPr/>
                          <w:t xml:space="preserve">dirigir a esta Corporación el REQUERIMIENTO PREVIO establecido en el artículo 44 de la Ley</w:t>
                        </w:r>
                      </w:p>
                    </w:txbxContent>
                  </v:textbox>
                </v:rect>
                <v:rect id="Rectangle 11139" style="position:absolute;width:514;height:2075;left:60744;top:71353;" filled="f" stroked="f">
                  <v:textbox inset="0,0,0,0">
                    <w:txbxContent>
                      <w:p>
                        <w:pPr>
                          <w:spacing w:before="0" w:after="160" w:line="259" w:lineRule="auto"/>
                          <w:ind w:left="0" w:right="0" w:firstLine="0"/>
                          <w:jc w:val="left"/>
                        </w:pPr>
                        <w:r>
                          <w:rPr/>
                          <w:t xml:space="preserve"> </w:t>
                        </w:r>
                      </w:p>
                    </w:txbxContent>
                  </v:textbox>
                </v:rect>
                <v:rect id="Rectangle 146967" style="position:absolute;width:2064;height:2075;left:12;top:72966;" filled="f" stroked="f">
                  <v:textbox inset="0,0,0,0">
                    <w:txbxContent>
                      <w:p>
                        <w:pPr>
                          <w:spacing w:before="0" w:after="160" w:line="259" w:lineRule="auto"/>
                          <w:ind w:left="0" w:right="0" w:firstLine="0"/>
                          <w:jc w:val="left"/>
                        </w:pPr>
                        <w:r>
                          <w:rPr/>
                          <w:t xml:space="preserve">29</w:t>
                        </w:r>
                      </w:p>
                    </w:txbxContent>
                  </v:textbox>
                </v:rect>
                <v:rect id="Rectangle 146968" style="position:absolute;width:78617;height:2075;left:1563;top:72966;" filled="f" stroked="f">
                  <v:textbox inset="0,0,0,0">
                    <w:txbxContent>
                      <w:p>
                        <w:pPr>
                          <w:spacing w:before="0" w:after="160" w:line="259" w:lineRule="auto"/>
                          <w:ind w:left="0" w:right="0" w:firstLine="0"/>
                          <w:jc w:val="left"/>
                        </w:pPr>
                        <w:r>
                          <w:rPr/>
                          <w:t xml:space="preserve">/1998, de 13 de julio, Reguladora de la Jurisdicción Contencioso Administrativa, así como de la</w:t>
                        </w:r>
                      </w:p>
                    </w:txbxContent>
                  </v:textbox>
                </v:rect>
                <v:rect id="Rectangle 11141" style="position:absolute;width:514;height:2075;left:60756;top:72966;" filled="f" stroked="f">
                  <v:textbox inset="0,0,0,0">
                    <w:txbxContent>
                      <w:p>
                        <w:pPr>
                          <w:spacing w:before="0" w:after="160" w:line="259" w:lineRule="auto"/>
                          <w:ind w:left="0" w:right="0" w:firstLine="0"/>
                          <w:jc w:val="left"/>
                        </w:pPr>
                        <w:r>
                          <w:rPr/>
                          <w:t xml:space="preserve"> </w:t>
                        </w:r>
                      </w:p>
                    </w:txbxContent>
                  </v:textbox>
                </v:rect>
                <v:rect id="Rectangle 11142" style="position:absolute;width:51933;height:2075;left:12;top:74567;" filled="f" stroked="f">
                  <v:textbox inset="0,0,0,0">
                    <w:txbxContent>
                      <w:p>
                        <w:pPr>
                          <w:spacing w:before="0" w:after="160" w:line="259" w:lineRule="auto"/>
                          <w:ind w:left="0" w:right="0" w:firstLine="0"/>
                          <w:jc w:val="left"/>
                        </w:pPr>
                        <w:r>
                          <w:rPr/>
                          <w:t xml:space="preserve">interposición de cualquier otro recurso que estime procedente. </w:t>
                        </w:r>
                      </w:p>
                    </w:txbxContent>
                  </v:textbox>
                </v:rect>
                <v:rect id="Rectangle 11143" style="position:absolute;width:80656;height:2075;left:12;top:76941;" filled="f" stroked="f">
                  <v:textbox inset="0,0,0,0">
                    <w:txbxContent>
                      <w:p>
                        <w:pPr>
                          <w:spacing w:before="0" w:after="160" w:line="259" w:lineRule="auto"/>
                          <w:ind w:left="0" w:right="0" w:firstLine="0"/>
                          <w:jc w:val="left"/>
                        </w:pPr>
                        <w:r>
                          <w:rPr/>
                          <w:t xml:space="preserve">TERCERO: Dar cuenta de la presente Resolución a la Comisión de Seguimiento del Convenio</w:t>
                        </w:r>
                      </w:p>
                    </w:txbxContent>
                  </v:textbox>
                </v:rect>
                <v:rect id="Rectangle 11144" style="position:absolute;width:514;height:2075;left:60744;top:76941;" filled="f" stroked="f">
                  <v:textbox inset="0,0,0,0">
                    <w:txbxContent>
                      <w:p>
                        <w:pPr>
                          <w:spacing w:before="0" w:after="160" w:line="259" w:lineRule="auto"/>
                          <w:ind w:left="0" w:right="0" w:firstLine="0"/>
                          <w:jc w:val="left"/>
                        </w:pPr>
                        <w:r>
                          <w:rPr/>
                          <w:t xml:space="preserve"> </w:t>
                        </w:r>
                      </w:p>
                    </w:txbxContent>
                  </v:textbox>
                </v:rect>
                <v:rect id="Rectangle 11145" style="position:absolute;width:58243;height:2075;left:12;top:78542;" filled="f" stroked="f">
                  <v:textbox inset="0,0,0,0">
                    <w:txbxContent>
                      <w:p>
                        <w:pPr>
                          <w:spacing w:before="0" w:after="160" w:line="259" w:lineRule="auto"/>
                          <w:ind w:left="0" w:right="0" w:firstLine="0"/>
                          <w:jc w:val="left"/>
                        </w:pPr>
                        <w:r>
                          <w:rPr/>
                          <w:t xml:space="preserve">para que proceda a su ratificación en la próxima sesión que se celebre</w:t>
                        </w:r>
                      </w:p>
                    </w:txbxContent>
                  </v:textbox>
                </v:rect>
                <v:rect id="Rectangle 11152" style="position:absolute;width:24914;height:1132;left:48894;top:7360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153" style="position:absolute;width:22179;height:1132;left:51024;top:7496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154" style="position:absolute;width:44064;height:1132;left:40843;top:6402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133 </w:t>
                        </w:r>
                      </w:p>
                    </w:txbxContent>
                  </v:textbox>
                </v:rect>
              </v:group>
            </w:pict>
          </mc:Fallback>
        </mc:AlternateContent>
      </w:r>
    </w:p>
    <w:p w:rsidR="00085BB7" w:rsidRDefault="004441D3">
      <w:pPr>
        <w:spacing w:after="0" w:line="265" w:lineRule="auto"/>
        <w:ind w:left="548" w:right="709" w:hanging="10"/>
        <w:jc w:val="center"/>
      </w:pPr>
      <w:r>
        <w:t>ANEXO</w:t>
      </w:r>
    </w:p>
    <w:p w:rsidR="00085BB7" w:rsidRDefault="004441D3">
      <w:pPr>
        <w:spacing w:after="501" w:line="259" w:lineRule="auto"/>
        <w:ind w:left="977" w:right="0" w:firstLine="0"/>
        <w:jc w:val="left"/>
      </w:pPr>
      <w:r>
        <w:rPr>
          <w:noProof/>
        </w:rPr>
        <w:drawing>
          <wp:inline distT="0" distB="0" distL="0" distR="0">
            <wp:extent cx="5760720" cy="1325880"/>
            <wp:effectExtent l="0" t="0" r="0" b="0"/>
            <wp:docPr id="11161" name="Picture 11161"/>
            <wp:cNvGraphicFramePr/>
            <a:graphic xmlns:a="http://schemas.openxmlformats.org/drawingml/2006/main">
              <a:graphicData uri="http://schemas.openxmlformats.org/drawingml/2006/picture">
                <pic:pic xmlns:pic="http://schemas.openxmlformats.org/drawingml/2006/picture">
                  <pic:nvPicPr>
                    <pic:cNvPr id="11161" name="Picture 11161"/>
                    <pic:cNvPicPr/>
                  </pic:nvPicPr>
                  <pic:blipFill>
                    <a:blip r:embed="rId50"/>
                    <a:stretch>
                      <a:fillRect/>
                    </a:stretch>
                  </pic:blipFill>
                  <pic:spPr>
                    <a:xfrm>
                      <a:off x="0" y="0"/>
                      <a:ext cx="5760720" cy="1325880"/>
                    </a:xfrm>
                    <a:prstGeom prst="rect">
                      <a:avLst/>
                    </a:prstGeom>
                  </pic:spPr>
                </pic:pic>
              </a:graphicData>
            </a:graphic>
          </wp:inline>
        </w:drawing>
      </w:r>
    </w:p>
    <w:p w:rsidR="00085BB7" w:rsidRDefault="004441D3">
      <w:pPr>
        <w:spacing w:after="111" w:line="250" w:lineRule="auto"/>
        <w:ind w:left="728" w:right="908" w:hanging="10"/>
      </w:pPr>
      <w:r>
        <w:rPr>
          <w:sz w:val="20"/>
        </w:rPr>
        <w:t>ADENDA PRIMERA MODIFICACIÓN DEL CONVENIO DE COOPERACIÓN INTERADMINISTRATIVA ENTRE EL CONSEJO INSULAR DE AGUAS DE TENERIFE Y LOS AYUNTAMIENTOS DE CANDELARIA, ARAFO Y GÜÍMAR PARA LA GESTIÓN DE LAS INFRAESTRUCTURAS DE DEPURACIÓN Y VERTIDO</w:t>
      </w:r>
      <w:r>
        <w:rPr>
          <w:sz w:val="20"/>
        </w:rPr>
        <w:t xml:space="preserve"> DE AGUAS RESIDUALES, URBANAS E INDUSTRIALES, DE LOS SISTEMAS TERRITORIALES DEL VALLE DE GÜIMAR Y POLÍGONO INDUSTRIAL DEL VALLE DE GÜÍMAR. </w:t>
      </w:r>
    </w:p>
    <w:p w:rsidR="00085BB7" w:rsidRDefault="004441D3">
      <w:pPr>
        <w:spacing w:after="111" w:line="250" w:lineRule="auto"/>
        <w:ind w:left="2159" w:right="908" w:hanging="10"/>
      </w:pPr>
      <w:r>
        <w:rPr>
          <w:sz w:val="20"/>
        </w:rPr>
        <w:t xml:space="preserve">En Santa Cruz de Tenerife, a fecha de la última firma electrónica </w:t>
      </w:r>
    </w:p>
    <w:p w:rsidR="00085BB7" w:rsidRDefault="004441D3">
      <w:pPr>
        <w:spacing w:after="111" w:line="250" w:lineRule="auto"/>
        <w:ind w:left="4283" w:right="908" w:hanging="10"/>
      </w:pPr>
      <w:r>
        <w:rPr>
          <w:sz w:val="20"/>
        </w:rPr>
        <w:t xml:space="preserve">SE REÚNEN </w:t>
      </w:r>
    </w:p>
    <w:p w:rsidR="00085BB7" w:rsidRDefault="004441D3">
      <w:pPr>
        <w:spacing w:after="111" w:line="250" w:lineRule="auto"/>
        <w:ind w:left="728" w:right="908" w:hanging="10"/>
      </w:pPr>
      <w:r>
        <w:rPr>
          <w:sz w:val="20"/>
        </w:rPr>
        <w:t>De una parte, la Excma. Sra. Doña Rosa Dávila Mamely, Presidenta del Consejo Insular de Aguas de Tenerife (en lo sucesivo CIATF), en nombre y representación del mismo, facultada para este acto mediante acuerdo de la Junta de Gobierno del Consejo Insular de</w:t>
      </w:r>
      <w:r>
        <w:rPr>
          <w:sz w:val="20"/>
        </w:rPr>
        <w:t xml:space="preserve"> Aguas celebrada en sesión de 3 de marzo de 2021, en virtud de lo dispuesto en el artículo 21.2 del Estatuto del Consejo Insular de Aguas de Tenerife, aprobado por Decreto 115/1992, de 9 de junio. </w:t>
      </w:r>
    </w:p>
    <w:p w:rsidR="00085BB7" w:rsidRDefault="004441D3">
      <w:pPr>
        <w:spacing w:after="111" w:line="250" w:lineRule="auto"/>
        <w:ind w:left="728" w:right="908" w:hanging="10"/>
      </w:pPr>
      <w:r>
        <w:rPr>
          <w:sz w:val="20"/>
        </w:rPr>
        <w:t>De otra parte, la Sra. Dª María Concepción Brito Núñez, Al</w:t>
      </w:r>
      <w:r>
        <w:rPr>
          <w:sz w:val="20"/>
        </w:rPr>
        <w:t>caldesa-Presidenta del Ayuntamiento de Candelaria, en su nombre y representación, y en uso de las facultades que le confiere el artículo 21.1.b) de la Ley 7/1985, de 2 de abril, reguladora de las bases del Régimen Local, estando facultado para este acto en</w:t>
      </w:r>
      <w:r>
        <w:rPr>
          <w:sz w:val="20"/>
        </w:rPr>
        <w:t xml:space="preserve"> virtud del acuerdo plenario de dicha Corporación adoptado en sesión celebrada 30 de junio de 2022. </w:t>
      </w:r>
    </w:p>
    <w:p w:rsidR="00085BB7" w:rsidRDefault="004441D3">
      <w:pPr>
        <w:spacing w:after="111" w:line="250" w:lineRule="auto"/>
        <w:ind w:left="728" w:right="908" w:hanging="10"/>
      </w:pPr>
      <w:r>
        <w:rPr>
          <w:sz w:val="20"/>
        </w:rPr>
        <w:t>De otra parte, el Sr. D. Juan Ramón Martín Pérez, Alcalde-Presidente del Ayuntamiento de Arafo en su nombre y representación, y en uso de las facultades qu</w:t>
      </w:r>
      <w:r>
        <w:rPr>
          <w:sz w:val="20"/>
        </w:rPr>
        <w:t>e le confiere el artículo 21.1.b) de la Ley 7/1985, de 2 de abril, reguladora de las bases del Régimen Local, estando facultado para este acto en virtud del acuerdo plenario de dicha Corporación adoptado en sesión celebrada el 30 de septiembre de 2022.</w:t>
      </w:r>
    </w:p>
    <w:p w:rsidR="00085BB7" w:rsidRDefault="004441D3">
      <w:pPr>
        <w:spacing w:after="486" w:line="250" w:lineRule="auto"/>
        <w:ind w:left="728" w:right="908" w:hanging="1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column">
                  <wp:posOffset>6542599</wp:posOffset>
                </wp:positionH>
                <wp:positionV relativeFrom="paragraph">
                  <wp:posOffset>-146459</wp:posOffset>
                </wp:positionV>
                <wp:extent cx="237530" cy="3313100"/>
                <wp:effectExtent l="0" t="0" r="0" b="0"/>
                <wp:wrapSquare wrapText="bothSides"/>
                <wp:docPr id="147467" name="Group 14746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228" name="Rectangle 11228"/>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229" name="Rectangle 11229"/>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230" name="Rectangle 11230"/>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7467" style="width:18.7031pt;height:260.874pt;position:absolute;mso-position-horizontal-relative:text;mso-position-horizontal:absolute;margin-left:515.165pt;mso-position-vertical-relative:text;margin-top:-11.5323pt;" coordsize="2375,33131">
                <v:rect id="Rectangle 11228"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22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23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133 </w:t>
                        </w:r>
                      </w:p>
                    </w:txbxContent>
                  </v:textbox>
                </v:rect>
                <w10:wrap type="square"/>
              </v:group>
            </w:pict>
          </mc:Fallback>
        </mc:AlternateContent>
      </w:r>
      <w:r>
        <w:rPr>
          <w:sz w:val="20"/>
        </w:rPr>
        <w:t>Y de otra parte, el Sr. D. Gustavo Pérez Martín, Alcalde-Pres</w:t>
      </w:r>
      <w:r>
        <w:rPr>
          <w:sz w:val="20"/>
        </w:rPr>
        <w:t>idente del Ayuntamiento de Güímar, en su nombre y representación, y en uso de las facultades que le confiere el artículo 21.1.b) de la Ley 7/1985, de 2 de abril, reguladora de las bases del Régimen Local, estando facultado para este acto en virtud del acue</w:t>
      </w:r>
      <w:r>
        <w:rPr>
          <w:sz w:val="20"/>
        </w:rPr>
        <w:t>rdo plenario de dicha Corporación adoptado en sesión celebrada 26 de mayo de 2023.</w:t>
      </w:r>
    </w:p>
    <w:p w:rsidR="00085BB7" w:rsidRDefault="004441D3">
      <w:pPr>
        <w:spacing w:after="111" w:line="250" w:lineRule="auto"/>
        <w:ind w:left="4145" w:right="908" w:hanging="10"/>
      </w:pPr>
      <w:r>
        <w:rPr>
          <w:sz w:val="20"/>
        </w:rPr>
        <w:t xml:space="preserve"> INTERVIENEN </w:t>
      </w:r>
    </w:p>
    <w:p w:rsidR="00085BB7" w:rsidRDefault="004441D3">
      <w:pPr>
        <w:spacing w:after="830" w:line="250" w:lineRule="auto"/>
        <w:ind w:left="728" w:right="908" w:hanging="10"/>
      </w:pPr>
      <w:r>
        <w:rPr>
          <w:sz w:val="20"/>
        </w:rPr>
        <w:t xml:space="preserve">Las partes citadas, en la condición con que comparecen, se reconocen mutua y recíprocamente, con </w:t>
      </w:r>
      <w:r>
        <w:rPr>
          <w:sz w:val="20"/>
        </w:rPr>
        <w:t xml:space="preserve">competencia y capacidad legal suficiente para suscribir la presente Adenda para la formalización de la primera modificación del Convenio de Colaboración y a tal efecto </w:t>
      </w:r>
    </w:p>
    <w:p w:rsidR="00085BB7" w:rsidRDefault="004441D3">
      <w:pPr>
        <w:spacing w:after="109"/>
        <w:ind w:left="4141" w:right="903"/>
      </w:pPr>
      <w:r>
        <w:t xml:space="preserve">    EXPONEN </w:t>
      </w:r>
    </w:p>
    <w:p w:rsidR="00085BB7" w:rsidRDefault="004441D3">
      <w:pPr>
        <w:numPr>
          <w:ilvl w:val="0"/>
          <w:numId w:val="37"/>
        </w:numPr>
        <w:spacing w:after="0"/>
        <w:ind w:right="903" w:firstLine="1134"/>
      </w:pPr>
      <w:r>
        <w:t>El día 18 de septiembre de 2023 tuvo lugar la firma del CONVENIO DE COOPER</w:t>
      </w:r>
      <w:r>
        <w:t xml:space="preserve">ACIÓN INTERADMINISTRATIVA ENTRE EL CONSEJO INSULAR DE AGUAS DE </w:t>
      </w:r>
    </w:p>
    <w:p w:rsidR="00085BB7" w:rsidRDefault="004441D3">
      <w:pPr>
        <w:spacing w:after="10"/>
        <w:ind w:left="736" w:right="903"/>
      </w:pPr>
      <w:r>
        <w:t xml:space="preserve">TENERIFE Y LOS AYUNTAMIENTOS DE CANDELARIA, ARAFO Y GÜÍMAR PARA LA GESTIÓN </w:t>
      </w:r>
    </w:p>
    <w:p w:rsidR="00085BB7" w:rsidRDefault="004441D3">
      <w:pPr>
        <w:spacing w:after="10"/>
        <w:ind w:left="736" w:right="903"/>
      </w:pPr>
      <w:r>
        <w:t xml:space="preserve">DE LAS INFRAESTRUCTURAS DE DEPURACIÓN Y VERTIDO DE AGUAS RESIDUALES, </w:t>
      </w:r>
    </w:p>
    <w:p w:rsidR="00085BB7" w:rsidRDefault="004441D3">
      <w:pPr>
        <w:spacing w:after="10"/>
        <w:ind w:left="736" w:right="903"/>
      </w:pPr>
      <w:r>
        <w:t>URBANAS E INDUSTRIALES, DE LOS SISTEMAS TERRIT</w:t>
      </w:r>
      <w:r>
        <w:t xml:space="preserve">ORIALES DEL VALLE DE GÜÍMAR Y </w:t>
      </w:r>
    </w:p>
    <w:p w:rsidR="00085BB7" w:rsidRDefault="004441D3">
      <w:pPr>
        <w:spacing w:after="109"/>
        <w:ind w:left="736" w:right="903"/>
      </w:pPr>
      <w:r>
        <w:t xml:space="preserve">POLÍGONO INDUSTRIAL DEL VALLE DE GÜÍMAR entrando en vigor en esa misma fecha , de conformidad con lo establecido en la cláusula séptima del convenio. </w:t>
      </w:r>
    </w:p>
    <w:p w:rsidR="00085BB7" w:rsidRDefault="004441D3">
      <w:pPr>
        <w:numPr>
          <w:ilvl w:val="0"/>
          <w:numId w:val="37"/>
        </w:numPr>
        <w:spacing w:after="112"/>
        <w:ind w:right="903" w:firstLine="1134"/>
      </w:pPr>
      <w:r>
        <w:t xml:space="preserve">La “REHABILITACIÓN DE LA ESTACIÓN DE BOMBEO DE AGUAS RESIDUALES EN GÜÍMAR </w:t>
      </w:r>
      <w:r>
        <w:t xml:space="preserve">CASCO” se adjudicó el 11 de noviembre de 2022 a la empresa HIDROTEC AGUAS, S.L. por el importe de 230.787,27 €. En la actualidad la obra ha sido recibida favorablemente con fecha de 29 de abril de 2024. </w:t>
      </w:r>
    </w:p>
    <w:p w:rsidR="00085BB7" w:rsidRDefault="004441D3">
      <w:pPr>
        <w:numPr>
          <w:ilvl w:val="0"/>
          <w:numId w:val="37"/>
        </w:numPr>
        <w:spacing w:after="112"/>
        <w:ind w:right="903" w:firstLine="1134"/>
      </w:pPr>
      <w:r>
        <w:t>Una vez finalizadas las actuaciones para la REHABILI</w:t>
      </w:r>
      <w:r>
        <w:t>TACIÓN DE LA ESTACIÓN DE BOMBEO DE AGUAS RESIDUALES EN GÜÍMAR CASCO, y realizadas las verificaciones de colectores y trámites administrativos, la EBAR está disposición de prestar el servicio de bombeo hacia la EDARu Comarcal del Valle de Güímar, siendo inc</w:t>
      </w:r>
      <w:r>
        <w:t>orporada al SISTEMA COMARCAL DE DEPURACION Y REGENERACION DE AGUA RESIDUAL DEL VALLE DE GÜIMAR. (SCIH_RAR_VG).</w:t>
      </w:r>
    </w:p>
    <w:p w:rsidR="00085BB7" w:rsidRDefault="004441D3">
      <w:pPr>
        <w:numPr>
          <w:ilvl w:val="0"/>
          <w:numId w:val="37"/>
        </w:numPr>
        <w:spacing w:after="10"/>
        <w:ind w:right="903" w:firstLine="1134"/>
      </w:pPr>
      <w:r>
        <w:t xml:space="preserve">Con la puesta en marcha de la EBAR GÜÍMAR CASCO se incorpora a la gestión </w:t>
      </w:r>
    </w:p>
    <w:p w:rsidR="00085BB7" w:rsidRDefault="004441D3">
      <w:pPr>
        <w:spacing w:after="484" w:line="249" w:lineRule="auto"/>
        <w:ind w:left="730" w:right="673" w:hanging="10"/>
        <w:jc w:val="left"/>
      </w:pPr>
      <w:r>
        <w:t>del sistema comarcal dicha Estación de Bombeo, así como los colectores</w:t>
      </w:r>
      <w:r>
        <w:t xml:space="preserve"> que transportan el agua hasta la EDARu comarcal del Valle de Güímar y las estaciones para el control de caudal y calidad intermunicipales. </w:t>
      </w:r>
    </w:p>
    <w:p w:rsidR="00085BB7" w:rsidRDefault="004441D3">
      <w:pPr>
        <w:spacing w:after="109"/>
        <w:ind w:left="4141" w:right="903"/>
      </w:pPr>
      <w:r>
        <w:t xml:space="preserve">      ACUERDAN </w:t>
      </w:r>
    </w:p>
    <w:p w:rsidR="00085BB7" w:rsidRDefault="004441D3">
      <w:pPr>
        <w:spacing w:after="10"/>
        <w:ind w:left="1873" w:right="903"/>
      </w:pPr>
      <w:r>
        <w:t xml:space="preserve">A la vista de la cláusula primera del Convenio, las partes acuerdan incluir en el objeto </w:t>
      </w:r>
    </w:p>
    <w:p w:rsidR="00085BB7" w:rsidRDefault="004441D3">
      <w:pPr>
        <w:spacing w:after="114"/>
        <w:ind w:left="736" w:right="903"/>
      </w:pPr>
      <w:r>
        <w:t xml:space="preserve">del mismo las siguientes instalaciones siéndoles por tanto de aplicación la totalidad de las estipulaciones del mismo: </w:t>
      </w:r>
    </w:p>
    <w:p w:rsidR="00085BB7" w:rsidRDefault="004441D3">
      <w:pPr>
        <w:spacing w:after="109"/>
        <w:ind w:left="1873" w:right="903"/>
      </w:pPr>
      <w:r>
        <w:t xml:space="preserve">EBAR GÜIMAR CASCO. </w:t>
      </w:r>
    </w:p>
    <w:p w:rsidR="00085BB7" w:rsidRDefault="004441D3">
      <w:pPr>
        <w:spacing w:after="112"/>
        <w:ind w:left="730" w:right="903" w:firstLine="1134"/>
      </w:pPr>
      <w:r>
        <w:t>La EBAR Güímar Casco, emplazada en el T.M de Güímar, el las coordenadas UTM X: 362440.57; Y: 31325596.50,consta de u</w:t>
      </w:r>
      <w:r>
        <w:t>na edificación, en la se alojan una sala de desbaste previo con reja autolimpiante, una sala de bombeo con 1+1 bombas, sistema de desodorización por carbón activo y sala de cuadros eléctricos. A la instalación llegan el colector municipal de PVC 315 existe</w:t>
      </w:r>
      <w:r>
        <w:t>nte que discurre por la parte frontal de la instalación en las que incorporan aguas provenientes del Casco de Güímar y de Guaza. Previa a la entrada se ha habilitado una arqueta aliviadero para casos de lluvia o paradas de la estación de bombeo, que alivia</w:t>
      </w:r>
      <w:r>
        <w:t xml:space="preserve"> con la red existente. </w:t>
      </w:r>
    </w:p>
    <w:p w:rsidR="00085BB7" w:rsidRDefault="004441D3">
      <w:pPr>
        <w:spacing w:after="111"/>
        <w:ind w:left="1873" w:right="903"/>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column">
                  <wp:posOffset>6542599</wp:posOffset>
                </wp:positionH>
                <wp:positionV relativeFrom="paragraph">
                  <wp:posOffset>-342</wp:posOffset>
                </wp:positionV>
                <wp:extent cx="237530" cy="3313100"/>
                <wp:effectExtent l="0" t="0" r="0" b="0"/>
                <wp:wrapSquare wrapText="bothSides"/>
                <wp:docPr id="147666" name="Group 1476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330" name="Rectangle 1133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331" name="Rectangle 1133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332" name="Rectangle 1133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7666" style="width:18.7031pt;height:260.874pt;position:absolute;mso-position-horizontal-relative:text;mso-position-horizontal:absolute;margin-left:515.165pt;mso-position-vertical-relative:text;margin-top:-0.0269775pt;" coordsize="2375,33131">
                <v:rect id="Rectangle 1133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3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3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133 </w:t>
                        </w:r>
                      </w:p>
                    </w:txbxContent>
                  </v:textbox>
                </v:rect>
                <w10:wrap type="square"/>
              </v:group>
            </w:pict>
          </mc:Fallback>
        </mc:AlternateContent>
      </w:r>
      <w:r>
        <w:t xml:space="preserve">COLECTORES DE AGUAS RESIDUALES A EDARu </w:t>
      </w:r>
    </w:p>
    <w:p w:rsidR="00085BB7" w:rsidRDefault="004441D3">
      <w:pPr>
        <w:spacing w:after="10"/>
        <w:ind w:left="1873" w:right="903"/>
      </w:pPr>
      <w:r>
        <w:t xml:space="preserve">Además de la EBAR, se incorporan al sistema los colectores de impulsión y gravedad </w:t>
      </w:r>
    </w:p>
    <w:p w:rsidR="00085BB7" w:rsidRDefault="004441D3">
      <w:pPr>
        <w:spacing w:after="0"/>
        <w:ind w:left="736" w:right="903"/>
      </w:pPr>
      <w:r>
        <w:t xml:space="preserve">por los que se transporta el agua residual hasta la Estación de Depuración de Aguas Residuales Urbanas del Valle de Güímar (EDARu). </w:t>
      </w:r>
      <w:r>
        <w:t>Estos colectores están compuestos por un primer tramo en impulsión, mediante tubería de FDC DN-250, con origen en la EBAR Güímar Casco, que discurre por el Camino Lomo Molino hasta el pozo situado en el Camino del Tonazo. Posteriormente el colector comarca</w:t>
      </w:r>
      <w:r>
        <w:t xml:space="preserve">l, prosigue su traza por gravedad mediante una conducción de </w:t>
      </w:r>
    </w:p>
    <w:p w:rsidR="00085BB7" w:rsidRDefault="004441D3">
      <w:pPr>
        <w:spacing w:after="484" w:line="249" w:lineRule="auto"/>
        <w:ind w:left="730" w:right="673" w:hanging="10"/>
        <w:jc w:val="left"/>
      </w:pPr>
      <w:r>
        <w:t xml:space="preserve">PVC 315, atravesando el Camino el Tonazo, Camino Taro, Camino el Carretón (TM. Arafo), Camino la Molineta, Camino del Medio Camino y Fincas particulares hasta su llegada a la EDARu. </w:t>
      </w:r>
    </w:p>
    <w:p w:rsidR="00085BB7" w:rsidRDefault="004441D3">
      <w:pPr>
        <w:spacing w:after="10"/>
        <w:ind w:left="1873" w:right="903"/>
      </w:pPr>
      <w:r>
        <w:t xml:space="preserve">En este tramo por gravedad se incorporan las aguas de los colectores siguientes: - </w:t>
      </w:r>
    </w:p>
    <w:p w:rsidR="00085BB7" w:rsidRDefault="004441D3">
      <w:pPr>
        <w:spacing w:after="10"/>
        <w:ind w:left="736" w:right="903"/>
      </w:pPr>
      <w:r>
        <w:t xml:space="preserve">Colector de la Calle Poeta Arístides Hernandez Mora que transportan aguas del casco Güímar. - </w:t>
      </w:r>
    </w:p>
    <w:p w:rsidR="00085BB7" w:rsidRDefault="004441D3">
      <w:pPr>
        <w:spacing w:after="112"/>
        <w:ind w:left="736" w:right="903"/>
      </w:pPr>
      <w:r>
        <w:t>Colector del tramo superior del Camino Taro, que incorpora las aguas del ento</w:t>
      </w:r>
      <w:r>
        <w:t xml:space="preserve">rno del Barrio de Fatima y del Barrio del Carmen en Arafo. - Colector del tramo superior del Camino de la Molineta que incorpora las aguas del Casco de Arafo. </w:t>
      </w:r>
    </w:p>
    <w:p w:rsidR="00085BB7" w:rsidRDefault="004441D3">
      <w:pPr>
        <w:spacing w:after="111"/>
        <w:ind w:left="736" w:right="903"/>
      </w:pPr>
      <w:r>
        <w:t xml:space="preserve">ESTACIÓN DE CONTROL DE CAUDAL Y CALIDAD (ECCC) </w:t>
      </w:r>
    </w:p>
    <w:p w:rsidR="00085BB7" w:rsidRDefault="004441D3">
      <w:pPr>
        <w:spacing w:after="10"/>
        <w:ind w:left="1873" w:right="903"/>
      </w:pPr>
      <w:r>
        <w:t>En el tramo de colectores que se incorpora al SI</w:t>
      </w:r>
      <w:r>
        <w:t xml:space="preserve">STEMA COMARCAL DE </w:t>
      </w:r>
    </w:p>
    <w:p w:rsidR="00085BB7" w:rsidRDefault="004441D3">
      <w:pPr>
        <w:spacing w:after="10"/>
        <w:ind w:left="736" w:right="903"/>
      </w:pPr>
      <w:r>
        <w:t xml:space="preserve">DEPURACION Y REGENERACION DE AGUA RESIDUAL DEL VALLE DE GÜÍMAR, dispone de </w:t>
      </w:r>
    </w:p>
    <w:p w:rsidR="00085BB7" w:rsidRDefault="004441D3">
      <w:pPr>
        <w:spacing w:after="3" w:line="265" w:lineRule="auto"/>
        <w:ind w:left="10" w:right="1620" w:hanging="10"/>
        <w:jc w:val="right"/>
      </w:pPr>
      <w:r>
        <w:t xml:space="preserve">dos </w:t>
      </w:r>
    </w:p>
    <w:p w:rsidR="00085BB7" w:rsidRDefault="004441D3">
      <w:pPr>
        <w:spacing w:after="112"/>
        <w:ind w:left="736" w:right="903"/>
      </w:pPr>
      <w:r>
        <w:t>ESTACIONES DE CONTROL DE CAUDAL Y CALIDAD, emplazadas en los cruces de colectores de los límites municipales entre Arafo y Güímar. La posición de estas esta</w:t>
      </w:r>
      <w:r>
        <w:t xml:space="preserve">ciones de control son las siguientes: - ECCC Arafo, situado en el Limite municipal Arafo-Güímar de la Carretera TF-525. - ECCC camino El Taro, Situado la intersección entre el Camino El Taro y la carretera TF-281, en el Limite municipal Arafo-Güímar. </w:t>
      </w:r>
    </w:p>
    <w:p w:rsidR="00085BB7" w:rsidRDefault="004441D3">
      <w:pPr>
        <w:spacing w:after="231" w:line="249" w:lineRule="auto"/>
        <w:ind w:left="720" w:right="673" w:firstLine="1134"/>
        <w:jc w:val="left"/>
      </w:pPr>
      <w:r>
        <w:t>De e</w:t>
      </w:r>
      <w:r>
        <w:t>sta manera, la representación gráfica del SISTEMA COMARCAL DE DEPURACION Y REGENERACION DEL AGUAS RESIDUAL DEL VALLE DE GÜIMAR, queda de la siguiente manera y tal como se adjunta en el ANEXO I actualizado:</w:t>
      </w:r>
    </w:p>
    <w:p w:rsidR="00085BB7" w:rsidRDefault="004441D3">
      <w:pPr>
        <w:spacing w:after="0" w:line="259" w:lineRule="auto"/>
        <w:ind w:left="2627" w:right="0" w:firstLine="0"/>
        <w:jc w:val="left"/>
      </w:pPr>
      <w:r>
        <w:rPr>
          <w:rFonts w:ascii="Calibri" w:eastAsia="Calibri" w:hAnsi="Calibri" w:cs="Calibri"/>
          <w:noProof/>
        </w:rPr>
        <mc:AlternateContent>
          <mc:Choice Requires="wpg">
            <w:drawing>
              <wp:inline distT="0" distB="0" distL="0" distR="0">
                <wp:extent cx="5112150" cy="6988035"/>
                <wp:effectExtent l="0" t="0" r="0" b="0"/>
                <wp:docPr id="152827" name="Group 152827"/>
                <wp:cNvGraphicFramePr/>
                <a:graphic xmlns:a="http://schemas.openxmlformats.org/drawingml/2006/main">
                  <a:graphicData uri="http://schemas.microsoft.com/office/word/2010/wordprocessingGroup">
                    <wpg:wgp>
                      <wpg:cNvGrpSpPr/>
                      <wpg:grpSpPr>
                        <a:xfrm>
                          <a:off x="0" y="0"/>
                          <a:ext cx="5112150" cy="6988035"/>
                          <a:chOff x="0" y="0"/>
                          <a:chExt cx="5112150" cy="6988035"/>
                        </a:xfrm>
                      </wpg:grpSpPr>
                      <pic:pic xmlns:pic="http://schemas.openxmlformats.org/drawingml/2006/picture">
                        <pic:nvPicPr>
                          <pic:cNvPr id="11357" name="Picture 11357"/>
                          <pic:cNvPicPr/>
                        </pic:nvPicPr>
                        <pic:blipFill>
                          <a:blip r:embed="rId51"/>
                          <a:stretch>
                            <a:fillRect/>
                          </a:stretch>
                        </pic:blipFill>
                        <pic:spPr>
                          <a:xfrm>
                            <a:off x="0" y="0"/>
                            <a:ext cx="3665220" cy="4671060"/>
                          </a:xfrm>
                          <a:prstGeom prst="rect">
                            <a:avLst/>
                          </a:prstGeom>
                        </pic:spPr>
                      </pic:pic>
                      <wps:wsp>
                        <wps:cNvPr id="11364" name="Rectangle 11364"/>
                        <wps:cNvSpPr/>
                        <wps:spPr>
                          <a:xfrm rot="-5399999">
                            <a:off x="3685487" y="5685678"/>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365" name="Rectangle 11365"/>
                        <wps:cNvSpPr/>
                        <wps:spPr>
                          <a:xfrm rot="-5399999">
                            <a:off x="3898454" y="5822445"/>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366" name="Rectangle 11366"/>
                        <wps:cNvSpPr/>
                        <wps:spPr>
                          <a:xfrm rot="-5399999">
                            <a:off x="2880421" y="4728211"/>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96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2827" style="width:402.531pt;height:550.239pt;mso-position-horizontal-relative:char;mso-position-vertical-relative:line" coordsize="51121,69880">
                <v:shape id="Picture 11357" style="position:absolute;width:36652;height:46710;left:0;top:0;" filled="f">
                  <v:imagedata r:id="rId52"/>
                </v:shape>
                <v:rect id="Rectangle 11364" style="position:absolute;width:24914;height:1132;left:36854;top:5685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365" style="position:absolute;width:22179;height:1132;left:38984;top:5822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366" style="position:absolute;width:44064;height:1132;left:28804;top:472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133 </w:t>
                        </w:r>
                      </w:p>
                    </w:txbxContent>
                  </v:textbox>
                </v:rect>
              </v:group>
            </w:pict>
          </mc:Fallback>
        </mc:AlternateContent>
      </w:r>
    </w:p>
    <w:p w:rsidR="00085BB7" w:rsidRDefault="004441D3">
      <w:pPr>
        <w:spacing w:after="129" w:line="259" w:lineRule="auto"/>
        <w:ind w:left="2783" w:right="0" w:firstLine="0"/>
        <w:jc w:val="left"/>
      </w:pPr>
      <w:r>
        <w:rPr>
          <w:noProof/>
        </w:rPr>
        <w:drawing>
          <wp:inline distT="0" distB="0" distL="0" distR="0">
            <wp:extent cx="3467100" cy="2598420"/>
            <wp:effectExtent l="0" t="0" r="0" b="0"/>
            <wp:docPr id="11372" name="Picture 11372"/>
            <wp:cNvGraphicFramePr/>
            <a:graphic xmlns:a="http://schemas.openxmlformats.org/drawingml/2006/main">
              <a:graphicData uri="http://schemas.openxmlformats.org/drawingml/2006/picture">
                <pic:pic xmlns:pic="http://schemas.openxmlformats.org/drawingml/2006/picture">
                  <pic:nvPicPr>
                    <pic:cNvPr id="11372" name="Picture 11372"/>
                    <pic:cNvPicPr/>
                  </pic:nvPicPr>
                  <pic:blipFill>
                    <a:blip r:embed="rId53"/>
                    <a:stretch>
                      <a:fillRect/>
                    </a:stretch>
                  </pic:blipFill>
                  <pic:spPr>
                    <a:xfrm>
                      <a:off x="0" y="0"/>
                      <a:ext cx="3467100" cy="2598420"/>
                    </a:xfrm>
                    <a:prstGeom prst="rect">
                      <a:avLst/>
                    </a:prstGeom>
                  </pic:spPr>
                </pic:pic>
              </a:graphicData>
            </a:graphic>
          </wp:inline>
        </w:drawing>
      </w:r>
    </w:p>
    <w:p w:rsidR="00085BB7" w:rsidRDefault="004441D3">
      <w:pPr>
        <w:spacing w:after="741" w:line="359" w:lineRule="auto"/>
        <w:ind w:left="1453" w:right="1381" w:firstLine="556"/>
      </w:pPr>
      <w:r>
        <w:t>(1)</w:t>
      </w:r>
      <w:r>
        <w:tab/>
        <w:t>5% sobre gastos fijos y variables a excepción de las Inversiones (2) 10% sobre gastos fijos y variab</w:t>
      </w:r>
      <w:r>
        <w:t>les a excepción de los gastos de gestión y control</w:t>
      </w:r>
    </w:p>
    <w:p w:rsidR="00085BB7" w:rsidRDefault="004441D3">
      <w:pPr>
        <w:spacing w:after="10"/>
        <w:ind w:left="736" w:right="903"/>
      </w:pPr>
      <w:r>
        <w:t xml:space="preserve">Atendiendo a la estimación presupuestaria inicial incluida en el CONVENIO PARA LA GESTIÓN </w:t>
      </w:r>
    </w:p>
    <w:p w:rsidR="00085BB7" w:rsidRDefault="004441D3">
      <w:pPr>
        <w:spacing w:after="112"/>
        <w:ind w:left="736" w:right="903"/>
      </w:pPr>
      <w:r>
        <w:t>DE LAS INFRAESTRUCTURAS DE DEPURACIÓN Y VERTIDO DE AGUAS RESIDUALES, URBANAS E INDUSTRIALES, DE LOS SISTEMAS TERRI</w:t>
      </w:r>
      <w:r>
        <w:t>TORIALES DEL VALLE DE GÜIMAR, que asciende a la cantidad de 3.953.601,06 Euros; ha de ponerse de manifiesto que, el ritmo de ejecución presupuestario está muy por debajo del inicialmente previsto debido a la demora en la actuaciones necesarias para la pues</w:t>
      </w:r>
      <w:r>
        <w:t xml:space="preserve">ta en marcha completa de la EDARu comarcal del Valle de Güímar. </w:t>
      </w:r>
    </w:p>
    <w:p w:rsidR="00085BB7" w:rsidRDefault="004441D3">
      <w:pPr>
        <w:spacing w:after="111"/>
        <w:ind w:left="736" w:right="903"/>
      </w:pPr>
      <w:r>
        <w:t xml:space="preserve">Esto ha provocado que los caudales tratado y los gastos de explotación asociados sean inferiores inicialmente previstos. </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column">
                  <wp:posOffset>6542599</wp:posOffset>
                </wp:positionH>
                <wp:positionV relativeFrom="paragraph">
                  <wp:posOffset>124117</wp:posOffset>
                </wp:positionV>
                <wp:extent cx="237530" cy="3313100"/>
                <wp:effectExtent l="0" t="0" r="0" b="0"/>
                <wp:wrapSquare wrapText="bothSides"/>
                <wp:docPr id="147995" name="Group 14799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416" name="Rectangle 11416"/>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417" name="Rectangle 11417"/>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418" name="Rectangle 11418"/>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7995" style="width:18.7031pt;height:260.874pt;position:absolute;mso-position-horizontal-relative:text;mso-position-horizontal:absolute;margin-left:515.165pt;mso-position-vertical-relative:text;margin-top:9.77298pt;" coordsize="2375,33131">
                <v:rect id="Rectangle 11416"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4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4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133 </w:t>
                        </w:r>
                      </w:p>
                    </w:txbxContent>
                  </v:textbox>
                </v:rect>
                <w10:wrap type="square"/>
              </v:group>
            </w:pict>
          </mc:Fallback>
        </mc:AlternateContent>
      </w:r>
      <w:r>
        <w:t>Es por ello que la repercusión económica asociada a la incorporación de la ESTACION DE BOMBEO DE AGUAS RESI</w:t>
      </w:r>
      <w:r>
        <w:t xml:space="preserve">DUALES DE GÜIMAR CASCO Y COLECTORES COMARCALES AL </w:t>
      </w:r>
    </w:p>
    <w:p w:rsidR="00085BB7" w:rsidRDefault="004441D3">
      <w:pPr>
        <w:spacing w:after="10"/>
        <w:ind w:left="736" w:right="903"/>
      </w:pPr>
      <w:r>
        <w:t xml:space="preserve">SISTEMA COMARCAL DE DEPURACION Y REGENERACION DE AGUAS RESIDUALES DEL </w:t>
      </w:r>
    </w:p>
    <w:p w:rsidR="00085BB7" w:rsidRDefault="004441D3">
      <w:pPr>
        <w:spacing w:after="486"/>
        <w:ind w:left="736" w:right="903"/>
      </w:pPr>
      <w:r>
        <w:t>VALLE DE GÜIMAR, puede ser cubierta con la estimaciones presupuestarias aprobadas en el convenio en su límite temporal, NO REQUIRIENDO</w:t>
      </w:r>
      <w:r>
        <w:t xml:space="preserve"> UN INCREMENTO PRESUPUESTARIO del convenio asociado a la incorporación de las instalaciones descritas. </w:t>
      </w:r>
    </w:p>
    <w:p w:rsidR="00085BB7" w:rsidRDefault="004441D3">
      <w:pPr>
        <w:spacing w:after="486"/>
        <w:ind w:left="736" w:right="903"/>
      </w:pPr>
      <w:r>
        <w:t xml:space="preserve">Y para que así conste, en prueba de conformidad, las partes firman el presente documento, y a un solo efecto. </w:t>
      </w:r>
    </w:p>
    <w:p w:rsidR="00085BB7" w:rsidRDefault="004441D3">
      <w:pPr>
        <w:spacing w:after="483"/>
        <w:ind w:left="736" w:right="903"/>
      </w:pPr>
      <w:r>
        <w:t xml:space="preserve">Sra. Doña Rosa Dávila Mamely, Presidenta </w:t>
      </w:r>
      <w:r>
        <w:t xml:space="preserve">del Consejo Insular de Aguas de Tenerife </w:t>
      </w:r>
    </w:p>
    <w:p w:rsidR="00085BB7" w:rsidRDefault="004441D3">
      <w:pPr>
        <w:spacing w:after="483"/>
        <w:ind w:left="736" w:right="903"/>
      </w:pPr>
      <w:r>
        <w:t>Sra. Dª Maria Concepción Brito Núñez, Alcaldesa-Presidenta del Ayuntamiento de Candelaria</w:t>
      </w:r>
    </w:p>
    <w:p w:rsidR="00085BB7" w:rsidRDefault="004441D3">
      <w:pPr>
        <w:spacing w:after="483"/>
        <w:ind w:left="736" w:right="903"/>
      </w:pPr>
      <w:r>
        <w:t xml:space="preserve">Sr. D. Juan Ramón Martín Pérez, Alcalde-Presidente del Ayuntamiento de Arafo </w:t>
      </w:r>
    </w:p>
    <w:p w:rsidR="00085BB7" w:rsidRDefault="004441D3">
      <w:pPr>
        <w:ind w:left="736" w:right="903"/>
      </w:pPr>
      <w:r>
        <w:t>Sr. D. Gustavo Pérez Martín, Alcalde-President</w:t>
      </w:r>
      <w:r>
        <w:t>e del Ayuntamiento de Güímar […] “</w:t>
      </w:r>
    </w:p>
    <w:p w:rsidR="00085BB7" w:rsidRDefault="004441D3">
      <w:pPr>
        <w:spacing w:after="0" w:line="259" w:lineRule="auto"/>
        <w:ind w:left="733" w:right="0" w:firstLine="0"/>
        <w:jc w:val="left"/>
      </w:pPr>
      <w:r>
        <w:rPr>
          <w:rFonts w:ascii="Times New Roman" w:eastAsia="Times New Roman" w:hAnsi="Times New Roman" w:cs="Times New Roman"/>
          <w:b/>
          <w:sz w:val="24"/>
        </w:rPr>
        <w:t xml:space="preserve">     </w:t>
      </w:r>
    </w:p>
    <w:p w:rsidR="00085BB7" w:rsidRDefault="004441D3">
      <w:pPr>
        <w:spacing w:after="520"/>
        <w:ind w:left="736" w:right="903"/>
      </w:pPr>
      <w:r>
        <w:rPr>
          <w:rFonts w:ascii="Times New Roman" w:eastAsia="Times New Roman" w:hAnsi="Times New Roman" w:cs="Times New Roman"/>
          <w:b/>
          <w:sz w:val="24"/>
        </w:rPr>
        <w:t xml:space="preserve">   </w:t>
      </w:r>
      <w:r>
        <w:t>Consta en el expediente propuesta de la Alcaldesa-Presidenta, de fecha 19 de septiembre de 2024, cuyo tenor literal es el siguiente:</w:t>
      </w:r>
    </w:p>
    <w:p w:rsidR="00085BB7" w:rsidRDefault="004441D3">
      <w:pPr>
        <w:spacing w:after="467" w:line="265" w:lineRule="auto"/>
        <w:ind w:left="548" w:right="712" w:hanging="10"/>
        <w:jc w:val="center"/>
      </w:pPr>
      <w:r>
        <w:t>“PROPUESTA DE LA ALCALDESA-PRESIDENTA AL PLENO DE LA CORPORACIÓN</w:t>
      </w:r>
    </w:p>
    <w:p w:rsidR="00085BB7" w:rsidRDefault="004441D3">
      <w:pPr>
        <w:spacing w:after="485"/>
        <w:ind w:left="736" w:right="903"/>
      </w:pPr>
      <w:r>
        <w:t xml:space="preserve">Consta en el expediente informe jurídico de Secretaría General de fecha 19 de septiembre que transcrito literalmente dice: </w:t>
      </w:r>
    </w:p>
    <w:p w:rsidR="00085BB7" w:rsidRDefault="004441D3">
      <w:pPr>
        <w:spacing w:after="90" w:line="259" w:lineRule="auto"/>
        <w:ind w:left="10" w:right="153" w:hanging="10"/>
        <w:jc w:val="center"/>
      </w:pPr>
      <w:r>
        <w:rPr>
          <w:sz w:val="23"/>
        </w:rPr>
        <w:t>“INFORME JURÍDICO</w:t>
      </w:r>
    </w:p>
    <w:p w:rsidR="00085BB7" w:rsidRDefault="004441D3">
      <w:pPr>
        <w:spacing w:after="376" w:line="224" w:lineRule="auto"/>
        <w:ind w:left="715" w:right="874" w:hanging="8"/>
      </w:pPr>
      <w:r>
        <w:rPr>
          <w:sz w:val="23"/>
        </w:rPr>
        <w:t>Visto el expediente antedicho se emite el siguiente informe:</w:t>
      </w:r>
    </w:p>
    <w:p w:rsidR="00085BB7" w:rsidRDefault="004441D3">
      <w:pPr>
        <w:spacing w:after="90" w:line="259" w:lineRule="auto"/>
        <w:ind w:left="10" w:right="150" w:hanging="10"/>
        <w:jc w:val="center"/>
      </w:pPr>
      <w:r>
        <w:rPr>
          <w:sz w:val="23"/>
        </w:rPr>
        <w:t>Antecedentes de hecho</w:t>
      </w:r>
    </w:p>
    <w:p w:rsidR="00085BB7" w:rsidRDefault="004441D3">
      <w:pPr>
        <w:spacing w:after="7" w:line="224" w:lineRule="auto"/>
        <w:ind w:left="707" w:right="874" w:firstLine="1134"/>
      </w:pPr>
      <w:r>
        <w:rPr>
          <w:sz w:val="23"/>
        </w:rPr>
        <w:t>PRIMERO.- El día 18 de septiemb</w:t>
      </w:r>
      <w:r>
        <w:rPr>
          <w:sz w:val="23"/>
        </w:rPr>
        <w:t xml:space="preserve">re de 2023 tuvo lugar la firma del CONVENIO DE COOPERACIÓN INTERADMINISTRATIVA ENTRE EL CONSEJO INSULAR DE AGUAS DE TENERIFE Y LOS AYUNTAMIENTOS DE CANDELARIA, ARAFO Y GÜÍMAR PARA LA GESTIÓN </w:t>
      </w:r>
    </w:p>
    <w:p w:rsidR="00085BB7" w:rsidRDefault="004441D3">
      <w:pPr>
        <w:spacing w:after="500" w:line="224" w:lineRule="auto"/>
        <w:ind w:left="715" w:right="874" w:hanging="8"/>
      </w:pPr>
      <w:r>
        <w:rPr>
          <w:sz w:val="23"/>
        </w:rPr>
        <w:t>DE LAS INFRAESTRUCTURAS DE DEPURACIÓN Y VERTIDO DE AGUAS RESIDUA</w:t>
      </w:r>
      <w:r>
        <w:rPr>
          <w:sz w:val="23"/>
        </w:rPr>
        <w:t>LES, URBANAS E INDUSTRIALES, DE LOS SISTEMAS TERRITORIALES DEL VALLE DE GÜÍMAR Y POLÍGONO INDUSTRIAL DEL VALLE DE GÜÍMAR entrando en vigor en esa misma fecha , de conformidad con lo establecido en la cláusula séptima del citado convenio.</w:t>
      </w:r>
    </w:p>
    <w:p w:rsidR="00085BB7" w:rsidRDefault="004441D3">
      <w:pPr>
        <w:spacing w:after="0" w:line="259" w:lineRule="auto"/>
        <w:ind w:left="10" w:right="869" w:hanging="10"/>
        <w:jc w:val="right"/>
      </w:pPr>
      <w:r>
        <w:rPr>
          <w:sz w:val="23"/>
        </w:rPr>
        <w:t>SEGUNDO. - Con fec</w:t>
      </w:r>
      <w:r>
        <w:rPr>
          <w:sz w:val="23"/>
        </w:rPr>
        <w:t xml:space="preserve">ha 5 de agosto de 2024 se recibe en el Departamento de </w:t>
      </w:r>
    </w:p>
    <w:p w:rsidR="00085BB7" w:rsidRDefault="004441D3">
      <w:pPr>
        <w:spacing w:after="33" w:line="224" w:lineRule="auto"/>
        <w:ind w:left="715" w:right="874" w:hanging="8"/>
      </w:pPr>
      <w:r>
        <w:rPr>
          <w:sz w:val="23"/>
        </w:rPr>
        <w:t xml:space="preserve">Contratación y Convenios informe del Área de Infraestructura Hidráulica en el siguiente sentido: </w:t>
      </w:r>
    </w:p>
    <w:p w:rsidR="00085BB7" w:rsidRDefault="004441D3">
      <w:pPr>
        <w:spacing w:after="123" w:line="224" w:lineRule="auto"/>
        <w:ind w:left="715" w:right="874" w:hanging="8"/>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column">
                  <wp:posOffset>6542599</wp:posOffset>
                </wp:positionH>
                <wp:positionV relativeFrom="paragraph">
                  <wp:posOffset>521627</wp:posOffset>
                </wp:positionV>
                <wp:extent cx="237530" cy="3313100"/>
                <wp:effectExtent l="0" t="0" r="0" b="0"/>
                <wp:wrapSquare wrapText="bothSides"/>
                <wp:docPr id="148064" name="Group 14806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500" name="Rectangle 11500"/>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501" name="Rectangle 11501"/>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502" name="Rectangle 11502"/>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064" style="width:18.7031pt;height:260.874pt;position:absolute;mso-position-horizontal-relative:text;mso-position-horizontal:absolute;margin-left:515.165pt;mso-position-vertical-relative:text;margin-top:41.073pt;" coordsize="2375,33131">
                <v:rect id="Rectangle 11500"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5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5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133 </w:t>
                        </w:r>
                      </w:p>
                    </w:txbxContent>
                  </v:textbox>
                </v:rect>
                <w10:wrap type="square"/>
              </v:group>
            </w:pict>
          </mc:Fallback>
        </mc:AlternateContent>
      </w:r>
      <w:r>
        <w:rPr>
          <w:sz w:val="23"/>
        </w:rPr>
        <w:t xml:space="preserve">[…] La “REHABILITACIÓN DE LA ESTACIÓN DE BOMBEO DE AGUAS RESIDUALES EN GÜIMAR CASCO” se adjudicó el 11/11/2022 a la empresa HIDROTEC AGUAS, S.L. por el importe </w:t>
      </w:r>
      <w:r>
        <w:rPr>
          <w:sz w:val="23"/>
        </w:rPr>
        <w:t>de 230.787,27 €. En la actualidad la obra ha sido recibida favorablemente con fecha de 29 de abril de 2024.</w:t>
      </w:r>
    </w:p>
    <w:p w:rsidR="00085BB7" w:rsidRDefault="004441D3">
      <w:pPr>
        <w:spacing w:after="8" w:line="224" w:lineRule="auto"/>
        <w:ind w:left="707" w:right="874" w:firstLine="1134"/>
      </w:pPr>
      <w:r>
        <w:rPr>
          <w:sz w:val="23"/>
        </w:rPr>
        <w:t>Una vez finalizadas las actuaciones para la REHABILITACIÓN DE LA ESTACIÓN DE BOMBEO DE AGUAS RESIDUALES EN GÜIMAR CASCO, y realizadas las verificaci</w:t>
      </w:r>
      <w:r>
        <w:rPr>
          <w:sz w:val="23"/>
        </w:rPr>
        <w:t xml:space="preserve">ones de colectores y trámites administrativos, la EBAR está disposición de prestar el servicio de bombeo hacia la EDARu Comarcal del Valle de Güímar, siendo incorporada al SISTEMA COMARCAL DE </w:t>
      </w:r>
    </w:p>
    <w:p w:rsidR="00085BB7" w:rsidRDefault="004441D3">
      <w:pPr>
        <w:spacing w:after="33" w:line="224" w:lineRule="auto"/>
        <w:ind w:left="715" w:right="874" w:hanging="8"/>
      </w:pPr>
      <w:r>
        <w:rPr>
          <w:sz w:val="23"/>
        </w:rPr>
        <w:t>DEPURACION Y REGENERACION DE AGUA RESIDUAL DEL VALLE DE GÜIMAR.</w:t>
      </w:r>
      <w:r>
        <w:rPr>
          <w:sz w:val="23"/>
        </w:rPr>
        <w:t xml:space="preserve"> </w:t>
      </w:r>
    </w:p>
    <w:p w:rsidR="00085BB7" w:rsidRDefault="004441D3">
      <w:pPr>
        <w:spacing w:after="500" w:line="224" w:lineRule="auto"/>
        <w:ind w:left="715" w:right="874" w:hanging="8"/>
      </w:pPr>
      <w:r>
        <w:rPr>
          <w:sz w:val="23"/>
        </w:rPr>
        <w:t>(SCIH_RAR_VG). Con la puesta en marcha de la EBAR GÜIMAR CASCO se incorpora a la gestión del sistema comarcal dicha Estación de Bombeo, así como los colectores que transportan el agua hasta la EDARu comarcal del Valle de Güímar y las estaciones para el c</w:t>
      </w:r>
      <w:r>
        <w:rPr>
          <w:sz w:val="23"/>
        </w:rPr>
        <w:t>ontrol de caudal y calidad intermunicipales.</w:t>
      </w:r>
    </w:p>
    <w:p w:rsidR="00085BB7" w:rsidRDefault="004441D3">
      <w:pPr>
        <w:spacing w:after="500" w:line="224" w:lineRule="auto"/>
        <w:ind w:left="707" w:right="874" w:firstLine="708"/>
      </w:pPr>
      <w:r>
        <w:rPr>
          <w:sz w:val="23"/>
        </w:rPr>
        <w:t>TERCERO. - La Presidencia del Consejo Insular de Aguas de Tenerife, con fecha 19 de agosto de 2024, ha adoptado, entre otros, el siguiente Decreto:</w:t>
      </w:r>
    </w:p>
    <w:p w:rsidR="00085BB7" w:rsidRDefault="004441D3">
      <w:pPr>
        <w:spacing w:after="8" w:line="224" w:lineRule="auto"/>
        <w:ind w:left="707" w:right="874" w:firstLine="1134"/>
      </w:pPr>
      <w:r>
        <w:rPr>
          <w:sz w:val="23"/>
        </w:rPr>
        <w:t>PRIMERO: Aprobar la primera modificación del “CONVENIO DE COOPE</w:t>
      </w:r>
      <w:r>
        <w:rPr>
          <w:sz w:val="23"/>
        </w:rPr>
        <w:t xml:space="preserve">RACIÓN INTERADMINISTRATIVA ENTRE EL CONSEJO INSULAR DE AGUAS DE TENERIFE Y LOS </w:t>
      </w:r>
    </w:p>
    <w:p w:rsidR="00085BB7" w:rsidRDefault="004441D3">
      <w:pPr>
        <w:spacing w:after="33" w:line="224" w:lineRule="auto"/>
        <w:ind w:left="715" w:right="874" w:hanging="8"/>
      </w:pPr>
      <w:r>
        <w:rPr>
          <w:sz w:val="23"/>
        </w:rPr>
        <w:t xml:space="preserve">AYUNTAMIENTOS DE CANDELARIA, ARAFO Y GÜÍMAR PARA LA GESTIÓN DE LAS </w:t>
      </w:r>
    </w:p>
    <w:p w:rsidR="00085BB7" w:rsidRDefault="004441D3">
      <w:pPr>
        <w:spacing w:after="33" w:line="224" w:lineRule="auto"/>
        <w:ind w:left="715" w:right="874" w:hanging="8"/>
      </w:pPr>
      <w:r>
        <w:rPr>
          <w:sz w:val="23"/>
        </w:rPr>
        <w:t xml:space="preserve">INFRAESTRUCTURAS DE DEPURACIÓN Y VERTIDO DE AGUAS RESIDUALES, URBANAS E </w:t>
      </w:r>
    </w:p>
    <w:p w:rsidR="00085BB7" w:rsidRDefault="004441D3">
      <w:pPr>
        <w:spacing w:after="33" w:line="224" w:lineRule="auto"/>
        <w:ind w:left="715" w:right="874" w:hanging="8"/>
      </w:pPr>
      <w:r>
        <w:rPr>
          <w:sz w:val="23"/>
        </w:rPr>
        <w:t>INDUSTRIALES, DE LOS SISTEMAS TERRITORIALES DEL VALLE DE GÜÍMAR Y POLÍGONO</w:t>
      </w:r>
    </w:p>
    <w:p w:rsidR="00085BB7" w:rsidRDefault="004441D3">
      <w:pPr>
        <w:spacing w:after="123" w:line="224" w:lineRule="auto"/>
        <w:ind w:left="715" w:right="874" w:hanging="8"/>
      </w:pPr>
      <w:r>
        <w:rPr>
          <w:sz w:val="23"/>
        </w:rPr>
        <w:t>INDUSTRIAL DEL VALLE DE GÜÍMAR”, suscrito entre las partes con fecha 18 de septiembre de 2023 y que se encuentra en vigor desde dicha fecha en atención a la cláusula séptima del mis</w:t>
      </w:r>
      <w:r>
        <w:rPr>
          <w:sz w:val="23"/>
        </w:rPr>
        <w:t xml:space="preserve">mo. La modificación consiste, en aplicación de la cláusula primera del Convenio, en la inclusión en el objeto del mismo de las siguientes instalaciones: </w:t>
      </w:r>
    </w:p>
    <w:p w:rsidR="00085BB7" w:rsidRDefault="004441D3">
      <w:pPr>
        <w:spacing w:after="123" w:line="224" w:lineRule="auto"/>
        <w:ind w:left="1862" w:right="874" w:hanging="8"/>
      </w:pPr>
      <w:r>
        <w:rPr>
          <w:sz w:val="23"/>
        </w:rPr>
        <w:t xml:space="preserve">EBAR GÜIMAR CASCO. </w:t>
      </w:r>
    </w:p>
    <w:p w:rsidR="00085BB7" w:rsidRDefault="004441D3">
      <w:pPr>
        <w:spacing w:after="123" w:line="224" w:lineRule="auto"/>
        <w:ind w:left="707" w:right="874" w:firstLine="1134"/>
      </w:pPr>
      <w:r>
        <w:rPr>
          <w:sz w:val="23"/>
        </w:rPr>
        <w:t>La EBAR Güímar Casco, emplazada en el T.M de Güímar, el las coordenadas UTM X: 362</w:t>
      </w:r>
      <w:r>
        <w:rPr>
          <w:sz w:val="23"/>
        </w:rPr>
        <w:t>440.57; Y: 31325596.50, consta de una edificación, en la se alojan una sala de desbaste previo con reja autolimpiante, una sala de bombeo con 1+1 bombas, sistema de desodorización por carbón activo y sala de cuadros eléctricos. A la instalación llegan el c</w:t>
      </w:r>
      <w:r>
        <w:rPr>
          <w:sz w:val="23"/>
        </w:rPr>
        <w:t>olector municipal de PVC 315 existente que discurre por la parte frontal de la instalación en las que incorporan aguas provenientes del Casco de Güímar y de Guaza. Previa a la entrada se ha habilitado una arqueta aliviadero para casos de lluvia o paradas d</w:t>
      </w:r>
      <w:r>
        <w:rPr>
          <w:sz w:val="23"/>
        </w:rPr>
        <w:t xml:space="preserve">e la estación de bombeo, que alivia con la red existente. </w:t>
      </w:r>
    </w:p>
    <w:p w:rsidR="00085BB7" w:rsidRDefault="004441D3">
      <w:pPr>
        <w:spacing w:after="123" w:line="224" w:lineRule="auto"/>
        <w:ind w:left="1862" w:right="874" w:hanging="8"/>
      </w:pPr>
      <w:r>
        <w:rPr>
          <w:sz w:val="23"/>
        </w:rPr>
        <w:t>COLECTORES DE AGUAS RESIDUALES A EDARu</w:t>
      </w:r>
    </w:p>
    <w:p w:rsidR="00085BB7" w:rsidRDefault="004441D3">
      <w:pPr>
        <w:spacing w:after="0" w:line="259" w:lineRule="auto"/>
        <w:ind w:left="10" w:right="869" w:hanging="10"/>
        <w:jc w:val="right"/>
      </w:pPr>
      <w:r>
        <w:rPr>
          <w:sz w:val="23"/>
        </w:rPr>
        <w:t xml:space="preserve">Además de la EBAR, se incorporan al sistema los colectores de impulsión y gravedad </w:t>
      </w:r>
    </w:p>
    <w:p w:rsidR="00085BB7" w:rsidRDefault="004441D3">
      <w:pPr>
        <w:spacing w:after="7" w:line="224" w:lineRule="auto"/>
        <w:ind w:left="715" w:right="874" w:hanging="8"/>
      </w:pPr>
      <w:r>
        <w:rPr>
          <w:sz w:val="23"/>
        </w:rPr>
        <w:t>por los que se transporta el agua residual hasta la Estación de Depuración</w:t>
      </w:r>
      <w:r>
        <w:rPr>
          <w:sz w:val="23"/>
        </w:rPr>
        <w:t xml:space="preserve"> de Aguas Residuales Urbanas del Valle de Güímar (EDARu). Estos colectores están compuestos por un primer tramo en impulsión, mediante tubería de FDC DN-250, con origen en la EBAR Güímar Casco, que discurre por el Camino Lomo Molino hasta el pozo situado e</w:t>
      </w:r>
      <w:r>
        <w:rPr>
          <w:sz w:val="23"/>
        </w:rPr>
        <w:t>n el Camino del Tonazo. Posteriormente el colector comarcal, prosigue su traza por gravedad mediante una conducción de PVC 315, atravesando el Camino el Tonazo, Camino Taro, Camino el Carretón (TM. Arafo), Camino la Molineta, Camino del Medio Camino y Finc</w:t>
      </w:r>
      <w:r>
        <w:rPr>
          <w:sz w:val="23"/>
        </w:rPr>
        <w:t xml:space="preserve">as particulares hasta su llegada a la </w:t>
      </w:r>
    </w:p>
    <w:p w:rsidR="00085BB7" w:rsidRDefault="004441D3">
      <w:pPr>
        <w:spacing w:after="33" w:line="224" w:lineRule="auto"/>
        <w:ind w:left="715" w:right="874" w:hanging="8"/>
      </w:pPr>
      <w:r>
        <w:rPr>
          <w:sz w:val="23"/>
        </w:rPr>
        <w:t xml:space="preserve">EDARu. En este tramo por gravedad se incorporan las aguas de los colectores siguientes: - </w:t>
      </w:r>
    </w:p>
    <w:p w:rsidR="00085BB7" w:rsidRDefault="004441D3">
      <w:pPr>
        <w:spacing w:after="33" w:line="224" w:lineRule="auto"/>
        <w:ind w:left="715" w:right="874" w:hanging="8"/>
      </w:pPr>
      <w:r>
        <w:rPr>
          <w:sz w:val="23"/>
        </w:rPr>
        <w:t xml:space="preserve">Colector de la Calle Poeta Arístides Hernandez Mora que transportan aguas del casco Güímar. - </w:t>
      </w:r>
    </w:p>
    <w:p w:rsidR="00085BB7" w:rsidRDefault="004441D3">
      <w:pPr>
        <w:spacing w:after="500" w:line="224" w:lineRule="auto"/>
        <w:ind w:left="715" w:right="874" w:hanging="8"/>
      </w:pPr>
      <w:r>
        <w:rPr>
          <w:sz w:val="23"/>
        </w:rPr>
        <w:t>Colector del tramo superior del</w:t>
      </w:r>
      <w:r>
        <w:rPr>
          <w:sz w:val="23"/>
        </w:rPr>
        <w:t xml:space="preserve"> Camino Taro, que incorpora las aguas del entorno del Barrio de Fatima y del Barrio del Carmen en Arafo. - Colector del tramo superior del Camino de la Molineta que incorpora las aguas del Casco de Arafo. </w:t>
      </w:r>
    </w:p>
    <w:p w:rsidR="00085BB7" w:rsidRDefault="004441D3">
      <w:pPr>
        <w:spacing w:after="123" w:line="224" w:lineRule="auto"/>
        <w:ind w:left="1862" w:right="874" w:hanging="8"/>
      </w:pPr>
      <w:r>
        <w:rPr>
          <w:sz w:val="23"/>
        </w:rPr>
        <w:t>ESTACIÓN DE CONTROL DE CAUDAL Y CALIDAD (ECCC)</w:t>
      </w:r>
    </w:p>
    <w:p w:rsidR="00085BB7" w:rsidRDefault="004441D3">
      <w:pPr>
        <w:spacing w:after="493" w:line="232" w:lineRule="auto"/>
        <w:ind w:left="705" w:right="861" w:firstLine="1124"/>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column">
                  <wp:posOffset>6542599</wp:posOffset>
                </wp:positionH>
                <wp:positionV relativeFrom="paragraph">
                  <wp:posOffset>312077</wp:posOffset>
                </wp:positionV>
                <wp:extent cx="237530" cy="3313100"/>
                <wp:effectExtent l="0" t="0" r="0" b="0"/>
                <wp:wrapSquare wrapText="bothSides"/>
                <wp:docPr id="148128" name="Group 1481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587" name="Rectangle 11587"/>
                        <wps:cNvSpPr/>
                        <wps:spPr>
                          <a:xfrm rot="-5399999">
                            <a:off x="-1189133" y="201074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588" name="Rectangle 11588"/>
                        <wps:cNvSpPr/>
                        <wps:spPr>
                          <a:xfrm rot="-5399999">
                            <a:off x="-976166" y="214751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589" name="Rectangle 11589"/>
                        <wps:cNvSpPr/>
                        <wps:spPr>
                          <a:xfrm rot="-5399999">
                            <a:off x="-1994199" y="1053276"/>
                            <a:ext cx="4406424"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99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128" style="width:18.7031pt;height:260.874pt;position:absolute;mso-position-horizontal-relative:text;mso-position-horizontal:absolute;margin-left:515.165pt;mso-position-vertical-relative:text;margin-top:24.573pt;" coordsize="2375,33131">
                <v:rect id="Rectangle 11587" style="position:absolute;width:24914;height:1132;left:-11891;top:2010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5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5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133 </w:t>
                        </w:r>
                      </w:p>
                    </w:txbxContent>
                  </v:textbox>
                </v:rect>
                <w10:wrap type="square"/>
              </v:group>
            </w:pict>
          </mc:Fallback>
        </mc:AlternateContent>
      </w:r>
      <w:r>
        <w:rPr>
          <w:sz w:val="23"/>
        </w:rPr>
        <w:t>En el tramo de colectores que se incorpora al SISTEMA COMARCA</w:t>
      </w:r>
      <w:r>
        <w:rPr>
          <w:sz w:val="23"/>
        </w:rPr>
        <w:t>L DE DEPURACION Y REGENERACION DE AGUA RESIDUAL DEL VALLE DE GÜÍMAR, dispone de dos ESTACIONES DE CONTROL DE CAUDAL Y CALIDAD, emplazadas en los cruces de colectores de los límites municipales entre Arafo y Güímar. La posición de estas estaciones de contro</w:t>
      </w:r>
      <w:r>
        <w:rPr>
          <w:sz w:val="23"/>
        </w:rPr>
        <w:t xml:space="preserve">l son las siguientes: - ECCC Arafo, situado en el Limite municipal Arafo-Güímar de la Carretera TF-525. - ECCC camino El Taro, Situado la intersección entre el Camino El Taro y la carretera TF-281, en el Limite municipal Arafo-Güímar. </w:t>
      </w:r>
    </w:p>
    <w:p w:rsidR="00085BB7" w:rsidRDefault="004441D3">
      <w:pPr>
        <w:spacing w:after="118" w:line="232" w:lineRule="auto"/>
        <w:ind w:left="705" w:right="861" w:firstLine="1124"/>
        <w:jc w:val="left"/>
      </w:pPr>
      <w:r>
        <w:rPr>
          <w:sz w:val="23"/>
        </w:rPr>
        <w:t>De esta manera, la representación gráfica del SISTEMA COMARCAL DE DEPURACION Y REGENERACION DEL AGUAS RESIDUAL DEL VALLE DE GÜIMAR, queda de la siguiente manera y tal como se adjunta en el ANEXO I actualizado:</w:t>
      </w:r>
    </w:p>
    <w:p w:rsidR="00085BB7" w:rsidRDefault="004441D3">
      <w:pPr>
        <w:spacing w:after="501" w:line="259" w:lineRule="auto"/>
        <w:ind w:left="977" w:right="0" w:firstLine="0"/>
        <w:jc w:val="left"/>
      </w:pPr>
      <w:r>
        <w:rPr>
          <w:noProof/>
        </w:rPr>
        <w:drawing>
          <wp:inline distT="0" distB="0" distL="0" distR="0">
            <wp:extent cx="5760720" cy="5036820"/>
            <wp:effectExtent l="0" t="0" r="0" b="0"/>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52"/>
                    <a:stretch>
                      <a:fillRect/>
                    </a:stretch>
                  </pic:blipFill>
                  <pic:spPr>
                    <a:xfrm>
                      <a:off x="0" y="0"/>
                      <a:ext cx="5760720" cy="5036820"/>
                    </a:xfrm>
                    <a:prstGeom prst="rect">
                      <a:avLst/>
                    </a:prstGeom>
                  </pic:spPr>
                </pic:pic>
              </a:graphicData>
            </a:graphic>
          </wp:inline>
        </w:drawing>
      </w:r>
    </w:p>
    <w:p w:rsidR="00085BB7" w:rsidRDefault="004441D3">
      <w:pPr>
        <w:spacing w:after="500" w:line="224" w:lineRule="auto"/>
        <w:ind w:left="715" w:right="874" w:hanging="8"/>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column">
                  <wp:posOffset>6542599</wp:posOffset>
                </wp:positionH>
                <wp:positionV relativeFrom="paragraph">
                  <wp:posOffset>-47789</wp:posOffset>
                </wp:positionV>
                <wp:extent cx="237530" cy="3355467"/>
                <wp:effectExtent l="0" t="0" r="0" b="0"/>
                <wp:wrapSquare wrapText="bothSides"/>
                <wp:docPr id="148444" name="Group 1484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634" name="Rectangle 11634"/>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Cód. Validación: J2W7FCWL64NSP9GMWA6CM2H9</w:t>
                              </w:r>
                              <w:r>
                                <w:rPr>
                                  <w:sz w:val="12"/>
                                </w:rPr>
                                <w:t xml:space="preserve">T </w:t>
                              </w:r>
                            </w:p>
                          </w:txbxContent>
                        </wps:txbx>
                        <wps:bodyPr horzOverflow="overflow" vert="horz" lIns="0" tIns="0" rIns="0" bIns="0" rtlCol="0">
                          <a:noAutofit/>
                        </wps:bodyPr>
                      </wps:wsp>
                      <wps:wsp>
                        <wps:cNvPr id="11635" name="Rectangle 11635"/>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636" name="Rectangle 11636"/>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444" style="width:18.7031pt;height:264.21pt;position:absolute;mso-position-horizontal-relative:text;mso-position-horizontal:absolute;margin-left:515.165pt;mso-position-vertical-relative:text;margin-top:-3.76297pt;" coordsize="2375,33554">
                <v:rect id="Rectangle 11634"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63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63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133 </w:t>
                        </w:r>
                      </w:p>
                    </w:txbxContent>
                  </v:textbox>
                </v:rect>
                <w10:wrap type="square"/>
              </v:group>
            </w:pict>
          </mc:Fallback>
        </mc:AlternateContent>
      </w:r>
      <w:r>
        <w:rPr>
          <w:sz w:val="23"/>
        </w:rPr>
        <w:t xml:space="preserve">SEGUNDO: Notificar la resolución que se adopte a los Ayuntamientos de Arafo, Candelaria y </w:t>
      </w:r>
      <w:r>
        <w:rPr>
          <w:sz w:val="23"/>
        </w:rPr>
        <w:t>Güímar, con objeto de que se proceda a la formalización de la Adenda que recoja la primera modificación al Convenio en los términos del Anexo que se adjunta, indicándose que, en su caso, procederá la interposición de RECURSO CONTENCIOSO-ADMINISTRATIVO ante</w:t>
      </w:r>
      <w:r>
        <w:rPr>
          <w:sz w:val="23"/>
        </w:rPr>
        <w:t xml:space="preserve"> los Juzgados de lo Contencioso-Administrativo de Santa Cruz de Tenerife, dentro del plazo de DOS MESES contados a partir del día siguiente al de la recepción de la presente notificación sin perjuicio de dirigir a esta Corporación el REQUERIMIENTO PREVIO e</w:t>
      </w:r>
      <w:r>
        <w:rPr>
          <w:sz w:val="23"/>
        </w:rPr>
        <w:t xml:space="preserve">stablecido en el artículo 44 de la Ley 29/1998, de 13 de julio, Reguladora de la Jurisdicción Contencioso Administrativa, así como de la interposición de cualquier otro recurso que estime procedente. </w:t>
      </w:r>
    </w:p>
    <w:p w:rsidR="00085BB7" w:rsidRDefault="004441D3">
      <w:pPr>
        <w:spacing w:after="500" w:line="224" w:lineRule="auto"/>
        <w:ind w:left="715" w:right="874" w:hanging="8"/>
      </w:pPr>
      <w:r>
        <w:rPr>
          <w:sz w:val="23"/>
        </w:rPr>
        <w:t>TERCERO: Dar cuenta de la presente Resolución a la Comi</w:t>
      </w:r>
      <w:r>
        <w:rPr>
          <w:sz w:val="23"/>
        </w:rPr>
        <w:t>sión de Seguimiento del Convenio para que proceda a su ratificación en la próxima sesión que se celebre</w:t>
      </w:r>
    </w:p>
    <w:p w:rsidR="00085BB7" w:rsidRDefault="004441D3">
      <w:pPr>
        <w:spacing w:after="467" w:line="265" w:lineRule="auto"/>
        <w:ind w:left="548" w:right="1062" w:hanging="10"/>
        <w:jc w:val="center"/>
      </w:pPr>
      <w:r>
        <w:t>FUNDAMENTOS DE DERECHO</w:t>
      </w:r>
    </w:p>
    <w:p w:rsidR="00085BB7" w:rsidRDefault="004441D3">
      <w:pPr>
        <w:spacing w:after="0" w:line="259" w:lineRule="auto"/>
        <w:ind w:left="10" w:right="869" w:hanging="10"/>
        <w:jc w:val="right"/>
      </w:pPr>
      <w:r>
        <w:rPr>
          <w:sz w:val="23"/>
        </w:rPr>
        <w:t xml:space="preserve">Primero. - El presente convenio tiene naturaleza administrativa y está excluido del </w:t>
      </w:r>
    </w:p>
    <w:p w:rsidR="00085BB7" w:rsidRDefault="004441D3">
      <w:pPr>
        <w:spacing w:after="118" w:line="232" w:lineRule="auto"/>
        <w:ind w:left="705" w:right="861" w:firstLine="0"/>
        <w:jc w:val="left"/>
      </w:pPr>
      <w:r>
        <w:rPr>
          <w:sz w:val="23"/>
        </w:rPr>
        <w:t>ámbito de aplicación de la Ley 9/2017, de Co</w:t>
      </w:r>
      <w:r>
        <w:rPr>
          <w:sz w:val="23"/>
        </w:rPr>
        <w:t>ntratos del Sector Público conforme a lo establecido en el apartado 2 de su art. 6. Todo ello sin perjuicio de la aplicación de los principios de la citada norma para resolver las dudas y lagunas que pudieran presentarse, según dispone su artículo 4.</w:t>
      </w:r>
    </w:p>
    <w:p w:rsidR="00085BB7" w:rsidRDefault="004441D3">
      <w:pPr>
        <w:spacing w:after="123" w:line="224" w:lineRule="auto"/>
        <w:ind w:left="715" w:right="874" w:hanging="8"/>
      </w:pPr>
      <w:r>
        <w:rPr>
          <w:sz w:val="23"/>
        </w:rPr>
        <w:t>Las p</w:t>
      </w:r>
      <w:r>
        <w:rPr>
          <w:sz w:val="23"/>
        </w:rPr>
        <w:t>artes, interpretarán, desarrollarán y ejecutarán el contenido del presente convenio teniendo en cuenta los fines que con el mismo se persiguen, comprometiéndose a resolver de buena fe y común acuerdo todas las cuestiones que puedan surgir en relación con s</w:t>
      </w:r>
      <w:r>
        <w:rPr>
          <w:sz w:val="23"/>
        </w:rPr>
        <w:t xml:space="preserve">u interpretación y ejecución. </w:t>
      </w:r>
    </w:p>
    <w:p w:rsidR="00085BB7" w:rsidRDefault="004441D3">
      <w:pPr>
        <w:spacing w:after="33" w:line="224" w:lineRule="auto"/>
        <w:ind w:left="1862" w:right="874" w:hanging="8"/>
      </w:pPr>
      <w:r>
        <w:rPr>
          <w:sz w:val="23"/>
        </w:rPr>
        <w:t xml:space="preserve">Segundo.- La cláusula primera del Convenio en relación con el objeto del mismo </w:t>
      </w:r>
    </w:p>
    <w:p w:rsidR="00085BB7" w:rsidRDefault="004441D3">
      <w:pPr>
        <w:spacing w:after="123" w:line="224" w:lineRule="auto"/>
        <w:ind w:left="715" w:right="874" w:hanging="8"/>
      </w:pPr>
      <w:r>
        <w:rPr>
          <w:sz w:val="23"/>
        </w:rPr>
        <w:t xml:space="preserve">indica: […] Es objeto del presente Convenio establecer las bases de colaboración entre el </w:t>
      </w:r>
      <w:r>
        <w:rPr>
          <w:sz w:val="23"/>
        </w:rPr>
        <w:t>Consejo Insular de Aguas de Tenerife (CIATF) y los Ayuntamientos de Candelaria, Arafo y Güímar, para la gestión conjunta por el CIATF de las infraestructuras de depuración y vertido integradas en los Sistemas Territoriales de Saneamiento del Valle de Güíma</w:t>
      </w:r>
      <w:r>
        <w:rPr>
          <w:sz w:val="23"/>
        </w:rPr>
        <w:t>r y del Polígono Industrial del Valle de Güímar, que se identifican a continuación, con el fin de garantizar el servicio público de depuración y tratamiento de aguas residuales, de origen urbano e industrial, procedentes de los núcleos de población identif</w:t>
      </w:r>
      <w:r>
        <w:rPr>
          <w:sz w:val="23"/>
        </w:rPr>
        <w:t>icados en la presente cláusula, y cumplir con las obligaciones medioambientales y de calidad del agua residual, dimanantes de la Directiva 271/91, del RD Ley 11/95 que la traspone a nuestro ordenamiento jurídico y del Real Decreto 509/1996 que lo desarroll</w:t>
      </w:r>
      <w:r>
        <w:rPr>
          <w:sz w:val="23"/>
        </w:rPr>
        <w:t xml:space="preserve">a: </w:t>
      </w:r>
    </w:p>
    <w:p w:rsidR="00085BB7" w:rsidRDefault="004441D3">
      <w:pPr>
        <w:numPr>
          <w:ilvl w:val="0"/>
          <w:numId w:val="38"/>
        </w:numPr>
        <w:spacing w:after="123" w:line="224" w:lineRule="auto"/>
        <w:ind w:right="874" w:hanging="230"/>
      </w:pPr>
      <w:r>
        <w:rPr>
          <w:sz w:val="23"/>
        </w:rPr>
        <w:t xml:space="preserve">EDARU: Estación Depuradora de Aguas Residuales Urbanas. </w:t>
      </w:r>
    </w:p>
    <w:p w:rsidR="00085BB7" w:rsidRDefault="004441D3">
      <w:pPr>
        <w:numPr>
          <w:ilvl w:val="0"/>
          <w:numId w:val="38"/>
        </w:numPr>
        <w:spacing w:after="123" w:line="224" w:lineRule="auto"/>
        <w:ind w:right="874" w:hanging="230"/>
      </w:pPr>
      <w:r>
        <w:rPr>
          <w:sz w:val="23"/>
        </w:rPr>
        <w:t xml:space="preserve">EDARI: Estación Depuradora de Aguas Residuales Industriales. </w:t>
      </w:r>
    </w:p>
    <w:p w:rsidR="00085BB7" w:rsidRDefault="004441D3">
      <w:pPr>
        <w:numPr>
          <w:ilvl w:val="0"/>
          <w:numId w:val="38"/>
        </w:numPr>
        <w:spacing w:after="123" w:line="224" w:lineRule="auto"/>
        <w:ind w:right="874" w:hanging="230"/>
      </w:pPr>
      <w:r>
        <w:rPr>
          <w:sz w:val="23"/>
        </w:rPr>
        <w:t xml:space="preserve">Emisario terrestre y emisario submarino del Valle de Güímar. </w:t>
      </w:r>
    </w:p>
    <w:p w:rsidR="00085BB7" w:rsidRDefault="004441D3">
      <w:pPr>
        <w:numPr>
          <w:ilvl w:val="0"/>
          <w:numId w:val="38"/>
        </w:numPr>
        <w:spacing w:after="33" w:line="224" w:lineRule="auto"/>
        <w:ind w:right="874" w:hanging="230"/>
      </w:pPr>
      <w:r>
        <w:rPr>
          <w:sz w:val="23"/>
        </w:rPr>
        <w:t>Estaciones de Bombeo, colectores y conducciones de transporte de caráct</w:t>
      </w:r>
      <w:r>
        <w:rPr>
          <w:sz w:val="23"/>
        </w:rPr>
        <w:t xml:space="preserve">er </w:t>
      </w:r>
    </w:p>
    <w:p w:rsidR="00085BB7" w:rsidRDefault="004441D3">
      <w:pPr>
        <w:spacing w:after="500" w:line="224" w:lineRule="auto"/>
        <w:ind w:left="715" w:right="874" w:hanging="8"/>
      </w:pPr>
      <w:r>
        <w:rPr>
          <w:sz w:val="23"/>
        </w:rPr>
        <w:t xml:space="preserve">supramunicipal que se determinen por la Comisión de Seguimiento durante la vigencia del convenio, cuya inclusión requerirá la modificación del convenio que deberá plasmarse en la correspondiente Adenda. Sin perjuicio de lo anterior, previa conformidad </w:t>
      </w:r>
      <w:r>
        <w:rPr>
          <w:sz w:val="23"/>
        </w:rPr>
        <w:t>de las partes, se podrá ampliar el objeto del presente convenio extendiéndolo a otras infraestructuras necesarias para la depuración y vertido de las aguas residuales generadas en el marco del presente Sistema Territorial, modificación que deberá plasmarse</w:t>
      </w:r>
      <w:r>
        <w:rPr>
          <w:sz w:val="23"/>
        </w:rPr>
        <w:t xml:space="preserve"> en la correspondiente Adenda en la que se describirán las nuevas infraestructuras que se añadan.</w:t>
      </w:r>
    </w:p>
    <w:p w:rsidR="00085BB7" w:rsidRDefault="004441D3">
      <w:pPr>
        <w:spacing w:after="33" w:line="224" w:lineRule="auto"/>
        <w:ind w:left="1862" w:right="874" w:hanging="8"/>
      </w:pPr>
      <w:r>
        <w:rPr>
          <w:sz w:val="23"/>
        </w:rPr>
        <w:t xml:space="preserve">Tercero.- .- La cláusula sexta del Convenio sobre la modificación y resolución del </w:t>
      </w:r>
    </w:p>
    <w:p w:rsidR="00085BB7" w:rsidRDefault="004441D3">
      <w:pPr>
        <w:spacing w:after="500" w:line="224" w:lineRule="auto"/>
        <w:ind w:left="715" w:right="874" w:hanging="8"/>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column">
                  <wp:posOffset>6542599</wp:posOffset>
                </wp:positionH>
                <wp:positionV relativeFrom="paragraph">
                  <wp:posOffset>269710</wp:posOffset>
                </wp:positionV>
                <wp:extent cx="237530" cy="3355467"/>
                <wp:effectExtent l="0" t="0" r="0" b="0"/>
                <wp:wrapSquare wrapText="bothSides"/>
                <wp:docPr id="148179" name="Group 1481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744" name="Rectangle 11744"/>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745" name="Rectangle 11745"/>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https://can</w:t>
                              </w:r>
                              <w:r>
                                <w:rPr>
                                  <w:sz w:val="12"/>
                                </w:rPr>
                                <w:t xml:space="preserve">delaria.sedelectronica.es/ </w:t>
                              </w:r>
                            </w:p>
                          </w:txbxContent>
                        </wps:txbx>
                        <wps:bodyPr horzOverflow="overflow" vert="horz" lIns="0" tIns="0" rIns="0" bIns="0" rtlCol="0">
                          <a:noAutofit/>
                        </wps:bodyPr>
                      </wps:wsp>
                      <wps:wsp>
                        <wps:cNvPr id="11746" name="Rectangle 11746"/>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179" style="width:18.7031pt;height:264.21pt;position:absolute;mso-position-horizontal-relative:text;mso-position-horizontal:absolute;margin-left:515.165pt;mso-position-vertical-relative:text;margin-top:21.237pt;" coordsize="2375,33554">
                <v:rect id="Rectangle 11744"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7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7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101 de 133 </w:t>
                        </w:r>
                      </w:p>
                    </w:txbxContent>
                  </v:textbox>
                </v:rect>
                <w10:wrap type="square"/>
              </v:group>
            </w:pict>
          </mc:Fallback>
        </mc:AlternateContent>
      </w:r>
      <w:r>
        <w:rPr>
          <w:sz w:val="23"/>
        </w:rPr>
        <w:t xml:space="preserve">Convenio recoge lo siguiente: […] Cualquiera de las partes podrá promover la revisión del </w:t>
      </w:r>
      <w:r>
        <w:rPr>
          <w:sz w:val="23"/>
        </w:rPr>
        <w:t>Convenio para incorporar aspectos no previstos, modificarlo o ampliarlo en su alcance y contenido, debiendo comunicarlo con un plazo mínimo de antelación de dos meses. El presente Convenio se extinguirá por terminación de su plazo o si concurriesen las cau</w:t>
      </w:r>
      <w:r>
        <w:rPr>
          <w:sz w:val="23"/>
        </w:rPr>
        <w:t>sas de resolución a que se refiere el art. 51.2 de la Ley 40/2015, de 1 de octubre. En caso de resolución del Convenio, las partes quedan obligadas al cumplimiento de sus respectivos compromisos hasta la fecha en que ésta se produzca. Los efectos de la res</w:t>
      </w:r>
      <w:r>
        <w:rPr>
          <w:sz w:val="23"/>
        </w:rPr>
        <w:t>olución se adecuarán a lo establecido por el artículo 52 de la Ley 40/2015, de 1 de octubre.</w:t>
      </w:r>
    </w:p>
    <w:p w:rsidR="00085BB7" w:rsidRDefault="004441D3">
      <w:pPr>
        <w:spacing w:after="123" w:line="224" w:lineRule="auto"/>
        <w:ind w:left="707" w:right="874" w:firstLine="1134"/>
      </w:pPr>
      <w:r>
        <w:rPr>
          <w:sz w:val="23"/>
        </w:rPr>
        <w:t>CUARTO.- Atendiendo a la estimación presupuestaria inicial incluida en el CONVENIO PARA LA GESTIÓN DE LAS INFRAESTRUCTURAS DE DEPURACIÓN Y VERTIDO DE AGUAS RESIDUA</w:t>
      </w:r>
      <w:r>
        <w:rPr>
          <w:sz w:val="23"/>
        </w:rPr>
        <w:t>LES, URBANAS E INDUSTRIALES, DE LOS SISTEMAS TERRITORIALES DEL VALLE DE GÜIMAR, que asciende a la cantidad de 3.953.601,06 Euros; ha de ponerse de manifiesto que, el ritmo de ejecución presupuestario está muy por debajo del inicialmente previsto debido a l</w:t>
      </w:r>
      <w:r>
        <w:rPr>
          <w:sz w:val="23"/>
        </w:rPr>
        <w:t>a demora en la actuaciones necesarias para la puesta en marcha completa de la EDARu comarcal del Valle de Güímar. Esto ha provocado que los caudales tratado y los gastos de explotación asociados sean inferiores inicialmente previstos. Es por ello que la re</w:t>
      </w:r>
      <w:r>
        <w:rPr>
          <w:sz w:val="23"/>
        </w:rPr>
        <w:t>percusión económica asociada a la incorporación de la ESTACION DE BOMBEO DE AGUAS RESIDUALES DE GÜIMAR CASCO Y COLECTORES COMARCALES AL SISTEMA COMARCAL DE DEPURACION Y REGENERACION DE AGUAS RESIDUALES DEL VALLE DE GÜIMAR, puede ser cubierta con la estimac</w:t>
      </w:r>
      <w:r>
        <w:rPr>
          <w:sz w:val="23"/>
        </w:rPr>
        <w:t>iones presupuestarias aprobadas en el convenio en su límite temporal, NO REQUIRIENDO UN INCREMENTO PRESUPUESTARIO del convenio asociado a la incorporación de las instalaciones descritas en el presente informe.</w:t>
      </w:r>
    </w:p>
    <w:p w:rsidR="00085BB7" w:rsidRDefault="004441D3">
      <w:pPr>
        <w:spacing w:after="123" w:line="224" w:lineRule="auto"/>
        <w:ind w:left="1862" w:right="874" w:hanging="8"/>
      </w:pPr>
      <w:r>
        <w:rPr>
          <w:sz w:val="23"/>
        </w:rPr>
        <w:t>PROPUESTA DE ACUERDO AL PLENO DE LA CORPORACIÓ</w:t>
      </w:r>
      <w:r>
        <w:rPr>
          <w:sz w:val="23"/>
        </w:rPr>
        <w:t>N</w:t>
      </w:r>
    </w:p>
    <w:p w:rsidR="00085BB7" w:rsidRDefault="004441D3">
      <w:pPr>
        <w:spacing w:after="33" w:line="224" w:lineRule="auto"/>
        <w:ind w:left="1862" w:right="874" w:hanging="8"/>
      </w:pPr>
      <w:r>
        <w:rPr>
          <w:sz w:val="23"/>
        </w:rPr>
        <w:t xml:space="preserve">Con carácter previo se debe de forma urgente firmar informe técnico favorable a esta </w:t>
      </w:r>
    </w:p>
    <w:p w:rsidR="00085BB7" w:rsidRDefault="004441D3">
      <w:pPr>
        <w:spacing w:after="123" w:line="224" w:lineRule="auto"/>
        <w:ind w:left="715" w:right="874" w:hanging="8"/>
      </w:pPr>
      <w:r>
        <w:rPr>
          <w:sz w:val="23"/>
        </w:rPr>
        <w:t>modificación y posteriormente, elevar al pleno la siguiente propuesta:</w:t>
      </w:r>
    </w:p>
    <w:p w:rsidR="00085BB7" w:rsidRDefault="004441D3">
      <w:pPr>
        <w:spacing w:after="8" w:line="224" w:lineRule="auto"/>
        <w:ind w:left="707" w:right="874" w:firstLine="1134"/>
      </w:pPr>
      <w:r>
        <w:rPr>
          <w:sz w:val="23"/>
        </w:rPr>
        <w:t>PRIMERO: Aprobar la primera modificación del “CONVENIO DE COOPERACIÓN INTERADMINISTRATIVA ENTRE E</w:t>
      </w:r>
      <w:r>
        <w:rPr>
          <w:sz w:val="23"/>
        </w:rPr>
        <w:t xml:space="preserve">L CONSEJO INSULAR DE AGUAS DE TENERIFE Y LOS </w:t>
      </w:r>
    </w:p>
    <w:p w:rsidR="00085BB7" w:rsidRDefault="004441D3">
      <w:pPr>
        <w:spacing w:after="33" w:line="224" w:lineRule="auto"/>
        <w:ind w:left="715" w:right="874" w:hanging="8"/>
      </w:pPr>
      <w:r>
        <w:rPr>
          <w:sz w:val="23"/>
        </w:rPr>
        <w:t xml:space="preserve">AYUNTAMIENTOS DE CANDELARIA, ARAFO Y GÜÍMAR PARA LA GESTIÓN DE LAS </w:t>
      </w:r>
    </w:p>
    <w:p w:rsidR="00085BB7" w:rsidRDefault="004441D3">
      <w:pPr>
        <w:spacing w:after="33" w:line="224" w:lineRule="auto"/>
        <w:ind w:left="715" w:right="874" w:hanging="8"/>
      </w:pPr>
      <w:r>
        <w:rPr>
          <w:sz w:val="23"/>
        </w:rPr>
        <w:t xml:space="preserve">INFRAESTRUCTURAS DE DEPURACIÓN Y VERTIDO DE AGUAS RESIDUALES, URBANAS E </w:t>
      </w:r>
    </w:p>
    <w:p w:rsidR="00085BB7" w:rsidRDefault="004441D3">
      <w:pPr>
        <w:spacing w:after="123" w:line="224" w:lineRule="auto"/>
        <w:ind w:left="715" w:right="874" w:hanging="8"/>
      </w:pPr>
      <w:r>
        <w:rPr>
          <w:sz w:val="23"/>
        </w:rPr>
        <w:t>INDUSTRIALES, DE LOS SISTEMAS TERRITORIALES DEL VALLE DE GÜÍMAR Y POL</w:t>
      </w:r>
      <w:r>
        <w:rPr>
          <w:sz w:val="23"/>
        </w:rPr>
        <w:t>ÍGONO INDUSTRIAL DEL VALLE DE GÜÍMAR”, suscrito entre las partes con fecha 18 de septiembre de 2023 y que se encuentra en vigor desde dicha fecha en atención a la cláusula séptima del mismo. La modificación consiste, en aplicación de la cláusula primera de</w:t>
      </w:r>
      <w:r>
        <w:rPr>
          <w:sz w:val="23"/>
        </w:rPr>
        <w:t>l Convenio, en la inclusión en el objeto del mismo de las siguientes instalaciones:</w:t>
      </w:r>
    </w:p>
    <w:p w:rsidR="00085BB7" w:rsidRDefault="004441D3">
      <w:pPr>
        <w:spacing w:after="123" w:line="224" w:lineRule="auto"/>
        <w:ind w:left="1862" w:right="874" w:hanging="8"/>
      </w:pPr>
      <w:r>
        <w:rPr>
          <w:sz w:val="23"/>
        </w:rPr>
        <w:t xml:space="preserve">EBAR GÜIMAR CASCO. </w:t>
      </w:r>
    </w:p>
    <w:p w:rsidR="00085BB7" w:rsidRDefault="004441D3">
      <w:pPr>
        <w:spacing w:after="123" w:line="224" w:lineRule="auto"/>
        <w:ind w:left="707" w:right="874" w:firstLine="1134"/>
      </w:pPr>
      <w:r>
        <w:rPr>
          <w:sz w:val="23"/>
        </w:rPr>
        <w:t>La EBAR Güímar Casco, emplazada en el T.M de Güímar, el las coordenadas UTM X: 362440.57; Y: 31325596.50, consta de una edificación, en la se alojan una</w:t>
      </w:r>
      <w:r>
        <w:rPr>
          <w:sz w:val="23"/>
        </w:rPr>
        <w:t xml:space="preserve"> sala de desbaste previo con reja autolimpiante, una sala de bombeo con 1+1 bombas, sistema de desodorización por carbón activo y sala de cuadros eléctricos. A la instalación llegan el colector municipal de PVC 315 existente que discurre por la parte front</w:t>
      </w:r>
      <w:r>
        <w:rPr>
          <w:sz w:val="23"/>
        </w:rPr>
        <w:t xml:space="preserve">al de la instalación en las que incorporan aguas provenientes del Casco de Güímar y de Guaza. Previa a la entrada se ha habilitado una arqueta aliviadero para casos de lluvia o paradas de la estación de bombeo, que alivia con la red existente. </w:t>
      </w:r>
    </w:p>
    <w:p w:rsidR="00085BB7" w:rsidRDefault="004441D3">
      <w:pPr>
        <w:spacing w:after="123" w:line="224" w:lineRule="auto"/>
        <w:ind w:left="1862" w:right="874" w:hanging="8"/>
      </w:pPr>
      <w:r>
        <w:rPr>
          <w:sz w:val="23"/>
        </w:rPr>
        <w:t xml:space="preserve">COLECTORES </w:t>
      </w:r>
      <w:r>
        <w:rPr>
          <w:sz w:val="23"/>
        </w:rPr>
        <w:t>DE AGUAS RESIDUALES A EDARu</w:t>
      </w:r>
    </w:p>
    <w:p w:rsidR="00085BB7" w:rsidRDefault="004441D3">
      <w:pPr>
        <w:spacing w:after="33" w:line="224" w:lineRule="auto"/>
        <w:ind w:left="1862" w:right="874" w:hanging="8"/>
      </w:pPr>
      <w:r>
        <w:rPr>
          <w:sz w:val="23"/>
        </w:rPr>
        <w:t xml:space="preserve">Además de la EBAR, se incorporan al sistema los colectores de impulsión y gravedad </w:t>
      </w:r>
    </w:p>
    <w:p w:rsidR="00085BB7" w:rsidRDefault="004441D3">
      <w:pPr>
        <w:spacing w:after="8" w:line="224" w:lineRule="auto"/>
        <w:ind w:left="715" w:right="874" w:hanging="8"/>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column">
                  <wp:posOffset>6542599</wp:posOffset>
                </wp:positionH>
                <wp:positionV relativeFrom="paragraph">
                  <wp:posOffset>676110</wp:posOffset>
                </wp:positionV>
                <wp:extent cx="237530" cy="3355467"/>
                <wp:effectExtent l="0" t="0" r="0" b="0"/>
                <wp:wrapSquare wrapText="bothSides"/>
                <wp:docPr id="148710" name="Group 1487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840" name="Rectangle 11840"/>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841" name="Rectangle 11841"/>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842" name="Rectangle 11842"/>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710" style="width:18.7031pt;height:264.21pt;position:absolute;mso-position-horizontal-relative:text;mso-position-horizontal:absolute;margin-left:515.165pt;mso-position-vertical-relative:text;margin-top:53.237pt;" coordsize="2375,33554">
                <v:rect id="Rectangle 11840"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8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8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102 de 133 </w:t>
                        </w:r>
                      </w:p>
                    </w:txbxContent>
                  </v:textbox>
                </v:rect>
                <w10:wrap type="square"/>
              </v:group>
            </w:pict>
          </mc:Fallback>
        </mc:AlternateContent>
      </w:r>
      <w:r>
        <w:rPr>
          <w:sz w:val="23"/>
        </w:rPr>
        <w:t>por los que se transporta el agua residual hasta la Estación de Depuración de Aguas Residuales Urbanas del Valle de Güímar (EDARu). Estos colectores están compue</w:t>
      </w:r>
      <w:r>
        <w:rPr>
          <w:sz w:val="23"/>
        </w:rPr>
        <w:t>stos por un primer tramo en impulsión, mediante tubería de FDC DN-250, con origen en la EBAR Güímar Casco, que discurre por el Camino Lomo Molino hasta el pozo situado en el Camino del Tonazo. Posteriormente el colector comarcal, prosigue su traza por grav</w:t>
      </w:r>
      <w:r>
        <w:rPr>
          <w:sz w:val="23"/>
        </w:rPr>
        <w:t xml:space="preserve">edad mediante una conducción de PVC 315, atravesando el Camino el Tonazo, Camino Taro, Camino el Carretón (TM. Arafo), Camino la Molineta, Camino del Medio Camino y Fincas particulares hasta su llegada a la </w:t>
      </w:r>
    </w:p>
    <w:p w:rsidR="00085BB7" w:rsidRDefault="004441D3">
      <w:pPr>
        <w:spacing w:after="33" w:line="224" w:lineRule="auto"/>
        <w:ind w:left="715" w:right="874" w:hanging="8"/>
      </w:pPr>
      <w:r>
        <w:rPr>
          <w:sz w:val="23"/>
        </w:rPr>
        <w:t xml:space="preserve">EDARu. En este tramo por gravedad se incorporan </w:t>
      </w:r>
      <w:r>
        <w:rPr>
          <w:sz w:val="23"/>
        </w:rPr>
        <w:t xml:space="preserve">las aguas de los colectores siguientes: - </w:t>
      </w:r>
    </w:p>
    <w:p w:rsidR="00085BB7" w:rsidRDefault="004441D3">
      <w:pPr>
        <w:spacing w:after="33" w:line="224" w:lineRule="auto"/>
        <w:ind w:left="715" w:right="874" w:hanging="8"/>
      </w:pPr>
      <w:r>
        <w:rPr>
          <w:sz w:val="23"/>
        </w:rPr>
        <w:t xml:space="preserve">Colector de la Calle Poeta Arístides Hernandez Mora que transportan aguas del casco Güímar. - </w:t>
      </w:r>
    </w:p>
    <w:p w:rsidR="00085BB7" w:rsidRDefault="004441D3">
      <w:pPr>
        <w:spacing w:after="500" w:line="224" w:lineRule="auto"/>
        <w:ind w:left="715" w:right="874" w:hanging="8"/>
      </w:pPr>
      <w:r>
        <w:rPr>
          <w:sz w:val="23"/>
        </w:rPr>
        <w:t>Colector del tramo superior del Camino Taro, que incorpora las aguas del entorno del Barrio de Fatima y del Barrio del</w:t>
      </w:r>
      <w:r>
        <w:rPr>
          <w:sz w:val="23"/>
        </w:rPr>
        <w:t xml:space="preserve"> Carmen en Arafo. - Colector del tramo superior del Camino de la Molineta que incorpora las aguas del Casco de Arafo. </w:t>
      </w:r>
    </w:p>
    <w:p w:rsidR="00085BB7" w:rsidRDefault="004441D3">
      <w:pPr>
        <w:spacing w:after="123" w:line="224" w:lineRule="auto"/>
        <w:ind w:left="1862" w:right="874" w:hanging="8"/>
      </w:pPr>
      <w:r>
        <w:rPr>
          <w:sz w:val="23"/>
        </w:rPr>
        <w:t>ESTACIÓN DE CONTROL DE CAUDAL Y CALIDAD (ECCC)</w:t>
      </w:r>
    </w:p>
    <w:p w:rsidR="00085BB7" w:rsidRDefault="004441D3">
      <w:pPr>
        <w:spacing w:after="493" w:line="232" w:lineRule="auto"/>
        <w:ind w:left="705" w:right="861" w:firstLine="1124"/>
        <w:jc w:val="left"/>
      </w:pPr>
      <w:r>
        <w:rPr>
          <w:sz w:val="23"/>
        </w:rPr>
        <w:t>En el tramo de colectores que se incorpora al SISTEMA COMARCAL DE DEPURACION Y REGENERACIO</w:t>
      </w:r>
      <w:r>
        <w:rPr>
          <w:sz w:val="23"/>
        </w:rPr>
        <w:t xml:space="preserve">N DE AGUA RESIDUAL DEL VALLE DE GÜÍMAR, dispone de dos ESTACIONES DE CONTROL DE CAUDAL Y CALIDAD, emplazadas en los cruces de colectores de los límites municipales entre Arafo y Güímar. La posición de estas estaciones de control son las siguientes: - ECCC </w:t>
      </w:r>
      <w:r>
        <w:rPr>
          <w:sz w:val="23"/>
        </w:rPr>
        <w:t xml:space="preserve">Arafo, situado en el Limite municipal Arafo-Güímar de la Carretera TF-525. - ECCC camino El Taro, Situado la intersección entre el Camino El Taro y la carretera TF-281, en el Limite municipal Arafo-Güímar. </w:t>
      </w:r>
    </w:p>
    <w:p w:rsidR="00085BB7" w:rsidRDefault="004441D3">
      <w:pPr>
        <w:spacing w:after="493" w:line="232" w:lineRule="auto"/>
        <w:ind w:left="705" w:right="861" w:firstLine="1124"/>
        <w:jc w:val="left"/>
      </w:pPr>
      <w:r>
        <w:rPr>
          <w:sz w:val="23"/>
        </w:rPr>
        <w:t>De esta manera, la representación gráfica del SISTEMA COMARCAL DE DEPURACION Y REGENERACION DEL AGUAS RESIDUAL DEL VALLE DE GÜIMAR, queda de la siguiente manera y tal como se adjunta en el ANEXO I actualizado:</w:t>
      </w:r>
    </w:p>
    <w:p w:rsidR="00085BB7" w:rsidRDefault="004441D3">
      <w:pPr>
        <w:spacing w:before="1247" w:after="500" w:line="224" w:lineRule="auto"/>
        <w:ind w:left="715" w:right="874" w:hanging="8"/>
      </w:pPr>
      <w:r>
        <w:rPr>
          <w:noProof/>
        </w:rPr>
        <w:drawing>
          <wp:anchor distT="0" distB="0" distL="114300" distR="114300" simplePos="0" relativeHeight="251754496" behindDoc="0" locked="0" layoutInCell="1" allowOverlap="0">
            <wp:simplePos x="0" y="0"/>
            <wp:positionH relativeFrom="column">
              <wp:posOffset>620228</wp:posOffset>
            </wp:positionH>
            <wp:positionV relativeFrom="paragraph">
              <wp:posOffset>-5828562</wp:posOffset>
            </wp:positionV>
            <wp:extent cx="5760720" cy="5036820"/>
            <wp:effectExtent l="0" t="0" r="0" b="0"/>
            <wp:wrapSquare wrapText="bothSides"/>
            <wp:docPr id="11851" name="Picture 11851"/>
            <wp:cNvGraphicFramePr/>
            <a:graphic xmlns:a="http://schemas.openxmlformats.org/drawingml/2006/main">
              <a:graphicData uri="http://schemas.openxmlformats.org/drawingml/2006/picture">
                <pic:pic xmlns:pic="http://schemas.openxmlformats.org/drawingml/2006/picture">
                  <pic:nvPicPr>
                    <pic:cNvPr id="11851" name="Picture 11851"/>
                    <pic:cNvPicPr/>
                  </pic:nvPicPr>
                  <pic:blipFill>
                    <a:blip r:embed="rId52"/>
                    <a:stretch>
                      <a:fillRect/>
                    </a:stretch>
                  </pic:blipFill>
                  <pic:spPr>
                    <a:xfrm>
                      <a:off x="0" y="0"/>
                      <a:ext cx="5760720" cy="503682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column">
                  <wp:posOffset>6542599</wp:posOffset>
                </wp:positionH>
                <wp:positionV relativeFrom="paragraph">
                  <wp:posOffset>-995208</wp:posOffset>
                </wp:positionV>
                <wp:extent cx="237530" cy="3355467"/>
                <wp:effectExtent l="0" t="0" r="0" b="0"/>
                <wp:wrapSquare wrapText="bothSides"/>
                <wp:docPr id="148649" name="Group 1486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878" name="Rectangle 11878"/>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Cód. Validación: J2W7FCWL64NSP9GMWA6CM2H9T</w:t>
                              </w:r>
                              <w:r>
                                <w:rPr>
                                  <w:sz w:val="12"/>
                                </w:rPr>
                                <w:t xml:space="preserve"> </w:t>
                              </w:r>
                            </w:p>
                          </w:txbxContent>
                        </wps:txbx>
                        <wps:bodyPr horzOverflow="overflow" vert="horz" lIns="0" tIns="0" rIns="0" bIns="0" rtlCol="0">
                          <a:noAutofit/>
                        </wps:bodyPr>
                      </wps:wsp>
                      <wps:wsp>
                        <wps:cNvPr id="11879" name="Rectangle 11879"/>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880" name="Rectangle 11880"/>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649" style="width:18.7031pt;height:264.21pt;position:absolute;mso-position-horizontal-relative:text;mso-position-horizontal:absolute;margin-left:515.165pt;mso-position-vertical-relative:text;margin-top:-78.3629pt;" coordsize="2375,33554">
                <v:rect id="Rectangle 11878"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8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8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103 de 133 </w:t>
                        </w:r>
                      </w:p>
                    </w:txbxContent>
                  </v:textbox>
                </v:rect>
                <w10:wrap type="square"/>
              </v:group>
            </w:pict>
          </mc:Fallback>
        </mc:AlternateContent>
      </w:r>
      <w:r>
        <w:rPr>
          <w:sz w:val="23"/>
        </w:rPr>
        <w:t xml:space="preserve">SEGUNDO: Notificar la resolución que se adopte a los Ayuntamientos de Arafo, Candelaria y Güímar, con </w:t>
      </w:r>
      <w:r>
        <w:rPr>
          <w:sz w:val="23"/>
        </w:rPr>
        <w:t>objeto de que se proceda a la formalización de la Adenda que recoja la primera modificación al Convenio en los términos del Anexo que se adjunta, indicándose que, en su caso, procederá la interposición de RECURSO CONTENCIOSO-ADMINISTRATIVO ante los Juzgado</w:t>
      </w:r>
      <w:r>
        <w:rPr>
          <w:sz w:val="23"/>
        </w:rPr>
        <w:t>s de lo Contencioso-Administrativo de Santa Cruz de Tenerife, dentro del plazo de DOS MESES contados a partir del día siguiente al de la recepción de la presente notificación sin perjuicio de dirigir a esta Corporación el REQUERIMIENTO PREVIO establecido e</w:t>
      </w:r>
      <w:r>
        <w:rPr>
          <w:sz w:val="23"/>
        </w:rPr>
        <w:t xml:space="preserve">n el artículo 44 de la Ley 29/1998, de 13 de julio, Reguladora de la Jurisdicción Contencioso Administrativa, así como de la interposición de cualquier otro recurso que estime procedente. </w:t>
      </w:r>
    </w:p>
    <w:p w:rsidR="00085BB7" w:rsidRDefault="004441D3">
      <w:pPr>
        <w:spacing w:after="123" w:line="224" w:lineRule="auto"/>
        <w:ind w:left="715" w:right="874" w:hanging="8"/>
      </w:pPr>
      <w:r>
        <w:rPr>
          <w:sz w:val="23"/>
        </w:rPr>
        <w:t>TERCERO: Dar cuenta de la presente Resolución a la Comisión de Segu</w:t>
      </w:r>
      <w:r>
        <w:rPr>
          <w:sz w:val="23"/>
        </w:rPr>
        <w:t>imiento del Convenio para que proceda a su ratificación en la próxima sesión que se celebre</w:t>
      </w:r>
    </w:p>
    <w:p w:rsidR="00085BB7" w:rsidRDefault="004441D3">
      <w:pPr>
        <w:spacing w:after="0" w:line="265" w:lineRule="auto"/>
        <w:ind w:left="548" w:right="709" w:hanging="10"/>
        <w:jc w:val="center"/>
      </w:pPr>
      <w:r>
        <w:t>ANEXO</w:t>
      </w:r>
    </w:p>
    <w:p w:rsidR="00085BB7" w:rsidRDefault="004441D3">
      <w:pPr>
        <w:spacing w:after="502" w:line="259" w:lineRule="auto"/>
        <w:ind w:left="977" w:right="0" w:firstLine="0"/>
        <w:jc w:val="left"/>
      </w:pPr>
      <w:r>
        <w:rPr>
          <w:noProof/>
        </w:rPr>
        <w:drawing>
          <wp:inline distT="0" distB="0" distL="0" distR="0">
            <wp:extent cx="5760720" cy="1325880"/>
            <wp:effectExtent l="0" t="0" r="0" b="0"/>
            <wp:docPr id="11887" name="Picture 11887"/>
            <wp:cNvGraphicFramePr/>
            <a:graphic xmlns:a="http://schemas.openxmlformats.org/drawingml/2006/main">
              <a:graphicData uri="http://schemas.openxmlformats.org/drawingml/2006/picture">
                <pic:pic xmlns:pic="http://schemas.openxmlformats.org/drawingml/2006/picture">
                  <pic:nvPicPr>
                    <pic:cNvPr id="11887" name="Picture 11887"/>
                    <pic:cNvPicPr/>
                  </pic:nvPicPr>
                  <pic:blipFill>
                    <a:blip r:embed="rId50"/>
                    <a:stretch>
                      <a:fillRect/>
                    </a:stretch>
                  </pic:blipFill>
                  <pic:spPr>
                    <a:xfrm>
                      <a:off x="0" y="0"/>
                      <a:ext cx="5760720" cy="1325880"/>
                    </a:xfrm>
                    <a:prstGeom prst="rect">
                      <a:avLst/>
                    </a:prstGeom>
                  </pic:spPr>
                </pic:pic>
              </a:graphicData>
            </a:graphic>
          </wp:inline>
        </w:drawing>
      </w:r>
    </w:p>
    <w:p w:rsidR="00085BB7" w:rsidRDefault="004441D3">
      <w:pPr>
        <w:spacing w:after="111" w:line="250" w:lineRule="auto"/>
        <w:ind w:left="728" w:right="908" w:hanging="10"/>
      </w:pPr>
      <w:r>
        <w:rPr>
          <w:sz w:val="20"/>
        </w:rPr>
        <w:t>ADENDA PRIMERA MODIFICACIÓN DEL CONVENIO DE COOPERACIÓN INTERADMINISTRATIVA ENTRE EL CONSEJO INSULAR DE AGUAS DE TENERIFE Y LOS AYUNTAMIENTOS DE CANDELARIA,</w:t>
      </w:r>
      <w:r>
        <w:rPr>
          <w:sz w:val="20"/>
        </w:rPr>
        <w:t xml:space="preserve"> ARAFO Y GÜÍMAR PARA LA GESTIÓN DE LAS INFRAESTRUCTURAS DE DEPURACIÓN Y VERTIDO DE AGUAS RESIDUALES, URBANAS E INDUSTRIALES, DE LOS SISTEMAS TERRITORIALES DEL VALLE DE GÜIMAR Y POLÍGONO INDUSTRIAL DEL VALLE DE GÜÍMAR. </w:t>
      </w:r>
    </w:p>
    <w:p w:rsidR="00085BB7" w:rsidRDefault="004441D3">
      <w:pPr>
        <w:spacing w:after="118" w:line="232" w:lineRule="auto"/>
        <w:ind w:left="716" w:right="879" w:hanging="10"/>
      </w:pPr>
      <w:r>
        <w:rPr>
          <w:sz w:val="21"/>
        </w:rPr>
        <w:t>En Santa Cruz de Tenerife, a fecha de</w:t>
      </w:r>
      <w:r>
        <w:rPr>
          <w:sz w:val="21"/>
        </w:rPr>
        <w:t xml:space="preserve"> la última firma electrónica </w:t>
      </w:r>
    </w:p>
    <w:p w:rsidR="00085BB7" w:rsidRDefault="004441D3">
      <w:pPr>
        <w:spacing w:after="118" w:line="232" w:lineRule="auto"/>
        <w:ind w:left="716" w:right="879" w:hanging="10"/>
      </w:pPr>
      <w:r>
        <w:rPr>
          <w:sz w:val="21"/>
        </w:rPr>
        <w:t xml:space="preserve">SE REÚNEN </w:t>
      </w:r>
    </w:p>
    <w:p w:rsidR="00085BB7" w:rsidRDefault="004441D3">
      <w:pPr>
        <w:spacing w:after="118" w:line="232" w:lineRule="auto"/>
        <w:ind w:left="716" w:right="879" w:hanging="10"/>
      </w:pPr>
      <w:r>
        <w:rPr>
          <w:sz w:val="21"/>
        </w:rPr>
        <w:t>De una parte, la Excma. Sra. Doña Rosa Dávila Mamely, Presidenta del Consejo Insular de Aguas de Tenerife (en lo sucesivo CIATF), en nombre y representación del mismo, facultada para este acto mediante acuerdo de la</w:t>
      </w:r>
      <w:r>
        <w:rPr>
          <w:sz w:val="21"/>
        </w:rPr>
        <w:t xml:space="preserve"> Junta de Gobierno del Consejo Insular de Aguas celebrada en sesión de 3 de marzo de 2021, en virtud de lo dispuesto en el artículo 21.2 del Estatuto del Consejo Insular de Aguas de Tenerife, aprobado por Decreto 115/1992, de 9 de junio. </w:t>
      </w:r>
    </w:p>
    <w:p w:rsidR="00085BB7" w:rsidRDefault="004441D3">
      <w:pPr>
        <w:spacing w:after="118" w:line="232" w:lineRule="auto"/>
        <w:ind w:left="716" w:right="879" w:hanging="10"/>
      </w:pPr>
      <w:r>
        <w:rPr>
          <w:sz w:val="21"/>
        </w:rPr>
        <w:t>De otra parte, la</w:t>
      </w:r>
      <w:r>
        <w:rPr>
          <w:sz w:val="21"/>
        </w:rPr>
        <w:t xml:space="preserve"> Sra. Dª Maria Concepción Brito Núñez, Alcaldesa-Presidenta del Ayuntamiento de Candelaria, en su nombre y representación, y en uso de las facultades que le confiere el artículo 21.1.b) de la Ley 7/1985, de 2 de abril, reguladora de las bases del Régimen L</w:t>
      </w:r>
      <w:r>
        <w:rPr>
          <w:sz w:val="21"/>
        </w:rPr>
        <w:t xml:space="preserve">ocal, estando facultado para este acto en virtud del acuerdo plenario de dicha Corporación adoptado en sesión celebrada 30 de junio de 2022. </w:t>
      </w:r>
    </w:p>
    <w:p w:rsidR="00085BB7" w:rsidRDefault="004441D3">
      <w:pPr>
        <w:spacing w:after="470" w:line="232" w:lineRule="auto"/>
        <w:ind w:left="716" w:right="879" w:hanging="10"/>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column">
                  <wp:posOffset>6542599</wp:posOffset>
                </wp:positionH>
                <wp:positionV relativeFrom="paragraph">
                  <wp:posOffset>234083</wp:posOffset>
                </wp:positionV>
                <wp:extent cx="237530" cy="3355467"/>
                <wp:effectExtent l="0" t="0" r="0" b="0"/>
                <wp:wrapSquare wrapText="bothSides"/>
                <wp:docPr id="148899" name="Group 1488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1955" name="Rectangle 11955"/>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1956" name="Rectangle 11956"/>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1957" name="Rectangle 11957"/>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w:t>
                              </w:r>
                              <w:r>
                                <w:rPr>
                                  <w:sz w:val="12"/>
                                </w:rPr>
                                <w:t xml:space="preserve">firmado electrónicamente desde la plataforma esPublico Gestiona | Página 104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899" style="width:18.7031pt;height:264.21pt;position:absolute;mso-position-horizontal-relative:text;mso-position-horizontal:absolute;margin-left:515.165pt;mso-position-vertical-relative:text;margin-top:18.4317pt;" coordsize="2375,33554">
                <v:rect id="Rectangle 11955"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19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9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104 de 133 </w:t>
                        </w:r>
                      </w:p>
                    </w:txbxContent>
                  </v:textbox>
                </v:rect>
                <w10:wrap type="square"/>
              </v:group>
            </w:pict>
          </mc:Fallback>
        </mc:AlternateContent>
      </w:r>
      <w:r>
        <w:rPr>
          <w:sz w:val="21"/>
        </w:rPr>
        <w:t>De otra parte, el Sr. D. Juan Ramón Martín Pérez, Alcalde-Presidente del Ayuntamiento de Arafo en su nombre y representación, y en uso de las facultades que le confiere el</w:t>
      </w:r>
      <w:r>
        <w:rPr>
          <w:sz w:val="21"/>
        </w:rPr>
        <w:t xml:space="preserve"> artículo 21.1.b) de la Ley 7/1985, de 2 de abril, reguladora de las bases del Régimen Local, estando facultado para este acto en virtud del acuerdo plenario de dicha Corporación adoptado en sesión celebrada el 30 de septiembre de 2022.</w:t>
      </w:r>
    </w:p>
    <w:p w:rsidR="00085BB7" w:rsidRDefault="004441D3">
      <w:pPr>
        <w:spacing w:after="511" w:line="232" w:lineRule="auto"/>
        <w:ind w:left="716" w:right="879" w:hanging="10"/>
      </w:pPr>
      <w:r>
        <w:rPr>
          <w:sz w:val="21"/>
        </w:rPr>
        <w:t>Y de otra parte, el</w:t>
      </w:r>
      <w:r>
        <w:rPr>
          <w:sz w:val="21"/>
        </w:rPr>
        <w:t xml:space="preserve"> Sr. D. Gustavo Pérez Martín, Alcalde-Presidente del Ayuntamiento de Güímar, en su nombre y representación, y en uso de las facultades que le confiere el artículo 21.1.b) de la Ley 7/1985, de 2 de abril, reguladora de las bases del Régimen Local, estando f</w:t>
      </w:r>
      <w:r>
        <w:rPr>
          <w:sz w:val="21"/>
        </w:rPr>
        <w:t>acultado para este acto en virtud del acuerdo plenario de dicha Corporación adoptado en sesión celebrada 26 de mayo de 2023.</w:t>
      </w:r>
    </w:p>
    <w:p w:rsidR="00085BB7" w:rsidRDefault="004441D3">
      <w:pPr>
        <w:spacing w:after="123" w:line="224" w:lineRule="auto"/>
        <w:ind w:left="4131" w:right="874" w:hanging="8"/>
      </w:pPr>
      <w:r>
        <w:rPr>
          <w:sz w:val="21"/>
        </w:rPr>
        <w:t xml:space="preserve"> </w:t>
      </w:r>
      <w:r>
        <w:rPr>
          <w:sz w:val="23"/>
        </w:rPr>
        <w:t xml:space="preserve">INTERVIENEN </w:t>
      </w:r>
    </w:p>
    <w:p w:rsidR="00085BB7" w:rsidRDefault="004441D3">
      <w:pPr>
        <w:spacing w:after="118" w:line="232" w:lineRule="auto"/>
        <w:ind w:left="705" w:right="861" w:firstLine="0"/>
        <w:jc w:val="left"/>
      </w:pPr>
      <w:r>
        <w:rPr>
          <w:sz w:val="23"/>
        </w:rPr>
        <w:t xml:space="preserve">Las partes citadas, en la condición con que comparecen, se reconocen mutua y recíprocamente, </w:t>
      </w:r>
      <w:r>
        <w:rPr>
          <w:sz w:val="23"/>
        </w:rPr>
        <w:t xml:space="preserve">con competencia y capacidad legal suficiente para suscribir la presente Adenda para la formalización de la primera modificación del Convenio de Colaboración y a tal efecto      EXPONEN </w:t>
      </w:r>
    </w:p>
    <w:p w:rsidR="00085BB7" w:rsidRDefault="004441D3">
      <w:pPr>
        <w:numPr>
          <w:ilvl w:val="0"/>
          <w:numId w:val="39"/>
        </w:numPr>
        <w:spacing w:after="0" w:line="259" w:lineRule="auto"/>
        <w:ind w:right="871" w:firstLine="1129"/>
      </w:pPr>
      <w:r>
        <w:rPr>
          <w:sz w:val="23"/>
        </w:rPr>
        <w:t xml:space="preserve">El día 18 de septiembre de 2023 tuvo lugar la firma del CONVENIO DE </w:t>
      </w:r>
    </w:p>
    <w:p w:rsidR="00085BB7" w:rsidRDefault="004441D3">
      <w:pPr>
        <w:spacing w:after="8" w:line="224" w:lineRule="auto"/>
        <w:ind w:left="715" w:right="874" w:hanging="8"/>
      </w:pPr>
      <w:r>
        <w:rPr>
          <w:sz w:val="23"/>
        </w:rPr>
        <w:t>C</w:t>
      </w:r>
      <w:r>
        <w:rPr>
          <w:sz w:val="23"/>
        </w:rPr>
        <w:t xml:space="preserve">OOPERACIÓN INTERADMINISTRATIVA ENTRE EL CONSEJO INSULAR DE AGUAS DE TENERIFE Y LOS AYUNTAMIENTOS DE CANDELARIA, ARAFO Y GÜÍMAR PARA LA GESTIÓN </w:t>
      </w:r>
    </w:p>
    <w:p w:rsidR="00085BB7" w:rsidRDefault="004441D3">
      <w:pPr>
        <w:spacing w:after="96" w:line="224" w:lineRule="auto"/>
        <w:ind w:left="715" w:right="874" w:hanging="8"/>
      </w:pPr>
      <w:r>
        <w:rPr>
          <w:sz w:val="23"/>
        </w:rPr>
        <w:t>DE LAS INFRAESTRUCTURAS DE DEPURACIÓN Y VERTIDO DE AGUAS RESIDUALES, URBANAS E INDUSTRIALES, DE LOS SISTEMAS TER</w:t>
      </w:r>
      <w:r>
        <w:rPr>
          <w:sz w:val="23"/>
        </w:rPr>
        <w:t xml:space="preserve">RITORIALES DEL VALLE DE GÜÍMAR Y POLÍGONO INDUSTRIAL DEL VALLE DE GÜÍMAR entrando en vigor en esa misma fecha , de conformidad con lo establecido en la cláusula séptima del convenio. </w:t>
      </w:r>
    </w:p>
    <w:p w:rsidR="00085BB7" w:rsidRDefault="004441D3">
      <w:pPr>
        <w:numPr>
          <w:ilvl w:val="0"/>
          <w:numId w:val="39"/>
        </w:numPr>
        <w:spacing w:after="123" w:line="224" w:lineRule="auto"/>
        <w:ind w:right="871" w:firstLine="1129"/>
      </w:pPr>
      <w:r>
        <w:rPr>
          <w:sz w:val="23"/>
        </w:rPr>
        <w:t>La “REHABILITACIÓN DE LA ESTACIÓN DE BOMBEO DE AGUAS RESIDUALES EN GÜÍMA</w:t>
      </w:r>
      <w:r>
        <w:rPr>
          <w:sz w:val="23"/>
        </w:rPr>
        <w:t xml:space="preserve">R CASCO” se adjudicó el 11 de noviembre de 2022 a la empresa HIDROTEC AGUAS, S.L. por el importe de 230.787,27 €. En la actualidad la obra ha sido recibida favorablemente con fecha de 29 de abril de 2024. </w:t>
      </w:r>
    </w:p>
    <w:p w:rsidR="00085BB7" w:rsidRDefault="004441D3">
      <w:pPr>
        <w:numPr>
          <w:ilvl w:val="0"/>
          <w:numId w:val="39"/>
        </w:numPr>
        <w:spacing w:after="118" w:line="232" w:lineRule="auto"/>
        <w:ind w:right="871" w:firstLine="1129"/>
      </w:pPr>
      <w:r>
        <w:rPr>
          <w:sz w:val="23"/>
        </w:rPr>
        <w:t>Una vez finalizadas las actuaciones para la REHABI</w:t>
      </w:r>
      <w:r>
        <w:rPr>
          <w:sz w:val="23"/>
        </w:rPr>
        <w:t>LITACIÓN DE LA ESTACIÓN DE BOMBEO DE AGUAS RESIDUALES EN GÜÍMAR CASCO, y realizadas las verificaciones de colectores y trámites administrativos, la EBAR está disposición de prestar el servicio de bombeo hacia la EDARu Comarcal del Valle de Güímar, siendo i</w:t>
      </w:r>
      <w:r>
        <w:rPr>
          <w:sz w:val="23"/>
        </w:rPr>
        <w:t>ncorporada al SISTEMA COMARCAL DE DEPURACION Y REGENERACION DE AGUA RESIDUAL DEL VALLE DE GÜIMAR. (SCIH_RAR_VG).</w:t>
      </w:r>
    </w:p>
    <w:p w:rsidR="00085BB7" w:rsidRDefault="004441D3">
      <w:pPr>
        <w:numPr>
          <w:ilvl w:val="0"/>
          <w:numId w:val="39"/>
        </w:numPr>
        <w:spacing w:after="33" w:line="224" w:lineRule="auto"/>
        <w:ind w:right="871" w:firstLine="1129"/>
      </w:pPr>
      <w:r>
        <w:rPr>
          <w:sz w:val="23"/>
        </w:rPr>
        <w:t xml:space="preserve">Con la puesta en marcha de la EBAR GÜÍMAR CASCO se incorpora a la gestión </w:t>
      </w:r>
    </w:p>
    <w:p w:rsidR="00085BB7" w:rsidRDefault="004441D3">
      <w:pPr>
        <w:spacing w:after="500" w:line="224" w:lineRule="auto"/>
        <w:ind w:left="715" w:right="874" w:hanging="8"/>
      </w:pPr>
      <w:r>
        <w:rPr>
          <w:sz w:val="23"/>
        </w:rPr>
        <w:t xml:space="preserve">del sistema comarcal dicha Estación de Bombeo, así como los colectores que transportan el agua hasta la EDARu comarcal del Valle de Güímar y las estaciones para el control de caudal y calidad intermunicipales. </w:t>
      </w:r>
    </w:p>
    <w:p w:rsidR="00085BB7" w:rsidRDefault="004441D3">
      <w:pPr>
        <w:spacing w:after="123" w:line="224" w:lineRule="auto"/>
        <w:ind w:left="4130" w:right="874" w:hanging="8"/>
      </w:pPr>
      <w:r>
        <w:rPr>
          <w:sz w:val="23"/>
        </w:rPr>
        <w:t xml:space="preserve">ACUERDAN </w:t>
      </w:r>
    </w:p>
    <w:p w:rsidR="00085BB7" w:rsidRDefault="004441D3">
      <w:pPr>
        <w:spacing w:after="33" w:line="224" w:lineRule="auto"/>
        <w:ind w:left="1862" w:right="874" w:hanging="8"/>
      </w:pPr>
      <w:r>
        <w:rPr>
          <w:sz w:val="23"/>
        </w:rPr>
        <w:t xml:space="preserve">A la vista de la cláusula primera del Convenio, las partes acuerdan incluir en el objeto </w:t>
      </w:r>
    </w:p>
    <w:p w:rsidR="00085BB7" w:rsidRDefault="004441D3">
      <w:pPr>
        <w:spacing w:after="123" w:line="224" w:lineRule="auto"/>
        <w:ind w:left="715" w:right="874" w:hanging="8"/>
      </w:pPr>
      <w:r>
        <w:rPr>
          <w:sz w:val="23"/>
        </w:rPr>
        <w:t xml:space="preserve">del mismo las siguientes instalaciones siéndoles por tanto de aplicación la totalidad de las estipulaciones del mismo: </w:t>
      </w:r>
    </w:p>
    <w:p w:rsidR="00085BB7" w:rsidRDefault="004441D3">
      <w:pPr>
        <w:spacing w:after="123" w:line="224" w:lineRule="auto"/>
        <w:ind w:left="1862" w:right="874" w:hanging="8"/>
      </w:pPr>
      <w:r>
        <w:rPr>
          <w:sz w:val="23"/>
        </w:rPr>
        <w:t xml:space="preserve">EBAR GÜIMAR CASCO. </w:t>
      </w:r>
    </w:p>
    <w:p w:rsidR="00085BB7" w:rsidRDefault="004441D3">
      <w:pPr>
        <w:spacing w:after="123" w:line="224" w:lineRule="auto"/>
        <w:ind w:left="707" w:right="874" w:firstLine="1134"/>
      </w:pPr>
      <w:r>
        <w:rPr>
          <w:sz w:val="23"/>
        </w:rPr>
        <w:t>La EBAR Güímar Casco, empl</w:t>
      </w:r>
      <w:r>
        <w:rPr>
          <w:sz w:val="23"/>
        </w:rPr>
        <w:t>azada en el T.M de Güímar, el las coordenadas UTM X: 362440.57; Y: 31325596.50,consta de una edificación, en la se alojan una sala de desbaste previo con reja autolimpiante, una sala de bombeo con 1+1 bombas, sistema de desodorización por carbón activo y s</w:t>
      </w:r>
      <w:r>
        <w:rPr>
          <w:sz w:val="23"/>
        </w:rPr>
        <w:t xml:space="preserve">ala de cuadros eléctricos. A la instalación llegan el colector municipal de PVC 315 existente que discurre por la parte frontal de la instalación en las que incorporan aguas provenientes del Casco de Güímar y de Guaza. Previa a la entrada se ha habilitado </w:t>
      </w:r>
      <w:r>
        <w:rPr>
          <w:sz w:val="23"/>
        </w:rPr>
        <w:t xml:space="preserve">una arqueta aliviadero para casos de lluvia o paradas de la estación de bombeo, que alivia con la red existente. </w:t>
      </w:r>
    </w:p>
    <w:p w:rsidR="00085BB7" w:rsidRDefault="004441D3">
      <w:pPr>
        <w:spacing w:after="123" w:line="224" w:lineRule="auto"/>
        <w:ind w:left="1862" w:right="874" w:hanging="8"/>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column">
                  <wp:posOffset>6542599</wp:posOffset>
                </wp:positionH>
                <wp:positionV relativeFrom="paragraph">
                  <wp:posOffset>-42708</wp:posOffset>
                </wp:positionV>
                <wp:extent cx="237530" cy="3355467"/>
                <wp:effectExtent l="0" t="0" r="0" b="0"/>
                <wp:wrapSquare wrapText="bothSides"/>
                <wp:docPr id="149063" name="Group 1490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059" name="Rectangle 12059"/>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060" name="Rectangle 12060"/>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061" name="Rectangle 12061"/>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w:t>
                              </w:r>
                              <w:r>
                                <w:rPr>
                                  <w:sz w:val="12"/>
                                </w:rPr>
                                <w:t xml:space="preserve">de la plataforma esPublico Gestiona | Página 105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063" style="width:18.7031pt;height:264.21pt;position:absolute;mso-position-horizontal-relative:text;mso-position-horizontal:absolute;margin-left:515.165pt;mso-position-vertical-relative:text;margin-top:-3.36295pt;" coordsize="2375,33554">
                <v:rect id="Rectangle 12059"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0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0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105 de 133 </w:t>
                        </w:r>
                      </w:p>
                    </w:txbxContent>
                  </v:textbox>
                </v:rect>
                <w10:wrap type="square"/>
              </v:group>
            </w:pict>
          </mc:Fallback>
        </mc:AlternateContent>
      </w:r>
      <w:r>
        <w:rPr>
          <w:sz w:val="23"/>
        </w:rPr>
        <w:t xml:space="preserve">COLECTORES DE AGUAS RESIDUALES A EDARu </w:t>
      </w:r>
    </w:p>
    <w:p w:rsidR="00085BB7" w:rsidRDefault="004441D3">
      <w:pPr>
        <w:spacing w:after="33" w:line="224" w:lineRule="auto"/>
        <w:ind w:left="1862" w:right="874" w:hanging="8"/>
      </w:pPr>
      <w:r>
        <w:rPr>
          <w:sz w:val="23"/>
        </w:rPr>
        <w:t xml:space="preserve">Además de la EBAR, se incorporan al sistema los colectores de impulsión y gravedad </w:t>
      </w:r>
    </w:p>
    <w:p w:rsidR="00085BB7" w:rsidRDefault="004441D3">
      <w:pPr>
        <w:spacing w:after="123" w:line="224" w:lineRule="auto"/>
        <w:ind w:left="715" w:right="874" w:hanging="8"/>
      </w:pPr>
      <w:r>
        <w:rPr>
          <w:sz w:val="23"/>
        </w:rPr>
        <w:t>por los que se transporta el agua residual hasta la Estación de Depuración de Aguas Residuales Urbanas del Valle de Güímar (EDARu). Estos colectores están compuestos por un primer tramo en impulsión, mediante tubería de FDC DN-250, con origen en la EBAR Gü</w:t>
      </w:r>
      <w:r>
        <w:rPr>
          <w:sz w:val="23"/>
        </w:rPr>
        <w:t>ímar Casco, que discurre por el Camino Lomo Molino hasta el pozo situado en el Camino del Tonazo. Posteriormente el colector comarcal, prosigue su traza por gravedad mediante una conducción de PVC 315, atravesando el Camino el Tonazo, Camino Taro, Camino e</w:t>
      </w:r>
      <w:r>
        <w:rPr>
          <w:sz w:val="23"/>
        </w:rPr>
        <w:t xml:space="preserve">l Carretón (TM. Arafo), Camino la Molineta, Camino del Medio Camino y Fincas particulares hasta su llegada a la EDARu. </w:t>
      </w:r>
    </w:p>
    <w:p w:rsidR="00085BB7" w:rsidRDefault="004441D3">
      <w:pPr>
        <w:spacing w:after="33" w:line="224" w:lineRule="auto"/>
        <w:ind w:left="1862" w:right="874" w:hanging="8"/>
      </w:pPr>
      <w:r>
        <w:rPr>
          <w:sz w:val="23"/>
        </w:rPr>
        <w:t xml:space="preserve">En este tramo por gravedad se incorporan las aguas de los colectores siguientes: - </w:t>
      </w:r>
    </w:p>
    <w:p w:rsidR="00085BB7" w:rsidRDefault="004441D3">
      <w:pPr>
        <w:spacing w:after="33" w:line="224" w:lineRule="auto"/>
        <w:ind w:left="715" w:right="874" w:hanging="8"/>
      </w:pPr>
      <w:r>
        <w:rPr>
          <w:sz w:val="23"/>
        </w:rPr>
        <w:t xml:space="preserve">Colector de la Calle Poeta Arístides Hernandez Mora </w:t>
      </w:r>
      <w:r>
        <w:rPr>
          <w:sz w:val="23"/>
        </w:rPr>
        <w:t xml:space="preserve">que transportan aguas del casco Güímar. - </w:t>
      </w:r>
    </w:p>
    <w:p w:rsidR="00085BB7" w:rsidRDefault="004441D3">
      <w:pPr>
        <w:spacing w:after="123" w:line="224" w:lineRule="auto"/>
        <w:ind w:left="715" w:right="874" w:hanging="8"/>
      </w:pPr>
      <w:r>
        <w:rPr>
          <w:sz w:val="23"/>
        </w:rPr>
        <w:t>Colector del tramo superior del Camino Taro, que incorpora las aguas del entorno del Barrio de Fatima y del Barrio del Carmen en Arafo. - Colector del tramo superior del Camino de la Molineta que incorpora las agu</w:t>
      </w:r>
      <w:r>
        <w:rPr>
          <w:sz w:val="23"/>
        </w:rPr>
        <w:t xml:space="preserve">as del Casco de Arafo. </w:t>
      </w:r>
    </w:p>
    <w:p w:rsidR="00085BB7" w:rsidRDefault="004441D3">
      <w:pPr>
        <w:spacing w:after="123" w:line="224" w:lineRule="auto"/>
        <w:ind w:left="715" w:right="874" w:hanging="8"/>
      </w:pPr>
      <w:r>
        <w:rPr>
          <w:sz w:val="23"/>
        </w:rPr>
        <w:t xml:space="preserve">ESTACIÓN DE CONTROL DE CAUDAL Y CALIDAD (ECCC) </w:t>
      </w:r>
    </w:p>
    <w:p w:rsidR="00085BB7" w:rsidRDefault="004441D3">
      <w:pPr>
        <w:spacing w:after="118" w:line="232" w:lineRule="auto"/>
        <w:ind w:left="705" w:right="861" w:firstLine="1124"/>
        <w:jc w:val="left"/>
      </w:pPr>
      <w:r>
        <w:rPr>
          <w:sz w:val="23"/>
        </w:rPr>
        <w:t>En el tramo de colectores que se incorpora al SISTEMA COMARCAL DE DEPURACION Y REGENERACION DE AGUA RESIDUAL DEL VALLE DE GÜÍMAR, dispone de dos ESTACIONES DE CONTROL DE CAUDAL Y CALID</w:t>
      </w:r>
      <w:r>
        <w:rPr>
          <w:sz w:val="23"/>
        </w:rPr>
        <w:t>AD, emplazadas en los cruces de colectores de los límites municipales entre Arafo y Güímar. La posición de estas estaciones de control son las siguientes: - ECCC Arafo, situado en el Limite municipal Arafo-Güímar de la Carretera TF-525. - ECCC camino El Ta</w:t>
      </w:r>
      <w:r>
        <w:rPr>
          <w:sz w:val="23"/>
        </w:rPr>
        <w:t xml:space="preserve">ro, Situado la intersección entre el Camino El Taro y la carretera TF-281, en el Limite municipal Arafo-Güímar. </w:t>
      </w:r>
    </w:p>
    <w:p w:rsidR="00085BB7" w:rsidRDefault="004441D3">
      <w:pPr>
        <w:spacing w:after="0" w:line="232" w:lineRule="auto"/>
        <w:ind w:left="705" w:right="861" w:firstLine="1124"/>
        <w:jc w:val="left"/>
      </w:pPr>
      <w:r>
        <w:rPr>
          <w:sz w:val="23"/>
        </w:rPr>
        <w:t>De esta manera, la representación gráfica del SISTEMA COMARCAL DE DEPURACION Y REGENERACION DEL AGUAS RESIDUAL DEL VALLE DE GÜIMAR, queda de la</w:t>
      </w:r>
      <w:r>
        <w:rPr>
          <w:sz w:val="23"/>
        </w:rPr>
        <w:t xml:space="preserve"> siguiente manera y tal como se adjunta en el ANEXO I actualizado:</w:t>
      </w:r>
    </w:p>
    <w:p w:rsidR="00085BB7" w:rsidRDefault="004441D3">
      <w:pPr>
        <w:spacing w:after="0" w:line="259" w:lineRule="auto"/>
        <w:ind w:left="2627" w:right="0" w:firstLine="0"/>
        <w:jc w:val="left"/>
      </w:pPr>
      <w:r>
        <w:rPr>
          <w:rFonts w:ascii="Calibri" w:eastAsia="Calibri" w:hAnsi="Calibri" w:cs="Calibri"/>
          <w:noProof/>
        </w:rPr>
        <mc:AlternateContent>
          <mc:Choice Requires="wpg">
            <w:drawing>
              <wp:inline distT="0" distB="0" distL="0" distR="0">
                <wp:extent cx="5112150" cy="7546201"/>
                <wp:effectExtent l="0" t="0" r="0" b="0"/>
                <wp:docPr id="152836" name="Group 152836"/>
                <wp:cNvGraphicFramePr/>
                <a:graphic xmlns:a="http://schemas.openxmlformats.org/drawingml/2006/main">
                  <a:graphicData uri="http://schemas.microsoft.com/office/word/2010/wordprocessingGroup">
                    <wpg:wgp>
                      <wpg:cNvGrpSpPr/>
                      <wpg:grpSpPr>
                        <a:xfrm>
                          <a:off x="0" y="0"/>
                          <a:ext cx="5112150" cy="7546201"/>
                          <a:chOff x="0" y="0"/>
                          <a:chExt cx="5112150" cy="7546201"/>
                        </a:xfrm>
                      </wpg:grpSpPr>
                      <pic:pic xmlns:pic="http://schemas.openxmlformats.org/drawingml/2006/picture">
                        <pic:nvPicPr>
                          <pic:cNvPr id="12080" name="Picture 12080"/>
                          <pic:cNvPicPr/>
                        </pic:nvPicPr>
                        <pic:blipFill>
                          <a:blip r:embed="rId51"/>
                          <a:stretch>
                            <a:fillRect/>
                          </a:stretch>
                        </pic:blipFill>
                        <pic:spPr>
                          <a:xfrm>
                            <a:off x="0" y="0"/>
                            <a:ext cx="3665220" cy="4785360"/>
                          </a:xfrm>
                          <a:prstGeom prst="rect">
                            <a:avLst/>
                          </a:prstGeom>
                        </pic:spPr>
                      </pic:pic>
                      <wps:wsp>
                        <wps:cNvPr id="12087" name="Rectangle 12087"/>
                        <wps:cNvSpPr/>
                        <wps:spPr>
                          <a:xfrm rot="-5399999">
                            <a:off x="3685487" y="6243844"/>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088" name="Rectangle 12088"/>
                        <wps:cNvSpPr/>
                        <wps:spPr>
                          <a:xfrm rot="-5399999">
                            <a:off x="3898454" y="6380611"/>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089" name="Rectangle 12089"/>
                        <wps:cNvSpPr/>
                        <wps:spPr>
                          <a:xfrm rot="-5399999">
                            <a:off x="2852248" y="5258203"/>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106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2836" style="width:402.531pt;height:594.189pt;mso-position-horizontal-relative:char;mso-position-vertical-relative:line" coordsize="51121,75462">
                <v:shape id="Picture 12080" style="position:absolute;width:36652;height:47853;left:0;top:0;" filled="f">
                  <v:imagedata r:id="rId52"/>
                </v:shape>
                <v:rect id="Rectangle 12087" style="position:absolute;width:24914;height:1132;left:36854;top:6243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088" style="position:absolute;width:22179;height:1132;left:38984;top:6380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089" style="position:absolute;width:44627;height:1132;left:28522;top:5258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106 de 133 </w:t>
                        </w:r>
                      </w:p>
                    </w:txbxContent>
                  </v:textbox>
                </v:rect>
              </v:group>
            </w:pict>
          </mc:Fallback>
        </mc:AlternateContent>
      </w:r>
    </w:p>
    <w:p w:rsidR="00085BB7" w:rsidRDefault="004441D3">
      <w:pPr>
        <w:spacing w:after="129" w:line="259" w:lineRule="auto"/>
        <w:ind w:left="2783" w:right="0" w:firstLine="0"/>
        <w:jc w:val="left"/>
      </w:pPr>
      <w:r>
        <w:rPr>
          <w:noProof/>
        </w:rPr>
        <w:drawing>
          <wp:inline distT="0" distB="0" distL="0" distR="0">
            <wp:extent cx="3467100" cy="2598420"/>
            <wp:effectExtent l="0" t="0" r="0" b="0"/>
            <wp:docPr id="12093" name="Picture 12093"/>
            <wp:cNvGraphicFramePr/>
            <a:graphic xmlns:a="http://schemas.openxmlformats.org/drawingml/2006/main">
              <a:graphicData uri="http://schemas.openxmlformats.org/drawingml/2006/picture">
                <pic:pic xmlns:pic="http://schemas.openxmlformats.org/drawingml/2006/picture">
                  <pic:nvPicPr>
                    <pic:cNvPr id="12093" name="Picture 12093"/>
                    <pic:cNvPicPr/>
                  </pic:nvPicPr>
                  <pic:blipFill>
                    <a:blip r:embed="rId53"/>
                    <a:stretch>
                      <a:fillRect/>
                    </a:stretch>
                  </pic:blipFill>
                  <pic:spPr>
                    <a:xfrm>
                      <a:off x="0" y="0"/>
                      <a:ext cx="3467100" cy="2598420"/>
                    </a:xfrm>
                    <a:prstGeom prst="rect">
                      <a:avLst/>
                    </a:prstGeom>
                  </pic:spPr>
                </pic:pic>
              </a:graphicData>
            </a:graphic>
          </wp:inline>
        </w:drawing>
      </w:r>
    </w:p>
    <w:p w:rsidR="00085BB7" w:rsidRDefault="004441D3">
      <w:pPr>
        <w:spacing w:after="739" w:line="349" w:lineRule="auto"/>
        <w:ind w:left="1440" w:right="1272" w:firstLine="546"/>
      </w:pPr>
      <w:r>
        <w:rPr>
          <w:sz w:val="23"/>
        </w:rPr>
        <w:t>(1) 5% sobre gastos fijos y variables a excepción de las Inversiones (2) 10% sobre gastos fijos y variables a excepción de los gastos de gestión y control</w:t>
      </w:r>
    </w:p>
    <w:p w:rsidR="00085BB7" w:rsidRDefault="004441D3">
      <w:pPr>
        <w:spacing w:after="33" w:line="224" w:lineRule="auto"/>
        <w:ind w:left="715" w:right="874" w:hanging="8"/>
      </w:pPr>
      <w:r>
        <w:rPr>
          <w:sz w:val="23"/>
        </w:rPr>
        <w:t>Ate</w:t>
      </w:r>
      <w:r>
        <w:rPr>
          <w:sz w:val="23"/>
        </w:rPr>
        <w:t xml:space="preserve">ndiendo a la estimación presupuestaria inicial incluida en el CONVENIO PARA LA GESTIÓN </w:t>
      </w:r>
    </w:p>
    <w:p w:rsidR="00085BB7" w:rsidRDefault="004441D3">
      <w:pPr>
        <w:spacing w:after="123" w:line="224" w:lineRule="auto"/>
        <w:ind w:left="715" w:right="874" w:hanging="8"/>
      </w:pPr>
      <w:r>
        <w:rPr>
          <w:sz w:val="23"/>
        </w:rPr>
        <w:t>DE LAS INFRAESTRUCTURAS DE DEPURACIÓN Y VERTIDO DE AGUAS RESIDUALES, URBANAS E INDUSTRIALES, DE LOS SISTEMAS TERRITORIALES DEL VALLE DE GÜIMAR, que asciende a la cantid</w:t>
      </w:r>
      <w:r>
        <w:rPr>
          <w:sz w:val="23"/>
        </w:rPr>
        <w:t>ad de 3.953.601,06 Euros; ha de ponerse de manifiesto que, el ritmo de ejecución presupuestario está muy por debajo del inicialmente previsto debido a la demora en la actuaciones necesarias para la puesta en marcha completa de la EDARu comarcal del Valle d</w:t>
      </w:r>
      <w:r>
        <w:rPr>
          <w:sz w:val="23"/>
        </w:rPr>
        <w:t xml:space="preserve">e Güímar. </w:t>
      </w:r>
    </w:p>
    <w:p w:rsidR="00085BB7" w:rsidRDefault="004441D3">
      <w:pPr>
        <w:spacing w:after="123" w:line="224" w:lineRule="auto"/>
        <w:ind w:left="715" w:right="874" w:hanging="8"/>
      </w:pPr>
      <w:r>
        <w:rPr>
          <w:sz w:val="23"/>
        </w:rPr>
        <w:t xml:space="preserve">Esto ha provocado que los caudales tratado y los gastos de explotación asociados sean inferiores inicialmente previstos. </w:t>
      </w:r>
    </w:p>
    <w:p w:rsidR="00085BB7" w:rsidRDefault="004441D3">
      <w:pPr>
        <w:spacing w:after="8" w:line="224" w:lineRule="auto"/>
        <w:ind w:left="715" w:right="874" w:hanging="8"/>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column">
                  <wp:posOffset>6542599</wp:posOffset>
                </wp:positionH>
                <wp:positionV relativeFrom="paragraph">
                  <wp:posOffset>81750</wp:posOffset>
                </wp:positionV>
                <wp:extent cx="237530" cy="3355467"/>
                <wp:effectExtent l="0" t="0" r="0" b="0"/>
                <wp:wrapSquare wrapText="bothSides"/>
                <wp:docPr id="148853" name="Group 1488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139" name="Rectangle 12139"/>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140" name="Rectangle 12140"/>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141" name="Rectangle 12141"/>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8853" style="width:18.7031pt;height:264.21pt;position:absolute;mso-position-horizontal-relative:text;mso-position-horizontal:absolute;margin-left:515.165pt;mso-position-vertical-relative:text;margin-top:6.43704pt;" coordsize="2375,33554">
                <v:rect id="Rectangle 12139"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1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1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107 de 133 </w:t>
                        </w:r>
                      </w:p>
                    </w:txbxContent>
                  </v:textbox>
                </v:rect>
                <w10:wrap type="square"/>
              </v:group>
            </w:pict>
          </mc:Fallback>
        </mc:AlternateContent>
      </w:r>
      <w:r>
        <w:rPr>
          <w:sz w:val="23"/>
        </w:rPr>
        <w:t>Es por ello que la repercusión económica asociada a la incorporación de la ESTACION DE BOMBEO DE AGUAS RESIDUALES DE GÜIMAR CASCO Y COLECTORES COMARCALES AL SIST</w:t>
      </w:r>
      <w:r>
        <w:rPr>
          <w:sz w:val="23"/>
        </w:rPr>
        <w:t xml:space="preserve">EMA COMARCAL DE DEPURACION Y REGENERACION DE AGUAS RESIDUALES DEL </w:t>
      </w:r>
    </w:p>
    <w:p w:rsidR="00085BB7" w:rsidRDefault="004441D3">
      <w:pPr>
        <w:spacing w:after="500" w:line="224" w:lineRule="auto"/>
        <w:ind w:left="715" w:right="874" w:hanging="8"/>
      </w:pPr>
      <w:r>
        <w:rPr>
          <w:sz w:val="23"/>
        </w:rPr>
        <w:t>VALLE DE GÜIMAR, puede ser cubierta con la estimaciones presupuestarias aprobadas en el convenio en su límite temporal, NO REQUIRIENDO UN INCREMENTO PRESUPUESTARIO del convenio asociado a l</w:t>
      </w:r>
      <w:r>
        <w:rPr>
          <w:sz w:val="23"/>
        </w:rPr>
        <w:t xml:space="preserve">a incorporación de las instalaciones descritas. </w:t>
      </w:r>
    </w:p>
    <w:p w:rsidR="00085BB7" w:rsidRDefault="004441D3">
      <w:pPr>
        <w:spacing w:after="123" w:line="224" w:lineRule="auto"/>
        <w:ind w:left="715" w:right="874" w:hanging="8"/>
      </w:pPr>
      <w:r>
        <w:rPr>
          <w:sz w:val="23"/>
        </w:rPr>
        <w:t xml:space="preserve">Y para que así conste, en prueba de conformidad, las partes firman el presente documento, y a un solo efecto. </w:t>
      </w:r>
    </w:p>
    <w:p w:rsidR="00085BB7" w:rsidRDefault="004441D3">
      <w:pPr>
        <w:spacing w:after="496" w:line="224" w:lineRule="auto"/>
        <w:ind w:left="715" w:right="874" w:hanging="8"/>
      </w:pPr>
      <w:r>
        <w:rPr>
          <w:sz w:val="23"/>
        </w:rPr>
        <w:t xml:space="preserve">Sra. Doña Rosa Dávila Mamely, Presidenta del Consejo Insular de Aguas de Tenerife </w:t>
      </w:r>
    </w:p>
    <w:p w:rsidR="00085BB7" w:rsidRDefault="004441D3">
      <w:pPr>
        <w:spacing w:after="496" w:line="224" w:lineRule="auto"/>
        <w:ind w:left="715" w:right="874" w:hanging="8"/>
      </w:pPr>
      <w:r>
        <w:rPr>
          <w:sz w:val="23"/>
        </w:rPr>
        <w:t>Sra. Dª Maria</w:t>
      </w:r>
      <w:r>
        <w:rPr>
          <w:sz w:val="23"/>
        </w:rPr>
        <w:t xml:space="preserve"> Concepción Brito Núñez, Alcaldesa-Presidenta del Ayuntamiento de Candelaria</w:t>
      </w:r>
    </w:p>
    <w:p w:rsidR="00085BB7" w:rsidRDefault="004441D3">
      <w:pPr>
        <w:spacing w:after="496" w:line="224" w:lineRule="auto"/>
        <w:ind w:left="715" w:right="874" w:hanging="8"/>
      </w:pPr>
      <w:r>
        <w:rPr>
          <w:sz w:val="23"/>
        </w:rPr>
        <w:t xml:space="preserve">Sr. D. Juan Ramón Martín Pérez, Alcalde-Presidente del Ayuntamiento de Arafo </w:t>
      </w:r>
    </w:p>
    <w:p w:rsidR="00085BB7" w:rsidRDefault="004441D3">
      <w:pPr>
        <w:spacing w:after="496" w:line="224" w:lineRule="auto"/>
        <w:ind w:left="715" w:right="874" w:hanging="8"/>
      </w:pPr>
      <w:r>
        <w:rPr>
          <w:sz w:val="23"/>
        </w:rPr>
        <w:t>Sr. D. Gustavo Pérez Martín, Alcalde-Presidente del Ayuntamiento de Güímar […]</w:t>
      </w:r>
    </w:p>
    <w:p w:rsidR="00085BB7" w:rsidRDefault="004441D3">
      <w:pPr>
        <w:spacing w:after="3" w:line="265" w:lineRule="auto"/>
        <w:ind w:left="10" w:right="1417" w:hanging="10"/>
        <w:jc w:val="right"/>
      </w:pPr>
      <w:r>
        <w:t xml:space="preserve">ESTA </w:t>
      </w:r>
    </w:p>
    <w:p w:rsidR="00085BB7" w:rsidRDefault="004441D3">
      <w:pPr>
        <w:spacing w:after="486"/>
        <w:ind w:left="736" w:right="903"/>
      </w:pPr>
      <w:r>
        <w:t>ALCALDÍA-PRESIDENCIA ELEVA AL PLENO DE LA CORPORACIÓN LA SIGUIENTE PROPUESTA</w:t>
      </w:r>
    </w:p>
    <w:p w:rsidR="00085BB7" w:rsidRDefault="004441D3">
      <w:pPr>
        <w:spacing w:after="10"/>
        <w:ind w:left="1873" w:right="903"/>
      </w:pPr>
      <w:r>
        <w:t xml:space="preserve">PRIMERO: Aprobar la primera modificación del “CONVENIO DE COOPERACIÓN </w:t>
      </w:r>
    </w:p>
    <w:p w:rsidR="00085BB7" w:rsidRDefault="004441D3">
      <w:pPr>
        <w:spacing w:after="10"/>
        <w:ind w:left="736" w:right="903"/>
      </w:pPr>
      <w:r>
        <w:t xml:space="preserve">INTERADMINISTRATIVA ENTRE EL CONSEJO INSULAR DE AGUAS DE TENERIFE Y LOS </w:t>
      </w:r>
    </w:p>
    <w:p w:rsidR="00085BB7" w:rsidRDefault="004441D3">
      <w:pPr>
        <w:spacing w:after="114"/>
        <w:ind w:left="736" w:right="903"/>
      </w:pPr>
      <w:r>
        <w:t xml:space="preserve">AYUNTAMIENTOS DE CANDELARIA, ARAFO Y GÜÍMAR PARA LA GESTIÓN DE LAS INFRAESTRUCTURAS DE DEPURACIÓN Y VERTIDO DE AGUAS RESIDUALES, URBANAS E INDUSTRIALES, DE LOS SISTEMAS TERRITORIALES DEL VALLE DE GÜÍMAR Y POLÍGONO INDUSTRIAL DEL VALLE DE GÜÍMAR”, suscrito </w:t>
      </w:r>
      <w:r>
        <w:t>entre las partes con fecha 18 de septiembre de 2023 y que se encuentra en vigor desde dicha fecha en atención a la cláusula séptima del mismo. La modificación consiste, en aplicación de la cláusula primera del Convenio, en la inclusión en el objeto del mis</w:t>
      </w:r>
      <w:r>
        <w:t>mo de las siguientes instalaciones:</w:t>
      </w:r>
    </w:p>
    <w:p w:rsidR="00085BB7" w:rsidRDefault="004441D3">
      <w:pPr>
        <w:spacing w:after="109"/>
        <w:ind w:left="1873" w:right="903"/>
      </w:pPr>
      <w:r>
        <w:t xml:space="preserve">EBAR GÜIMAR CASCO. </w:t>
      </w:r>
    </w:p>
    <w:p w:rsidR="00085BB7" w:rsidRDefault="004441D3">
      <w:pPr>
        <w:spacing w:after="112"/>
        <w:ind w:left="730" w:right="903" w:firstLine="1134"/>
      </w:pPr>
      <w:r>
        <w:t>La EBAR Güímar Casco, emplazada en el T.M de Güímar, el las coordenadas UTM X: 362440.57; Y: 31325596.50, consta de una edificación, en la se alojan una sala de desbaste previo con reja autolimpiante,</w:t>
      </w:r>
      <w:r>
        <w:t xml:space="preserve"> una sala de bombeo con 1+1 bombas, sistema de desodorización por carbón activo y sala de cuadros eléctricos. A la instalación llegan el colector municipal de PVC 315 existente que discurre por la parte frontal de la instalación en las que incorporan aguas</w:t>
      </w:r>
      <w:r>
        <w:t xml:space="preserve"> provenientes del Casco de Güímar y de Guaza. Previa a la entrada se ha habilitado una arqueta aliviadero para casos de lluvia o paradas de la estación de bombeo, que alivia con la red existente. </w:t>
      </w:r>
    </w:p>
    <w:p w:rsidR="00085BB7" w:rsidRDefault="004441D3">
      <w:pPr>
        <w:spacing w:after="111"/>
        <w:ind w:left="1873" w:right="903"/>
      </w:pPr>
      <w:r>
        <w:t>COLECTORES DE AGUAS RESIDUALES A EDARu</w:t>
      </w:r>
    </w:p>
    <w:p w:rsidR="00085BB7" w:rsidRDefault="004441D3">
      <w:pPr>
        <w:spacing w:after="10"/>
        <w:ind w:left="1873" w:right="903"/>
      </w:pPr>
      <w:r>
        <w:t>Además de la EBAR, s</w:t>
      </w:r>
      <w:r>
        <w:t xml:space="preserve">e incorporan al sistema los colectores de impulsión y gravedad </w:t>
      </w:r>
    </w:p>
    <w:p w:rsidR="00085BB7" w:rsidRDefault="004441D3">
      <w:pPr>
        <w:spacing w:after="0"/>
        <w:ind w:left="736" w:right="903"/>
      </w:pPr>
      <w:r>
        <w:t>por los que se transporta el agua residual hasta la Estación de Depuración de Aguas Residuales Urbanas del Valle de Güímar (EDARu). Estos colectores están compuestos por un primer tramo en imp</w:t>
      </w:r>
      <w:r>
        <w:t>ulsión, mediante tubería de FDC DN-250, con origen en la EBAR Güímar Casco, que discurre por el Camino Lomo Molino hasta el pozo situado en el Camino del Tonazo. Posteriormente el colector comarcal, prosigue su traza por gravedad mediante una conducción de</w:t>
      </w:r>
      <w:r>
        <w:t xml:space="preserve"> </w:t>
      </w:r>
    </w:p>
    <w:p w:rsidR="00085BB7" w:rsidRDefault="004441D3">
      <w:pPr>
        <w:spacing w:after="10"/>
        <w:ind w:left="736" w:right="903"/>
      </w:pPr>
      <w:r>
        <w:t xml:space="preserve">PVC 315, atravesando el Camino el Tonazo, Camino Taro, Camino el Carretón (TM. Arafo), </w:t>
      </w:r>
    </w:p>
    <w:p w:rsidR="00085BB7" w:rsidRDefault="004441D3">
      <w:pPr>
        <w:spacing w:after="10"/>
        <w:ind w:left="736" w:right="903"/>
      </w:pPr>
      <w:r>
        <w:t xml:space="preserve">Camino la Molineta, Camino del Medio Camino y Fincas particulares hasta su llegada a la </w:t>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column">
                  <wp:posOffset>6542599</wp:posOffset>
                </wp:positionH>
                <wp:positionV relativeFrom="paragraph">
                  <wp:posOffset>24600</wp:posOffset>
                </wp:positionV>
                <wp:extent cx="237530" cy="3355467"/>
                <wp:effectExtent l="0" t="0" r="0" b="0"/>
                <wp:wrapSquare wrapText="bothSides"/>
                <wp:docPr id="149337" name="Group 1493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235" name="Rectangle 12235"/>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236" name="Rectangle 12236"/>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237" name="Rectangle 12237"/>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337" style="width:18.7031pt;height:264.21pt;position:absolute;mso-position-horizontal-relative:text;mso-position-horizontal:absolute;margin-left:515.165pt;mso-position-vertical-relative:text;margin-top:1.93701pt;" coordsize="2375,33554">
                <v:rect id="Rectangle 12235"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23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23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108 de 133 </w:t>
                        </w:r>
                      </w:p>
                    </w:txbxContent>
                  </v:textbox>
                </v:rect>
                <w10:wrap type="square"/>
              </v:group>
            </w:pict>
          </mc:Fallback>
        </mc:AlternateContent>
      </w:r>
      <w:r>
        <w:t xml:space="preserve">EDARu. En este tramo por gravedad se incorporan las aguas de los colectores siguientes: - </w:t>
      </w:r>
    </w:p>
    <w:p w:rsidR="00085BB7" w:rsidRDefault="004441D3">
      <w:pPr>
        <w:spacing w:after="10"/>
        <w:ind w:left="736" w:right="903"/>
      </w:pPr>
      <w:r>
        <w:t xml:space="preserve">Colector de la </w:t>
      </w:r>
      <w:r>
        <w:t xml:space="preserve">Calle Poeta Arístides Hernandez Mora que transportan aguas del casco Güímar. - </w:t>
      </w:r>
    </w:p>
    <w:p w:rsidR="00085BB7" w:rsidRDefault="004441D3">
      <w:pPr>
        <w:spacing w:after="112"/>
        <w:ind w:left="736" w:right="903"/>
      </w:pPr>
      <w:r>
        <w:t>Colector del tramo superior del Camino Taro, que incorpora las aguas del entorno del Barrio de Fatima y del Barrio del Carmen en Arafo. - Colector del tramo superior del Camino</w:t>
      </w:r>
      <w:r>
        <w:t xml:space="preserve"> de la Molineta que incorpora las aguas del Casco de Arafo. </w:t>
      </w:r>
    </w:p>
    <w:p w:rsidR="00085BB7" w:rsidRDefault="004441D3">
      <w:pPr>
        <w:spacing w:after="111"/>
        <w:ind w:left="1873" w:right="903"/>
      </w:pPr>
      <w:r>
        <w:t>ESTACIÓN DE CONTROL DE CAUDAL Y CALIDAD (ECCC)</w:t>
      </w:r>
    </w:p>
    <w:p w:rsidR="00085BB7" w:rsidRDefault="004441D3">
      <w:pPr>
        <w:spacing w:after="486"/>
        <w:ind w:left="730" w:right="903" w:firstLine="1134"/>
      </w:pPr>
      <w:r>
        <w:t>En el tramo de colectores que se incorpora al SISTEMA COMARCAL DE DEPURACION Y REGENERACION DE AGUA RESIDUAL DEL VALLE DE GÜÍMAR, dispone de dos EST</w:t>
      </w:r>
      <w:r>
        <w:t>ACIONES DE CONTROL DE CAUDAL Y CALIDAD, emplazadas en los cruces de colectores de los límites municipales entre Arafo y Güímar. La posición de estas estaciones de control son las siguientes: - ECCC Arafo, situado en el Limite municipal Arafo-Güímar de la C</w:t>
      </w:r>
      <w:r>
        <w:t xml:space="preserve">arretera TF-525. - ECCC camino El Taro, Situado la intersección entre el Camino El Taro y la carretera TF-281, en el Limite municipal Arafo-Güímar. </w:t>
      </w:r>
    </w:p>
    <w:p w:rsidR="00085BB7" w:rsidRDefault="004441D3">
      <w:pPr>
        <w:spacing w:after="111" w:line="249" w:lineRule="auto"/>
        <w:ind w:left="720" w:right="673" w:firstLine="1134"/>
        <w:jc w:val="left"/>
      </w:pPr>
      <w:r>
        <w:t>De esta manera, la representación gráfica del SISTEMA COMARCAL DE DEPURACION Y REGENERACION DEL AGUAS RESID</w:t>
      </w:r>
      <w:r>
        <w:t>UAL DEL VALLE DE GÜIMAR, queda de la siguiente manera y tal como se adjunta en el ANEXO I actualizado:</w:t>
      </w:r>
    </w:p>
    <w:p w:rsidR="00085BB7" w:rsidRDefault="004441D3">
      <w:pPr>
        <w:spacing w:after="1247" w:line="259" w:lineRule="auto"/>
        <w:ind w:left="977" w:right="0" w:firstLine="0"/>
        <w:jc w:val="left"/>
      </w:pPr>
      <w:r>
        <w:rPr>
          <w:noProof/>
        </w:rPr>
        <w:drawing>
          <wp:inline distT="0" distB="0" distL="0" distR="0">
            <wp:extent cx="5760720" cy="5036820"/>
            <wp:effectExtent l="0" t="0" r="0" b="0"/>
            <wp:docPr id="12247" name="Picture 12247"/>
            <wp:cNvGraphicFramePr/>
            <a:graphic xmlns:a="http://schemas.openxmlformats.org/drawingml/2006/main">
              <a:graphicData uri="http://schemas.openxmlformats.org/drawingml/2006/picture">
                <pic:pic xmlns:pic="http://schemas.openxmlformats.org/drawingml/2006/picture">
                  <pic:nvPicPr>
                    <pic:cNvPr id="12247" name="Picture 12247"/>
                    <pic:cNvPicPr/>
                  </pic:nvPicPr>
                  <pic:blipFill>
                    <a:blip r:embed="rId52"/>
                    <a:stretch>
                      <a:fillRect/>
                    </a:stretch>
                  </pic:blipFill>
                  <pic:spPr>
                    <a:xfrm>
                      <a:off x="0" y="0"/>
                      <a:ext cx="5760720" cy="5036820"/>
                    </a:xfrm>
                    <a:prstGeom prst="rect">
                      <a:avLst/>
                    </a:prstGeom>
                  </pic:spPr>
                </pic:pic>
              </a:graphicData>
            </a:graphic>
          </wp:inline>
        </w:drawing>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column">
                  <wp:posOffset>6542599</wp:posOffset>
                </wp:positionH>
                <wp:positionV relativeFrom="paragraph">
                  <wp:posOffset>-521499</wp:posOffset>
                </wp:positionV>
                <wp:extent cx="237530" cy="3355467"/>
                <wp:effectExtent l="0" t="0" r="0" b="0"/>
                <wp:wrapSquare wrapText="bothSides"/>
                <wp:docPr id="149566" name="Group 1495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275" name="Rectangle 12275"/>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276" name="Rectangle 12276"/>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277" name="Rectangle 12277"/>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109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566" style="width:18.7031pt;height:264.21pt;position:absolute;mso-position-horizontal-relative:text;mso-position-horizontal:absolute;margin-left:515.165pt;mso-position-vertical-relative:text;margin-top:-41.063pt;" coordsize="2375,33554">
                <v:rect id="Rectangle 12275"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27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27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109 de 133 </w:t>
                        </w:r>
                      </w:p>
                    </w:txbxContent>
                  </v:textbox>
                </v:rect>
                <w10:wrap type="square"/>
              </v:group>
            </w:pict>
          </mc:Fallback>
        </mc:AlternateContent>
      </w:r>
      <w:r>
        <w:t xml:space="preserve">SEGUNDO: Notificar la resolución que se adopte a los Ayuntamientos de Arafo y  Güímar y al </w:t>
      </w:r>
    </w:p>
    <w:p w:rsidR="00085BB7" w:rsidRDefault="004441D3">
      <w:pPr>
        <w:spacing w:after="0"/>
        <w:ind w:left="736" w:right="903"/>
      </w:pPr>
      <w:r>
        <w:t xml:space="preserve">Consejo Insular de Aguas de Tenerife  con objeto de que se proceda a </w:t>
      </w:r>
      <w:r>
        <w:t>la formalización de la Adenda que recoja la primera modificación al Convenio en los términos del Anexo que se adjunta, indicándose que, en su caso, procederá la interposición de RECURSO CONTENCIOSOADMINISTRATIVO ante los Juzgados de lo Contencioso-Administ</w:t>
      </w:r>
      <w:r>
        <w:t>rativo de Santa Cruz de Tenerife, dentro del plazo de DOS MESES contados a partir del día siguiente al de la recepción de la presente notificación sin perjuicio de dirigir a esta Corporación el REQUERIMIENTO PREVIO establecido en el artículo 44 de la Ley 2</w:t>
      </w:r>
      <w:r>
        <w:t xml:space="preserve">9/1998, de 13 de julio, Reguladora de la Jurisdicción Contencioso Administrativa, así como de la interposición de cualquier otro recurso que estime procedente. TERCERO: Dar cuenta de la presente Resolución a la Comisión de </w:t>
      </w:r>
    </w:p>
    <w:p w:rsidR="00085BB7" w:rsidRDefault="004441D3">
      <w:pPr>
        <w:spacing w:after="1229"/>
        <w:ind w:left="736" w:right="903"/>
      </w:pPr>
      <w:r>
        <w:t>Seguimiento del Convenio para qu</w:t>
      </w:r>
      <w:r>
        <w:t>e proceda a su ratificación en la próxima sesión que se celebre</w:t>
      </w:r>
    </w:p>
    <w:p w:rsidR="00085BB7" w:rsidRDefault="004441D3">
      <w:pPr>
        <w:spacing w:after="225" w:line="265" w:lineRule="auto"/>
        <w:ind w:left="548" w:right="1062" w:hanging="10"/>
        <w:jc w:val="center"/>
      </w:pPr>
      <w:r>
        <w:t>ANEXO</w:t>
      </w:r>
    </w:p>
    <w:p w:rsidR="00085BB7" w:rsidRDefault="004441D3">
      <w:pPr>
        <w:spacing w:after="501" w:line="259" w:lineRule="auto"/>
        <w:ind w:left="977" w:right="0" w:firstLine="0"/>
        <w:jc w:val="left"/>
      </w:pPr>
      <w:r>
        <w:rPr>
          <w:noProof/>
        </w:rPr>
        <w:drawing>
          <wp:inline distT="0" distB="0" distL="0" distR="0">
            <wp:extent cx="5760720" cy="1325880"/>
            <wp:effectExtent l="0" t="0" r="0" b="0"/>
            <wp:docPr id="12281" name="Picture 12281"/>
            <wp:cNvGraphicFramePr/>
            <a:graphic xmlns:a="http://schemas.openxmlformats.org/drawingml/2006/main">
              <a:graphicData uri="http://schemas.openxmlformats.org/drawingml/2006/picture">
                <pic:pic xmlns:pic="http://schemas.openxmlformats.org/drawingml/2006/picture">
                  <pic:nvPicPr>
                    <pic:cNvPr id="12281" name="Picture 12281"/>
                    <pic:cNvPicPr/>
                  </pic:nvPicPr>
                  <pic:blipFill>
                    <a:blip r:embed="rId50"/>
                    <a:stretch>
                      <a:fillRect/>
                    </a:stretch>
                  </pic:blipFill>
                  <pic:spPr>
                    <a:xfrm>
                      <a:off x="0" y="0"/>
                      <a:ext cx="5760720" cy="1325880"/>
                    </a:xfrm>
                    <a:prstGeom prst="rect">
                      <a:avLst/>
                    </a:prstGeom>
                  </pic:spPr>
                </pic:pic>
              </a:graphicData>
            </a:graphic>
          </wp:inline>
        </w:drawing>
      </w:r>
    </w:p>
    <w:p w:rsidR="00085BB7" w:rsidRDefault="004441D3">
      <w:pPr>
        <w:spacing w:after="10"/>
        <w:ind w:left="736" w:right="903"/>
      </w:pPr>
      <w:r>
        <w:t xml:space="preserve">ADENDA PRIMERA MODIFICACIÓN DEL CONVENIO DE COOPERACIÓN </w:t>
      </w:r>
    </w:p>
    <w:p w:rsidR="00085BB7" w:rsidRDefault="004441D3">
      <w:pPr>
        <w:spacing w:after="10"/>
        <w:ind w:left="736" w:right="903"/>
      </w:pPr>
      <w:r>
        <w:t xml:space="preserve">INTERADMINISTRATIVA ENTRE EL CONSEJO INSULAR DE AGUAS DE TENERIFE Y LOS </w:t>
      </w:r>
    </w:p>
    <w:p w:rsidR="00085BB7" w:rsidRDefault="004441D3">
      <w:pPr>
        <w:spacing w:after="112"/>
        <w:ind w:left="736" w:right="903"/>
      </w:pPr>
      <w:r>
        <w:t>AYUNTAMIENTOS DE CANDELARIA, ARAFO Y GÜÍMAR PARA LA GE</w:t>
      </w:r>
      <w:r>
        <w:t xml:space="preserve">STIÓN DE LAS INFRAESTRUCTURAS DE DEPURACIÓN Y VERTIDO DE AGUAS RESIDUALES, URBANAS E INDUSTRIALES, DE LOS SISTEMAS TERRITORIALES DEL VALLE DE GÜIMAR Y POLÍGONO INDUSTRIAL DEL VALLE DE GÜÍMAR. </w:t>
      </w:r>
    </w:p>
    <w:p w:rsidR="00085BB7" w:rsidRDefault="004441D3">
      <w:pPr>
        <w:spacing w:after="111"/>
        <w:ind w:left="736" w:right="903"/>
      </w:pPr>
      <w:r>
        <w:t>En Santa Cruz de Tenerife, a fecha de la última firma electróni</w:t>
      </w:r>
      <w:r>
        <w:t xml:space="preserve">ca </w:t>
      </w:r>
    </w:p>
    <w:p w:rsidR="00085BB7" w:rsidRDefault="004441D3">
      <w:pPr>
        <w:spacing w:after="109"/>
        <w:ind w:left="736" w:right="903"/>
      </w:pPr>
      <w:r>
        <w:t xml:space="preserve">SE REÚNEN </w:t>
      </w:r>
    </w:p>
    <w:p w:rsidR="00085BB7" w:rsidRDefault="004441D3">
      <w:pPr>
        <w:spacing w:after="114"/>
        <w:ind w:left="736" w:right="903"/>
      </w:pPr>
      <w:r>
        <w:t xml:space="preserve">De una parte, la Excma. Sra. Doña Rosa Dávila Mamely, Presidenta del Consejo Insular de Aguas de Tenerife (en lo sucesivo CIATF), en nombre y representación del mismo, facultada para </w:t>
      </w:r>
      <w:r>
        <w:t>este acto mediante acuerdo de la Junta de Gobierno del Consejo Insular de Aguas celebrada en sesión de 3 de marzo de 2021, en virtud de lo dispuesto en el artículo 21.2 del Estatuto del Consejo Insular de Aguas de Tenerife, aprobado por Decreto 115/1992, d</w:t>
      </w:r>
      <w:r>
        <w:t xml:space="preserve">e 9 de junio. </w:t>
      </w:r>
    </w:p>
    <w:p w:rsidR="00085BB7" w:rsidRDefault="004441D3">
      <w:pPr>
        <w:spacing w:after="112"/>
        <w:ind w:left="736" w:right="903"/>
      </w:pPr>
      <w:r>
        <w:t>De otra parte, la Sra. Dª Maria Concepción Brito Núñez, Alcaldesa-Presidenta del Ayuntamiento de Candelaria, en su nombre y representación, y en uso de las facultades que le confiere el artículo 21.1.b) de la Ley 7/1985, de 2 de abril, regul</w:t>
      </w:r>
      <w:r>
        <w:t xml:space="preserve">adora de las bases del Régimen Local, estando facultado para este acto en virtud del acuerdo plenario de dicha Corporación adoptado en sesión celebrada 30 de junio de 2022. </w:t>
      </w:r>
    </w:p>
    <w:p w:rsidR="00085BB7" w:rsidRDefault="004441D3">
      <w:pPr>
        <w:spacing w:after="114"/>
        <w:ind w:left="736" w:right="903"/>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column">
                  <wp:posOffset>6542599</wp:posOffset>
                </wp:positionH>
                <wp:positionV relativeFrom="paragraph">
                  <wp:posOffset>395999</wp:posOffset>
                </wp:positionV>
                <wp:extent cx="237530" cy="3349828"/>
                <wp:effectExtent l="0" t="0" r="0" b="0"/>
                <wp:wrapSquare wrapText="bothSides"/>
                <wp:docPr id="149062" name="Group 14906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346" name="Rectangle 12346"/>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347" name="Rectangle 12347"/>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12348" name="Rectangle 12348"/>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062" style="width:18.7031pt;height:263.766pt;position:absolute;mso-position-horizontal-relative:text;mso-position-horizontal:absolute;margin-left:515.165pt;mso-position-vertical-relative:text;margin-top:31.181pt;" coordsize="2375,33498">
                <v:rect id="Rectangle 12346"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34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34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110 de 133 </w:t>
                        </w:r>
                      </w:p>
                    </w:txbxContent>
                  </v:textbox>
                </v:rect>
                <w10:wrap type="square"/>
              </v:group>
            </w:pict>
          </mc:Fallback>
        </mc:AlternateContent>
      </w:r>
      <w:r>
        <w:t>De otra parte, el Sr. D. Juan Ramón Martín Pérez, Alcalde-Presidente del Ayuntamiento de Arafo en su nombre y representación, y en uso de l</w:t>
      </w:r>
      <w:r>
        <w:t>as facultades que le confiere el artículo 21.1.b) de la Ley 7/1985, de 2 de abril, reguladora de las bases del Régimen Local, estando facultado para este acto en virtud del acuerdo plenario de dicha Corporación adoptado en sesión celebrada el 30 de septiem</w:t>
      </w:r>
      <w:r>
        <w:t>bre de 2022.</w:t>
      </w:r>
    </w:p>
    <w:p w:rsidR="00085BB7" w:rsidRDefault="004441D3">
      <w:pPr>
        <w:spacing w:after="486"/>
        <w:ind w:left="736" w:right="903"/>
      </w:pPr>
      <w:r>
        <w:t>Y de otra parte, el Sr. D. Gustavo Pérez Martín, Alcalde-Presidente del Ayuntamiento de Güímar, en su nombre y representación, y en uso de las facultades que le confiere el artículo 21.1.b) de la Ley 7/1985, de 2 de abril, reguladora de las ba</w:t>
      </w:r>
      <w:r>
        <w:t>ses del Régimen Local, estando facultado para este acto en virtud del acuerdo plenario de dicha Corporación adoptado en sesión celebrada 26 de mayo de 2023.</w:t>
      </w:r>
    </w:p>
    <w:p w:rsidR="00085BB7" w:rsidRDefault="004441D3">
      <w:pPr>
        <w:spacing w:after="109"/>
        <w:ind w:left="4141" w:right="903"/>
      </w:pPr>
      <w:r>
        <w:t xml:space="preserve">INTERVIENEN </w:t>
      </w:r>
    </w:p>
    <w:p w:rsidR="00085BB7" w:rsidRDefault="004441D3">
      <w:pPr>
        <w:spacing w:after="1232"/>
        <w:ind w:left="736" w:right="903"/>
      </w:pPr>
      <w:r>
        <w:t>Las partes citadas, en la condición con que comparecen, se reconocen mutua y recíproca</w:t>
      </w:r>
      <w:r>
        <w:t xml:space="preserve">mente, con competencia y capacidad legal suficiente para suscribir la presente Adenda para la formalización de la primera modificación del Convenio de Colaboración y a tal efecto </w:t>
      </w:r>
    </w:p>
    <w:p w:rsidR="00085BB7" w:rsidRDefault="004441D3">
      <w:pPr>
        <w:spacing w:after="111"/>
        <w:ind w:left="4141" w:right="903"/>
      </w:pPr>
      <w:r>
        <w:t xml:space="preserve">      EXPONEN </w:t>
      </w:r>
    </w:p>
    <w:p w:rsidR="00085BB7" w:rsidRDefault="004441D3">
      <w:pPr>
        <w:numPr>
          <w:ilvl w:val="0"/>
          <w:numId w:val="40"/>
        </w:numPr>
        <w:spacing w:after="3" w:line="265" w:lineRule="auto"/>
        <w:ind w:right="903" w:firstLine="1134"/>
      </w:pPr>
      <w:r>
        <w:t xml:space="preserve">El día 18 de septiembre de 2023 tuvo lugar la firma del CONVENIO DE COOPERACIÓN INTERADMINISTRATIVA ENTRE EL CONSEJO INSULAR DE AGUAS DE </w:t>
      </w:r>
    </w:p>
    <w:p w:rsidR="00085BB7" w:rsidRDefault="004441D3">
      <w:pPr>
        <w:spacing w:after="10"/>
        <w:ind w:left="736" w:right="903"/>
      </w:pPr>
      <w:r>
        <w:t xml:space="preserve">TENERIFE Y LOS AYUNTAMIENTOS DE CANDELARIA, ARAFO Y GÜÍMAR PARA LA GESTIÓN </w:t>
      </w:r>
    </w:p>
    <w:p w:rsidR="00085BB7" w:rsidRDefault="004441D3">
      <w:pPr>
        <w:spacing w:after="10"/>
        <w:ind w:left="736" w:right="903"/>
      </w:pPr>
      <w:r>
        <w:t>DE LAS INFRAESTRUCTURAS DE DEPURACIÓN Y VE</w:t>
      </w:r>
      <w:r>
        <w:t xml:space="preserve">RTIDO DE AGUAS RESIDUALES, </w:t>
      </w:r>
    </w:p>
    <w:p w:rsidR="00085BB7" w:rsidRDefault="004441D3">
      <w:pPr>
        <w:spacing w:after="114"/>
        <w:ind w:left="736" w:right="903"/>
      </w:pPr>
      <w:r>
        <w:t xml:space="preserve">URBANAS E INDUSTRIALES, DE LOS SISTEMAS TERRITORIALES DEL VALLE DE GÜÍMAR Y POLÍGONO INDUSTRIAL DEL VALLE DE GÜÍMAR entrando en vigor en esa misma fecha , de conformidad con lo establecido en la cláusula séptima del convenio. </w:t>
      </w:r>
    </w:p>
    <w:p w:rsidR="00085BB7" w:rsidRDefault="004441D3">
      <w:pPr>
        <w:numPr>
          <w:ilvl w:val="0"/>
          <w:numId w:val="40"/>
        </w:numPr>
        <w:spacing w:after="114"/>
        <w:ind w:right="903" w:firstLine="1134"/>
      </w:pPr>
      <w:r>
        <w:t>L</w:t>
      </w:r>
      <w:r>
        <w:t>a “REHABILITACIÓN DE LA ESTACIÓN DE BOMBEO DE AGUAS RESIDUALES EN GÜÍMAR CASCO” se adjudicó el 11 de noviembre de 2022 a la empresa HIDROTEC AGUAS, S.L. por el importe de 230.787,27 €. En la actualidad la obra ha sido recibida favorablemente con fecha de 2</w:t>
      </w:r>
      <w:r>
        <w:t xml:space="preserve">9 de abril de 2024. </w:t>
      </w:r>
    </w:p>
    <w:p w:rsidR="00085BB7" w:rsidRDefault="004441D3">
      <w:pPr>
        <w:numPr>
          <w:ilvl w:val="0"/>
          <w:numId w:val="40"/>
        </w:numPr>
        <w:spacing w:after="114"/>
        <w:ind w:right="903" w:firstLine="1134"/>
      </w:pPr>
      <w:r>
        <w:t>Una vez finalizadas las actuaciones para la REHABILITACIÓN DE LA ESTACIÓN DE BOMBEO DE AGUAS RESIDUALES EN GÜÍMAR CASCO, y realizadas las verificaciones de colectores y trámites administrativos, la EBAR está disposición de prestar el s</w:t>
      </w:r>
      <w:r>
        <w:t>ervicio de bombeo hacia la EDARu Comarcal del Valle de Güímar, siendo incorporada al SISTEMA COMARCAL DE DEPURACION Y REGENERACION DE AGUA RESIDUAL DEL VALLE DE GÜIMAR. (SCIH_RAR_VG).</w:t>
      </w:r>
    </w:p>
    <w:p w:rsidR="00085BB7" w:rsidRDefault="004441D3">
      <w:pPr>
        <w:numPr>
          <w:ilvl w:val="0"/>
          <w:numId w:val="40"/>
        </w:numPr>
        <w:spacing w:after="10"/>
        <w:ind w:right="903" w:firstLine="1134"/>
      </w:pPr>
      <w:r>
        <w:t>Con la puesta en marcha de la EBAR GÜÍMAR CASCO se incorpora a la gestió</w:t>
      </w:r>
      <w:r>
        <w:t xml:space="preserve">n </w:t>
      </w:r>
    </w:p>
    <w:p w:rsidR="00085BB7" w:rsidRDefault="004441D3">
      <w:pPr>
        <w:spacing w:after="111" w:line="249" w:lineRule="auto"/>
        <w:ind w:left="730" w:right="673" w:hanging="10"/>
        <w:jc w:val="left"/>
      </w:pPr>
      <w:r>
        <w:t xml:space="preserve">del sistema comarcal dicha Estación de Bombeo, así como los colectores que transportan el agua hasta la EDARu comarcal del Valle de Güímar y las estaciones para el control de caudal y calidad intermunicipales. </w:t>
      </w:r>
    </w:p>
    <w:p w:rsidR="00085BB7" w:rsidRDefault="004441D3">
      <w:pPr>
        <w:spacing w:after="109"/>
        <w:ind w:left="4141" w:right="903"/>
      </w:pPr>
      <w:r>
        <w:t xml:space="preserve">ACUERDAN </w:t>
      </w:r>
    </w:p>
    <w:p w:rsidR="00085BB7" w:rsidRDefault="004441D3">
      <w:pPr>
        <w:spacing w:after="10"/>
        <w:ind w:left="1873" w:right="903"/>
      </w:pPr>
      <w:r>
        <w:t>A la vista de la cláusula primer</w:t>
      </w:r>
      <w:r>
        <w:t xml:space="preserve">a del Convenio, las partes acuerdan incluir en el objeto </w:t>
      </w:r>
    </w:p>
    <w:p w:rsidR="00085BB7" w:rsidRDefault="004441D3">
      <w:pPr>
        <w:spacing w:after="114"/>
        <w:ind w:left="736" w:right="903"/>
      </w:pPr>
      <w:r>
        <w:t xml:space="preserve">del mismo las siguientes instalaciones siéndoles por tanto de aplicación la totalidad de las estipulaciones del mismo: </w:t>
      </w:r>
    </w:p>
    <w:p w:rsidR="00085BB7" w:rsidRDefault="004441D3">
      <w:pPr>
        <w:spacing w:after="109"/>
        <w:ind w:left="1873" w:right="903"/>
      </w:pPr>
      <w:r>
        <w:t xml:space="preserve">EBAR GÜIMAR CASCO. </w:t>
      </w:r>
    </w:p>
    <w:p w:rsidR="00085BB7" w:rsidRDefault="004441D3">
      <w:pPr>
        <w:spacing w:after="112"/>
        <w:ind w:left="730" w:right="903" w:firstLine="1134"/>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column">
                  <wp:posOffset>6542599</wp:posOffset>
                </wp:positionH>
                <wp:positionV relativeFrom="paragraph">
                  <wp:posOffset>763588</wp:posOffset>
                </wp:positionV>
                <wp:extent cx="237530" cy="3344190"/>
                <wp:effectExtent l="0" t="0" r="0" b="0"/>
                <wp:wrapSquare wrapText="bothSides"/>
                <wp:docPr id="149775" name="Group 149775"/>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2448" name="Rectangle 12448"/>
                        <wps:cNvSpPr/>
                        <wps:spPr>
                          <a:xfrm rot="-5399999">
                            <a:off x="-1189133" y="2041833"/>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449" name="Rectangle 12449"/>
                        <wps:cNvSpPr/>
                        <wps:spPr>
                          <a:xfrm rot="-5399999">
                            <a:off x="-976166" y="2178600"/>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450" name="Rectangle 12450"/>
                        <wps:cNvSpPr/>
                        <wps:spPr>
                          <a:xfrm rot="-5399999">
                            <a:off x="-2014875" y="1063692"/>
                            <a:ext cx="4447773"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775" style="width:18.7031pt;height:263.322pt;position:absolute;mso-position-horizontal-relative:text;mso-position-horizontal:absolute;margin-left:515.165pt;mso-position-vertical-relative:text;margin-top:60.125pt;" coordsize="2375,33441">
                <v:rect id="Rectangle 12448" style="position:absolute;width:24914;height:1132;left:-11891;top:20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449"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450"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111 de 133 </w:t>
                        </w:r>
                      </w:p>
                    </w:txbxContent>
                  </v:textbox>
                </v:rect>
                <w10:wrap type="square"/>
              </v:group>
            </w:pict>
          </mc:Fallback>
        </mc:AlternateContent>
      </w:r>
      <w:r>
        <w:t>La EBAR Güímar Casco, emplazada en el T.M de Güímar, el las coordenadas UTM X: 362440.57; Y: 31325596.50,c</w:t>
      </w:r>
      <w:r>
        <w:t xml:space="preserve">onsta de una edificación, en la se alojan una sala de desbaste previo con reja autolimpiante, una sala de bombeo con 1+1 bombas, sistema de desodorización por carbón activo y sala de cuadros eléctricos. A la instalación llegan el colector municipal de PVC </w:t>
      </w:r>
      <w:r>
        <w:t xml:space="preserve">315 existente que discurre por la parte frontal de la instalación en las que incorporan aguas provenientes del Casco de Güímar y de Guaza. Previa a la entrada se ha habilitado una arqueta aliviadero para casos de lluvia o paradas de la estación de bombeo, </w:t>
      </w:r>
      <w:r>
        <w:t xml:space="preserve">que alivia con la red existente. </w:t>
      </w:r>
    </w:p>
    <w:p w:rsidR="00085BB7" w:rsidRDefault="004441D3">
      <w:pPr>
        <w:spacing w:after="111"/>
        <w:ind w:left="1873" w:right="903"/>
      </w:pPr>
      <w:r>
        <w:t xml:space="preserve">COLECTORES DE AGUAS RESIDUALES A EDARu </w:t>
      </w:r>
    </w:p>
    <w:p w:rsidR="00085BB7" w:rsidRDefault="004441D3">
      <w:pPr>
        <w:spacing w:after="10"/>
        <w:ind w:left="1873" w:right="903"/>
      </w:pPr>
      <w:r>
        <w:t xml:space="preserve">Además de la EBAR, se incorporan al sistema los colectores de impulsión y gravedad </w:t>
      </w:r>
    </w:p>
    <w:p w:rsidR="00085BB7" w:rsidRDefault="004441D3">
      <w:pPr>
        <w:spacing w:after="0"/>
        <w:ind w:left="736" w:right="903"/>
      </w:pPr>
      <w:r>
        <w:t>por los que se transporta el agua residual hasta la Estación de Depuración de Aguas Residuales Urb</w:t>
      </w:r>
      <w:r>
        <w:t xml:space="preserve">anas del Valle de Güímar (EDARu). Estos colectores están compuestos por un primer tramo en impulsión, mediante tubería de FDC DN-250, con origen en la EBAR Güímar Casco, que discurre por el Camino Lomo Molino hasta el pozo situado en el Camino del Tonazo. </w:t>
      </w:r>
      <w:r>
        <w:t xml:space="preserve">Posteriormente el colector comarcal, prosigue su traza por gravedad mediante una conducción de </w:t>
      </w:r>
    </w:p>
    <w:p w:rsidR="00085BB7" w:rsidRDefault="004441D3">
      <w:pPr>
        <w:spacing w:after="111" w:line="249" w:lineRule="auto"/>
        <w:ind w:left="730" w:right="673" w:hanging="10"/>
        <w:jc w:val="left"/>
      </w:pPr>
      <w:r>
        <w:t>PVC 315, atravesando el Camino el Tonazo, Camino Taro, Camino el Carretón (TM. Arafo), Camino la Molineta, Camino del Medio Camino y Fincas particulares hasta s</w:t>
      </w:r>
      <w:r>
        <w:t xml:space="preserve">u llegada a la EDARu. </w:t>
      </w:r>
    </w:p>
    <w:p w:rsidR="00085BB7" w:rsidRDefault="004441D3">
      <w:pPr>
        <w:spacing w:after="10"/>
        <w:ind w:left="1873" w:right="903"/>
      </w:pPr>
      <w:r>
        <w:t xml:space="preserve">En este tramo por gravedad se incorporan las aguas de los colectores siguientes: - </w:t>
      </w:r>
    </w:p>
    <w:p w:rsidR="00085BB7" w:rsidRDefault="004441D3">
      <w:pPr>
        <w:spacing w:after="10"/>
        <w:ind w:left="736" w:right="903"/>
      </w:pPr>
      <w:r>
        <w:t xml:space="preserve">Colector de la Calle Poeta Arístides Hernandez Mora que transportan aguas del casco Güímar. - </w:t>
      </w:r>
    </w:p>
    <w:p w:rsidR="00085BB7" w:rsidRDefault="004441D3">
      <w:pPr>
        <w:spacing w:after="114"/>
        <w:ind w:left="736" w:right="903"/>
      </w:pPr>
      <w:r>
        <w:t xml:space="preserve">Colector del tramo superior del Camino Taro, que incorpora las aguas del entorno del Barrio de Fatima y del Barrio del Carmen en Arafo. - Colector del tramo superior del Camino de la Molineta que incorpora las aguas del Casco de Arafo. </w:t>
      </w:r>
    </w:p>
    <w:p w:rsidR="00085BB7" w:rsidRDefault="004441D3">
      <w:pPr>
        <w:spacing w:after="109"/>
        <w:ind w:left="736" w:right="903"/>
      </w:pPr>
      <w:r>
        <w:t>ESTACIÓN DE CONTROL</w:t>
      </w:r>
      <w:r>
        <w:t xml:space="preserve"> DE CAUDAL Y CALIDAD (ECCC) </w:t>
      </w:r>
    </w:p>
    <w:p w:rsidR="00085BB7" w:rsidRDefault="004441D3">
      <w:pPr>
        <w:tabs>
          <w:tab w:val="center" w:pos="9361"/>
          <w:tab w:val="center" w:pos="9781"/>
          <w:tab w:val="center" w:pos="10212"/>
        </w:tabs>
        <w:spacing w:after="3" w:line="265" w:lineRule="auto"/>
        <w:ind w:left="0" w:right="0" w:firstLine="0"/>
        <w:jc w:val="left"/>
      </w:pPr>
      <w:r>
        <w:rPr>
          <w:rFonts w:ascii="Calibri" w:eastAsia="Calibri" w:hAnsi="Calibri" w:cs="Calibri"/>
        </w:rPr>
        <w:tab/>
      </w:r>
      <w:r>
        <w:t>En</w:t>
      </w:r>
      <w:r>
        <w:tab/>
        <w:t xml:space="preserve"> </w:t>
      </w:r>
      <w:r>
        <w:tab/>
        <w:t xml:space="preserve">el </w:t>
      </w:r>
    </w:p>
    <w:p w:rsidR="00085BB7" w:rsidRDefault="004441D3">
      <w:pPr>
        <w:spacing w:after="112"/>
        <w:ind w:left="736" w:right="903"/>
      </w:pPr>
      <w:r>
        <w:t>tramo de colectores que se incorpora al SISTEMA COMARCAL DE DEPURACION Y REGENERACION DE AGUA RESIDUAL DEL VALLE DE GÜÍMAR, dispone de dos ESTACIONES DE CONTROL DE CAUDAL Y CALIDAD, emplazadas en los cruces de colecto</w:t>
      </w:r>
      <w:r>
        <w:t>res de los límites municipales entre Arafo y Güímar. La posición de estas estaciones de control son las siguientes: - ECCC Arafo, situado en el Limite municipal Arafo-Güímar de la Carretera TF-525. - ECCC camino El Taro, Situado la intersección entre el Ca</w:t>
      </w:r>
      <w:r>
        <w:t xml:space="preserve">mino El Taro y la carretera TF-281, en el Limite municipal Arafo-Güímar. </w:t>
      </w:r>
    </w:p>
    <w:p w:rsidR="00085BB7" w:rsidRDefault="004441D3">
      <w:pPr>
        <w:spacing w:after="5454" w:line="249" w:lineRule="auto"/>
        <w:ind w:left="720" w:right="673" w:firstLine="1134"/>
        <w:jc w:val="left"/>
      </w:pPr>
      <w:r>
        <w:t>De esta manera, la representación gráfica del SISTEMA COMARCAL DE DEPURACION Y REGENERACION DEL AGUAS RESIDUAL DEL VALLE DE GÜIMAR, queda de la siguiente manera y tal como se adjunta</w:t>
      </w:r>
      <w:r>
        <w:t xml:space="preserve"> en el ANEXO I actualizado:</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49828"/>
                <wp:effectExtent l="0" t="0" r="0" b="0"/>
                <wp:docPr id="150509" name="Group 15050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484" name="Rectangle 12484"/>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485" name="Rectangle 12485"/>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486" name="Rectangle 12486"/>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112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0509" style="width:18.7031pt;height:263.766pt;mso-position-horizontal-relative:char;mso-position-vertical-relative:line" coordsize="2375,33498">
                <v:rect id="Rectangle 12484"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48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48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112 de 133 </w:t>
                        </w:r>
                      </w:p>
                    </w:txbxContent>
                  </v:textbox>
                </v:rect>
              </v:group>
            </w:pict>
          </mc:Fallback>
        </mc:AlternateContent>
      </w:r>
    </w:p>
    <w:p w:rsidR="00085BB7" w:rsidRDefault="004441D3">
      <w:pPr>
        <w:spacing w:after="830" w:line="259" w:lineRule="auto"/>
        <w:ind w:left="2627" w:right="0" w:firstLine="0"/>
        <w:jc w:val="left"/>
      </w:pPr>
      <w:r>
        <w:rPr>
          <w:noProof/>
        </w:rPr>
        <w:drawing>
          <wp:inline distT="0" distB="0" distL="0" distR="0">
            <wp:extent cx="3665220" cy="4785360"/>
            <wp:effectExtent l="0" t="0" r="0" b="0"/>
            <wp:docPr id="12490" name="Picture 12490"/>
            <wp:cNvGraphicFramePr/>
            <a:graphic xmlns:a="http://schemas.openxmlformats.org/drawingml/2006/main">
              <a:graphicData uri="http://schemas.openxmlformats.org/drawingml/2006/picture">
                <pic:pic xmlns:pic="http://schemas.openxmlformats.org/drawingml/2006/picture">
                  <pic:nvPicPr>
                    <pic:cNvPr id="12490" name="Picture 12490"/>
                    <pic:cNvPicPr/>
                  </pic:nvPicPr>
                  <pic:blipFill>
                    <a:blip r:embed="rId51"/>
                    <a:stretch>
                      <a:fillRect/>
                    </a:stretch>
                  </pic:blipFill>
                  <pic:spPr>
                    <a:xfrm>
                      <a:off x="0" y="0"/>
                      <a:ext cx="3665220" cy="4785360"/>
                    </a:xfrm>
                    <a:prstGeom prst="rect">
                      <a:avLst/>
                    </a:prstGeom>
                  </pic:spPr>
                </pic:pic>
              </a:graphicData>
            </a:graphic>
          </wp:inline>
        </w:drawing>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49828"/>
                <wp:effectExtent l="0" t="0" r="0" b="0"/>
                <wp:docPr id="149687" name="Group 14968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497" name="Rectangle 12497"/>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498" name="Rectangle 12498"/>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499" name="Rectangle 12499"/>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113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49687" style="width:18.7031pt;height:263.766pt;mso-position-horizontal-relative:char;mso-position-vertical-relative:line" coordsize="2375,33498">
                <v:rect id="Rectangle 12497"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49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49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113 de 133 </w:t>
                        </w:r>
                      </w:p>
                    </w:txbxContent>
                  </v:textbox>
                </v:rect>
              </v:group>
            </w:pict>
          </mc:Fallback>
        </mc:AlternateContent>
      </w:r>
    </w:p>
    <w:p w:rsidR="00085BB7" w:rsidRDefault="004441D3">
      <w:pPr>
        <w:spacing w:after="129" w:line="259" w:lineRule="auto"/>
        <w:ind w:left="2783" w:right="0" w:firstLine="0"/>
        <w:jc w:val="left"/>
      </w:pPr>
      <w:r>
        <w:rPr>
          <w:noProof/>
        </w:rPr>
        <w:drawing>
          <wp:inline distT="0" distB="0" distL="0" distR="0">
            <wp:extent cx="3467100" cy="2598420"/>
            <wp:effectExtent l="0" t="0" r="0" b="0"/>
            <wp:docPr id="12503" name="Picture 12503"/>
            <wp:cNvGraphicFramePr/>
            <a:graphic xmlns:a="http://schemas.openxmlformats.org/drawingml/2006/main">
              <a:graphicData uri="http://schemas.openxmlformats.org/drawingml/2006/picture">
                <pic:pic xmlns:pic="http://schemas.openxmlformats.org/drawingml/2006/picture">
                  <pic:nvPicPr>
                    <pic:cNvPr id="12503" name="Picture 12503"/>
                    <pic:cNvPicPr/>
                  </pic:nvPicPr>
                  <pic:blipFill>
                    <a:blip r:embed="rId53"/>
                    <a:stretch>
                      <a:fillRect/>
                    </a:stretch>
                  </pic:blipFill>
                  <pic:spPr>
                    <a:xfrm>
                      <a:off x="0" y="0"/>
                      <a:ext cx="3467100" cy="2598420"/>
                    </a:xfrm>
                    <a:prstGeom prst="rect">
                      <a:avLst/>
                    </a:prstGeom>
                  </pic:spPr>
                </pic:pic>
              </a:graphicData>
            </a:graphic>
          </wp:inline>
        </w:drawing>
      </w:r>
    </w:p>
    <w:p w:rsidR="00085BB7" w:rsidRDefault="004441D3">
      <w:pPr>
        <w:spacing w:after="100" w:line="265" w:lineRule="auto"/>
        <w:ind w:left="548" w:right="772" w:hanging="10"/>
        <w:jc w:val="center"/>
      </w:pPr>
      <w:r>
        <w:t xml:space="preserve">(1) 5% sobre gastos fijos y variables a excepción de las </w:t>
      </w:r>
      <w:r>
        <w:t xml:space="preserve">Inversiones  (2) </w:t>
      </w:r>
    </w:p>
    <w:p w:rsidR="00085BB7" w:rsidRDefault="004441D3">
      <w:pPr>
        <w:spacing w:after="857"/>
        <w:ind w:left="1459" w:right="903"/>
      </w:pPr>
      <w:r>
        <w:t>10% sobre gastos fijos y variables a excepción de los gastos de gestión y control</w:t>
      </w:r>
    </w:p>
    <w:p w:rsidR="00085BB7" w:rsidRDefault="004441D3">
      <w:pPr>
        <w:spacing w:after="10"/>
        <w:ind w:left="736" w:right="903"/>
      </w:pPr>
      <w:r>
        <w:t xml:space="preserve">Atendiendo a la estimación presupuestaria inicial incluida en el CONVENIO PARA LA GESTIÓN </w:t>
      </w:r>
    </w:p>
    <w:p w:rsidR="00085BB7" w:rsidRDefault="004441D3">
      <w:pPr>
        <w:spacing w:after="112"/>
        <w:ind w:left="736" w:right="903"/>
      </w:pPr>
      <w:r>
        <w:t>DE LAS INFRAESTRUCTURAS DE DEPURACIÓN Y VERTIDO DE AGUAS RESIDUALES, URBANAS E INDUSTRIALES, DE LOS SISTEMAS TERRITORIALES DEL VALLE DE GÜIMAR, que asciende a la cantidad de 3.953.601,06 Euros; ha de ponerse de manifiesto que, el ritmo de ejecución presupu</w:t>
      </w:r>
      <w:r>
        <w:t xml:space="preserve">estario está muy por debajo del inicialmente previsto debido a la demora en la actuaciones necesarias para la puesta en marcha completa de la EDARu comarcal del Valle de Güímar. </w:t>
      </w:r>
    </w:p>
    <w:p w:rsidR="00085BB7" w:rsidRDefault="004441D3">
      <w:pPr>
        <w:spacing w:after="111"/>
        <w:ind w:left="736" w:right="903"/>
      </w:pPr>
      <w:r>
        <w:t>Esto ha provocado que los caudales tratado y los gastos de explotación asocia</w:t>
      </w:r>
      <w:r>
        <w:t xml:space="preserve">dos sean inferiores inicialmente previstos. </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column">
                  <wp:posOffset>6542599</wp:posOffset>
                </wp:positionH>
                <wp:positionV relativeFrom="paragraph">
                  <wp:posOffset>87389</wp:posOffset>
                </wp:positionV>
                <wp:extent cx="237530" cy="3349828"/>
                <wp:effectExtent l="0" t="0" r="0" b="0"/>
                <wp:wrapSquare wrapText="bothSides"/>
                <wp:docPr id="149941" name="Group 14994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547" name="Rectangle 12547"/>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548" name="Rectangle 12548"/>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549" name="Rectangle 12549"/>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941" style="width:18.7031pt;height:263.766pt;position:absolute;mso-position-horizontal-relative:text;mso-position-horizontal:absolute;margin-left:515.165pt;mso-position-vertical-relative:text;margin-top:6.88101pt;" coordsize="2375,33498">
                <v:rect id="Rectangle 12547"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548"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549"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114 de 133 </w:t>
                        </w:r>
                      </w:p>
                    </w:txbxContent>
                  </v:textbox>
                </v:rect>
                <w10:wrap type="square"/>
              </v:group>
            </w:pict>
          </mc:Fallback>
        </mc:AlternateContent>
      </w:r>
      <w:r>
        <w:t xml:space="preserve">Es por ello </w:t>
      </w:r>
      <w:r>
        <w:t xml:space="preserve">que la repercusión económica asociada a la incorporación de la ESTACION DE BOMBEO DE AGUAS RESIDUALES DE GÜIMAR CASCO Y COLECTORES COMARCALES AL </w:t>
      </w:r>
    </w:p>
    <w:p w:rsidR="00085BB7" w:rsidRDefault="004441D3">
      <w:pPr>
        <w:spacing w:after="10"/>
        <w:ind w:left="736" w:right="903"/>
      </w:pPr>
      <w:r>
        <w:t xml:space="preserve">SISTEMA COMARCAL DE DEPURACION Y REGENERACION DE AGUAS RESIDUALES DEL </w:t>
      </w:r>
    </w:p>
    <w:p w:rsidR="00085BB7" w:rsidRDefault="004441D3">
      <w:pPr>
        <w:spacing w:after="486"/>
        <w:ind w:left="736" w:right="903"/>
      </w:pPr>
      <w:r>
        <w:t>VALLE DE GÜIMAR, puede ser cubierta con</w:t>
      </w:r>
      <w:r>
        <w:t xml:space="preserve"> la estimaciones presupuestarias aprobadas en el convenio en su límite temporal, NO REQUIRIENDO UN INCREMENTO PRESUPUESTARIO del convenio asociado a la incorporación de las instalaciones descritas. </w:t>
      </w:r>
    </w:p>
    <w:p w:rsidR="00085BB7" w:rsidRDefault="004441D3">
      <w:pPr>
        <w:spacing w:after="486"/>
        <w:ind w:left="736" w:right="903"/>
      </w:pPr>
      <w:r>
        <w:t>Y para que así conste, en prueba de conformidad, las part</w:t>
      </w:r>
      <w:r>
        <w:t xml:space="preserve">es firman el presente documento, y a un solo efecto. </w:t>
      </w:r>
    </w:p>
    <w:p w:rsidR="00085BB7" w:rsidRDefault="004441D3">
      <w:pPr>
        <w:spacing w:after="483"/>
        <w:ind w:left="736" w:right="903"/>
      </w:pPr>
      <w:r>
        <w:t xml:space="preserve">Sra. Doña Rosa Dávila Mamely, Presidenta del Consejo Insular de Aguas de Tenerife </w:t>
      </w:r>
    </w:p>
    <w:p w:rsidR="00085BB7" w:rsidRDefault="004441D3">
      <w:pPr>
        <w:spacing w:after="483"/>
        <w:ind w:left="736" w:right="903"/>
      </w:pPr>
      <w:r>
        <w:t>Sra. Dª Maria Concepción Brito Núñez, Alcaldesa-Presidenta del Ayuntamiento de Candelaria</w:t>
      </w:r>
    </w:p>
    <w:p w:rsidR="00085BB7" w:rsidRDefault="004441D3">
      <w:pPr>
        <w:spacing w:after="483"/>
        <w:ind w:left="736" w:right="903"/>
      </w:pPr>
      <w:r>
        <w:t xml:space="preserve">Sr. D. Juan Ramón Martín Pérez, Alcalde-Presidente del Ayuntamiento de Arafo </w:t>
      </w:r>
    </w:p>
    <w:p w:rsidR="00085BB7" w:rsidRDefault="004441D3">
      <w:pPr>
        <w:ind w:left="736" w:right="903"/>
      </w:pPr>
      <w:r>
        <w:t xml:space="preserve">Sr. D. Gustavo Pérez Martín, Alcalde-Presidente del Ayuntamiento de Güímar […] </w:t>
      </w:r>
    </w:p>
    <w:p w:rsidR="00085BB7" w:rsidRDefault="004441D3">
      <w:pPr>
        <w:spacing w:after="101" w:line="259" w:lineRule="auto"/>
        <w:ind w:left="0" w:right="170" w:firstLine="0"/>
        <w:jc w:val="center"/>
      </w:pPr>
      <w:r>
        <w:t xml:space="preserve"> </w:t>
      </w:r>
    </w:p>
    <w:p w:rsidR="00085BB7" w:rsidRDefault="004441D3">
      <w:pPr>
        <w:spacing w:after="114"/>
        <w:ind w:left="736" w:right="903"/>
      </w:pPr>
      <w:r>
        <w:t xml:space="preserve"> DICTAMEN FAVORABLE DE LA COMISIÓN INFORMATIVA DE P.G. URBANÍSTICA Y AMBIENTAL, OBRAS y SERVICIO</w:t>
      </w:r>
      <w:r>
        <w:t xml:space="preserve">S PÚBLICOS DE 23 DE SEPTIEMBRE DE 2024. </w:t>
      </w:r>
    </w:p>
    <w:p w:rsidR="00085BB7" w:rsidRDefault="004441D3">
      <w:pPr>
        <w:ind w:left="730" w:right="903" w:firstLine="710"/>
      </w:pPr>
      <w:r>
        <w:t>Previa ratificación de la urgencia del presente asunto en la Comisión Informativa, se procedió a su debate y votación.</w:t>
      </w:r>
    </w:p>
    <w:p w:rsidR="00085BB7" w:rsidRDefault="004441D3">
      <w:pPr>
        <w:ind w:left="736" w:right="903"/>
      </w:pPr>
      <w:r>
        <w:t>Votos a favor: 4.</w:t>
      </w:r>
    </w:p>
    <w:p w:rsidR="00085BB7" w:rsidRDefault="004441D3">
      <w:pPr>
        <w:ind w:left="736" w:right="903"/>
      </w:pPr>
      <w:r>
        <w:t>Los 4 concejales del Grupo Socialista: D. Reinaldo José Triviño Blanco, Don Ol</w:t>
      </w:r>
      <w:r>
        <w:t>egario Francisco Alonso Bello, Dª María Del Carmen Clemente Díaz y Dª Mónica Monserrat Yanes Delgado.</w:t>
      </w:r>
    </w:p>
    <w:p w:rsidR="00085BB7" w:rsidRDefault="004441D3">
      <w:pPr>
        <w:ind w:left="736" w:right="903"/>
      </w:pPr>
      <w:r>
        <w:t>Votos en contra: 0.</w:t>
      </w:r>
    </w:p>
    <w:p w:rsidR="00085BB7" w:rsidRDefault="004441D3">
      <w:pPr>
        <w:spacing w:after="10"/>
        <w:ind w:left="736" w:right="903"/>
      </w:pPr>
      <w:r>
        <w:t>Abstenciones: 3.</w:t>
      </w:r>
    </w:p>
    <w:p w:rsidR="00085BB7" w:rsidRDefault="004441D3">
      <w:pPr>
        <w:ind w:left="736" w:right="903"/>
      </w:pPr>
      <w:r>
        <w:t xml:space="preserve">Los 2 concejales del Grupo Popular: D Jacobo López Fariña, y Dª Raquel Martín Castro. </w:t>
      </w:r>
    </w:p>
    <w:p w:rsidR="00085BB7" w:rsidRDefault="004441D3">
      <w:pPr>
        <w:spacing w:after="497"/>
        <w:ind w:left="736" w:right="903"/>
      </w:pPr>
      <w:r>
        <w:t>1 del concejal del Grupo Mixto</w:t>
      </w:r>
      <w:r>
        <w:t>: D. José Fierros Sierra.</w:t>
      </w:r>
    </w:p>
    <w:p w:rsidR="00085BB7" w:rsidRDefault="004441D3">
      <w:pPr>
        <w:spacing w:after="10"/>
        <w:ind w:left="736" w:right="903"/>
      </w:pPr>
      <w:r>
        <w:t>JUNTA DE PORTAVOCES DE 23 DE SEPTIEMBRE DE 2024.</w:t>
      </w:r>
    </w:p>
    <w:p w:rsidR="00085BB7" w:rsidRDefault="004441D3">
      <w:pPr>
        <w:spacing w:after="782"/>
        <w:ind w:left="736" w:right="903"/>
      </w:pPr>
      <w:r>
        <w:t xml:space="preserve">Quedó oída. </w:t>
      </w:r>
    </w:p>
    <w:p w:rsidR="00085BB7" w:rsidRDefault="004441D3">
      <w:pPr>
        <w:spacing w:after="509" w:line="265" w:lineRule="auto"/>
        <w:ind w:left="548" w:right="708" w:hanging="10"/>
        <w:jc w:val="center"/>
      </w:pPr>
      <w:r>
        <w:t>VOTACIÓN EN EL PLENO DE 26 DE SEPTIEMBRE DE 2024</w:t>
      </w:r>
      <w:r>
        <w:rPr>
          <w:rFonts w:ascii="Times New Roman" w:eastAsia="Times New Roman" w:hAnsi="Times New Roman" w:cs="Times New Roman"/>
          <w:b/>
          <w:sz w:val="24"/>
        </w:rPr>
        <w:t>.</w:t>
      </w:r>
    </w:p>
    <w:p w:rsidR="00085BB7" w:rsidRDefault="004441D3">
      <w:pPr>
        <w:ind w:left="736" w:right="903"/>
      </w:pPr>
      <w:r>
        <w:t xml:space="preserve">La unanimidad de los 20 concejales presentes: </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column">
                  <wp:posOffset>6542599</wp:posOffset>
                </wp:positionH>
                <wp:positionV relativeFrom="paragraph">
                  <wp:posOffset>54369</wp:posOffset>
                </wp:positionV>
                <wp:extent cx="237530" cy="3349828"/>
                <wp:effectExtent l="0" t="0" r="0" b="0"/>
                <wp:wrapSquare wrapText="bothSides"/>
                <wp:docPr id="149967" name="Group 14996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603" name="Rectangle 12603"/>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604" name="Rectangle 12604"/>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605" name="Rectangle 12605"/>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esPublico</w:t>
                              </w:r>
                              <w:r>
                                <w:rPr>
                                  <w:sz w:val="12"/>
                                </w:rPr>
                                <w:t xml:space="preserve"> Gestiona | Página 115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967" style="width:18.7031pt;height:263.766pt;position:absolute;mso-position-horizontal-relative:text;mso-position-horizontal:absolute;margin-left:515.165pt;mso-position-vertical-relative:text;margin-top:4.28104pt;" coordsize="2375,33498">
                <v:rect id="Rectangle 12603"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60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60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115 de 133 </w:t>
                        </w:r>
                      </w:p>
                    </w:txbxContent>
                  </v:textbox>
                </v:rect>
                <w10:wrap type="square"/>
              </v:group>
            </w:pict>
          </mc:Fallback>
        </mc:AlternateContent>
      </w:r>
      <w:r>
        <w:t xml:space="preserve">Delgado, Don José Francisco Pinto Ramos, Doña Olivia Concepción Pérez Díaz, Don Reinaldo </w:t>
      </w:r>
    </w:p>
    <w:p w:rsidR="00085BB7" w:rsidRDefault="004441D3">
      <w:pPr>
        <w:ind w:left="736" w:right="903"/>
      </w:pPr>
      <w:r>
        <w:t>José Triviño Blanco, Don Manuel Alberto González Pestano, Doña Margarita Eva Tendero Barroso, Don Airam Pérez Chinea, Doña María del Ca</w:t>
      </w:r>
      <w:r>
        <w:t xml:space="preserve">rmen Clemente Díaz, Don Olegario Francisco Alonso Bello, Doña Mónica Monserrat Yanes Delgado. </w:t>
      </w:r>
    </w:p>
    <w:p w:rsidR="00085BB7" w:rsidRDefault="004441D3">
      <w:pPr>
        <w:ind w:left="736" w:right="903"/>
      </w:pPr>
      <w:r>
        <w:t>5 concejales del Grupo Popular: Don Jacobo López Fariña, Doña Raquel Martín Castro, Doña María Carlota Díaz González, Don José Daniel Sosa González, y Doña Shail</w:t>
      </w:r>
      <w:r>
        <w:t xml:space="preserve">a Castellano Batista. </w:t>
      </w:r>
    </w:p>
    <w:p w:rsidR="00085BB7" w:rsidRDefault="004441D3">
      <w:pPr>
        <w:spacing w:after="12"/>
        <w:ind w:left="736" w:right="903"/>
      </w:pPr>
      <w:r>
        <w:t>4 concejales del Grupo Mixto: Doña Ángela Cruz Perera y Don Emilio Jesús Atienzar Armas, (CC), D. José Fierros Sierra (USP), Don José Tortosa Pallarés (VOX).</w:t>
      </w:r>
    </w:p>
    <w:p w:rsidR="00085BB7" w:rsidRDefault="004441D3">
      <w:pPr>
        <w:spacing w:after="0" w:line="259" w:lineRule="auto"/>
        <w:ind w:left="733" w:firstLine="0"/>
        <w:jc w:val="left"/>
      </w:pPr>
      <w:r>
        <w:rPr>
          <w:rFonts w:ascii="Times New Roman" w:eastAsia="Times New Roman" w:hAnsi="Times New Roman" w:cs="Times New Roman"/>
          <w:b/>
          <w:sz w:val="24"/>
        </w:rPr>
        <w:t xml:space="preserve">                          </w:t>
      </w:r>
    </w:p>
    <w:p w:rsidR="00085BB7" w:rsidRDefault="004441D3">
      <w:pPr>
        <w:spacing w:after="95" w:line="265" w:lineRule="auto"/>
        <w:ind w:left="548" w:right="713" w:hanging="10"/>
        <w:jc w:val="center"/>
      </w:pPr>
      <w:r>
        <w:t>ACUERDO DEL PLENO DE 26 DE SEPTIEMBRE DE 2024.</w:t>
      </w:r>
    </w:p>
    <w:p w:rsidR="00085BB7" w:rsidRDefault="004441D3">
      <w:pPr>
        <w:spacing w:after="10"/>
        <w:ind w:left="1873" w:right="903"/>
      </w:pPr>
      <w:r>
        <w:t xml:space="preserve">PRIMERO: Aprobar la primera modificación del “CONVENIO DE COOPERACIÓN </w:t>
      </w:r>
    </w:p>
    <w:p w:rsidR="00085BB7" w:rsidRDefault="004441D3">
      <w:pPr>
        <w:spacing w:after="10"/>
        <w:ind w:left="736" w:right="903"/>
      </w:pPr>
      <w:r>
        <w:t xml:space="preserve">INTERADMINISTRATIVA ENTRE EL CONSEJO INSULAR DE AGUAS DE TENERIFE Y LOS </w:t>
      </w:r>
    </w:p>
    <w:p w:rsidR="00085BB7" w:rsidRDefault="004441D3">
      <w:pPr>
        <w:spacing w:after="112"/>
        <w:ind w:left="736" w:right="903"/>
      </w:pPr>
      <w:r>
        <w:t>AYUNTAMIENTOS DE CANDELARIA, ARAFO Y GÜÍMAR PARA LA GESTIÓN DE LAS INFRAESTRUCTURAS DE DEPURACIÓN Y VERTIDO DE A</w:t>
      </w:r>
      <w:r>
        <w:t xml:space="preserve">GUAS RESIDUALES, URBANAS E INDUSTRIALES, DE LOS SISTEMAS TERRITORIALES DEL VALLE DE GÜÍMAR Y POLÍGONO INDUSTRIAL DEL VALLE DE GÜÍMAR”, suscrito entre las partes con fecha 18 de septiembre de 2023 y que se encuentra en vigor desde dicha fecha en atención a </w:t>
      </w:r>
      <w:r>
        <w:t>la cláusula séptima del mismo. La modificación consiste, en aplicación de la cláusula primera del Convenio, en la inclusión en el objeto del mismo de las siguientes instalaciones:</w:t>
      </w:r>
    </w:p>
    <w:p w:rsidR="00085BB7" w:rsidRDefault="004441D3">
      <w:pPr>
        <w:spacing w:after="111"/>
        <w:ind w:left="1873" w:right="903"/>
      </w:pPr>
      <w:r>
        <w:t xml:space="preserve">EBAR GÜIMAR CASCO. </w:t>
      </w:r>
    </w:p>
    <w:p w:rsidR="00085BB7" w:rsidRDefault="004441D3">
      <w:pPr>
        <w:spacing w:after="114"/>
        <w:ind w:left="730" w:right="903" w:firstLine="1134"/>
      </w:pPr>
      <w:r>
        <w:t xml:space="preserve">La EBAR Güímar Casco, emplazada en el T.M de Güímar, el </w:t>
      </w:r>
      <w:r>
        <w:t xml:space="preserve">las coordenadas UTM X: 362440.57; Y: 31325596.50, consta de una edificación, en la se alojan una sala de desbaste previo con reja autolimpiante, una sala de bombeo con 1+1 bombas, sistema de desodorización por carbón activo y sala de cuadros eléctricos. A </w:t>
      </w:r>
      <w:r>
        <w:t>la instalación llegan el colector municipal de PVC 315 existente que discurre por la parte frontal de la instalación en las que incorporan aguas provenientes del Casco de Güímar y de Guaza. Previa a la entrada se ha habilitado una arqueta aliviadero para c</w:t>
      </w:r>
      <w:r>
        <w:t xml:space="preserve">asos de lluvia o paradas de la estación de bombeo, que alivia con la red existente. </w:t>
      </w:r>
    </w:p>
    <w:p w:rsidR="00085BB7" w:rsidRDefault="004441D3">
      <w:pPr>
        <w:spacing w:after="109"/>
        <w:ind w:left="1873" w:right="903"/>
      </w:pPr>
      <w:r>
        <w:t>COLECTORES DE AGUAS RESIDUALES A EDARU</w:t>
      </w:r>
    </w:p>
    <w:p w:rsidR="00085BB7" w:rsidRDefault="004441D3">
      <w:pPr>
        <w:spacing w:after="10"/>
        <w:ind w:left="1873" w:right="903"/>
      </w:pPr>
      <w:r>
        <w:t xml:space="preserve">Además de la EBAR, se incorporan al sistema los colectores de impulsión y gravedad </w:t>
      </w:r>
    </w:p>
    <w:p w:rsidR="00085BB7" w:rsidRDefault="004441D3">
      <w:pPr>
        <w:spacing w:after="0"/>
        <w:ind w:left="736" w:right="903"/>
      </w:pPr>
      <w:r>
        <w:t>por los que se transporta el agua residual hasta</w:t>
      </w:r>
      <w:r>
        <w:t xml:space="preserve"> la Estación de Depuración de Aguas Residuales Urbanas del Valle de Güímar (EDARu). Estos colectores están compuestos por un primer tramo en impulsión, mediante tubería de FDC DN-250, con origen en la EBAR Güímar Casco, que discurre por el Camino Lomo Moli</w:t>
      </w:r>
      <w:r>
        <w:t xml:space="preserve">no hasta el pozo situado en el Camino del Tonazo. Posteriormente el colector comarcal, prosigue su traza por gravedad mediante una conducción de </w:t>
      </w:r>
    </w:p>
    <w:p w:rsidR="00085BB7" w:rsidRDefault="004441D3">
      <w:pPr>
        <w:spacing w:after="10"/>
        <w:ind w:left="736" w:right="903"/>
      </w:pPr>
      <w:r>
        <w:t xml:space="preserve">PVC 315, atravesando el Camino el Tonazo, Camino Taro, Camino el Carretón (TM. Arafo), </w:t>
      </w:r>
    </w:p>
    <w:p w:rsidR="00085BB7" w:rsidRDefault="004441D3">
      <w:pPr>
        <w:spacing w:after="10"/>
        <w:ind w:left="736" w:right="903"/>
      </w:pPr>
      <w:r>
        <w:t>Camino la Molineta, Ca</w:t>
      </w:r>
      <w:r>
        <w:t xml:space="preserve">mino del Medio Camino y Fincas particulares hasta su llegada a la </w:t>
      </w:r>
    </w:p>
    <w:p w:rsidR="00085BB7" w:rsidRDefault="004441D3">
      <w:pPr>
        <w:spacing w:after="10"/>
        <w:ind w:left="736" w:right="903"/>
      </w:pPr>
      <w:r>
        <w:t xml:space="preserve">EDARu. En este tramo por gravedad se incorporan las aguas de los colectores siguientes: - </w:t>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column">
                  <wp:posOffset>6542599</wp:posOffset>
                </wp:positionH>
                <wp:positionV relativeFrom="paragraph">
                  <wp:posOffset>30239</wp:posOffset>
                </wp:positionV>
                <wp:extent cx="237530" cy="3349828"/>
                <wp:effectExtent l="0" t="0" r="0" b="0"/>
                <wp:wrapSquare wrapText="bothSides"/>
                <wp:docPr id="150219" name="Group 15021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704" name="Rectangle 12704"/>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705" name="Rectangle 12705"/>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706" name="Rectangle 12706"/>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219" style="width:18.7031pt;height:263.766pt;position:absolute;mso-position-horizontal-relative:text;mso-position-horizontal:absolute;margin-left:515.165pt;mso-position-vertical-relative:text;margin-top:2.38101pt;" coordsize="2375,33498">
                <v:rect id="Rectangle 12704"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70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70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116 de 133 </w:t>
                        </w:r>
                      </w:p>
                    </w:txbxContent>
                  </v:textbox>
                </v:rect>
                <w10:wrap type="square"/>
              </v:group>
            </w:pict>
          </mc:Fallback>
        </mc:AlternateContent>
      </w:r>
      <w:r>
        <w:t xml:space="preserve">Colector de la Calle Poeta Arístides Hernandez Mora que transportan aguas del casco Güímar. - </w:t>
      </w:r>
    </w:p>
    <w:p w:rsidR="00085BB7" w:rsidRDefault="004441D3">
      <w:pPr>
        <w:spacing w:after="486"/>
        <w:ind w:left="736" w:right="903"/>
      </w:pPr>
      <w:r>
        <w:t>Colector de</w:t>
      </w:r>
      <w:r>
        <w:t xml:space="preserve">l tramo superior del Camino Taro, que incorpora las aguas del entorno del Barrio de Fatima y del Barrio del Carmen en Arafo. - Colector del tramo superior del Camino de la Molineta que incorpora las aguas del Casco de Arafo. </w:t>
      </w:r>
    </w:p>
    <w:p w:rsidR="00085BB7" w:rsidRDefault="004441D3">
      <w:pPr>
        <w:spacing w:after="111"/>
        <w:ind w:left="1873" w:right="903"/>
      </w:pPr>
      <w:r>
        <w:t xml:space="preserve">ESTACIÓN DE CONTROL DE CAUDAL </w:t>
      </w:r>
      <w:r>
        <w:t>Y CALIDAD (ECCC)</w:t>
      </w:r>
    </w:p>
    <w:p w:rsidR="00085BB7" w:rsidRDefault="004441D3">
      <w:pPr>
        <w:spacing w:after="486"/>
        <w:ind w:left="730" w:right="903" w:firstLine="1134"/>
      </w:pPr>
      <w:r>
        <w:t>En el tramo de colectores que se incorpora al SISTEMA COMARCAL DE DEPURACION Y REGENERACION DE AGUA RESIDUAL DEL VALLE DE GÜÍMAR, dispone de dos ESTACIONES DE CONTROL DE CAUDAL Y CALIDAD, emplazadas en los cruces de colectores de los límit</w:t>
      </w:r>
      <w:r>
        <w:t>es municipales entre Arafo y Güímar. La posición de estas estaciones de control son las siguientes: - ECCC Arafo, situado en el Limite municipal Arafo-Güímar de la Carretera TF-525. - ECCC camino El Taro, Situado la intersección entre el Camino El Taro y l</w:t>
      </w:r>
      <w:r>
        <w:t xml:space="preserve">a carretera TF-281, en el Limite municipal Arafo-Güímar. </w:t>
      </w:r>
    </w:p>
    <w:p w:rsidR="00085BB7" w:rsidRDefault="004441D3">
      <w:pPr>
        <w:spacing w:after="111" w:line="249" w:lineRule="auto"/>
        <w:ind w:left="720" w:right="673" w:firstLine="1134"/>
        <w:jc w:val="left"/>
      </w:pPr>
      <w:r>
        <w:t>De esta manera, la representación gráfica del SISTEMA COMARCAL DE DEPURACION Y REGENERACION DEL AGUAS RESIDUAL DEL VALLE DE GÜIMAR, queda de la siguiente manera y tal como se adjunta en el ANEXO I a</w:t>
      </w:r>
      <w:r>
        <w:t>ctualizado:</w:t>
      </w:r>
    </w:p>
    <w:p w:rsidR="00085BB7" w:rsidRDefault="004441D3">
      <w:pPr>
        <w:spacing w:after="1247" w:line="259" w:lineRule="auto"/>
        <w:ind w:left="977" w:right="0" w:firstLine="0"/>
        <w:jc w:val="left"/>
      </w:pPr>
      <w:r>
        <w:rPr>
          <w:noProof/>
        </w:rPr>
        <w:drawing>
          <wp:inline distT="0" distB="0" distL="0" distR="0">
            <wp:extent cx="5760720" cy="5036820"/>
            <wp:effectExtent l="0" t="0" r="0" b="0"/>
            <wp:docPr id="12716" name="Picture 12716"/>
            <wp:cNvGraphicFramePr/>
            <a:graphic xmlns:a="http://schemas.openxmlformats.org/drawingml/2006/main">
              <a:graphicData uri="http://schemas.openxmlformats.org/drawingml/2006/picture">
                <pic:pic xmlns:pic="http://schemas.openxmlformats.org/drawingml/2006/picture">
                  <pic:nvPicPr>
                    <pic:cNvPr id="12716" name="Picture 12716"/>
                    <pic:cNvPicPr/>
                  </pic:nvPicPr>
                  <pic:blipFill>
                    <a:blip r:embed="rId52"/>
                    <a:stretch>
                      <a:fillRect/>
                    </a:stretch>
                  </pic:blipFill>
                  <pic:spPr>
                    <a:xfrm>
                      <a:off x="0" y="0"/>
                      <a:ext cx="5760720" cy="5036820"/>
                    </a:xfrm>
                    <a:prstGeom prst="rect">
                      <a:avLst/>
                    </a:prstGeom>
                  </pic:spPr>
                </pic:pic>
              </a:graphicData>
            </a:graphic>
          </wp:inline>
        </w:drawing>
      </w:r>
    </w:p>
    <w:p w:rsidR="00085BB7" w:rsidRDefault="004441D3">
      <w:pPr>
        <w:spacing w:after="486"/>
        <w:ind w:left="736" w:right="903"/>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column">
                  <wp:posOffset>6542599</wp:posOffset>
                </wp:positionH>
                <wp:positionV relativeFrom="paragraph">
                  <wp:posOffset>-515861</wp:posOffset>
                </wp:positionV>
                <wp:extent cx="237530" cy="3349828"/>
                <wp:effectExtent l="0" t="0" r="0" b="0"/>
                <wp:wrapSquare wrapText="bothSides"/>
                <wp:docPr id="150400" name="Group 15040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743" name="Rectangle 12743"/>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744" name="Rectangle 12744"/>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745" name="Rectangle 12745"/>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400" style="width:18.7031pt;height:263.766pt;position:absolute;mso-position-horizontal-relative:text;mso-position-horizontal:absolute;margin-left:515.165pt;mso-position-vertical-relative:text;margin-top:-40.619pt;" coordsize="2375,33498">
                <v:rect id="Rectangle 12743"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74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74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117 de 133 </w:t>
                        </w:r>
                      </w:p>
                    </w:txbxContent>
                  </v:textbox>
                </v:rect>
                <w10:wrap type="square"/>
              </v:group>
            </w:pict>
          </mc:Fallback>
        </mc:AlternateContent>
      </w:r>
      <w:r>
        <w:t>SEGUNDO: Notificar la resolución que se adopte a los Ayuntamientos de Arafo, Candelaria y Güímar, con objeto de que se proceda a la formalización de la Adenda que recoja la primera modificación al Convenio en los términos del Anexo que se adjunta, indicánd</w:t>
      </w:r>
      <w:r>
        <w:t>ose que, en su caso, procederá la interposición de RECURSO CONTENCIOSO-ADMINISTRATIVO ante los Juzgados de lo Contencioso-Administrativo de Santa Cruz de Tenerife, dentro del plazo de DOS MESES contados a partir del día siguiente al de la recepción de la p</w:t>
      </w:r>
      <w:r>
        <w:t>resente notificación sin perjuicio de dirigir a esta Corporación el REQUERIMIENTO PREVIO establecido en el artículo 44 de la Ley 29/1998, de 13 de julio, Reguladora de la Jurisdicción Contencioso Administrativa, así como de la interposición de cualquier ot</w:t>
      </w:r>
      <w:r>
        <w:t xml:space="preserve">ro recurso que estime procedente. </w:t>
      </w:r>
    </w:p>
    <w:p w:rsidR="00085BB7" w:rsidRDefault="004441D3">
      <w:pPr>
        <w:ind w:left="736" w:right="903"/>
      </w:pPr>
      <w:r>
        <w:t>TERCERO: Dar cuenta de la presente Resolución a la Comisión de Seguimiento del Convenio para que proceda a su ratificación en la próxima sesión que se celebre</w:t>
      </w:r>
    </w:p>
    <w:p w:rsidR="00085BB7" w:rsidRDefault="004441D3">
      <w:pPr>
        <w:spacing w:after="0" w:line="265" w:lineRule="auto"/>
        <w:ind w:left="548" w:right="709" w:hanging="10"/>
        <w:jc w:val="center"/>
      </w:pPr>
      <w:r>
        <w:t>ANEXO</w:t>
      </w:r>
    </w:p>
    <w:p w:rsidR="00085BB7" w:rsidRDefault="004441D3">
      <w:pPr>
        <w:spacing w:after="502" w:line="259" w:lineRule="auto"/>
        <w:ind w:left="977" w:right="0" w:firstLine="0"/>
        <w:jc w:val="left"/>
      </w:pPr>
      <w:r>
        <w:rPr>
          <w:noProof/>
        </w:rPr>
        <w:drawing>
          <wp:inline distT="0" distB="0" distL="0" distR="0">
            <wp:extent cx="5760720" cy="1325880"/>
            <wp:effectExtent l="0" t="0" r="0" b="0"/>
            <wp:docPr id="12752" name="Picture 12752"/>
            <wp:cNvGraphicFramePr/>
            <a:graphic xmlns:a="http://schemas.openxmlformats.org/drawingml/2006/main">
              <a:graphicData uri="http://schemas.openxmlformats.org/drawingml/2006/picture">
                <pic:pic xmlns:pic="http://schemas.openxmlformats.org/drawingml/2006/picture">
                  <pic:nvPicPr>
                    <pic:cNvPr id="12752" name="Picture 12752"/>
                    <pic:cNvPicPr/>
                  </pic:nvPicPr>
                  <pic:blipFill>
                    <a:blip r:embed="rId50"/>
                    <a:stretch>
                      <a:fillRect/>
                    </a:stretch>
                  </pic:blipFill>
                  <pic:spPr>
                    <a:xfrm>
                      <a:off x="0" y="0"/>
                      <a:ext cx="5760720" cy="1325880"/>
                    </a:xfrm>
                    <a:prstGeom prst="rect">
                      <a:avLst/>
                    </a:prstGeom>
                  </pic:spPr>
                </pic:pic>
              </a:graphicData>
            </a:graphic>
          </wp:inline>
        </w:drawing>
      </w:r>
    </w:p>
    <w:p w:rsidR="00085BB7" w:rsidRDefault="004441D3">
      <w:pPr>
        <w:spacing w:after="10"/>
        <w:ind w:left="736" w:right="903"/>
      </w:pPr>
      <w:r>
        <w:t>ADENDA PRIMERA MODIFICACIÓN DEL CONVENIO DE COOPERACIÓ</w:t>
      </w:r>
      <w:r>
        <w:t xml:space="preserve">N </w:t>
      </w:r>
    </w:p>
    <w:p w:rsidR="00085BB7" w:rsidRDefault="004441D3">
      <w:pPr>
        <w:spacing w:after="10"/>
        <w:ind w:left="736" w:right="903"/>
      </w:pPr>
      <w:r>
        <w:t xml:space="preserve">INTERADMINISTRATIVA ENTRE EL CONSEJO INSULAR DE AGUAS DE TENERIFE Y LOS </w:t>
      </w:r>
    </w:p>
    <w:p w:rsidR="00085BB7" w:rsidRDefault="004441D3">
      <w:pPr>
        <w:spacing w:after="114"/>
        <w:ind w:left="736" w:right="903"/>
      </w:pPr>
      <w:r>
        <w:t>AYUNTAMIENTOS DE CANDELARIA, ARAFO Y GÜÍMAR PARA LA GESTIÓN DE LAS INFRAESTRUCTURAS DE DEPURACIÓN Y VERTIDO DE AGUAS RESIDUALES, URBANAS E INDUSTRIALES, DE LOS SISTEMAS TERRITORIAL</w:t>
      </w:r>
      <w:r>
        <w:t xml:space="preserve">ES DEL VALLE DE GÜIMAR Y POLÍGONO INDUSTRIAL DEL VALLE DE GÜÍMAR. </w:t>
      </w:r>
    </w:p>
    <w:p w:rsidR="00085BB7" w:rsidRDefault="004441D3">
      <w:pPr>
        <w:spacing w:after="109"/>
        <w:ind w:left="736" w:right="903"/>
      </w:pPr>
      <w:r>
        <w:t xml:space="preserve">En Santa Cruz de Tenerife, a fecha de la última firma electrónica </w:t>
      </w:r>
    </w:p>
    <w:p w:rsidR="00085BB7" w:rsidRDefault="004441D3">
      <w:pPr>
        <w:spacing w:after="111"/>
        <w:ind w:left="736" w:right="903"/>
      </w:pPr>
      <w:r>
        <w:t xml:space="preserve">SE REÚNEN </w:t>
      </w:r>
    </w:p>
    <w:p w:rsidR="00085BB7" w:rsidRDefault="004441D3">
      <w:pPr>
        <w:spacing w:after="112"/>
        <w:ind w:left="736" w:right="903"/>
      </w:pPr>
      <w:r>
        <w:t>De una parte, la Excma. Sra. Doña Rosa Dávila Mamely, Presidenta del Consejo Insular de Aguas de Tenerife (en l</w:t>
      </w:r>
      <w:r>
        <w:t>o sucesivo CIATF), en nombre y representación del mismo, facultada para este acto mediante acuerdo de la Junta de Gobierno del Consejo Insular de Aguas celebrada en sesión de 3 de marzo de 2021, en virtud de lo dispuesto en el artículo 21.2 del Estatuto de</w:t>
      </w:r>
      <w:r>
        <w:t xml:space="preserve">l Consejo Insular de Aguas de Tenerife, aprobado por Decreto 115/1992, de 9 de junio. </w:t>
      </w:r>
    </w:p>
    <w:p w:rsidR="00085BB7" w:rsidRDefault="004441D3">
      <w:pPr>
        <w:spacing w:after="114"/>
        <w:ind w:left="736" w:right="903"/>
      </w:pPr>
      <w:r>
        <w:t>De otra parte, la Sra. Dª Maria Concepción Brito Núñez, Alcaldesa-Presidenta del Ayuntamiento de Candelaria, en su nombre y representación, y en uso de las facultades qu</w:t>
      </w:r>
      <w:r>
        <w:t xml:space="preserve">e le confiere el artículo 21.1.b) de la Ley 7/1985, de 2 de abril, reguladora de las bases del Régimen Local, estando facultado para este acto en virtud del acuerdo plenario de dicha Corporación adoptado en sesión celebrada 30 de junio de 2022. </w:t>
      </w:r>
    </w:p>
    <w:p w:rsidR="00085BB7" w:rsidRDefault="004441D3">
      <w:pPr>
        <w:spacing w:after="486"/>
        <w:ind w:left="736" w:right="903"/>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column">
                  <wp:posOffset>6542599</wp:posOffset>
                </wp:positionH>
                <wp:positionV relativeFrom="paragraph">
                  <wp:posOffset>158509</wp:posOffset>
                </wp:positionV>
                <wp:extent cx="237530" cy="3349828"/>
                <wp:effectExtent l="0" t="0" r="0" b="0"/>
                <wp:wrapSquare wrapText="bothSides"/>
                <wp:docPr id="150559" name="Group 15055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815" name="Rectangle 12815"/>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816" name="Rectangle 12816"/>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817" name="Rectangle 12817"/>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559" style="width:18.7031pt;height:263.766pt;position:absolute;mso-position-horizontal-relative:text;mso-position-horizontal:absolute;margin-left:515.165pt;mso-position-vertical-relative:text;margin-top:12.481pt;" coordsize="2375,33498">
                <v:rect id="Rectangle 12815"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81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81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118 de 133 </w:t>
                        </w:r>
                      </w:p>
                    </w:txbxContent>
                  </v:textbox>
                </v:rect>
                <w10:wrap type="square"/>
              </v:group>
            </w:pict>
          </mc:Fallback>
        </mc:AlternateContent>
      </w:r>
      <w:r>
        <w:t>De otra parte, el Sr. D. Juan Ramón Martín Pérez, Alcalde-Pr</w:t>
      </w:r>
      <w:r>
        <w:t>esidente del Ayuntamiento de Arafo en su nombre y representación, y en uso de las facultades que le confiere el artículo 21.1.b) de la Ley 7/1985, de 2 de abril, reguladora de las bases del Régimen Local, estando facultado para este acto en virtud del acue</w:t>
      </w:r>
      <w:r>
        <w:t>rdo plenario de dicha Corporación adoptado en sesión celebrada el 30 de septiembre de 2022.</w:t>
      </w:r>
    </w:p>
    <w:p w:rsidR="00085BB7" w:rsidRDefault="004441D3">
      <w:pPr>
        <w:spacing w:after="486"/>
        <w:ind w:left="736" w:right="903"/>
      </w:pPr>
      <w:r>
        <w:t>Y de otra parte, el Sr. D. Gustavo Pérez Martín, Alcalde-Presidente del Ayuntamiento de Güímar, en su nombre y representación, y en uso de las facultades que le con</w:t>
      </w:r>
      <w:r>
        <w:t>fiere el artículo 21.1.b) de la Ley 7/1985, de 2 de abril, reguladora de las bases del Régimen Local, estando facultado para este acto en virtud del acuerdo plenario de dicha Corporación adoptado en sesión celebrada 26 de mayo de 2023.</w:t>
      </w:r>
    </w:p>
    <w:p w:rsidR="00085BB7" w:rsidRDefault="004441D3">
      <w:pPr>
        <w:spacing w:after="109"/>
        <w:ind w:left="4141" w:right="903"/>
      </w:pPr>
      <w:r>
        <w:t xml:space="preserve"> INTERVIENEN </w:t>
      </w:r>
    </w:p>
    <w:p w:rsidR="00085BB7" w:rsidRDefault="004441D3">
      <w:pPr>
        <w:spacing w:after="860"/>
        <w:ind w:left="736" w:right="903"/>
      </w:pPr>
      <w:r>
        <w:t>Las pa</w:t>
      </w:r>
      <w:r>
        <w:t>rtes citadas, en la condición con que comparecen, se reconocen mutua y recíprocamente, con competencia y capacidad legal suficiente para suscribir la presente Adenda para la formalización de la primera modificación del Convenio de Colaboración y a tal efec</w:t>
      </w:r>
      <w:r>
        <w:t xml:space="preserve">to </w:t>
      </w:r>
    </w:p>
    <w:p w:rsidR="00085BB7" w:rsidRDefault="004441D3">
      <w:pPr>
        <w:ind w:left="4141" w:right="903"/>
      </w:pPr>
      <w:r>
        <w:t xml:space="preserve">     EXPONEN </w:t>
      </w:r>
    </w:p>
    <w:p w:rsidR="00085BB7" w:rsidRDefault="004441D3">
      <w:pPr>
        <w:numPr>
          <w:ilvl w:val="0"/>
          <w:numId w:val="41"/>
        </w:numPr>
        <w:spacing w:after="0"/>
        <w:ind w:right="903" w:firstLine="1134"/>
      </w:pPr>
      <w:r>
        <w:t xml:space="preserve">El día 18 de septiembre de 2023 tuvo lugar la firma del CONVENIO DE COOPERACIÓN INTERADMINISTRATIVA ENTRE EL CONSEJO INSULAR DE AGUAS DE </w:t>
      </w:r>
    </w:p>
    <w:p w:rsidR="00085BB7" w:rsidRDefault="004441D3">
      <w:pPr>
        <w:spacing w:after="10"/>
        <w:ind w:left="736" w:right="903"/>
      </w:pPr>
      <w:r>
        <w:t xml:space="preserve">TENERIFE Y LOS AYUNTAMIENTOS DE CANDELARIA, ARAFO Y GÜÍMAR PARA LA GESTIÓN </w:t>
      </w:r>
    </w:p>
    <w:p w:rsidR="00085BB7" w:rsidRDefault="004441D3">
      <w:pPr>
        <w:spacing w:after="10"/>
        <w:ind w:left="736" w:right="903"/>
      </w:pPr>
      <w:r>
        <w:t xml:space="preserve">DE LAS INFRAESTRUCTURAS </w:t>
      </w:r>
      <w:r>
        <w:t xml:space="preserve">DE DEPURACIÓN Y VERTIDO DE AGUAS RESIDUALES, </w:t>
      </w:r>
    </w:p>
    <w:p w:rsidR="00085BB7" w:rsidRDefault="004441D3">
      <w:pPr>
        <w:spacing w:after="112"/>
        <w:ind w:left="736" w:right="903"/>
      </w:pPr>
      <w:r>
        <w:t xml:space="preserve">URBANAS E INDUSTRIALES, DE LOS SISTEMAS TERRITORIALES DEL VALLE DE GÜÍMAR Y POLÍGONO INDUSTRIAL DEL VALLE DE GÜÍMAR entrando en vigor en esa misma fecha , de </w:t>
      </w:r>
      <w:r>
        <w:t xml:space="preserve">conformidad con lo establecido en la cláusula séptima del convenio. </w:t>
      </w:r>
    </w:p>
    <w:p w:rsidR="00085BB7" w:rsidRDefault="004441D3">
      <w:pPr>
        <w:numPr>
          <w:ilvl w:val="0"/>
          <w:numId w:val="41"/>
        </w:numPr>
        <w:spacing w:after="112"/>
        <w:ind w:right="903" w:firstLine="1134"/>
      </w:pPr>
      <w:r>
        <w:t>La “REHABILITACIÓN DE LA ESTACIÓN DE BOMBEO DE AGUAS RESIDUALES EN GÜÍMAR CASCO” se adjudicó el 11 de noviembre de 2022 a la empresa HIDROTEC AGUAS, S.L. por el importe de 230.787,27 €. E</w:t>
      </w:r>
      <w:r>
        <w:t xml:space="preserve">n la actualidad la obra ha sido recibida favorablemente con fecha de 29 de abril de 2024. </w:t>
      </w:r>
    </w:p>
    <w:p w:rsidR="00085BB7" w:rsidRDefault="004441D3">
      <w:pPr>
        <w:numPr>
          <w:ilvl w:val="0"/>
          <w:numId w:val="41"/>
        </w:numPr>
        <w:spacing w:after="112"/>
        <w:ind w:right="903" w:firstLine="1134"/>
      </w:pPr>
      <w:r>
        <w:t>Una vez finalizadas las actuaciones para la REHABILITACIÓN DE LA ESTACIÓN DE BOMBEO DE AGUAS RESIDUALES EN GÜÍMAR CASCO, y realizadas las verificaciones de colectore</w:t>
      </w:r>
      <w:r>
        <w:t>s y trámites administrativos, la EBAR está disposición de prestar el servicio de bombeo hacia la EDARu Comarcal del Valle de Güímar, siendo incorporada al SISTEMA COMARCAL DE DEPURACION Y REGENERACION DE AGUA RESIDUAL DEL VALLE DE GÜIMAR. (SCIH_RAR_VG).</w:t>
      </w:r>
    </w:p>
    <w:p w:rsidR="00085BB7" w:rsidRDefault="004441D3">
      <w:pPr>
        <w:numPr>
          <w:ilvl w:val="0"/>
          <w:numId w:val="41"/>
        </w:numPr>
        <w:spacing w:after="10"/>
        <w:ind w:right="903" w:firstLine="1134"/>
      </w:pPr>
      <w:r>
        <w:t>Co</w:t>
      </w:r>
      <w:r>
        <w:t xml:space="preserve">n la puesta en marcha de la EBAR GÜÍMAR CASCO se incorpora a la gestión </w:t>
      </w:r>
    </w:p>
    <w:p w:rsidR="00085BB7" w:rsidRDefault="004441D3">
      <w:pPr>
        <w:spacing w:after="484" w:line="249" w:lineRule="auto"/>
        <w:ind w:left="730" w:right="673" w:hanging="10"/>
        <w:jc w:val="left"/>
      </w:pPr>
      <w:r>
        <w:t>del sistema comarcal dicha Estación de Bombeo, así como los colectores que transportan el agua hasta la EDARu comarcal del Valle de Güímar y las estaciones para el control de caudal y</w:t>
      </w:r>
      <w:r>
        <w:t xml:space="preserve"> calidad intermunicipales. </w:t>
      </w:r>
    </w:p>
    <w:p w:rsidR="00085BB7" w:rsidRDefault="004441D3">
      <w:pPr>
        <w:spacing w:after="93" w:line="265" w:lineRule="auto"/>
        <w:ind w:left="548" w:right="1454" w:hanging="10"/>
        <w:jc w:val="center"/>
      </w:pPr>
      <w:r>
        <w:t xml:space="preserve">             ACUERDAN </w:t>
      </w:r>
    </w:p>
    <w:p w:rsidR="00085BB7" w:rsidRDefault="004441D3">
      <w:pPr>
        <w:spacing w:after="10"/>
        <w:ind w:left="1873" w:right="903"/>
      </w:pPr>
      <w:r>
        <w:t xml:space="preserve">A la vista de la cláusula primera del Convenio, las partes acuerdan incluir en el objeto </w:t>
      </w:r>
    </w:p>
    <w:p w:rsidR="00085BB7" w:rsidRDefault="004441D3">
      <w:pPr>
        <w:spacing w:after="114"/>
        <w:ind w:left="736" w:right="903"/>
      </w:pPr>
      <w:r>
        <w:t>del mismo las siguientes instalaciones siéndoles por tanto de aplicación la totalidad de las estipulaciones del mis</w:t>
      </w:r>
      <w:r>
        <w:t xml:space="preserve">mo: </w:t>
      </w:r>
    </w:p>
    <w:p w:rsidR="00085BB7" w:rsidRDefault="004441D3">
      <w:pPr>
        <w:spacing w:after="109"/>
        <w:ind w:left="1873" w:right="903"/>
      </w:pPr>
      <w:r>
        <w:t xml:space="preserve">EBAR GÜIMAR CASCO. </w:t>
      </w:r>
    </w:p>
    <w:p w:rsidR="00085BB7" w:rsidRDefault="004441D3">
      <w:pPr>
        <w:spacing w:after="112"/>
        <w:ind w:left="730" w:right="903" w:firstLine="1134"/>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column">
                  <wp:posOffset>6542599</wp:posOffset>
                </wp:positionH>
                <wp:positionV relativeFrom="paragraph">
                  <wp:posOffset>360438</wp:posOffset>
                </wp:positionV>
                <wp:extent cx="237530" cy="3349828"/>
                <wp:effectExtent l="0" t="0" r="0" b="0"/>
                <wp:wrapSquare wrapText="bothSides"/>
                <wp:docPr id="150659" name="Group 15065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2914" name="Rectangle 12914"/>
                        <wps:cNvSpPr/>
                        <wps:spPr>
                          <a:xfrm rot="-5399999">
                            <a:off x="-1189133" y="2047471"/>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915" name="Rectangle 12915"/>
                        <wps:cNvSpPr/>
                        <wps:spPr>
                          <a:xfrm rot="-5399999">
                            <a:off x="-976166" y="2184238"/>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2916" name="Rectangle 12916"/>
                        <wps:cNvSpPr/>
                        <wps:spPr>
                          <a:xfrm rot="-5399999">
                            <a:off x="-2018624" y="1065580"/>
                            <a:ext cx="4455272"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119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659" style="width:18.7031pt;height:263.766pt;position:absolute;mso-position-horizontal-relative:text;mso-position-horizontal:absolute;margin-left:515.165pt;mso-position-vertical-relative:text;margin-top:28.381pt;" coordsize="2375,33498">
                <v:rect id="Rectangle 12914" style="position:absolute;width:24914;height:1132;left:-11891;top:204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91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91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119 de 133 </w:t>
                        </w:r>
                      </w:p>
                    </w:txbxContent>
                  </v:textbox>
                </v:rect>
                <w10:wrap type="square"/>
              </v:group>
            </w:pict>
          </mc:Fallback>
        </mc:AlternateContent>
      </w:r>
      <w:r>
        <w:t>La EBAR Güímar Casco, emplazada en el T.M de Güímar, las las coordenadas UTM X: 362440.57; Y: 31325596.50, consta de una edificación, en la se alojan una sala de desbaste previo con reja autolimpiante, una sala de bombeo con 1+1 bombas, sistema de desodori</w:t>
      </w:r>
      <w:r>
        <w:t xml:space="preserve">zación por carbón activo y sala de cuadros eléctricos. A la instalación llegan el colector municipal de PVC 315 existente que discurre por la parte frontal de la instalación en las que incorporan aguas provenientes del Casco de Güímar y de Guaza. Previa a </w:t>
      </w:r>
      <w:r>
        <w:t xml:space="preserve">la entrada se ha habilitado una arqueta aliviadero para casos de lluvia o paradas de la estación de bombeo, que alivia con la red existente. </w:t>
      </w:r>
    </w:p>
    <w:p w:rsidR="00085BB7" w:rsidRDefault="004441D3">
      <w:pPr>
        <w:spacing w:after="111"/>
        <w:ind w:left="1873" w:right="903"/>
      </w:pPr>
      <w:r>
        <w:t>COLECTORES DE AGUAS RESIDUALES A EDARU</w:t>
      </w:r>
    </w:p>
    <w:p w:rsidR="00085BB7" w:rsidRDefault="004441D3">
      <w:pPr>
        <w:spacing w:after="10"/>
        <w:ind w:left="1873" w:right="903"/>
      </w:pPr>
      <w:r>
        <w:t xml:space="preserve">Además de la EBAR, se incorporan al sistema los colectores de impulsión y gravedad </w:t>
      </w:r>
    </w:p>
    <w:p w:rsidR="00085BB7" w:rsidRDefault="004441D3">
      <w:pPr>
        <w:spacing w:after="0"/>
        <w:ind w:left="736" w:right="903"/>
      </w:pPr>
      <w:r>
        <w:t>por los que se transporta el agua residual hasta la Estación de Depuración de Aguas Residuales Urbanas del Valle de Güímar (EDARu). Estos colectores están compuestos por un</w:t>
      </w:r>
      <w:r>
        <w:t xml:space="preserve"> primer tramo en impulsión, mediante tubería de FDC DN-250, con origen en la EBAR Güímar Casco, que discurre por el Camino Lomo Molino hasta el pozo situado en el Camino del Tonazo. Posteriormente el colector comarcal, prosigue su traza por gravedad median</w:t>
      </w:r>
      <w:r>
        <w:t xml:space="preserve">te una conducción de </w:t>
      </w:r>
    </w:p>
    <w:p w:rsidR="00085BB7" w:rsidRDefault="004441D3">
      <w:pPr>
        <w:spacing w:after="111" w:line="249" w:lineRule="auto"/>
        <w:ind w:left="730" w:right="673" w:hanging="10"/>
        <w:jc w:val="left"/>
      </w:pPr>
      <w:r>
        <w:t xml:space="preserve">PVC 315, atravesando el Camino el Tonazo, Camino Taro, Camino el Carretón (TM. Arafo), Camino la Molineta, Camino del Medio Camino y Fincas particulares hasta su llegada a la EDARu. </w:t>
      </w:r>
    </w:p>
    <w:p w:rsidR="00085BB7" w:rsidRDefault="004441D3">
      <w:pPr>
        <w:spacing w:after="10"/>
        <w:ind w:left="1873" w:right="903"/>
      </w:pPr>
      <w:r>
        <w:t xml:space="preserve">En este tramo por gravedad se incorporan las aguas </w:t>
      </w:r>
      <w:r>
        <w:t xml:space="preserve">de los colectores siguientes: - </w:t>
      </w:r>
    </w:p>
    <w:p w:rsidR="00085BB7" w:rsidRDefault="004441D3">
      <w:pPr>
        <w:spacing w:after="10"/>
        <w:ind w:left="736" w:right="903"/>
      </w:pPr>
      <w:r>
        <w:t xml:space="preserve">Colector de la Calle Poeta Arístides Hernandez Mora que transportan aguas del casco Güímar. - </w:t>
      </w:r>
    </w:p>
    <w:p w:rsidR="00085BB7" w:rsidRDefault="004441D3">
      <w:pPr>
        <w:ind w:left="736" w:right="903"/>
      </w:pPr>
      <w:r>
        <w:t>Colector del tramo superior del Camino Taro, que incorpora las aguas del entorno del Barrio de Fatima y del Barrio del Carmen en</w:t>
      </w:r>
      <w:r>
        <w:t xml:space="preserve"> Arafo. - Colector del tramo superior del Camino de la Molineta que incorpora las aguas del Casco de Arafo. </w:t>
      </w:r>
    </w:p>
    <w:p w:rsidR="00085BB7" w:rsidRDefault="004441D3">
      <w:pPr>
        <w:spacing w:after="109"/>
        <w:ind w:left="736" w:right="903"/>
      </w:pPr>
      <w:r>
        <w:t xml:space="preserve">ESTACIÓN DE CONTROL DE CAUDAL Y CALIDAD (ECCC) </w:t>
      </w:r>
    </w:p>
    <w:p w:rsidR="00085BB7" w:rsidRDefault="004441D3">
      <w:pPr>
        <w:spacing w:after="114"/>
        <w:ind w:left="730" w:right="903" w:firstLine="1134"/>
      </w:pPr>
      <w:r>
        <w:t xml:space="preserve">En el tramo de colectores que se incorpora al SISTEMA COMARCAL DE </w:t>
      </w:r>
      <w:r>
        <w:t>DEPURACION Y REGENERACION DE AGUA RESIDUAL DEL VALLE DE GÜÍMAR, dispone de dos ESTACIONES DE CONTROL DE CAUDAL Y CALIDAD, emplazadas en los cruces de colectores de los límites municipales entre Arafo y Güímar. La posición de estas estaciones de control son</w:t>
      </w:r>
      <w:r>
        <w:t xml:space="preserve"> las siguientes: - ECCC Arafo, situado en el Limite municipal Arafo-Güímar de la Carretera TF-525. - ECCC camino El Taro, Situado la intersección entre el Camino El Taro y la carretera TF-281, en el Limite municipal Arafo-Güímar. </w:t>
      </w:r>
    </w:p>
    <w:p w:rsidR="00085BB7" w:rsidRDefault="004441D3">
      <w:pPr>
        <w:spacing w:after="230" w:line="249" w:lineRule="auto"/>
        <w:ind w:left="720" w:right="673" w:firstLine="1134"/>
        <w:jc w:val="left"/>
      </w:pPr>
      <w:r>
        <w:t>De esta manera, la repres</w:t>
      </w:r>
      <w:r>
        <w:t>entación gráfica del SISTEMA COMARCAL DE DEPURACION Y REGENERACION DEL AGUAS RESIDUAL DEL VALLE DE GÜIMAR, queda de la siguiente manera y tal como se adjunta en el ANEXO I actualizado:</w:t>
      </w:r>
    </w:p>
    <w:p w:rsidR="00085BB7" w:rsidRDefault="004441D3">
      <w:pPr>
        <w:spacing w:after="0" w:line="259" w:lineRule="auto"/>
        <w:ind w:left="2627" w:right="0" w:firstLine="0"/>
        <w:jc w:val="left"/>
      </w:pPr>
      <w:r>
        <w:rPr>
          <w:rFonts w:ascii="Calibri" w:eastAsia="Calibri" w:hAnsi="Calibri" w:cs="Calibri"/>
          <w:noProof/>
        </w:rPr>
        <mc:AlternateContent>
          <mc:Choice Requires="wpg">
            <w:drawing>
              <wp:inline distT="0" distB="0" distL="0" distR="0">
                <wp:extent cx="5112150" cy="6429871"/>
                <wp:effectExtent l="0" t="0" r="0" b="0"/>
                <wp:docPr id="152856" name="Group 152856"/>
                <wp:cNvGraphicFramePr/>
                <a:graphic xmlns:a="http://schemas.openxmlformats.org/drawingml/2006/main">
                  <a:graphicData uri="http://schemas.microsoft.com/office/word/2010/wordprocessingGroup">
                    <wpg:wgp>
                      <wpg:cNvGrpSpPr/>
                      <wpg:grpSpPr>
                        <a:xfrm>
                          <a:off x="0" y="0"/>
                          <a:ext cx="5112150" cy="6429871"/>
                          <a:chOff x="0" y="0"/>
                          <a:chExt cx="5112150" cy="6429871"/>
                        </a:xfrm>
                      </wpg:grpSpPr>
                      <pic:pic xmlns:pic="http://schemas.openxmlformats.org/drawingml/2006/picture">
                        <pic:nvPicPr>
                          <pic:cNvPr id="12944" name="Picture 12944"/>
                          <pic:cNvPicPr/>
                        </pic:nvPicPr>
                        <pic:blipFill>
                          <a:blip r:embed="rId51"/>
                          <a:stretch>
                            <a:fillRect/>
                          </a:stretch>
                        </pic:blipFill>
                        <pic:spPr>
                          <a:xfrm>
                            <a:off x="0" y="0"/>
                            <a:ext cx="3665220" cy="4785360"/>
                          </a:xfrm>
                          <a:prstGeom prst="rect">
                            <a:avLst/>
                          </a:prstGeom>
                        </pic:spPr>
                      </pic:pic>
                      <wps:wsp>
                        <wps:cNvPr id="12951" name="Rectangle 12951"/>
                        <wps:cNvSpPr/>
                        <wps:spPr>
                          <a:xfrm rot="-5399999">
                            <a:off x="3685487" y="5127514"/>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2952" name="Rectangle 12952"/>
                        <wps:cNvSpPr/>
                        <wps:spPr>
                          <a:xfrm rot="-5399999">
                            <a:off x="3898454" y="5264280"/>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w:t>
                              </w:r>
                              <w:r>
                                <w:rPr>
                                  <w:sz w:val="12"/>
                                </w:rPr>
                                <w:t xml:space="preserve">candelaria.sedelectronica.es/ </w:t>
                              </w:r>
                            </w:p>
                          </w:txbxContent>
                        </wps:txbx>
                        <wps:bodyPr horzOverflow="overflow" vert="horz" lIns="0" tIns="0" rIns="0" bIns="0" rtlCol="0">
                          <a:noAutofit/>
                        </wps:bodyPr>
                      </wps:wsp>
                      <wps:wsp>
                        <wps:cNvPr id="12953" name="Rectangle 12953"/>
                        <wps:cNvSpPr/>
                        <wps:spPr>
                          <a:xfrm rot="-5399999">
                            <a:off x="2852248" y="4141873"/>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120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2856" style="width:402.531pt;height:506.289pt;mso-position-horizontal-relative:char;mso-position-vertical-relative:line" coordsize="51121,64298">
                <v:shape id="Picture 12944" style="position:absolute;width:36652;height:47853;left:0;top:0;" filled="f">
                  <v:imagedata r:id="rId52"/>
                </v:shape>
                <v:rect id="Rectangle 12951" style="position:absolute;width:24914;height:1132;left:36854;top:512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2952" style="position:absolute;width:22179;height:1132;left:38984;top:526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953" style="position:absolute;width:44627;height:1132;left:28522;top:4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120 de 133 </w:t>
                        </w:r>
                      </w:p>
                    </w:txbxContent>
                  </v:textbox>
                </v:rect>
              </v:group>
            </w:pict>
          </mc:Fallback>
        </mc:AlternateContent>
      </w:r>
    </w:p>
    <w:p w:rsidR="00085BB7" w:rsidRDefault="004441D3">
      <w:pPr>
        <w:spacing w:after="515" w:line="259" w:lineRule="auto"/>
        <w:ind w:left="1440" w:right="0" w:firstLine="0"/>
        <w:jc w:val="left"/>
      </w:pPr>
      <w:r>
        <w:rPr>
          <w:noProof/>
        </w:rPr>
        <w:drawing>
          <wp:inline distT="0" distB="0" distL="0" distR="0">
            <wp:extent cx="3467100" cy="2598420"/>
            <wp:effectExtent l="0" t="0" r="0" b="0"/>
            <wp:docPr id="12957" name="Picture 12957"/>
            <wp:cNvGraphicFramePr/>
            <a:graphic xmlns:a="http://schemas.openxmlformats.org/drawingml/2006/main">
              <a:graphicData uri="http://schemas.openxmlformats.org/drawingml/2006/picture">
                <pic:pic xmlns:pic="http://schemas.openxmlformats.org/drawingml/2006/picture">
                  <pic:nvPicPr>
                    <pic:cNvPr id="12957" name="Picture 12957"/>
                    <pic:cNvPicPr/>
                  </pic:nvPicPr>
                  <pic:blipFill>
                    <a:blip r:embed="rId53"/>
                    <a:stretch>
                      <a:fillRect/>
                    </a:stretch>
                  </pic:blipFill>
                  <pic:spPr>
                    <a:xfrm>
                      <a:off x="0" y="0"/>
                      <a:ext cx="3467100" cy="2598420"/>
                    </a:xfrm>
                    <a:prstGeom prst="rect">
                      <a:avLst/>
                    </a:prstGeom>
                  </pic:spPr>
                </pic:pic>
              </a:graphicData>
            </a:graphic>
          </wp:inline>
        </w:drawing>
      </w:r>
    </w:p>
    <w:p w:rsidR="00085BB7" w:rsidRDefault="004441D3">
      <w:pPr>
        <w:spacing w:after="100" w:line="265" w:lineRule="auto"/>
        <w:ind w:left="548" w:right="772" w:hanging="10"/>
        <w:jc w:val="center"/>
      </w:pPr>
      <w:r>
        <w:t xml:space="preserve">(2) 5% sobre gastos fijos y variables a excepción de las Inversiones (2) </w:t>
      </w:r>
    </w:p>
    <w:p w:rsidR="00085BB7" w:rsidRDefault="004441D3">
      <w:pPr>
        <w:spacing w:after="857"/>
        <w:ind w:left="1459" w:right="903"/>
      </w:pPr>
      <w:r>
        <w:t>10% sobre gastos fijos y variables a excepción de los gastos de gestión y control</w:t>
      </w:r>
    </w:p>
    <w:p w:rsidR="00085BB7" w:rsidRDefault="004441D3">
      <w:pPr>
        <w:spacing w:after="10"/>
        <w:ind w:left="736" w:right="903"/>
      </w:pPr>
      <w:r>
        <w:t xml:space="preserve">Atendiendo a la estimación presupuestaria inicial incluida en el CONVENIO PARA LA GESTIÓN </w:t>
      </w:r>
    </w:p>
    <w:p w:rsidR="00085BB7" w:rsidRDefault="004441D3">
      <w:pPr>
        <w:spacing w:after="112"/>
        <w:ind w:left="736" w:right="903"/>
      </w:pPr>
      <w:r>
        <w:t>DE LAS INFRAESTRUCTURAS DE DEPURACIÓN Y VERTIDO DE AGUAS RESIDUALES, URBANAS E INDU</w:t>
      </w:r>
      <w:r>
        <w:t>STRIALES, DE LOS SISTEMAS TERRITORIALES DEL VALLE DE GÜIMAR, que asciende a la cantidad de 3.953.601,06 Euros; ha de ponerse de manifiesto que, el ritmo de ejecución presupuestario está muy por debajo del inicialmente previsto debido a la demora en la actu</w:t>
      </w:r>
      <w:r>
        <w:t xml:space="preserve">aciones necesarias para la puesta en marcha completa de la EDARu comarcal del Valle de Güímar. </w:t>
      </w:r>
    </w:p>
    <w:p w:rsidR="00085BB7" w:rsidRDefault="004441D3">
      <w:pPr>
        <w:spacing w:after="111"/>
        <w:ind w:left="736" w:right="903"/>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column">
                  <wp:posOffset>6542599</wp:posOffset>
                </wp:positionH>
                <wp:positionV relativeFrom="paragraph">
                  <wp:posOffset>234150</wp:posOffset>
                </wp:positionV>
                <wp:extent cx="237530" cy="3355467"/>
                <wp:effectExtent l="0" t="0" r="0" b="0"/>
                <wp:wrapSquare wrapText="bothSides"/>
                <wp:docPr id="149697" name="Group 1496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001" name="Rectangle 13001"/>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002" name="Rectangle 13002"/>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003" name="Rectangle 13003"/>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Documento firmado electrónicamente desde la plataforma e</w:t>
                              </w:r>
                              <w:r>
                                <w:rPr>
                                  <w:sz w:val="12"/>
                                </w:rPr>
                                <w:t xml:space="preserve">sPublico Gestiona | Página 121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49697" style="width:18.7031pt;height:264.21pt;position:absolute;mso-position-horizontal-relative:text;mso-position-horizontal:absolute;margin-left:515.165pt;mso-position-vertical-relative:text;margin-top:18.437pt;" coordsize="2375,33554">
                <v:rect id="Rectangle 13001"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0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0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121 de 133 </w:t>
                        </w:r>
                      </w:p>
                    </w:txbxContent>
                  </v:textbox>
                </v:rect>
                <w10:wrap type="square"/>
              </v:group>
            </w:pict>
          </mc:Fallback>
        </mc:AlternateContent>
      </w:r>
      <w:r>
        <w:t xml:space="preserve">Esto ha provocado que los caudales tratado y los gastos de explotación asociados sean inferiores inicialmente previstos. </w:t>
      </w:r>
    </w:p>
    <w:p w:rsidR="00085BB7" w:rsidRDefault="004441D3">
      <w:pPr>
        <w:spacing w:after="0"/>
        <w:ind w:left="736" w:right="903"/>
      </w:pPr>
      <w:r>
        <w:t>Es por ello que la repercusión económica asociada a la incorporación de la ESTACION DE BOMBEO D</w:t>
      </w:r>
      <w:r>
        <w:t xml:space="preserve">E AGUAS RESIDUALES DE GÜIMAR CASCO Y COLECTORES COMARCALES AL </w:t>
      </w:r>
    </w:p>
    <w:p w:rsidR="00085BB7" w:rsidRDefault="004441D3">
      <w:pPr>
        <w:spacing w:after="10"/>
        <w:ind w:left="736" w:right="903"/>
      </w:pPr>
      <w:r>
        <w:t xml:space="preserve">SISTEMA COMARCAL DE DEPURACION Y REGENERACION DE AGUAS RESIDUALES DEL </w:t>
      </w:r>
    </w:p>
    <w:p w:rsidR="00085BB7" w:rsidRDefault="004441D3">
      <w:pPr>
        <w:spacing w:after="112"/>
        <w:ind w:left="736" w:right="903"/>
      </w:pPr>
      <w:r>
        <w:t>VALLE DE GÜIMAR, puede ser cubierta con la estimaciones presupuestarias aprobadas en el convenio en su límite temporal, NO</w:t>
      </w:r>
      <w:r>
        <w:t xml:space="preserve"> REQUIRIENDO UN INCREMENTO PRESUPUESTARIO del convenio asociado a la incorporación de las instalaciones descritas. </w:t>
      </w:r>
    </w:p>
    <w:p w:rsidR="00085BB7" w:rsidRDefault="004441D3">
      <w:pPr>
        <w:spacing w:after="485"/>
        <w:ind w:left="736" w:right="903"/>
      </w:pPr>
      <w:r>
        <w:t xml:space="preserve">Y para que así conste, en prueba de conformidad, las partes firman el presente documento, y a un solo efecto. </w:t>
      </w:r>
    </w:p>
    <w:p w:rsidR="00085BB7" w:rsidRDefault="004441D3">
      <w:pPr>
        <w:spacing w:after="483"/>
        <w:ind w:left="736" w:right="903"/>
      </w:pPr>
      <w:r>
        <w:t xml:space="preserve">Sra. Doña Rosa Dávila Mamely, Presidenta del Consejo Insular de Aguas de Tenerife </w:t>
      </w:r>
    </w:p>
    <w:p w:rsidR="00085BB7" w:rsidRDefault="004441D3">
      <w:pPr>
        <w:spacing w:after="483"/>
        <w:ind w:left="736" w:right="903"/>
      </w:pPr>
      <w:r>
        <w:t>Sra. Dª Maria Concepción Brito Núñez, Alcaldesa-Presidenta del Ayuntamiento de Candelaria</w:t>
      </w:r>
    </w:p>
    <w:p w:rsidR="00085BB7" w:rsidRDefault="004441D3">
      <w:pPr>
        <w:spacing w:after="483"/>
        <w:ind w:left="736" w:right="903"/>
      </w:pPr>
      <w:r>
        <w:t xml:space="preserve">Sr. D. Juan Ramón Martín Pérez, Alcalde-Presidente del Ayuntamiento de Arafo </w:t>
      </w:r>
    </w:p>
    <w:p w:rsidR="00085BB7" w:rsidRDefault="004441D3">
      <w:pPr>
        <w:ind w:left="736" w:right="903"/>
      </w:pPr>
      <w:r>
        <w:t>Sr. D</w:t>
      </w:r>
      <w:r>
        <w:t xml:space="preserve">. Gustavo Pérez Martín, Alcalde-Presidente del Ayuntamiento de Güímar […] </w:t>
      </w:r>
    </w:p>
    <w:p w:rsidR="00085BB7" w:rsidRDefault="004441D3">
      <w:pPr>
        <w:spacing w:after="523" w:line="250" w:lineRule="auto"/>
        <w:ind w:left="738" w:hanging="10"/>
      </w:pPr>
      <w:r>
        <w:rPr>
          <w:sz w:val="24"/>
        </w:rPr>
        <w:t>10.- Expediente 10053/2024. Moción del Grupo Partido Popular para la instalación de zonas de sombra en el Paseo Graciliano Díaz Rodríguez.</w:t>
      </w:r>
    </w:p>
    <w:p w:rsidR="00085BB7" w:rsidRDefault="004441D3">
      <w:pPr>
        <w:spacing w:after="234" w:line="259" w:lineRule="auto"/>
        <w:ind w:left="733" w:right="0" w:firstLine="0"/>
        <w:jc w:val="left"/>
      </w:pPr>
      <w:r>
        <w:rPr>
          <w:rFonts w:ascii="Times New Roman" w:eastAsia="Times New Roman" w:hAnsi="Times New Roman" w:cs="Times New Roman"/>
          <w:b/>
          <w:sz w:val="24"/>
        </w:rPr>
        <w:t xml:space="preserve">       </w:t>
      </w:r>
    </w:p>
    <w:p w:rsidR="00085BB7" w:rsidRDefault="004441D3">
      <w:pPr>
        <w:spacing w:after="795"/>
        <w:ind w:left="736" w:right="903"/>
      </w:pPr>
      <w:r>
        <w:t>Consta en el expediente electrónic</w:t>
      </w:r>
      <w:r>
        <w:t>o la referida moción que se inserta literalmente:</w:t>
      </w:r>
    </w:p>
    <w:p w:rsidR="00085BB7" w:rsidRDefault="004441D3">
      <w:pPr>
        <w:spacing w:after="595" w:line="259" w:lineRule="auto"/>
        <w:ind w:left="0" w:right="173" w:firstLine="0"/>
        <w:jc w:val="center"/>
      </w:pPr>
      <w:r>
        <w:rPr>
          <w:u w:val="single" w:color="000000"/>
        </w:rPr>
        <w:t>“MOCIÓN GRUPO MUNICIPAL POPULAR</w:t>
      </w:r>
    </w:p>
    <w:p w:rsidR="00085BB7" w:rsidRDefault="004441D3">
      <w:pPr>
        <w:spacing w:after="0"/>
        <w:ind w:left="736" w:right="903"/>
      </w:pPr>
      <w:r>
        <w:t xml:space="preserve">D. JACOBO LÓPEZ FARIÑA, con DNI ***0776**, en calidad de portavoz del Grupo Municipal </w:t>
      </w:r>
      <w:r>
        <w:t xml:space="preserve">Partido Popular (PP), conforme establece el artículo 97.3 del Reglamento de Organización, </w:t>
      </w:r>
    </w:p>
    <w:p w:rsidR="00085BB7" w:rsidRDefault="004441D3">
      <w:pPr>
        <w:spacing w:after="596"/>
        <w:ind w:left="736" w:right="903"/>
      </w:pPr>
      <w:r>
        <w:t>Funcionamiento y Régimen Jurídico de las Entidades Locales, aprobado por R.D. 2568/1986, de 28 de noviembre, presenta: MOCIÓN PARA LA NSTALACIÓN DE ZONAS DE SOMBRA E</w:t>
      </w:r>
      <w:r>
        <w:t>N EL PASEO GRACILIANO RUÍZ RODRÍGUEZ.</w:t>
      </w:r>
    </w:p>
    <w:p w:rsidR="00085BB7" w:rsidRDefault="004441D3">
      <w:pPr>
        <w:spacing w:after="578" w:line="259" w:lineRule="auto"/>
        <w:ind w:left="633" w:right="0" w:firstLine="0"/>
        <w:jc w:val="left"/>
      </w:pPr>
      <w:r>
        <w:rPr>
          <w:noProof/>
        </w:rPr>
        <w:drawing>
          <wp:inline distT="0" distB="0" distL="0" distR="0">
            <wp:extent cx="2344420" cy="445770"/>
            <wp:effectExtent l="0" t="0" r="0" b="0"/>
            <wp:docPr id="13068" name="Picture 13068"/>
            <wp:cNvGraphicFramePr/>
            <a:graphic xmlns:a="http://schemas.openxmlformats.org/drawingml/2006/main">
              <a:graphicData uri="http://schemas.openxmlformats.org/drawingml/2006/picture">
                <pic:pic xmlns:pic="http://schemas.openxmlformats.org/drawingml/2006/picture">
                  <pic:nvPicPr>
                    <pic:cNvPr id="13068" name="Picture 13068"/>
                    <pic:cNvPicPr/>
                  </pic:nvPicPr>
                  <pic:blipFill>
                    <a:blip r:embed="rId54"/>
                    <a:stretch>
                      <a:fillRect/>
                    </a:stretch>
                  </pic:blipFill>
                  <pic:spPr>
                    <a:xfrm>
                      <a:off x="0" y="0"/>
                      <a:ext cx="2344420" cy="445770"/>
                    </a:xfrm>
                    <a:prstGeom prst="rect">
                      <a:avLst/>
                    </a:prstGeom>
                  </pic:spPr>
                </pic:pic>
              </a:graphicData>
            </a:graphic>
          </wp:inline>
        </w:drawing>
      </w:r>
    </w:p>
    <w:p w:rsidR="00085BB7" w:rsidRDefault="004441D3">
      <w:pPr>
        <w:spacing w:after="413" w:line="265" w:lineRule="auto"/>
        <w:ind w:left="548" w:right="710" w:hanging="10"/>
        <w:jc w:val="center"/>
      </w:pPr>
      <w:r>
        <w:t>EXPOSICIÓN DE MOTIVOS:</w:t>
      </w:r>
    </w:p>
    <w:p w:rsidR="00085BB7" w:rsidRDefault="004441D3">
      <w:pPr>
        <w:ind w:left="736" w:right="903"/>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column">
                  <wp:posOffset>6542599</wp:posOffset>
                </wp:positionH>
                <wp:positionV relativeFrom="paragraph">
                  <wp:posOffset>-49058</wp:posOffset>
                </wp:positionV>
                <wp:extent cx="237530" cy="3355467"/>
                <wp:effectExtent l="0" t="0" r="0" b="0"/>
                <wp:wrapSquare wrapText="bothSides"/>
                <wp:docPr id="151851" name="Group 1518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071" name="Rectangle 13071"/>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072" name="Rectangle 13072"/>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073" name="Rectangle 13073"/>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851" style="width:18.7031pt;height:264.21pt;position:absolute;mso-position-horizontal-relative:text;mso-position-horizontal:absolute;margin-left:515.165pt;mso-position-vertical-relative:text;margin-top:-3.86295pt;" coordsize="2375,33554">
                <v:rect id="Rectangle 13071"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07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07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122 de 133 </w:t>
                        </w:r>
                      </w:p>
                    </w:txbxContent>
                  </v:textbox>
                </v:rect>
                <w10:wrap type="square"/>
              </v:group>
            </w:pict>
          </mc:Fallback>
        </mc:AlternateContent>
      </w:r>
      <w:r>
        <w:t>El Paseo Graciliano Ruíz Rodríguez es una de las principales zonas de esparcimiento de nuestro municipio, especialmente para Las Caletillas, constituyendo un eje</w:t>
      </w:r>
      <w:r>
        <w:t xml:space="preserve"> vital de disfrute y de interacción social para nuestros ciudadanos y ciudadanas. La reciente ejecución de obras de mejora y remodelación en esta avenida, han supuesto avances significativos en cuanto a infraestructura, accesibilidad y estética urbana. Sin</w:t>
      </w:r>
      <w:r>
        <w:t xml:space="preserve"> embargo, pese a los esfuerzos realizados, se ha detectado una carencia importante que afecta directamente al bienestar y la salud de los candelarieros y candelarieras: la ausencia de zonas de sombra a lo largo de su recorrido.</w:t>
      </w:r>
    </w:p>
    <w:p w:rsidR="00085BB7" w:rsidRDefault="004441D3">
      <w:pPr>
        <w:ind w:left="736" w:right="903"/>
      </w:pPr>
      <w:r>
        <w:t>El clima de Candelaria se ca</w:t>
      </w:r>
      <w:r>
        <w:t>racteriza por temperaturas elevadas y una alta incidencia de radiación solar durante gran parte del año. Estas condiciones climáticas, si bien forman parte de la identidad como municipio, pueden resultar perjudiciales para la salud cuando no se disponen de</w:t>
      </w:r>
      <w:r>
        <w:t xml:space="preserve"> las adecuadas medidas de protección. La exposición prolongada al sol puede ocasionar deshidratación, golpes de calor, quemaduras solares y agravar enfermedades crónicas, especialmente entre los colectivos más vulnerables como personas mayores, niños y niñ</w:t>
      </w:r>
      <w:r>
        <w:t>as, mujeres embarazadas y aquellas personas con patologías previas.</w:t>
      </w:r>
    </w:p>
    <w:p w:rsidR="00085BB7" w:rsidRDefault="004441D3">
      <w:pPr>
        <w:ind w:left="736" w:right="903"/>
      </w:pPr>
      <w:r>
        <w:t>La falta de zonas de sombra en espacios públicos no solo afecta al confort y seguridad de los peatones, sino que también desincentiva el uso de las instalaciones municipales.</w:t>
      </w:r>
    </w:p>
    <w:p w:rsidR="00085BB7" w:rsidRDefault="004441D3">
      <w:pPr>
        <w:ind w:left="736" w:right="903"/>
      </w:pPr>
      <w:r>
        <w:t>Es imprescind</w:t>
      </w:r>
      <w:r>
        <w:t>ible que desde el Ayuntamiento de Candelaria se promuevan entornos urbanos saludables y accesibles, que fomenten la convivencia y el bienestar de todos los habitantes, es por ello que la instalación de zonas de sombra, mediante la incorporación de elemento</w:t>
      </w:r>
      <w:r>
        <w:t>s arquitectónicos como pérgolas, toldos o marquesinas, contribuiría significativamente a crear un ambiente más agradable y seguro para todos los usuarios del paseo.</w:t>
      </w:r>
    </w:p>
    <w:p w:rsidR="00085BB7" w:rsidRDefault="004441D3">
      <w:pPr>
        <w:spacing w:after="427"/>
        <w:ind w:left="736" w:right="903"/>
      </w:pPr>
      <w:r>
        <w:t>Los fundamentos legales que sostienen esta moción se basan en:</w:t>
      </w:r>
    </w:p>
    <w:p w:rsidR="00085BB7" w:rsidRDefault="004441D3">
      <w:pPr>
        <w:numPr>
          <w:ilvl w:val="0"/>
          <w:numId w:val="42"/>
        </w:numPr>
        <w:spacing w:line="405" w:lineRule="auto"/>
        <w:ind w:right="903"/>
      </w:pPr>
      <w:r>
        <w:t>Objetivos de Desarrollo Sost</w:t>
      </w:r>
      <w:r>
        <w:t xml:space="preserve">enible (ODS) de la Agenda 2030: </w:t>
      </w:r>
      <w:r>
        <w:rPr>
          <w:rFonts w:ascii="Courier New" w:eastAsia="Courier New" w:hAnsi="Courier New" w:cs="Courier New"/>
          <w:sz w:val="20"/>
        </w:rPr>
        <w:t xml:space="preserve">o </w:t>
      </w:r>
      <w:r>
        <w:t>ODS 11: Lograr que las ciudades y los asentamientos humanos sean inclusivos, seguros, resilientes y sostenibles.</w:t>
      </w:r>
    </w:p>
    <w:p w:rsidR="00085BB7" w:rsidRDefault="004441D3">
      <w:pPr>
        <w:numPr>
          <w:ilvl w:val="0"/>
          <w:numId w:val="42"/>
        </w:numPr>
        <w:spacing w:after="0" w:line="405" w:lineRule="auto"/>
        <w:ind w:right="903"/>
      </w:pPr>
      <w:r>
        <w:t xml:space="preserve">Ley 33/2011, de 4 de octubre, General de Salud Pública: </w:t>
      </w:r>
      <w:r>
        <w:rPr>
          <w:rFonts w:ascii="Courier New" w:eastAsia="Courier New" w:hAnsi="Courier New" w:cs="Courier New"/>
          <w:sz w:val="20"/>
        </w:rPr>
        <w:t xml:space="preserve">o </w:t>
      </w:r>
      <w:r>
        <w:t>Artículo 42: Promoción de entornos saludables, inst</w:t>
      </w:r>
      <w:r>
        <w:t>ando a las administraciones públicas a adoptar medidas que faciliten a la población la elección de opciones saludables.</w:t>
      </w:r>
    </w:p>
    <w:p w:rsidR="00085BB7" w:rsidRDefault="004441D3">
      <w:pPr>
        <w:numPr>
          <w:ilvl w:val="0"/>
          <w:numId w:val="42"/>
        </w:numPr>
        <w:spacing w:after="299" w:line="393" w:lineRule="auto"/>
        <w:ind w:right="903"/>
      </w:pPr>
      <w:r>
        <w:t xml:space="preserve">Ley 7/1985, de 2 de abril, Reguladora de las Bases del Régimen Local: </w:t>
      </w:r>
      <w:r>
        <w:rPr>
          <w:rFonts w:ascii="Courier New" w:eastAsia="Courier New" w:hAnsi="Courier New" w:cs="Courier New"/>
          <w:sz w:val="20"/>
        </w:rPr>
        <w:t xml:space="preserve">o </w:t>
      </w:r>
      <w:r>
        <w:t>Artículo 25.2.a): Competencias municipales en materia de urbanismo y ordenación del territorio.</w:t>
      </w:r>
    </w:p>
    <w:p w:rsidR="00085BB7" w:rsidRDefault="004441D3">
      <w:pPr>
        <w:ind w:left="736" w:right="903"/>
      </w:pPr>
      <w:r>
        <w:t>La instalación de zonas de sombra en el Paseo Graciliano, es una medida necesaria y urgente para garantizar el bienestar y la salud de nuestros ciudadanos, inci</w:t>
      </w:r>
      <w:r>
        <w:t>diendo, sobre todo, en la zona del parque infantil. Esta iniciativa refleja el compromiso del Partido Popular de Candelaria con la creación de espacios urbanos más habitables y saludables.</w:t>
      </w:r>
    </w:p>
    <w:p w:rsidR="00085BB7" w:rsidRDefault="004441D3">
      <w:pPr>
        <w:ind w:left="736" w:right="903"/>
      </w:pPr>
      <w:r>
        <w:t>Al adoptar estos acuerdos, estaremos no solo respondiendo a una dem</w:t>
      </w:r>
      <w:r>
        <w:t>anda legítima de la población, sino también cumpliendo con nuestras obligaciones como representantes públicos. Es nuestra responsabilidad construir un municipio que priorice la calidad de vida de sus habitantes y se adapte a las necesidades actuales y futu</w:t>
      </w:r>
      <w:r>
        <w:t>ras.</w:t>
      </w:r>
    </w:p>
    <w:p w:rsidR="00085BB7" w:rsidRDefault="004441D3">
      <w:pPr>
        <w:spacing w:after="672" w:line="300" w:lineRule="auto"/>
        <w:ind w:left="730" w:right="903" w:firstLine="570"/>
      </w:pPr>
      <w:r>
        <w:t>Por todo lo anteriormente expuesto, el Grupo Municipal Popular (PP) somete a consideración del Pleno del Ayuntamiento de Candelaria los siguientes:</w:t>
      </w:r>
    </w:p>
    <w:p w:rsidR="00085BB7" w:rsidRDefault="004441D3">
      <w:pPr>
        <w:spacing w:after="467"/>
        <w:ind w:left="736" w:right="903"/>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column">
                  <wp:posOffset>6542599</wp:posOffset>
                </wp:positionH>
                <wp:positionV relativeFrom="paragraph">
                  <wp:posOffset>-512608</wp:posOffset>
                </wp:positionV>
                <wp:extent cx="237530" cy="3355467"/>
                <wp:effectExtent l="0" t="0" r="0" b="0"/>
                <wp:wrapSquare wrapText="bothSides"/>
                <wp:docPr id="151489" name="Group 1514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143" name="Rectangle 13143"/>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144" name="Rectangle 13144"/>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145" name="Rectangle 13145"/>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123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489" style="width:18.7031pt;height:264.21pt;position:absolute;mso-position-horizontal-relative:text;mso-position-horizontal:absolute;margin-left:515.165pt;mso-position-vertical-relative:text;margin-top:-40.3629pt;" coordsize="2375,33554">
                <v:rect id="Rectangle 13143"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1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1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123 de 133 </w:t>
                        </w:r>
                      </w:p>
                    </w:txbxContent>
                  </v:textbox>
                </v:rect>
                <w10:wrap type="square"/>
              </v:group>
            </w:pict>
          </mc:Fallback>
        </mc:AlternateContent>
      </w:r>
      <w:r>
        <w:t>ACUERDOS:</w:t>
      </w:r>
    </w:p>
    <w:p w:rsidR="00085BB7" w:rsidRDefault="004441D3">
      <w:pPr>
        <w:numPr>
          <w:ilvl w:val="0"/>
          <w:numId w:val="43"/>
        </w:numPr>
        <w:spacing w:after="436" w:line="398" w:lineRule="auto"/>
        <w:ind w:right="903" w:hanging="360"/>
      </w:pPr>
      <w:r>
        <w:t>REALIZACIÓN DE UN ESTUDIO TÉCNICO QUE DETERMINE LAS SOLUCIONES MÁS ADECUADA Y SOSTENIBLE PARA LA CREACIÓN DE LAS ZONAS DE SOMBRA.</w:t>
      </w:r>
    </w:p>
    <w:p w:rsidR="00085BB7" w:rsidRDefault="004441D3">
      <w:pPr>
        <w:numPr>
          <w:ilvl w:val="0"/>
          <w:numId w:val="43"/>
        </w:numPr>
        <w:spacing w:after="0" w:line="398" w:lineRule="auto"/>
        <w:ind w:right="903" w:hanging="360"/>
      </w:pPr>
      <w:r>
        <w:t>INSTALACIÓN DE ZONAS</w:t>
      </w:r>
      <w:r>
        <w:t xml:space="preserve"> DE SOMBRA EN EL PASEO GRACILIANO RUIZ RODRÍGUEZ INCORPORANDO ELEMENTOS ARQUITECTÓNICOS COMO PÉRGOLAS, TOLDOS O </w:t>
      </w:r>
    </w:p>
    <w:p w:rsidR="00085BB7" w:rsidRDefault="004441D3">
      <w:pPr>
        <w:spacing w:after="141"/>
        <w:ind w:left="736" w:right="903"/>
      </w:pPr>
      <w:r>
        <w:t xml:space="preserve">MARQUESINAS EN ÁREAS ESTRATÉGICAS, ESPECIALMENTE EN ZONAS DE DESCANSO Y </w:t>
      </w:r>
    </w:p>
    <w:p w:rsidR="00085BB7" w:rsidRDefault="004441D3">
      <w:pPr>
        <w:spacing w:after="557"/>
        <w:ind w:left="736" w:right="903"/>
      </w:pPr>
      <w:r>
        <w:t>EL PARQUE INFANTIL.”</w:t>
      </w:r>
    </w:p>
    <w:p w:rsidR="00085BB7" w:rsidRDefault="004441D3">
      <w:pPr>
        <w:spacing w:after="225" w:line="265" w:lineRule="auto"/>
        <w:ind w:left="548" w:right="1062" w:hanging="10"/>
        <w:jc w:val="center"/>
      </w:pPr>
      <w:r>
        <w:t>En Candelaria, a 21 de mayo de 2024</w:t>
      </w:r>
    </w:p>
    <w:p w:rsidR="00085BB7" w:rsidRDefault="004441D3">
      <w:pPr>
        <w:spacing w:after="271" w:line="265" w:lineRule="auto"/>
        <w:ind w:left="548" w:right="707" w:hanging="10"/>
        <w:jc w:val="center"/>
      </w:pPr>
      <w:r>
        <w:t>Jacobo López Fariña</w:t>
      </w:r>
    </w:p>
    <w:p w:rsidR="00085BB7" w:rsidRDefault="004441D3">
      <w:pPr>
        <w:spacing w:after="1227" w:line="265" w:lineRule="auto"/>
        <w:ind w:left="548" w:right="709" w:hanging="10"/>
        <w:jc w:val="center"/>
      </w:pPr>
      <w:r>
        <w:t>Portavoz Grupo Municipal Popular</w:t>
      </w:r>
    </w:p>
    <w:p w:rsidR="00085BB7" w:rsidRDefault="004441D3">
      <w:pPr>
        <w:ind w:left="736" w:right="903"/>
      </w:pPr>
      <w:r>
        <w:t xml:space="preserve">DICTAMEN FAVORABLE DE LA COMISIÓN INFORMATIVA DE P.G. URBANÍSTICA Y AMBIENTAL, OBRAS y SERVICIOS PÚBLICOS DE 23 DE SEPTIEMBRE DE 2024. </w:t>
      </w:r>
    </w:p>
    <w:p w:rsidR="00085BB7" w:rsidRDefault="004441D3">
      <w:pPr>
        <w:ind w:left="736" w:right="903"/>
      </w:pPr>
      <w:r>
        <w:t>Votos a favor: 3.</w:t>
      </w:r>
    </w:p>
    <w:p w:rsidR="00085BB7" w:rsidRDefault="004441D3">
      <w:pPr>
        <w:ind w:left="736" w:right="903"/>
      </w:pPr>
      <w:r>
        <w:t xml:space="preserve">Los 2 concejales del Grupo Popular: D Jacobo López Fariña, y Dª Raquel Martín Castro. </w:t>
      </w:r>
    </w:p>
    <w:p w:rsidR="00085BB7" w:rsidRDefault="004441D3">
      <w:pPr>
        <w:ind w:left="736" w:right="903"/>
      </w:pPr>
      <w:r>
        <w:t>1 del concejal del Grupo Mixto: D. José Fierros Sierra.</w:t>
      </w:r>
    </w:p>
    <w:p w:rsidR="00085BB7" w:rsidRDefault="004441D3">
      <w:pPr>
        <w:ind w:left="736" w:right="903"/>
      </w:pPr>
      <w:r>
        <w:t>Votos en contra: 0.</w:t>
      </w:r>
    </w:p>
    <w:p w:rsidR="00085BB7" w:rsidRDefault="004441D3">
      <w:pPr>
        <w:ind w:left="736" w:right="903"/>
      </w:pPr>
      <w:r>
        <w:t>Abstenciones: 4.</w:t>
      </w:r>
    </w:p>
    <w:p w:rsidR="00085BB7" w:rsidRDefault="004441D3">
      <w:pPr>
        <w:spacing w:after="497"/>
        <w:ind w:left="736" w:right="903"/>
      </w:pPr>
      <w:r>
        <w:t xml:space="preserve">Los 4 concejales del Grupo Socialista: D. Reinaldo José Triviño Blanco, Don </w:t>
      </w:r>
      <w:r>
        <w:t>Olegario Francisco Alonso Bello, Dª María Del Carmen Clemente Díaz y Dª Mónica Monserrat Yanes Delgado.</w:t>
      </w:r>
    </w:p>
    <w:p w:rsidR="00085BB7" w:rsidRDefault="004441D3">
      <w:pPr>
        <w:ind w:left="736" w:right="3715"/>
      </w:pPr>
      <w:r>
        <w:t xml:space="preserve">JUNTA DE PORTAVOCES DE 23 DE SEPTIEMBRE DE 2024. Quedó oída. </w:t>
      </w:r>
    </w:p>
    <w:p w:rsidR="00085BB7" w:rsidRDefault="004441D3">
      <w:pPr>
        <w:ind w:left="736" w:right="903"/>
      </w:pPr>
      <w:r>
        <w:t>Durante el transcurso del Pleno se presente enmienda por el Grupo Socialista de sustitució</w:t>
      </w:r>
      <w:r>
        <w:t>n que dice expresamente:</w:t>
      </w:r>
    </w:p>
    <w:p w:rsidR="00085BB7" w:rsidRDefault="004441D3">
      <w:pPr>
        <w:spacing w:after="8" w:line="224" w:lineRule="auto"/>
        <w:ind w:left="4520" w:right="874" w:hanging="3552"/>
      </w:pPr>
      <w:r>
        <w:rPr>
          <w:sz w:val="23"/>
        </w:rPr>
        <w:t>“Enmienda del Grupo Municipal Socialista-PSOE a la Moción del Partido Popular al Pleno de septiembre de 2024</w:t>
      </w:r>
    </w:p>
    <w:p w:rsidR="00085BB7" w:rsidRDefault="004441D3">
      <w:pPr>
        <w:spacing w:after="33" w:line="224" w:lineRule="auto"/>
        <w:ind w:left="4274" w:right="874" w:hanging="8"/>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column">
                  <wp:posOffset>6542599</wp:posOffset>
                </wp:positionH>
                <wp:positionV relativeFrom="paragraph">
                  <wp:posOffset>-19849</wp:posOffset>
                </wp:positionV>
                <wp:extent cx="237530" cy="3355467"/>
                <wp:effectExtent l="0" t="0" r="0" b="0"/>
                <wp:wrapSquare wrapText="bothSides"/>
                <wp:docPr id="152144" name="Group 1521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212" name="Rectangle 13212"/>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213" name="Rectangle 13213"/>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214" name="Rectangle 13214"/>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124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2144" style="width:18.7031pt;height:264.21pt;position:absolute;mso-position-horizontal-relative:text;mso-position-horizontal:absolute;margin-left:515.165pt;mso-position-vertical-relative:text;margin-top:-1.56299pt;" coordsize="2375,33554">
                <v:rect id="Rectangle 13212"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21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21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124 de 133 </w:t>
                        </w:r>
                      </w:p>
                    </w:txbxContent>
                  </v:textbox>
                </v:rect>
                <w10:wrap type="square"/>
              </v:group>
            </w:pict>
          </mc:Fallback>
        </mc:AlternateContent>
      </w:r>
      <w:r>
        <w:rPr>
          <w:sz w:val="23"/>
        </w:rPr>
        <w:t>ACUERDO</w:t>
      </w:r>
    </w:p>
    <w:p w:rsidR="00085BB7" w:rsidRDefault="004441D3">
      <w:pPr>
        <w:spacing w:after="514" w:line="224" w:lineRule="auto"/>
        <w:ind w:left="715" w:right="874" w:hanging="8"/>
      </w:pPr>
      <w:r>
        <w:rPr>
          <w:sz w:val="23"/>
        </w:rPr>
        <w:t>Continuar la gestión con el Cabildo Insular de Tenerife, ya iniciada, atendiendo a las peticiones vecinales, tanto de la Asociación de Vecinos El Pueblit</w:t>
      </w:r>
      <w:r>
        <w:rPr>
          <w:sz w:val="23"/>
        </w:rPr>
        <w:t xml:space="preserve">o como de la Mesa Comunitaria de Las Caletillas para estudiar la posibilidad de instalar zonas de sombra en el parque así como en otras zonas del Paseo Graciliano Ruiz Rodríguez”. </w:t>
      </w:r>
    </w:p>
    <w:p w:rsidR="00085BB7" w:rsidRDefault="004441D3">
      <w:pPr>
        <w:ind w:left="736" w:right="903"/>
      </w:pPr>
      <w:r>
        <w:t>VOTACIÓN EN EL PLENO DE 26 DE SEPTIEMBRE DE 2024 DE LA ENMIENDA DE SUSTITUC</w:t>
      </w:r>
      <w:r>
        <w:t>IÓN DEL GRUPO MUNICIPAL SOCIALISTA DE FECHA 26 DE SEPTIEMBRE DE 2024 A LA MOCIÓN DEL GRUPO POPULAR:</w:t>
      </w:r>
    </w:p>
    <w:p w:rsidR="00085BB7" w:rsidRDefault="004441D3">
      <w:pPr>
        <w:ind w:left="736" w:right="903"/>
      </w:pPr>
      <w:r>
        <w:t xml:space="preserve">La unanimidad de los 21 concejales presentes: </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Delgado, Don José Fra</w:t>
      </w:r>
      <w:r>
        <w:t xml:space="preserve">ncisco Pinto Ramos, Doña Olivia Concepción Pérez Díaz, Don Reinaldo </w:t>
      </w:r>
    </w:p>
    <w:p w:rsidR="00085BB7" w:rsidRDefault="004441D3">
      <w:pPr>
        <w:ind w:left="736" w:right="903"/>
      </w:pPr>
      <w:r>
        <w:t>José Triviño Blanco, Don Manuel Alberto González Pestano, Doña Margarita Eva Tendero Barroso, Don Airam Pérez Chinea, Doña María del Carmen Clemente Díaz, Don Olegario Francisco Alonso Be</w:t>
      </w:r>
      <w:r>
        <w:t xml:space="preserve">llo, Doña Mónica Monserrat Yanes Delgado. </w:t>
      </w:r>
    </w:p>
    <w:p w:rsidR="00085BB7" w:rsidRDefault="004441D3">
      <w:pPr>
        <w:ind w:left="736" w:right="903"/>
      </w:pPr>
      <w:r>
        <w:t xml:space="preserve">6 concejales del Grupo Popular: Don Jacobo López Fariña, Doña Raquel Martín Castro, Don David Crego Cháves, Doña María Carlota Díaz González, Don José Daniel Sosa González, y Doña Shaila Castellano Batista. </w:t>
      </w:r>
    </w:p>
    <w:p w:rsidR="00085BB7" w:rsidRDefault="004441D3">
      <w:pPr>
        <w:spacing w:after="497"/>
        <w:ind w:left="736" w:right="903"/>
      </w:pPr>
      <w:r>
        <w:t>4 concejales del Grupo Mixto: Doña Ángela Cruz Perera y Don Emilio Jesús Atienzar Armas, (CC), D. José Fierros Sierra (USP), Don José Tortosa Pallarés (VOX).</w:t>
      </w:r>
    </w:p>
    <w:p w:rsidR="00085BB7" w:rsidRDefault="004441D3">
      <w:pPr>
        <w:spacing w:after="233" w:line="259" w:lineRule="auto"/>
        <w:ind w:left="733" w:right="0" w:firstLine="0"/>
        <w:jc w:val="left"/>
      </w:pPr>
      <w:r>
        <w:t xml:space="preserve">                          </w:t>
      </w:r>
    </w:p>
    <w:p w:rsidR="00085BB7" w:rsidRDefault="004441D3">
      <w:pPr>
        <w:spacing w:after="111"/>
        <w:ind w:left="2935" w:right="903"/>
      </w:pPr>
      <w:r>
        <w:t>ACUERDO DEL PLENO DE 26 DE SEPTIEMBRE DE 2024.</w:t>
      </w:r>
    </w:p>
    <w:p w:rsidR="00085BB7" w:rsidRDefault="004441D3">
      <w:pPr>
        <w:spacing w:after="1006"/>
        <w:ind w:left="736" w:right="903"/>
      </w:pPr>
      <w:r>
        <w:t xml:space="preserve">Aprobar la enmienda del </w:t>
      </w:r>
      <w:r>
        <w:t>Grupo Municipal Socialista-PSOE, a la Moción del Partido Popular al Pleno de septiembre de 2024, que dice:</w:t>
      </w:r>
    </w:p>
    <w:p w:rsidR="00085BB7" w:rsidRDefault="004441D3">
      <w:pPr>
        <w:spacing w:after="10"/>
        <w:ind w:left="4285" w:right="903"/>
      </w:pPr>
      <w:r>
        <w:t>ACUERDO</w:t>
      </w:r>
    </w:p>
    <w:p w:rsidR="00085BB7" w:rsidRDefault="004441D3">
      <w:pPr>
        <w:spacing w:after="3169"/>
        <w:ind w:left="736" w:right="903"/>
      </w:pPr>
      <w:r>
        <w:t>Continuar la gestión con el Cabildo Insular de Tenerife, ya iniciada, atendiendo a las peticiones vecinales, tanto de la Asociación de Vecino</w:t>
      </w:r>
      <w:r>
        <w:t xml:space="preserve">s El Pueblito como de la Mesa Comunitaria de Las Caletillas para estudiar la posibilidad de instalar zonas de sombra en el parque, así como en otras zonas del Paseo Graciliano Ruiz Rodríguez”. </w:t>
      </w:r>
    </w:p>
    <w:p w:rsidR="00085BB7" w:rsidRDefault="004441D3">
      <w:pPr>
        <w:spacing w:after="57" w:line="259" w:lineRule="auto"/>
        <w:ind w:left="10303" w:right="0" w:firstLine="0"/>
        <w:jc w:val="left"/>
      </w:pPr>
      <w:r>
        <w:rPr>
          <w:rFonts w:ascii="Calibri" w:eastAsia="Calibri" w:hAnsi="Calibri" w:cs="Calibri"/>
          <w:noProof/>
        </w:rPr>
        <mc:AlternateContent>
          <mc:Choice Requires="wpg">
            <w:drawing>
              <wp:inline distT="0" distB="0" distL="0" distR="0">
                <wp:extent cx="237530" cy="3355467"/>
                <wp:effectExtent l="0" t="0" r="0" b="0"/>
                <wp:docPr id="151885" name="Group 1518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250" name="Rectangle 13250"/>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251" name="Rectangle 13251"/>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252" name="Rectangle 13252"/>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125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1885" style="width:18.7031pt;height:264.21pt;mso-position-horizontal-relative:char;mso-position-vertical-relative:line" coordsize="2375,33554">
                <v:rect id="Rectangle 13250"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2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2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125 de 133 </w:t>
                        </w:r>
                      </w:p>
                    </w:txbxContent>
                  </v:textbox>
                </v:rect>
              </v:group>
            </w:pict>
          </mc:Fallback>
        </mc:AlternateContent>
      </w:r>
    </w:p>
    <w:p w:rsidR="00085BB7" w:rsidRDefault="004441D3">
      <w:pPr>
        <w:spacing w:after="10" w:line="250" w:lineRule="auto"/>
        <w:ind w:left="738" w:hanging="10"/>
      </w:pPr>
      <w:r>
        <w:rPr>
          <w:sz w:val="24"/>
        </w:rPr>
        <w:t>12.- Expediente 10021/2024. Moción del Grupo Mixto (USP) con registro de entrada nº (2024-E-RE-6746) de 1</w:t>
      </w:r>
      <w:r>
        <w:rPr>
          <w:sz w:val="24"/>
        </w:rPr>
        <w:t>6 de septiembre de 2024 sobre ayudas para material escolar.</w:t>
      </w:r>
    </w:p>
    <w:p w:rsidR="00085BB7" w:rsidRDefault="004441D3">
      <w:pPr>
        <w:spacing w:after="302" w:line="259" w:lineRule="auto"/>
        <w:ind w:left="731" w:right="0" w:firstLine="0"/>
        <w:jc w:val="left"/>
      </w:pPr>
      <w:r>
        <w:rPr>
          <w:noProof/>
        </w:rPr>
        <w:drawing>
          <wp:inline distT="0" distB="0" distL="0" distR="0">
            <wp:extent cx="1264920" cy="830580"/>
            <wp:effectExtent l="0" t="0" r="0" b="0"/>
            <wp:docPr id="13264" name="Picture 13264"/>
            <wp:cNvGraphicFramePr/>
            <a:graphic xmlns:a="http://schemas.openxmlformats.org/drawingml/2006/main">
              <a:graphicData uri="http://schemas.openxmlformats.org/drawingml/2006/picture">
                <pic:pic xmlns:pic="http://schemas.openxmlformats.org/drawingml/2006/picture">
                  <pic:nvPicPr>
                    <pic:cNvPr id="13264" name="Picture 13264"/>
                    <pic:cNvPicPr/>
                  </pic:nvPicPr>
                  <pic:blipFill>
                    <a:blip r:embed="rId55"/>
                    <a:stretch>
                      <a:fillRect/>
                    </a:stretch>
                  </pic:blipFill>
                  <pic:spPr>
                    <a:xfrm>
                      <a:off x="0" y="0"/>
                      <a:ext cx="1264920" cy="830580"/>
                    </a:xfrm>
                    <a:prstGeom prst="rect">
                      <a:avLst/>
                    </a:prstGeom>
                  </pic:spPr>
                </pic:pic>
              </a:graphicData>
            </a:graphic>
          </wp:inline>
        </w:drawing>
      </w:r>
    </w:p>
    <w:p w:rsidR="00085BB7" w:rsidRDefault="004441D3">
      <w:pPr>
        <w:spacing w:after="811"/>
        <w:ind w:left="736" w:right="903"/>
      </w:pPr>
      <w:r>
        <w:rPr>
          <w:rFonts w:ascii="Times New Roman" w:eastAsia="Times New Roman" w:hAnsi="Times New Roman" w:cs="Times New Roman"/>
          <w:b/>
          <w:sz w:val="24"/>
        </w:rPr>
        <w:t xml:space="preserve">     </w:t>
      </w:r>
      <w:r>
        <w:t>Consta en el expediente electrónico la referida moción que se inserta literalmente:</w:t>
      </w:r>
    </w:p>
    <w:p w:rsidR="00085BB7" w:rsidRDefault="004441D3">
      <w:pPr>
        <w:spacing w:after="0" w:line="265" w:lineRule="auto"/>
        <w:ind w:left="548" w:right="710" w:hanging="10"/>
        <w:jc w:val="center"/>
      </w:pPr>
      <w:r>
        <w:t>“MOCIÓN DE UNIDAS SÍ PODEMOS</w:t>
      </w:r>
    </w:p>
    <w:p w:rsidR="00085BB7" w:rsidRDefault="004441D3">
      <w:pPr>
        <w:spacing w:after="11" w:line="259" w:lineRule="auto"/>
        <w:ind w:left="733" w:right="0" w:firstLine="0"/>
        <w:jc w:val="left"/>
      </w:pPr>
      <w:r>
        <w:t xml:space="preserve"> </w:t>
      </w:r>
    </w:p>
    <w:p w:rsidR="00085BB7" w:rsidRDefault="004441D3">
      <w:pPr>
        <w:spacing w:after="0" w:line="259" w:lineRule="auto"/>
        <w:ind w:left="733" w:right="0" w:firstLine="0"/>
        <w:jc w:val="left"/>
      </w:pPr>
      <w:r>
        <w:t xml:space="preserve"> </w:t>
      </w:r>
    </w:p>
    <w:p w:rsidR="00085BB7" w:rsidRDefault="004441D3">
      <w:pPr>
        <w:spacing w:after="10"/>
        <w:ind w:left="736" w:right="903"/>
      </w:pPr>
      <w:r>
        <w:t xml:space="preserve">José Fierros Sierra, Concejal de Unidas Sí Podemos, con DNI: ***7200**, y miembro del Grupo </w:t>
      </w:r>
    </w:p>
    <w:p w:rsidR="00085BB7" w:rsidRDefault="004441D3">
      <w:pPr>
        <w:spacing w:after="142"/>
        <w:ind w:left="736" w:right="903"/>
      </w:pPr>
      <w:r>
        <w:t xml:space="preserve">Municipal Mixto, conforme a lo establecido en la reglamentación aplicable, presenta MOCIÓN SOBRE AYUDAS PARA MATERIAL ESCOLAR </w:t>
      </w:r>
    </w:p>
    <w:p w:rsidR="00085BB7" w:rsidRDefault="004441D3">
      <w:pPr>
        <w:spacing w:after="123" w:line="259" w:lineRule="auto"/>
        <w:ind w:left="733" w:right="0" w:firstLine="0"/>
        <w:jc w:val="left"/>
      </w:pPr>
      <w:r>
        <w:t xml:space="preserve"> </w:t>
      </w:r>
    </w:p>
    <w:p w:rsidR="00085BB7" w:rsidRDefault="004441D3">
      <w:pPr>
        <w:spacing w:after="103" w:line="265" w:lineRule="auto"/>
        <w:ind w:left="548" w:right="713" w:hanging="10"/>
        <w:jc w:val="center"/>
      </w:pPr>
      <w:r>
        <w:t>EXPOSICIÓN DE MOTIVOS</w:t>
      </w:r>
    </w:p>
    <w:p w:rsidR="00085BB7" w:rsidRDefault="004441D3">
      <w:pPr>
        <w:spacing w:after="134"/>
        <w:ind w:left="805" w:right="903"/>
      </w:pPr>
      <w:r>
        <w:t xml:space="preserve"> El comienzo de curso supone todos los años un quebradero de cabeza para la mayor parte de las familias con niños y niñas en edad escolar. Los gastos de septiembre en material escolar implican un esfuerzo económico que la mayoría de los hogares, no solamen</w:t>
      </w:r>
      <w:r>
        <w:t xml:space="preserve">te aquellas familias que se encuentran en riesgo de pobreza, afronta con dificultades. </w:t>
      </w:r>
    </w:p>
    <w:p w:rsidR="00085BB7" w:rsidRDefault="004441D3">
      <w:pPr>
        <w:spacing w:after="140"/>
        <w:ind w:left="736" w:right="903"/>
      </w:pPr>
      <w:r>
        <w:t>Según una encuesta recientemente realizada por Milanuncios, en colaboración con Appinio, un 90% de las familias manifiesta estar preocupada por el encarecimiento de los</w:t>
      </w:r>
      <w:r>
        <w:t xml:space="preserve"> productos necesarios para la ‘vuelta al cole’. El estudio revela que casi la mitad de las familias españolas (44%) estima que gastarán más en material escolar este año en comparación con el anterior. </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column">
                  <wp:posOffset>6542599</wp:posOffset>
                </wp:positionH>
                <wp:positionV relativeFrom="paragraph">
                  <wp:posOffset>166840</wp:posOffset>
                </wp:positionV>
                <wp:extent cx="237530" cy="3355467"/>
                <wp:effectExtent l="0" t="0" r="0" b="0"/>
                <wp:wrapSquare wrapText="bothSides"/>
                <wp:docPr id="151764" name="Group 151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339" name="Rectangle 13339"/>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340" name="Rectangle 13340"/>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w:t>
                              </w:r>
                              <w:r>
                                <w:rPr>
                                  <w:sz w:val="12"/>
                                </w:rPr>
                                <w:t xml:space="preserve">icación: https://candelaria.sedelectronica.es/ </w:t>
                              </w:r>
                            </w:p>
                          </w:txbxContent>
                        </wps:txbx>
                        <wps:bodyPr horzOverflow="overflow" vert="horz" lIns="0" tIns="0" rIns="0" bIns="0" rtlCol="0">
                          <a:noAutofit/>
                        </wps:bodyPr>
                      </wps:wsp>
                      <wps:wsp>
                        <wps:cNvPr id="13341" name="Rectangle 13341"/>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126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764" style="width:18.7031pt;height:264.21pt;position:absolute;mso-position-horizontal-relative:text;mso-position-horizontal:absolute;margin-left:515.165pt;mso-position-vertical-relative:text;margin-top:13.137pt;" coordsize="2375,33554">
                <v:rect id="Rectangle 13339"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3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3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126 de 133 </w:t>
                        </w:r>
                      </w:p>
                    </w:txbxContent>
                  </v:textbox>
                </v:rect>
                <w10:wrap type="square"/>
              </v:group>
            </w:pict>
          </mc:Fallback>
        </mc:AlternateContent>
      </w:r>
      <w:r>
        <w:t xml:space="preserve">La OCU, en el último estudio publicado el pasado mes de agosto de este año, señala que cada hogar con hijos en </w:t>
      </w:r>
      <w:r>
        <w:t>edad escolar gastará de media un 13% más que el año pasado.</w:t>
      </w:r>
    </w:p>
    <w:p w:rsidR="00085BB7" w:rsidRDefault="004441D3">
      <w:pPr>
        <w:spacing w:after="0" w:line="259" w:lineRule="auto"/>
        <w:ind w:left="729" w:firstLine="0"/>
        <w:jc w:val="left"/>
      </w:pPr>
      <w:r>
        <w:t xml:space="preserve"> </w:t>
      </w:r>
    </w:p>
    <w:p w:rsidR="00085BB7" w:rsidRDefault="004441D3">
      <w:pPr>
        <w:ind w:left="736" w:right="903"/>
      </w:pPr>
      <w:r>
        <w:t xml:space="preserve">El Ayuntamiento de Candelaria incluye en su presupuesto anual, dentro del subprograma relativo a los Servicios Complementarios de Educación, ayudas al estudio, material escolar y transporte </w:t>
      </w:r>
      <w:r>
        <w:t>para educación infantil, primaria, ESO y bachillerato. En el presupuesto de este año se destina la cantidad de 111.000,00 euros, seis mil euros menos que en el año anterior. El grado de ejecución de esta partida en el ejercicio 2023 solamente alcanzó la mi</w:t>
      </w:r>
      <w:r>
        <w:t>tad de lo presupuestado (57.000 euros), de manera similar a lo ocurrido en el año 2022. Si la cantidad presupuestada, ya de por sí exigua, no llega a ejecutarse en un 50 %, resulta obvio que habría que modificar los mecanismos para que las ayudas lleguen a</w:t>
      </w:r>
      <w:r>
        <w:t xml:space="preserve"> sus destinatarios/as, empezando por la información y terminando por la modificación de las bases que determinan su adjudicación. </w:t>
      </w:r>
    </w:p>
    <w:p w:rsidR="00085BB7" w:rsidRDefault="004441D3">
      <w:pPr>
        <w:spacing w:after="10"/>
        <w:ind w:left="736" w:right="903"/>
      </w:pPr>
      <w:r>
        <w:t xml:space="preserve">La convocatoria realizada desde el consistorio el pasado mes de mayo para “LA </w:t>
      </w:r>
    </w:p>
    <w:p w:rsidR="00085BB7" w:rsidRDefault="004441D3">
      <w:pPr>
        <w:spacing w:after="10"/>
        <w:ind w:left="736" w:right="903"/>
      </w:pPr>
      <w:r>
        <w:t>CONCESIÓN DE AYUDAS ECONÓMICAS AL ESTUDIO PARA</w:t>
      </w:r>
      <w:r>
        <w:t xml:space="preserve"> EL ALUMNADO </w:t>
      </w:r>
    </w:p>
    <w:p w:rsidR="00085BB7" w:rsidRDefault="004441D3">
      <w:pPr>
        <w:ind w:left="736" w:right="903"/>
      </w:pPr>
      <w:r>
        <w:t>EMPADRONADO EN EL MUNCICIPIO DE CANDELARIA CURSO 2024-2025” contiene bases que no solamente no se adaptan a la realidad socioeconómica y salarial actual, sino que hacen muy difícil, para la gran mayoría de los hogares de nuestro municipio, la</w:t>
      </w:r>
      <w:r>
        <w:t xml:space="preserve"> posibilidad de optar a tales ayudas. Entre los requisitos exigibles para solicitar la ayuda se establecen topes de ingresos inferiores al Salario Mínimo Interprofesional, en concreto 13.800 euros de ingresos netos anuales para una familia monoparental de </w:t>
      </w:r>
      <w:r>
        <w:t xml:space="preserve">2 miembros, cuando el SMI se sitúa en 15.876 euros anuales. Los topes aumentan a medida que se incrementa el número de miembros de la unidad familiar, pero siguen constituyendo límites en los que pocas familias pueden encajar. </w:t>
      </w:r>
    </w:p>
    <w:p w:rsidR="00085BB7" w:rsidRDefault="004441D3">
      <w:pPr>
        <w:ind w:left="736" w:right="903"/>
      </w:pPr>
      <w:r>
        <w:t>La resolución de esta convoc</w:t>
      </w:r>
      <w:r>
        <w:t>atoria publicada el lunes 9 de septiembre último confirma o empeora lo que se viene produciendo en los últimos ejercicios: de los 120.000 euros previstos en la convocatoria sólo se adjudican 41.040, quedando vacantes dos terceras partes. De los 287 solicit</w:t>
      </w:r>
      <w:r>
        <w:t>antes de estas ayudas, solamente 176 resultan beneficiados, lo que significa que casi el 40% de quienes manifiestan necesitar las ayudas quedan fuera por diversos motivos. Es significativo que el 30% de las solicitudes denegadas lo son por superar los tope</w:t>
      </w:r>
      <w:r>
        <w:t xml:space="preserve">s de ingresos establecidos en las bases, lo cual no es de extrañar, porque esos topes no se corresponden con las realidades socioeconómicas actuales. </w:t>
      </w:r>
    </w:p>
    <w:p w:rsidR="00085BB7" w:rsidRDefault="004441D3">
      <w:pPr>
        <w:spacing w:after="0"/>
        <w:ind w:left="736" w:right="903"/>
      </w:pPr>
      <w:r>
        <w:t xml:space="preserve">Por lo anteriormente expuesto, UNIDAS SÍ PODEMOS somete a la consideración del pleno los siguientes </w:t>
      </w:r>
    </w:p>
    <w:p w:rsidR="00085BB7" w:rsidRDefault="004441D3">
      <w:pPr>
        <w:spacing w:after="123" w:line="259" w:lineRule="auto"/>
        <w:ind w:left="733" w:right="0" w:firstLine="0"/>
        <w:jc w:val="left"/>
      </w:pPr>
      <w:r>
        <w:t xml:space="preserve"> </w:t>
      </w:r>
    </w:p>
    <w:p w:rsidR="00085BB7" w:rsidRDefault="004441D3">
      <w:pPr>
        <w:spacing w:after="0" w:line="265" w:lineRule="auto"/>
        <w:ind w:left="548" w:right="711" w:hanging="10"/>
        <w:jc w:val="center"/>
      </w:pPr>
      <w:r>
        <w:t>AC</w:t>
      </w:r>
      <w:r>
        <w:t>UERDOS:</w:t>
      </w:r>
    </w:p>
    <w:p w:rsidR="00085BB7" w:rsidRDefault="004441D3">
      <w:pPr>
        <w:spacing w:after="0" w:line="259" w:lineRule="auto"/>
        <w:ind w:left="733" w:right="0" w:firstLine="0"/>
        <w:jc w:val="left"/>
      </w:pPr>
      <w:r>
        <w:t xml:space="preserve"> </w:t>
      </w:r>
    </w:p>
    <w:p w:rsidR="00085BB7" w:rsidRDefault="004441D3">
      <w:pPr>
        <w:spacing w:after="0"/>
        <w:ind w:left="736" w:right="903"/>
      </w:pPr>
      <w:r>
        <w:t xml:space="preserve">1º Realizar con carácter urgente una convocatoria extraordinaria modificando las bases para que una mayor cantidad de familias puedan optar a las ayudas, adecuando los topes de ingresos anuales a los que otras instituciones adoptan en materia de </w:t>
      </w:r>
      <w:r>
        <w:t xml:space="preserve">becas. </w:t>
      </w:r>
    </w:p>
    <w:p w:rsidR="00085BB7" w:rsidRDefault="004441D3">
      <w:pPr>
        <w:spacing w:after="0" w:line="259" w:lineRule="auto"/>
        <w:ind w:left="733" w:right="0" w:firstLine="0"/>
        <w:jc w:val="left"/>
      </w:pPr>
      <w:r>
        <w:t xml:space="preserve"> </w:t>
      </w:r>
    </w:p>
    <w:p w:rsidR="00085BB7" w:rsidRDefault="004441D3">
      <w:pPr>
        <w:spacing w:after="0"/>
        <w:ind w:left="736" w:right="903"/>
      </w:pPr>
      <w:r>
        <w:t xml:space="preserve">2º Realizar una campaña de difusión de esta nueva convocatoria, priorizando en las secretarías de los centros educativos y las asociaciones de padres y madres. </w:t>
      </w:r>
    </w:p>
    <w:p w:rsidR="00085BB7" w:rsidRDefault="004441D3">
      <w:pPr>
        <w:spacing w:after="0" w:line="259" w:lineRule="auto"/>
        <w:ind w:left="733" w:right="0" w:firstLine="0"/>
        <w:jc w:val="left"/>
      </w:pPr>
      <w:r>
        <w:t xml:space="preserve"> </w:t>
      </w:r>
    </w:p>
    <w:p w:rsidR="00085BB7" w:rsidRDefault="004441D3">
      <w:pPr>
        <w:spacing w:after="0"/>
        <w:ind w:left="736" w:right="903"/>
      </w:pPr>
      <w:r>
        <w:t>3º Poner los medios necesarios para asesorar y ayudar a las familias con menos posi</w:t>
      </w:r>
      <w:r>
        <w:t xml:space="preserve">bilidades para rellenar las solicitudes. </w:t>
      </w:r>
    </w:p>
    <w:p w:rsidR="00085BB7" w:rsidRDefault="004441D3">
      <w:pPr>
        <w:spacing w:after="0" w:line="259" w:lineRule="auto"/>
        <w:ind w:left="733" w:right="0" w:firstLine="0"/>
        <w:jc w:val="left"/>
      </w:pPr>
      <w:r>
        <w:t xml:space="preserve"> </w:t>
      </w:r>
    </w:p>
    <w:p w:rsidR="00085BB7" w:rsidRDefault="004441D3">
      <w:pPr>
        <w:spacing w:after="0"/>
        <w:ind w:left="736" w:right="903"/>
      </w:pPr>
      <w:r>
        <w:t xml:space="preserve">4º Garantizar en las sucesivas convocatorias de ayudas que los límites económicos establecidos para poder acceder a la ayuda se actualicen de manera acorde con la realidad socioeconómica y </w:t>
      </w:r>
      <w:r>
        <w:t xml:space="preserve">las normativas vigentes.” </w:t>
      </w:r>
    </w:p>
    <w:p w:rsidR="00085BB7" w:rsidRDefault="004441D3">
      <w:pPr>
        <w:spacing w:after="0" w:line="259" w:lineRule="auto"/>
        <w:ind w:left="733" w:right="0" w:firstLine="0"/>
        <w:jc w:val="left"/>
      </w:pPr>
      <w:r>
        <w:t xml:space="preserve"> </w:t>
      </w:r>
    </w:p>
    <w:p w:rsidR="00085BB7" w:rsidRDefault="004441D3">
      <w:pPr>
        <w:spacing w:after="4"/>
        <w:ind w:left="736" w:right="5651"/>
      </w:pPr>
      <w:r>
        <w:t xml:space="preserve"> En Candelaria, a 16 de septiembre de 2024 Fdo: José Fierros Sierra </w:t>
      </w:r>
    </w:p>
    <w:p w:rsidR="00085BB7" w:rsidRDefault="004441D3">
      <w:pPr>
        <w:spacing w:after="497"/>
        <w:ind w:left="736" w:right="903"/>
      </w:pPr>
      <w:r>
        <w:t xml:space="preserve">Portavoz de Unidas Sí Podemos Candelaria </w:t>
      </w:r>
    </w:p>
    <w:p w:rsidR="00085BB7" w:rsidRDefault="004441D3">
      <w:pPr>
        <w:spacing w:after="366"/>
        <w:ind w:left="736" w:right="903"/>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column">
                  <wp:posOffset>6542599</wp:posOffset>
                </wp:positionH>
                <wp:positionV relativeFrom="paragraph">
                  <wp:posOffset>-103669</wp:posOffset>
                </wp:positionV>
                <wp:extent cx="237530" cy="3355467"/>
                <wp:effectExtent l="0" t="0" r="0" b="0"/>
                <wp:wrapSquare wrapText="bothSides"/>
                <wp:docPr id="152014" name="Group 1520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16" name="Rectangle 13416"/>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417" name="Rectangle 13417"/>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418" name="Rectangle 13418"/>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Documento fi</w:t>
                              </w:r>
                              <w:r>
                                <w:rPr>
                                  <w:sz w:val="12"/>
                                </w:rPr>
                                <w:t xml:space="preserve">rmado electrónicamente desde la plataforma esPublico Gestiona | Página 127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2014" style="width:18.7031pt;height:264.21pt;position:absolute;mso-position-horizontal-relative:text;mso-position-horizontal:absolute;margin-left:515.165pt;mso-position-vertical-relative:text;margin-top:-8.16299pt;" coordsize="2375,33554">
                <v:rect id="Rectangle 13416"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41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41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127 de 133 </w:t>
                        </w:r>
                      </w:p>
                    </w:txbxContent>
                  </v:textbox>
                </v:rect>
                <w10:wrap type="square"/>
              </v:group>
            </w:pict>
          </mc:Fallback>
        </mc:AlternateContent>
      </w:r>
      <w:r>
        <w:t>DICTAMEN DESFAVORABLE DE LA COMISIÓN INFORMATIVA DE P.G. URBANÍSTICA Y AMBIENTAL, OBRAS y SERVICIOS PÚBLICOS DE 26 DE SEPTIEMBRE DE 2024.</w:t>
      </w:r>
    </w:p>
    <w:p w:rsidR="00085BB7" w:rsidRDefault="004441D3">
      <w:pPr>
        <w:spacing w:after="111"/>
        <w:ind w:left="736" w:right="903"/>
      </w:pPr>
      <w:r>
        <w:t>Votos a favor: 0.</w:t>
      </w:r>
    </w:p>
    <w:p w:rsidR="00085BB7" w:rsidRDefault="004441D3">
      <w:pPr>
        <w:spacing w:after="109"/>
        <w:ind w:left="736" w:right="903"/>
      </w:pPr>
      <w:r>
        <w:t>Votos en contra: 0.</w:t>
      </w:r>
    </w:p>
    <w:p w:rsidR="00085BB7" w:rsidRDefault="004441D3">
      <w:pPr>
        <w:spacing w:after="111"/>
        <w:ind w:left="736" w:right="903"/>
      </w:pPr>
      <w:r>
        <w:t>Abstenciones: 7.</w:t>
      </w:r>
    </w:p>
    <w:p w:rsidR="00085BB7" w:rsidRDefault="004441D3">
      <w:pPr>
        <w:spacing w:after="114"/>
        <w:ind w:left="736" w:right="903"/>
      </w:pPr>
      <w:r>
        <w:t xml:space="preserve">Los 4 concejales del Grupo Socialista: Dª Olivia Concepción Pérez Díaz, Dª Margarita Eva Tendero Barroso, Dª María Del Carmen Clemente Díaz y Dª Mónica Monserrat Yanes Delgado. </w:t>
      </w:r>
    </w:p>
    <w:p w:rsidR="00085BB7" w:rsidRDefault="004441D3">
      <w:pPr>
        <w:spacing w:after="109"/>
        <w:ind w:left="736" w:right="903"/>
      </w:pPr>
      <w:r>
        <w:t>Los 2 concejales del Grupo Popular; D. Ja</w:t>
      </w:r>
      <w:r>
        <w:t>cobo López Fariña y Dª Raquel Martín Castro.</w:t>
      </w:r>
    </w:p>
    <w:p w:rsidR="00085BB7" w:rsidRDefault="004441D3">
      <w:pPr>
        <w:spacing w:after="483"/>
        <w:ind w:left="736" w:right="903"/>
      </w:pPr>
      <w:r>
        <w:t xml:space="preserve">1 del concejal del Grupo Mixto: D. José Tortosa Pallarés. </w:t>
      </w:r>
    </w:p>
    <w:p w:rsidR="00085BB7" w:rsidRDefault="004441D3">
      <w:pPr>
        <w:spacing w:after="751"/>
        <w:ind w:left="736" w:right="903"/>
      </w:pPr>
      <w:r>
        <w:t xml:space="preserve">JUNTA DE PORTAVOCES DE 23 DE SEPTIEMBRE DE 2024. Quedó oída. </w:t>
      </w:r>
    </w:p>
    <w:p w:rsidR="00085BB7" w:rsidRDefault="004441D3">
      <w:pPr>
        <w:ind w:left="736" w:right="903"/>
      </w:pPr>
      <w:r>
        <w:t>Durante el transcurso de la sesión plenaria de fecha 26 de septiembre de 2024, se presentó</w:t>
      </w:r>
      <w:r>
        <w:t xml:space="preserve"> enmienda de sustitución del Grupo Municipal Socialista, que transcrita literalmente dice: </w:t>
      </w:r>
    </w:p>
    <w:p w:rsidR="00085BB7" w:rsidRDefault="004441D3">
      <w:pPr>
        <w:spacing w:after="260" w:line="224" w:lineRule="auto"/>
        <w:ind w:left="715" w:right="874" w:hanging="8"/>
      </w:pPr>
      <w:r>
        <w:rPr>
          <w:sz w:val="23"/>
        </w:rPr>
        <w:t>“Enmienda del Grupo Municipal Socialista-PSOE a la Moción de Unidas Sí Podemos al Pleno de septiembre de 2024:</w:t>
      </w:r>
    </w:p>
    <w:p w:rsidR="00085BB7" w:rsidRDefault="004441D3">
      <w:pPr>
        <w:spacing w:after="256" w:line="224" w:lineRule="auto"/>
        <w:ind w:left="715" w:right="874" w:hanging="8"/>
      </w:pPr>
      <w:r>
        <w:rPr>
          <w:sz w:val="23"/>
        </w:rPr>
        <w:t>ACUERDO</w:t>
      </w:r>
    </w:p>
    <w:p w:rsidR="00085BB7" w:rsidRDefault="004441D3">
      <w:pPr>
        <w:spacing w:after="514" w:line="224" w:lineRule="auto"/>
        <w:ind w:left="715" w:right="874" w:hanging="8"/>
      </w:pPr>
      <w:r>
        <w:rPr>
          <w:sz w:val="23"/>
        </w:rPr>
        <w:t xml:space="preserve">Revisar las bases de las ayudas al estudio y </w:t>
      </w:r>
      <w:r>
        <w:rPr>
          <w:sz w:val="23"/>
        </w:rPr>
        <w:t>ajustar los límites económicos acorde a la situación actual”.</w:t>
      </w:r>
    </w:p>
    <w:p w:rsidR="00085BB7" w:rsidRDefault="004441D3">
      <w:pPr>
        <w:ind w:left="736" w:right="903"/>
      </w:pPr>
      <w:r>
        <w:t>VOTACIÓN EN EL PLENO DE 26 DE SEPTIEMBRE DE 2024 DE LA ENMIENDA (se aprueba)</w:t>
      </w:r>
    </w:p>
    <w:p w:rsidR="00085BB7" w:rsidRDefault="004441D3">
      <w:pPr>
        <w:spacing w:after="10"/>
        <w:ind w:left="736" w:right="903"/>
      </w:pPr>
      <w:r>
        <w:t>Votos a favor: 17.</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Reinaldo </w:t>
      </w:r>
    </w:p>
    <w:p w:rsidR="00085BB7" w:rsidRDefault="004441D3">
      <w:pPr>
        <w:ind w:left="736" w:right="903"/>
      </w:pPr>
      <w:r>
        <w:t>José Triviño Blanco, Don Manuel Alberto González Pestano, Doña Margarita Eva Tendero Barroso, Don Airam Pérez Chinea, Doña María del Carmen Clemente Díaz, Don Olegari</w:t>
      </w:r>
      <w:r>
        <w:t xml:space="preserve">o Francisco Alonso Bello, Doña Mónica Monserrat Yanes Delgado. </w:t>
      </w:r>
    </w:p>
    <w:p w:rsidR="00085BB7" w:rsidRDefault="004441D3">
      <w:pPr>
        <w:ind w:left="736" w:right="903"/>
      </w:pPr>
      <w:r>
        <w:t>6 concejales del Grupo Popular: Don Jacobo López Fariña, Doña Raquel Martín Castro, Don David Crego Cháves, Doña María Carlota Díaz González, Don José Daniel Sosa González, y Doña Shaila Caste</w:t>
      </w:r>
      <w:r>
        <w:t xml:space="preserve">llano Batista. </w:t>
      </w:r>
    </w:p>
    <w:p w:rsidR="00085BB7" w:rsidRDefault="004441D3">
      <w:pPr>
        <w:spacing w:after="10"/>
        <w:ind w:left="736" w:right="903"/>
      </w:pPr>
      <w:r>
        <w:t>Votos en contra: 2.</w:t>
      </w:r>
    </w:p>
    <w:p w:rsidR="00085BB7" w:rsidRDefault="004441D3">
      <w:pPr>
        <w:ind w:left="736" w:right="903"/>
      </w:pPr>
      <w:r>
        <w:t>2 de los concejales del Grupo Mixto: D. José Fierros Sierra (USP), Don José Tortosa Pallarés (VOX).</w:t>
      </w:r>
    </w:p>
    <w:p w:rsidR="00085BB7" w:rsidRDefault="004441D3">
      <w:pPr>
        <w:spacing w:after="10"/>
        <w:ind w:left="736" w:right="903"/>
      </w:pPr>
      <w:r>
        <w:t>Abstenciones: 2.</w:t>
      </w:r>
    </w:p>
    <w:p w:rsidR="00085BB7" w:rsidRDefault="004441D3">
      <w:pPr>
        <w:spacing w:after="495"/>
        <w:ind w:left="736" w:right="903"/>
      </w:pPr>
      <w:r>
        <w:t>Doña Ángela Cruz Perera y Don Emilio Jesús Atienzar Armas, (CC).</w:t>
      </w:r>
    </w:p>
    <w:p w:rsidR="00085BB7" w:rsidRDefault="004441D3">
      <w:pPr>
        <w:ind w:left="736" w:right="903"/>
      </w:pPr>
      <w:r>
        <w:t>VOTACIÓN EN EL PLENO DE 26 DE SEPTIEMB</w:t>
      </w:r>
      <w:r>
        <w:t>RE DE 2024 DE LA MOCIÓN (no se aprueba):</w:t>
      </w:r>
    </w:p>
    <w:p w:rsidR="00085BB7" w:rsidRDefault="004441D3">
      <w:pPr>
        <w:spacing w:after="10"/>
        <w:ind w:left="736" w:right="903"/>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column">
                  <wp:posOffset>6542599</wp:posOffset>
                </wp:positionH>
                <wp:positionV relativeFrom="paragraph">
                  <wp:posOffset>470</wp:posOffset>
                </wp:positionV>
                <wp:extent cx="237530" cy="3355467"/>
                <wp:effectExtent l="0" t="0" r="0" b="0"/>
                <wp:wrapSquare wrapText="bothSides"/>
                <wp:docPr id="152372" name="Group 1523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490" name="Rectangle 13490"/>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491" name="Rectangle 13491"/>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492" name="Rectangle 13492"/>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128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2372" style="width:18.7031pt;height:264.21pt;position:absolute;mso-position-horizontal-relative:text;mso-position-horizontal:absolute;margin-left:515.165pt;mso-position-vertical-relative:text;margin-top:0.0370178pt;" coordsize="2375,33554">
                <v:rect id="Rectangle 13490"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49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49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128 de 133 </w:t>
                        </w:r>
                      </w:p>
                    </w:txbxContent>
                  </v:textbox>
                </v:rect>
                <w10:wrap type="square"/>
              </v:group>
            </w:pict>
          </mc:Fallback>
        </mc:AlternateContent>
      </w:r>
      <w:r>
        <w:t>Votos a favor: 1</w:t>
      </w:r>
      <w:r>
        <w:t>0.</w:t>
      </w:r>
    </w:p>
    <w:p w:rsidR="00085BB7" w:rsidRDefault="004441D3">
      <w:pPr>
        <w:spacing w:after="0"/>
        <w:ind w:left="736" w:right="903"/>
      </w:pPr>
      <w:r>
        <w:t xml:space="preserve">6 concejales del Grupo Popular: Don Jacobo López Fariña, Doña Raquel Martín Castro, Don David Crego Cháves, Doña María Carlota Díaz González, Don José Daniel Sosa González, y Doña Shaila Castellano Batista. </w:t>
      </w:r>
    </w:p>
    <w:p w:rsidR="00085BB7" w:rsidRDefault="004441D3">
      <w:pPr>
        <w:ind w:left="736" w:right="903"/>
      </w:pPr>
      <w:r>
        <w:t>4 concejales del Grupo Mixto: Doña Ángela Cru</w:t>
      </w:r>
      <w:r>
        <w:t>z Perera y Don Emilio Jesús Atienzar Armas, (CC), D. José Fierros Sierra (USP), Don José Tortosa Pallarés (VOX).</w:t>
      </w:r>
    </w:p>
    <w:p w:rsidR="00085BB7" w:rsidRDefault="004441D3">
      <w:pPr>
        <w:spacing w:after="10"/>
        <w:ind w:left="736" w:right="903"/>
      </w:pPr>
      <w:r>
        <w:t xml:space="preserve">Votos en contra: 11.                        </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Reinaldo </w:t>
      </w:r>
    </w:p>
    <w:p w:rsidR="00085BB7" w:rsidRDefault="004441D3">
      <w:pPr>
        <w:spacing w:after="1738"/>
        <w:ind w:left="736" w:right="903"/>
      </w:pPr>
      <w:r>
        <w:t>José Triviño Blanco, Don Manuel Alberto González Pestano, Doña Margarita Eva Tendero Barroso, Don Airam Pérez Chinea, Doña María del Carmen Clemente Díaz, Don Olegari</w:t>
      </w:r>
      <w:r>
        <w:t xml:space="preserve">o Francisco Alonso Bello, Doña Mónica Monserrat Yanes </w:t>
      </w:r>
    </w:p>
    <w:p w:rsidR="00085BB7" w:rsidRDefault="004441D3">
      <w:pPr>
        <w:spacing w:after="101" w:line="259" w:lineRule="auto"/>
        <w:ind w:left="0" w:firstLine="0"/>
        <w:jc w:val="center"/>
      </w:pPr>
      <w:r>
        <w:t xml:space="preserve"> </w:t>
      </w:r>
    </w:p>
    <w:p w:rsidR="00085BB7" w:rsidRDefault="004441D3">
      <w:pPr>
        <w:spacing w:after="225" w:line="265" w:lineRule="auto"/>
        <w:ind w:left="548" w:right="713" w:hanging="10"/>
        <w:jc w:val="center"/>
      </w:pPr>
      <w:r>
        <w:t>ACUERDO DEL PLENO DE 26 DE SEPTIEMBRE DE 2024.</w:t>
      </w:r>
    </w:p>
    <w:p w:rsidR="00085BB7" w:rsidRDefault="004441D3">
      <w:pPr>
        <w:ind w:left="736" w:right="903"/>
      </w:pPr>
      <w:r>
        <w:t>Aprobar la Enmienda del Grupo Municipal Socialista-PSOE a la Moción de Unidas Sí Podemos al Pleno de septiembre de 2024:</w:t>
      </w:r>
    </w:p>
    <w:p w:rsidR="00085BB7" w:rsidRDefault="004441D3">
      <w:pPr>
        <w:spacing w:after="225" w:line="265" w:lineRule="auto"/>
        <w:ind w:left="548" w:right="711" w:hanging="10"/>
        <w:jc w:val="center"/>
      </w:pPr>
      <w:r>
        <w:t>ACUERDO</w:t>
      </w:r>
    </w:p>
    <w:p w:rsidR="00085BB7" w:rsidRDefault="004441D3">
      <w:pPr>
        <w:spacing w:after="10938"/>
        <w:ind w:left="736" w:right="903"/>
      </w:pPr>
      <w:r>
        <w:t>Revisar las bases de la</w:t>
      </w:r>
      <w:r>
        <w:t>s ayudas al estudio y ajustar los límites económicos acorde a la situación actual.</w:t>
      </w:r>
    </w:p>
    <w:p w:rsidR="00085BB7" w:rsidRDefault="004441D3">
      <w:pPr>
        <w:spacing w:after="523" w:line="250" w:lineRule="auto"/>
        <w:ind w:left="738" w:hanging="10"/>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column">
                  <wp:posOffset>6542599</wp:posOffset>
                </wp:positionH>
                <wp:positionV relativeFrom="paragraph">
                  <wp:posOffset>-2997932</wp:posOffset>
                </wp:positionV>
                <wp:extent cx="237530" cy="3355467"/>
                <wp:effectExtent l="0" t="0" r="0" b="0"/>
                <wp:wrapSquare wrapText="bothSides"/>
                <wp:docPr id="151685" name="Group 1516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531" name="Rectangle 13531"/>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532" name="Rectangle 13532"/>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533" name="Rectangle 13533"/>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129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1685" style="width:18.7031pt;height:264.21pt;position:absolute;mso-position-horizontal-relative:text;mso-position-horizontal:absolute;margin-left:515.165pt;mso-position-vertical-relative:text;margin-top:-236.058pt;" coordsize="2375,33554">
                <v:rect id="Rectangle 13531"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5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5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129 de 133 </w:t>
                        </w:r>
                      </w:p>
                    </w:txbxContent>
                  </v:textbox>
                </v:rect>
                <w10:wrap type="square"/>
              </v:group>
            </w:pict>
          </mc:Fallback>
        </mc:AlternateContent>
      </w:r>
      <w:r>
        <w:rPr>
          <w:sz w:val="24"/>
        </w:rPr>
        <w:t xml:space="preserve">13.- Expediente 10023/2024. Toma de conocimiento de la renuncia a la condición de concejal de Don David Crego Chaves por registro de entrada de 17 de septiembre </w:t>
      </w:r>
      <w:r>
        <w:rPr>
          <w:sz w:val="24"/>
        </w:rPr>
        <w:t>de 2024.</w:t>
      </w:r>
    </w:p>
    <w:p w:rsidR="00085BB7" w:rsidRDefault="004441D3">
      <w:pPr>
        <w:spacing w:after="99" w:line="259" w:lineRule="auto"/>
        <w:ind w:left="733" w:right="0" w:firstLine="0"/>
        <w:jc w:val="left"/>
      </w:pPr>
      <w:r>
        <w:t xml:space="preserve">   </w:t>
      </w:r>
    </w:p>
    <w:p w:rsidR="00085BB7" w:rsidRDefault="004441D3">
      <w:pPr>
        <w:spacing w:after="860"/>
        <w:ind w:left="736" w:right="903"/>
      </w:pPr>
      <w:r>
        <w:t xml:space="preserve">   Consta en el expediente Informe Jurídico emitido por Don Octavio Manuel Fernández Hernández, que desempeña el puesto de trabajo de Secretario General, de 18 de septiembre de 2024, del siguiente tenor literal:</w:t>
      </w:r>
    </w:p>
    <w:p w:rsidR="00085BB7" w:rsidRDefault="004441D3">
      <w:pPr>
        <w:spacing w:after="348" w:line="326" w:lineRule="auto"/>
        <w:ind w:left="1867" w:right="903" w:firstLine="346"/>
      </w:pPr>
      <w:r>
        <w:t>“INFORME JURÌDICO DE LA SECRETARÍA GENERAL                             Visto el expediente antedicho se emite el siguiente informe:</w:t>
      </w:r>
    </w:p>
    <w:p w:rsidR="00085BB7" w:rsidRDefault="004441D3">
      <w:pPr>
        <w:ind w:left="736" w:right="903"/>
      </w:pPr>
      <w:r>
        <w:t xml:space="preserve">      Primero. - Consta en el expediente que con registro de entrada de fecha 17 de septiembre de 2024 se presenta escrito p</w:t>
      </w:r>
      <w:r>
        <w:t xml:space="preserve">or el concejal Don David Crego Chaves que dice: </w:t>
      </w:r>
    </w:p>
    <w:p w:rsidR="00085BB7" w:rsidRDefault="004441D3">
      <w:pPr>
        <w:spacing w:after="10"/>
        <w:ind w:left="736" w:right="903"/>
      </w:pPr>
      <w:r>
        <w:t xml:space="preserve">QUE POR ACUERDO DE CONSEJO DE GOBIERNO DEL DÍA 16 DE SEPTIEMBRE DE 2024, </w:t>
      </w:r>
    </w:p>
    <w:p w:rsidR="00085BB7" w:rsidRDefault="004441D3">
      <w:pPr>
        <w:spacing w:after="10"/>
        <w:ind w:left="736" w:right="903"/>
      </w:pPr>
      <w:r>
        <w:t xml:space="preserve">HE SIDO NOMBRADO DIRECTOR GENERAL DE ADMINISTRACIÓN DE CENTROS, </w:t>
      </w:r>
    </w:p>
    <w:p w:rsidR="00085BB7" w:rsidRDefault="004441D3">
      <w:pPr>
        <w:spacing w:after="500"/>
        <w:ind w:left="736" w:right="903"/>
      </w:pPr>
      <w:r>
        <w:t>ESCOLARIZACIÓN Y SERVICIOS COMPLEMENTARIOS DE LA CONSEJERÍA DE EDUCA</w:t>
      </w:r>
      <w:r>
        <w:t xml:space="preserve">CIÓN, FORMACIÓN PROFESIONAL, ACTIVIDAD FÍSICA Y DEPORTES DEL GOBIERNO DE CANARIAS. </w:t>
      </w:r>
    </w:p>
    <w:p w:rsidR="00085BB7" w:rsidRDefault="004441D3">
      <w:pPr>
        <w:spacing w:after="428"/>
        <w:ind w:left="736" w:right="903"/>
      </w:pPr>
      <w:r>
        <w:t>Solicita LA RENUNCIA A MI ACTA COMO CONCEJAL ELECTO DEL AYUNTAMIENTO DE CANDELARIA, PERTENECIENTE AL GRUPO MUNICIPAL POPULAR.</w:t>
      </w:r>
    </w:p>
    <w:p w:rsidR="00085BB7" w:rsidRDefault="004441D3">
      <w:pPr>
        <w:spacing w:after="10"/>
        <w:ind w:left="736" w:right="903"/>
      </w:pPr>
      <w:r>
        <w:t xml:space="preserve">     Segundo. - Según la publicación en el BOP</w:t>
      </w:r>
      <w:r>
        <w:t xml:space="preserve"> de fecha 2 de mayo de 2023 la </w:t>
      </w:r>
    </w:p>
    <w:p w:rsidR="00085BB7" w:rsidRDefault="004441D3">
      <w:pPr>
        <w:spacing w:after="500"/>
        <w:ind w:left="736" w:right="903"/>
      </w:pPr>
      <w:r>
        <w:rPr>
          <w:noProof/>
        </w:rPr>
        <w:drawing>
          <wp:anchor distT="0" distB="0" distL="114300" distR="114300" simplePos="0" relativeHeight="251778048" behindDoc="0" locked="0" layoutInCell="1" allowOverlap="0">
            <wp:simplePos x="0" y="0"/>
            <wp:positionH relativeFrom="page">
              <wp:posOffset>901065</wp:posOffset>
            </wp:positionH>
            <wp:positionV relativeFrom="page">
              <wp:posOffset>360055</wp:posOffset>
            </wp:positionV>
            <wp:extent cx="609600" cy="695960"/>
            <wp:effectExtent l="0" t="0" r="0" b="0"/>
            <wp:wrapTopAndBottom/>
            <wp:docPr id="13600" name="Picture 13600"/>
            <wp:cNvGraphicFramePr/>
            <a:graphic xmlns:a="http://schemas.openxmlformats.org/drawingml/2006/main">
              <a:graphicData uri="http://schemas.openxmlformats.org/drawingml/2006/picture">
                <pic:pic xmlns:pic="http://schemas.openxmlformats.org/drawingml/2006/picture">
                  <pic:nvPicPr>
                    <pic:cNvPr id="13600" name="Picture 13600"/>
                    <pic:cNvPicPr/>
                  </pic:nvPicPr>
                  <pic:blipFill>
                    <a:blip r:embed="rId56"/>
                    <a:stretch>
                      <a:fillRect/>
                    </a:stretch>
                  </pic:blipFill>
                  <pic:spPr>
                    <a:xfrm>
                      <a:off x="0" y="0"/>
                      <a:ext cx="609600" cy="695960"/>
                    </a:xfrm>
                    <a:prstGeom prst="rect">
                      <a:avLst/>
                    </a:prstGeom>
                  </pic:spPr>
                </pic:pic>
              </a:graphicData>
            </a:graphic>
          </wp:anchor>
        </w:drawing>
      </w:r>
      <w:r>
        <w:t xml:space="preserve">candidatura presentada por Partido Popular tiene en el número tres de la lista a Don David Crego Chávez que es concejal renunciante, y al haber obtenido 6 concejales dicha candidatura, </w:t>
      </w:r>
      <w:r>
        <w:t>corresponde al número 7 de la lista ocupar el cargo de concejal que es Don Miguel Eduardo Hernández Chitty que es al que corresponde solicitar la credencial ante la Junta Electoral Central.</w:t>
      </w:r>
    </w:p>
    <w:p w:rsidR="00085BB7" w:rsidRDefault="004441D3">
      <w:pPr>
        <w:ind w:left="3017" w:right="903"/>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column">
                  <wp:posOffset>6542599</wp:posOffset>
                </wp:positionH>
                <wp:positionV relativeFrom="paragraph">
                  <wp:posOffset>46190</wp:posOffset>
                </wp:positionV>
                <wp:extent cx="237530" cy="3355467"/>
                <wp:effectExtent l="0" t="0" r="0" b="0"/>
                <wp:wrapSquare wrapText="bothSides"/>
                <wp:docPr id="150987" name="Group 150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603" name="Rectangle 13603"/>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604" name="Rectangle 13604"/>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w:t>
                              </w:r>
                              <w:r>
                                <w:rPr>
                                  <w:sz w:val="12"/>
                                </w:rPr>
                                <w:t xml:space="preserve">ps://candelaria.sedelectronica.es/ </w:t>
                              </w:r>
                            </w:p>
                          </w:txbxContent>
                        </wps:txbx>
                        <wps:bodyPr horzOverflow="overflow" vert="horz" lIns="0" tIns="0" rIns="0" bIns="0" rtlCol="0">
                          <a:noAutofit/>
                        </wps:bodyPr>
                      </wps:wsp>
                      <wps:wsp>
                        <wps:cNvPr id="13605" name="Rectangle 13605"/>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130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987" style="width:18.7031pt;height:264.21pt;position:absolute;mso-position-horizontal-relative:text;mso-position-horizontal:absolute;margin-left:515.165pt;mso-position-vertical-relative:text;margin-top:3.63702pt;" coordsize="2375,33554">
                <v:rect id="Rectangle 13603"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60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60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130 de 133 </w:t>
                        </w:r>
                      </w:p>
                    </w:txbxContent>
                  </v:textbox>
                </v:rect>
                <w10:wrap type="square"/>
              </v:group>
            </w:pict>
          </mc:Fallback>
        </mc:AlternateContent>
      </w:r>
      <w:r>
        <w:t xml:space="preserve">        FUNDAMENTOS DE DERECHO</w:t>
      </w:r>
    </w:p>
    <w:p w:rsidR="00085BB7" w:rsidRDefault="004441D3">
      <w:pPr>
        <w:ind w:left="730" w:right="903" w:firstLine="1134"/>
      </w:pPr>
      <w:r>
        <w:t>Primero. - Es de aplicación el artículo 9 del Reglamento de Organización, Funcionamiento y R</w:t>
      </w:r>
      <w:r>
        <w:t>égimen Jurídico de las Entidades locales aprobado por Real Decreto 2568/1986, de 28 de noviembre:</w:t>
      </w:r>
    </w:p>
    <w:p w:rsidR="00085BB7" w:rsidRDefault="004441D3">
      <w:pPr>
        <w:spacing w:after="350" w:line="224" w:lineRule="auto"/>
        <w:ind w:left="707" w:right="874" w:firstLine="350"/>
      </w:pPr>
      <w:r>
        <w:rPr>
          <w:sz w:val="23"/>
        </w:rPr>
        <w:t>El Concejal, Diputado o miembro de cualquier entidad local perderá su condición de tal por las siguientes causas:</w:t>
      </w:r>
    </w:p>
    <w:p w:rsidR="00085BB7" w:rsidRDefault="004441D3">
      <w:pPr>
        <w:spacing w:after="0" w:line="259" w:lineRule="auto"/>
        <w:ind w:left="10" w:right="869" w:hanging="10"/>
        <w:jc w:val="right"/>
      </w:pPr>
      <w:r>
        <w:rPr>
          <w:sz w:val="23"/>
        </w:rPr>
        <w:t>(…)4. Por renuncia, que deberá hacerse efect</w:t>
      </w:r>
      <w:r>
        <w:rPr>
          <w:sz w:val="23"/>
        </w:rPr>
        <w:t xml:space="preserve">iva por escrito ante el Pleno de la Corporación. </w:t>
      </w:r>
    </w:p>
    <w:p w:rsidR="00085BB7" w:rsidRDefault="004441D3">
      <w:pPr>
        <w:spacing w:after="358" w:line="224" w:lineRule="auto"/>
        <w:ind w:left="715" w:right="874" w:hanging="8"/>
      </w:pPr>
      <w:r>
        <w:rPr>
          <w:sz w:val="23"/>
        </w:rPr>
        <w:t>(…)</w:t>
      </w:r>
    </w:p>
    <w:p w:rsidR="00085BB7" w:rsidRDefault="004441D3">
      <w:pPr>
        <w:spacing w:after="313"/>
        <w:ind w:left="1883" w:right="903"/>
      </w:pPr>
      <w:r>
        <w:t xml:space="preserve">Segundo. - El artículo 182 de la LOREG establece: </w:t>
      </w:r>
    </w:p>
    <w:p w:rsidR="00085BB7" w:rsidRDefault="004441D3">
      <w:pPr>
        <w:spacing w:after="260" w:line="224" w:lineRule="auto"/>
        <w:ind w:left="715" w:right="874" w:hanging="8"/>
      </w:pPr>
      <w:r>
        <w:rPr>
          <w:sz w:val="23"/>
        </w:rPr>
        <w:t xml:space="preserve">Artículo 182 1. En el caso de fallecimiento, incapacidad o renuncia de un concejal, el escaño se </w:t>
      </w:r>
      <w:r>
        <w:rPr>
          <w:sz w:val="23"/>
        </w:rPr>
        <w:t>atribuirá al candidato o, en su caso, al suplente de la misma lista a quien corresponda, atendiendo a su orden de colocación.</w:t>
      </w:r>
    </w:p>
    <w:p w:rsidR="00085BB7" w:rsidRDefault="004441D3">
      <w:pPr>
        <w:spacing w:after="294"/>
        <w:ind w:left="1099" w:right="903"/>
      </w:pPr>
      <w:r>
        <w:t xml:space="preserve">             Tercero. - Procedimiento: </w:t>
      </w:r>
    </w:p>
    <w:p w:rsidR="00085BB7" w:rsidRDefault="004441D3">
      <w:pPr>
        <w:numPr>
          <w:ilvl w:val="0"/>
          <w:numId w:val="44"/>
        </w:numPr>
        <w:spacing w:after="123" w:line="224" w:lineRule="auto"/>
        <w:ind w:right="874" w:firstLine="348"/>
      </w:pPr>
      <w:r>
        <w:rPr>
          <w:sz w:val="23"/>
        </w:rPr>
        <w:t xml:space="preserve">Renuncia del concejal. </w:t>
      </w:r>
    </w:p>
    <w:p w:rsidR="00085BB7" w:rsidRDefault="004441D3">
      <w:pPr>
        <w:numPr>
          <w:ilvl w:val="0"/>
          <w:numId w:val="44"/>
        </w:numPr>
        <w:spacing w:after="361" w:line="224" w:lineRule="auto"/>
        <w:ind w:right="874" w:firstLine="348"/>
      </w:pPr>
      <w:r>
        <w:rPr>
          <w:sz w:val="23"/>
        </w:rPr>
        <w:t xml:space="preserve">Presentación de las declaraciones de bienes, incompatibilidades y </w:t>
      </w:r>
      <w:r>
        <w:rPr>
          <w:sz w:val="23"/>
        </w:rPr>
        <w:t xml:space="preserve">actividades económicas con ocasión del cese. Artículo 75 LBRL. </w:t>
      </w:r>
    </w:p>
    <w:p w:rsidR="00085BB7" w:rsidRDefault="004441D3">
      <w:pPr>
        <w:numPr>
          <w:ilvl w:val="0"/>
          <w:numId w:val="44"/>
        </w:numPr>
        <w:spacing w:after="352" w:line="224" w:lineRule="auto"/>
        <w:ind w:right="874" w:firstLine="348"/>
      </w:pPr>
      <w:r>
        <w:rPr>
          <w:sz w:val="23"/>
        </w:rPr>
        <w:t xml:space="preserve">Toma de conocimiento en el primer Pleno que se celebre. </w:t>
      </w:r>
    </w:p>
    <w:p w:rsidR="00085BB7" w:rsidRDefault="004441D3">
      <w:pPr>
        <w:numPr>
          <w:ilvl w:val="0"/>
          <w:numId w:val="44"/>
        </w:numPr>
        <w:spacing w:after="361" w:line="224" w:lineRule="auto"/>
        <w:ind w:right="874" w:firstLine="348"/>
      </w:pPr>
      <w:r>
        <w:rPr>
          <w:sz w:val="23"/>
        </w:rPr>
        <w:t>Expedición de la credencial por la Junta Electoral Central del concejal siguiente que corresponda.</w:t>
      </w:r>
    </w:p>
    <w:p w:rsidR="00085BB7" w:rsidRDefault="004441D3">
      <w:pPr>
        <w:numPr>
          <w:ilvl w:val="0"/>
          <w:numId w:val="44"/>
        </w:numPr>
        <w:spacing w:after="398" w:line="224" w:lineRule="auto"/>
        <w:ind w:right="874" w:firstLine="348"/>
      </w:pPr>
      <w:r>
        <w:rPr>
          <w:sz w:val="23"/>
        </w:rPr>
        <w:t>Presentación de declaraciones del re</w:t>
      </w:r>
      <w:r>
        <w:rPr>
          <w:sz w:val="23"/>
        </w:rPr>
        <w:t xml:space="preserve">gistro de intereses del concejal siguiente que corresponda. </w:t>
      </w:r>
    </w:p>
    <w:p w:rsidR="00085BB7" w:rsidRDefault="004441D3">
      <w:pPr>
        <w:numPr>
          <w:ilvl w:val="0"/>
          <w:numId w:val="44"/>
        </w:numPr>
        <w:spacing w:after="1167" w:line="224" w:lineRule="auto"/>
        <w:ind w:right="874" w:firstLine="348"/>
      </w:pPr>
      <w:r>
        <w:rPr>
          <w:sz w:val="23"/>
        </w:rPr>
        <w:t>Toma de posesión del concejal</w:t>
      </w:r>
      <w:r>
        <w:t>.</w:t>
      </w:r>
    </w:p>
    <w:p w:rsidR="00085BB7" w:rsidRDefault="004441D3">
      <w:pPr>
        <w:spacing w:after="10"/>
        <w:ind w:left="3017" w:right="903"/>
      </w:pPr>
      <w:r>
        <w:t>PROPUESTA DE ACUERDO AL PLENO</w:t>
      </w:r>
    </w:p>
    <w:p w:rsidR="00085BB7" w:rsidRDefault="004441D3">
      <w:pPr>
        <w:spacing w:after="0" w:line="259" w:lineRule="auto"/>
        <w:ind w:left="3011" w:right="0" w:firstLine="0"/>
        <w:jc w:val="left"/>
      </w:pPr>
      <w:r>
        <w:t xml:space="preserve"> </w:t>
      </w:r>
    </w:p>
    <w:p w:rsidR="00085BB7" w:rsidRDefault="004441D3">
      <w:pPr>
        <w:ind w:left="736" w:right="903"/>
      </w:pPr>
      <w:r>
        <w:t xml:space="preserve">     Primero.- Tomar conocimiento de la renuncia del concejal Don David Crego Chávez por </w:t>
      </w:r>
      <w:r>
        <w:t xml:space="preserve">registro de entrada de 17 de septiembre de 2024 y solicitar credencial a la Junta Electoral Central del siguiente candidato que corresponda de la lista publicada en el BOP nº 53 de 2 de mayo de 2023 página 12482 de las elecciones municipales de 28 de mayo </w:t>
      </w:r>
      <w:r>
        <w:t>de 2023 por la candidatura de Partido Popular (PP) en el circunscripción de Candelaria (Santa Cruz de Tenerife) que es el número 7 de la lista Don Miguel Eduardo Hernández Chitty.</w:t>
      </w:r>
    </w:p>
    <w:p w:rsidR="00085BB7" w:rsidRDefault="004441D3">
      <w:pPr>
        <w:spacing w:after="3" w:line="265" w:lineRule="auto"/>
        <w:ind w:left="10" w:right="906" w:hanging="10"/>
        <w:jc w:val="right"/>
      </w:pPr>
      <w:r>
        <w:t>Y en el caso de que el mismo renunciará de forma anticipada ante el Secretar</w:t>
      </w:r>
      <w:r>
        <w:t xml:space="preserve">io, se </w:t>
      </w:r>
    </w:p>
    <w:p w:rsidR="00085BB7" w:rsidRDefault="004441D3">
      <w:pPr>
        <w:ind w:left="736" w:right="903"/>
      </w:pPr>
      <w:r>
        <w:t>solicitará credencial del siguiente por el orden de prelación que figura en el Boletín Oficial de la Provincia de 2 de mayo de 2023 y así sucesivamente.</w:t>
      </w:r>
    </w:p>
    <w:p w:rsidR="00085BB7" w:rsidRDefault="004441D3">
      <w:pPr>
        <w:spacing w:after="0"/>
        <w:ind w:left="736" w:right="903"/>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column">
                  <wp:posOffset>6542599</wp:posOffset>
                </wp:positionH>
                <wp:positionV relativeFrom="paragraph">
                  <wp:posOffset>279870</wp:posOffset>
                </wp:positionV>
                <wp:extent cx="237530" cy="3355467"/>
                <wp:effectExtent l="0" t="0" r="0" b="0"/>
                <wp:wrapSquare wrapText="bothSides"/>
                <wp:docPr id="150862" name="Group 1508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684" name="Rectangle 13684"/>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685" name="Rectangle 13685"/>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Verificación: https://candelaria.sedelectronic</w:t>
                              </w:r>
                              <w:r>
                                <w:rPr>
                                  <w:sz w:val="12"/>
                                </w:rPr>
                                <w:t xml:space="preserve">a.es/ </w:t>
                              </w:r>
                            </w:p>
                          </w:txbxContent>
                        </wps:txbx>
                        <wps:bodyPr horzOverflow="overflow" vert="horz" lIns="0" tIns="0" rIns="0" bIns="0" rtlCol="0">
                          <a:noAutofit/>
                        </wps:bodyPr>
                      </wps:wsp>
                      <wps:wsp>
                        <wps:cNvPr id="13686" name="Rectangle 13686"/>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131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862" style="width:18.7031pt;height:264.21pt;position:absolute;mso-position-horizontal-relative:text;mso-position-horizontal:absolute;margin-left:515.165pt;mso-position-vertical-relative:text;margin-top:22.037pt;" coordsize="2375,33554">
                <v:rect id="Rectangle 13684"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68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68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131 de 133 </w:t>
                        </w:r>
                      </w:p>
                    </w:txbxContent>
                  </v:textbox>
                </v:rect>
                <w10:wrap type="square"/>
              </v:group>
            </w:pict>
          </mc:Fallback>
        </mc:AlternateContent>
      </w:r>
      <w:r>
        <w:t xml:space="preserve">     Segundo.- Remisión del acuerdo adoptado a la Junta Electoral Central sita en el Congreso de los Diputados con la dirección de Carrera de San Jeróni</w:t>
      </w:r>
      <w:r>
        <w:t xml:space="preserve">mo, nº 36, Madrid, para la expedición de la credencial del candidato que corresponda según la lista publicada en el BOP del día 2 de mayo de 2023 y por la vía telemática </w:t>
      </w:r>
    </w:p>
    <w:p w:rsidR="00085BB7" w:rsidRDefault="004441D3">
      <w:pPr>
        <w:spacing w:after="601" w:line="265" w:lineRule="auto"/>
        <w:ind w:left="730" w:hanging="10"/>
        <w:jc w:val="left"/>
      </w:pPr>
      <w:hyperlink r:id="rId57">
        <w:r>
          <w:rPr>
            <w:color w:val="000080"/>
            <w:u w:val="single" w:color="000080"/>
          </w:rPr>
          <w:t>https://sede.juntaelectoralcentral.es/jecRegistroTele/sedeElectronica.action</w:t>
        </w:r>
      </w:hyperlink>
    </w:p>
    <w:p w:rsidR="00085BB7" w:rsidRDefault="004441D3">
      <w:pPr>
        <w:ind w:left="736" w:right="903"/>
      </w:pPr>
      <w:r>
        <w:t>DICTAMEN FAVORABLE DE LA COMISIÓN INFORMATIVA DE HACIENDA, RECURSOS HUMANOS Y SERVICIOS GENERALES DE 23 DE SEPTIEMBRE DE 2024.</w:t>
      </w:r>
    </w:p>
    <w:p w:rsidR="00085BB7" w:rsidRDefault="004441D3">
      <w:pPr>
        <w:ind w:left="736" w:right="903"/>
      </w:pPr>
      <w:r>
        <w:t>Los 7 concejales presenten en la Comisión quedaron enterados.</w:t>
      </w:r>
    </w:p>
    <w:p w:rsidR="00085BB7" w:rsidRDefault="004441D3">
      <w:pPr>
        <w:ind w:left="736" w:right="903"/>
      </w:pPr>
      <w:r>
        <w:t>Los 4 concejales del Grupo Socialista: D. Airam Pérez Chinea, D ª Margarita Eva Tendero Barroso, Dª Mónica Montserrat Yanes Delgado, D. Olegario Francisco Alonso Bello.</w:t>
      </w:r>
    </w:p>
    <w:p w:rsidR="00085BB7" w:rsidRDefault="004441D3">
      <w:pPr>
        <w:spacing w:after="495"/>
        <w:ind w:left="736" w:right="903"/>
      </w:pPr>
      <w:r>
        <w:t>Los 2 concejales del Grupo Popular; D. Jacobo López Fariña, Dª Raquel Martín Castro.</w:t>
      </w:r>
    </w:p>
    <w:p w:rsidR="00085BB7" w:rsidRDefault="004441D3">
      <w:pPr>
        <w:spacing w:after="497"/>
        <w:ind w:left="736" w:right="903"/>
      </w:pPr>
      <w:r>
        <w:t>1 del concejal del Grupo Mixto: D. José Fierros Sierra (USP).</w:t>
      </w:r>
    </w:p>
    <w:p w:rsidR="00085BB7" w:rsidRDefault="004441D3">
      <w:pPr>
        <w:spacing w:after="10"/>
        <w:ind w:left="736" w:right="903"/>
      </w:pPr>
      <w:r>
        <w:t>JUNTA DE PORTAVOCES DE 23 DE SEPTIEMBRE DE 2024.</w:t>
      </w:r>
    </w:p>
    <w:p w:rsidR="00085BB7" w:rsidRDefault="004441D3">
      <w:pPr>
        <w:ind w:left="736" w:right="903"/>
      </w:pPr>
      <w:r>
        <w:t xml:space="preserve">Quedó oída. </w:t>
      </w:r>
    </w:p>
    <w:p w:rsidR="00085BB7" w:rsidRDefault="004441D3">
      <w:pPr>
        <w:spacing w:after="225" w:line="265" w:lineRule="auto"/>
        <w:ind w:left="548" w:right="712" w:hanging="10"/>
        <w:jc w:val="center"/>
      </w:pPr>
      <w:r>
        <w:t>TOMA DE CONOCIMIENTO EN EL PLENO DE 26 DE SEPTI</w:t>
      </w:r>
      <w:r>
        <w:t>EMBRE DE 2024.</w:t>
      </w:r>
    </w:p>
    <w:p w:rsidR="00085BB7" w:rsidRDefault="004441D3">
      <w:pPr>
        <w:ind w:left="736" w:right="903"/>
      </w:pPr>
      <w:r>
        <w:t>Los 21 concejales presentes quedaron enterados.</w:t>
      </w:r>
    </w:p>
    <w:p w:rsidR="00085BB7" w:rsidRDefault="004441D3">
      <w:pPr>
        <w:spacing w:after="10"/>
        <w:ind w:left="736" w:right="903"/>
      </w:pPr>
      <w:r>
        <w:t xml:space="preserve">11 concejales del Grupo Socialista: Doña María Concepción Brito Núñez, Don Jorge Baute </w:t>
      </w:r>
    </w:p>
    <w:p w:rsidR="00085BB7" w:rsidRDefault="004441D3">
      <w:pPr>
        <w:spacing w:after="10"/>
        <w:ind w:left="736" w:right="903"/>
      </w:pPr>
      <w:r>
        <w:t xml:space="preserve">Delgado, Don José Francisco Pinto Ramos, Doña Olivia Concepción Pérez Díaz, Don Reinaldo </w:t>
      </w:r>
    </w:p>
    <w:p w:rsidR="00085BB7" w:rsidRDefault="004441D3">
      <w:pPr>
        <w:ind w:left="736" w:right="903"/>
      </w:pPr>
      <w:r>
        <w:t>José Triviño Bl</w:t>
      </w:r>
      <w:r>
        <w:t xml:space="preserve">anco, Don Manuel Alberto González Pestano, Doña Margarita Eva Tendero Barroso, Don Airam Pérez Chinea, Doña María del Carmen Clemente Díaz, Don Olegario Francisco Alonso Bello, Doña Mónica Monserrat Yanes Delgado. </w:t>
      </w:r>
    </w:p>
    <w:p w:rsidR="00085BB7" w:rsidRDefault="004441D3">
      <w:pPr>
        <w:ind w:left="736" w:right="903"/>
      </w:pPr>
      <w:r>
        <w:t>6 concejales del Grupo Popular: Don Jacob</w:t>
      </w:r>
      <w:r>
        <w:t xml:space="preserve">o López Fariña, Doña Raquel Martín Castro, Don David Crego Cháves, Doña María Carlota Díaz González, Don José Daniel Sosa González, y Doña Shaila Castellano Batista. </w:t>
      </w:r>
    </w:p>
    <w:p w:rsidR="00085BB7" w:rsidRDefault="004441D3">
      <w:pPr>
        <w:spacing w:after="497"/>
        <w:ind w:left="736" w:right="903"/>
      </w:pPr>
      <w:r>
        <w:t xml:space="preserve">4 concejales del Grupo Mixto: Doña Ángela Cruz Perera y Don Emilio Jesús Atienzar Armas, </w:t>
      </w:r>
      <w:r>
        <w:t>(CC), D. José Fierros Sierra (USP), Don José Tortosa Pallarés (VOX).</w:t>
      </w:r>
    </w:p>
    <w:p w:rsidR="00085BB7" w:rsidRDefault="004441D3">
      <w:pPr>
        <w:spacing w:after="0" w:line="259" w:lineRule="auto"/>
        <w:ind w:left="733" w:right="0" w:firstLine="0"/>
        <w:jc w:val="left"/>
      </w:pPr>
      <w:r>
        <w:t xml:space="preserve">                          </w:t>
      </w:r>
    </w:p>
    <w:p w:rsidR="00085BB7" w:rsidRDefault="004441D3">
      <w:pPr>
        <w:spacing w:after="483"/>
        <w:ind w:left="2157" w:right="903"/>
      </w:pPr>
      <w:r>
        <w:t>ACUERDO DEL PLENO DE 26 DE SEPTIEMBRE DE 2024.</w:t>
      </w:r>
    </w:p>
    <w:p w:rsidR="00085BB7" w:rsidRDefault="004441D3">
      <w:pPr>
        <w:ind w:left="736" w:right="903"/>
      </w:pPr>
      <w:r>
        <w:t xml:space="preserve">     Primero.- Tomar conocimiento de la renuncia del concejal Don David Crego Cháves por registro de entrada de 1</w:t>
      </w:r>
      <w:r>
        <w:t>7 de septiembre de 2024 y solicitar credencial a la Junta Electoral Central del siguiente candidato que corresponda de la lista publicada en el BOP nº 53 de 2 de mayo de 2023 página 12482 de las elecciones municipales de 28 de mayo de 2023 por la candidatu</w:t>
      </w:r>
      <w:r>
        <w:t>ra de Partido Popular (PP) en el circunscripción de Candelaria (Santa Cruz de Tenerife) que es el número 7 de la lista Don Miguel Eduardo Hernández Chitty.</w:t>
      </w:r>
    </w:p>
    <w:p w:rsidR="00085BB7" w:rsidRDefault="004441D3">
      <w:pPr>
        <w:spacing w:after="1453" w:line="300" w:lineRule="auto"/>
        <w:ind w:left="730" w:right="903" w:firstLine="710"/>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column">
                  <wp:posOffset>6542599</wp:posOffset>
                </wp:positionH>
                <wp:positionV relativeFrom="paragraph">
                  <wp:posOffset>315430</wp:posOffset>
                </wp:positionV>
                <wp:extent cx="237530" cy="3355467"/>
                <wp:effectExtent l="0" t="0" r="0" b="0"/>
                <wp:wrapSquare wrapText="bothSides"/>
                <wp:docPr id="150863" name="Group 1508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757" name="Rectangle 13757"/>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758" name="Rectangle 13758"/>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759" name="Rectangle 13759"/>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132 de 133 </w:t>
                              </w:r>
                            </w:p>
                          </w:txbxContent>
                        </wps:txbx>
                        <wps:bodyPr horzOverflow="overflow" vert="horz" lIns="0" tIns="0" rIns="0" bIns="0" rtlCol="0">
                          <a:noAutofit/>
                        </wps:bodyPr>
                      </wps:wsp>
                    </wpg:wgp>
                  </a:graphicData>
                </a:graphic>
              </wp:anchor>
            </w:drawing>
          </mc:Choice>
          <mc:Fallback xmlns:a="http://schemas.openxmlformats.org/drawingml/2006/main" xmlns="">
            <w:pict>
              <v:group id="Group 150863" style="width:18.7031pt;height:264.21pt;position:absolute;mso-position-horizontal-relative:text;mso-position-horizontal:absolute;margin-left:515.165pt;mso-position-vertical-relative:text;margin-top:24.837pt;" coordsize="2375,33554">
                <v:rect id="Rectangle 13757"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75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75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132 de 133 </w:t>
                        </w:r>
                      </w:p>
                    </w:txbxContent>
                  </v:textbox>
                </v:rect>
                <w10:wrap type="square"/>
              </v:group>
            </w:pict>
          </mc:Fallback>
        </mc:AlternateContent>
      </w:r>
      <w:r>
        <w:t>Segundo. - Remisión del acuerdo adoptado a la Junta Electoral Central sita en el Congreso de los Diputados</w:t>
      </w:r>
      <w:r>
        <w:t xml:space="preserve"> con la dirección de Carrera de San Jerónimo, nº 36, Madrid, para la expedición de la credencial del candidato que corresponda según la lista publicada en el BOP del día 2 de mayo de 2023 y por la vía telemática </w:t>
      </w:r>
      <w:hyperlink r:id="rId58">
        <w:r>
          <w:t xml:space="preserve"> </w:t>
        </w:r>
      </w:hyperlink>
      <w:hyperlink r:id="rId59">
        <w:r>
          <w:rPr>
            <w:color w:val="000080"/>
            <w:u w:val="single" w:color="000080"/>
          </w:rPr>
          <w:t>https://sede.juntaelectoralcentral.es/jecRegistroTele/sedeElectronica.action</w:t>
        </w:r>
      </w:hyperlink>
    </w:p>
    <w:p w:rsidR="00085BB7" w:rsidRDefault="004441D3">
      <w:pPr>
        <w:spacing w:after="0" w:line="259" w:lineRule="auto"/>
        <w:ind w:left="733" w:firstLine="0"/>
        <w:jc w:val="left"/>
      </w:pPr>
      <w:r>
        <w:t xml:space="preserve">  </w:t>
      </w:r>
    </w:p>
    <w:p w:rsidR="00085BB7" w:rsidRDefault="004441D3">
      <w:pPr>
        <w:spacing w:after="739" w:line="259" w:lineRule="auto"/>
        <w:ind w:left="733" w:firstLine="0"/>
        <w:jc w:val="left"/>
      </w:pPr>
      <w:r>
        <w:t xml:space="preserve">  </w:t>
      </w:r>
    </w:p>
    <w:p w:rsidR="00085BB7" w:rsidRDefault="004441D3">
      <w:pPr>
        <w:spacing w:after="495"/>
        <w:ind w:left="736" w:right="903"/>
      </w:pPr>
      <w:r>
        <w:t xml:space="preserve">   14.- Urgencias.</w:t>
      </w:r>
    </w:p>
    <w:p w:rsidR="00085BB7" w:rsidRDefault="004441D3">
      <w:pPr>
        <w:tabs>
          <w:tab w:val="center" w:pos="842"/>
          <w:tab w:val="center" w:pos="3983"/>
        </w:tabs>
        <w:spacing w:after="488" w:line="265" w:lineRule="auto"/>
        <w:ind w:left="0" w:right="0" w:firstLine="0"/>
        <w:jc w:val="left"/>
      </w:pPr>
      <w:r>
        <w:rPr>
          <w:rFonts w:ascii="Calibri" w:eastAsia="Calibri" w:hAnsi="Calibri" w:cs="Calibri"/>
        </w:rPr>
        <w:tab/>
      </w:r>
      <w:r>
        <w:t>A)</w:t>
      </w:r>
      <w:r>
        <w:tab/>
      </w:r>
      <w:r>
        <w:rPr>
          <w:u w:val="single" w:color="000000"/>
        </w:rPr>
        <w:t xml:space="preserve"> </w:t>
      </w:r>
      <w:r>
        <w:rPr>
          <w:u w:val="single" w:color="000000"/>
        </w:rPr>
        <w:t xml:space="preserve">Control y Fiscalización de los Órganos de Gobierno </w:t>
      </w:r>
      <w:r>
        <w:t>.</w:t>
      </w:r>
    </w:p>
    <w:p w:rsidR="00085BB7" w:rsidRDefault="004441D3">
      <w:pPr>
        <w:ind w:left="736" w:right="903"/>
      </w:pPr>
      <w:r>
        <w:t>15.- Dación de Cuenta de los Decretos de la Alcaldía-Presidencia y de los Concejales delegados.</w:t>
      </w:r>
    </w:p>
    <w:p w:rsidR="00085BB7" w:rsidRDefault="004441D3">
      <w:pPr>
        <w:ind w:left="736" w:right="903"/>
      </w:pPr>
      <w:r>
        <w:t xml:space="preserve">Se dio cuenta de los Decretos de la Alcaldía y de los Concejales delegados y se repartió el CD </w:t>
      </w:r>
      <w:r>
        <w:t>con los mismos a los portavoces de los grupos municipales.</w:t>
      </w:r>
    </w:p>
    <w:p w:rsidR="00085BB7" w:rsidRDefault="004441D3">
      <w:pPr>
        <w:spacing w:after="339" w:line="400" w:lineRule="auto"/>
        <w:ind w:left="736" w:right="982"/>
      </w:pPr>
      <w:r>
        <w:t>16.- Informe del Interventor en su caso de las resoluciones adoptadas por la Presidenta de la Corporación Local contrarias a los reparos efectuados en cumplimiento de la Ley 27/2013, de 27 de dicie</w:t>
      </w:r>
      <w:r>
        <w:t>mbre de racionalización y sostenibilidad de la Administración Local. B)</w:t>
      </w:r>
      <w:r>
        <w:rPr>
          <w:u w:val="single" w:color="000000"/>
        </w:rPr>
        <w:t xml:space="preserve"> Ruegos y preguntas </w:t>
      </w:r>
      <w:r>
        <w:t>.</w:t>
      </w:r>
    </w:p>
    <w:p w:rsidR="00085BB7" w:rsidRDefault="004441D3">
      <w:pPr>
        <w:spacing w:after="10"/>
        <w:ind w:left="736" w:right="903"/>
      </w:pPr>
      <w:r>
        <w:t>17.- Ruegos y preguntas.</w:t>
      </w:r>
    </w:p>
    <w:p w:rsidR="00085BB7" w:rsidRDefault="004441D3">
      <w:pPr>
        <w:spacing w:after="739" w:line="259" w:lineRule="auto"/>
        <w:ind w:left="733" w:right="0" w:firstLine="0"/>
        <w:jc w:val="left"/>
      </w:pPr>
      <w:r>
        <w:t xml:space="preserve">    </w:t>
      </w:r>
    </w:p>
    <w:p w:rsidR="00085BB7" w:rsidRDefault="004441D3">
      <w:pPr>
        <w:spacing w:after="386"/>
        <w:ind w:left="736" w:right="903"/>
      </w:pPr>
      <w:r>
        <w:t xml:space="preserve">  Se levanta la sesión a las 12:28 horas del mismo día. De todo lo cual yo, como Secretario General, doy fe.</w:t>
      </w:r>
    </w:p>
    <w:p w:rsidR="00085BB7" w:rsidRDefault="004441D3">
      <w:pPr>
        <w:tabs>
          <w:tab w:val="center" w:pos="733"/>
          <w:tab w:val="center" w:pos="2260"/>
        </w:tabs>
        <w:spacing w:after="273" w:line="259" w:lineRule="auto"/>
        <w:ind w:left="0" w:right="0" w:firstLine="0"/>
        <w:jc w:val="left"/>
      </w:pPr>
      <w:r>
        <w:rPr>
          <w:rFonts w:ascii="Calibri" w:eastAsia="Calibri" w:hAnsi="Calibri" w:cs="Calibri"/>
        </w:rPr>
        <w:tab/>
      </w:r>
      <w:r>
        <w:rPr>
          <w:rFonts w:ascii="Calibri" w:eastAsia="Calibri" w:hAnsi="Calibri" w:cs="Calibri"/>
          <w:sz w:val="14"/>
        </w:rPr>
        <w:t xml:space="preserve">         </w:t>
      </w:r>
      <w:r>
        <w:rPr>
          <w:rFonts w:ascii="Calibri" w:eastAsia="Calibri" w:hAnsi="Calibri" w:cs="Calibri"/>
          <w:sz w:val="14"/>
        </w:rPr>
        <w:tab/>
        <w:t xml:space="preserve">                           </w:t>
      </w:r>
      <w:r>
        <w:rPr>
          <w:rFonts w:ascii="Calibri" w:eastAsia="Calibri" w:hAnsi="Calibri" w:cs="Calibri"/>
          <w:b/>
          <w:sz w:val="20"/>
        </w:rPr>
        <w:t>Vº. Bº.</w:t>
      </w:r>
    </w:p>
    <w:p w:rsidR="00085BB7" w:rsidRDefault="004441D3">
      <w:pPr>
        <w:tabs>
          <w:tab w:val="center" w:pos="3003"/>
          <w:tab w:val="center" w:pos="7356"/>
        </w:tabs>
        <w:spacing w:after="280"/>
        <w:ind w:left="0" w:right="0" w:firstLine="0"/>
        <w:jc w:val="left"/>
      </w:pPr>
      <w:r>
        <w:rPr>
          <w:rFonts w:ascii="Calibri" w:eastAsia="Calibri" w:hAnsi="Calibri" w:cs="Calibri"/>
        </w:rPr>
        <w:tab/>
      </w:r>
      <w:r>
        <w:t>LA ALCALDESA-PRESIDENTA,</w:t>
      </w:r>
      <w:r>
        <w:tab/>
        <w:t xml:space="preserve">       EL SECRETARIO GENERAL,</w:t>
      </w:r>
    </w:p>
    <w:p w:rsidR="00085BB7" w:rsidRDefault="004441D3">
      <w:pPr>
        <w:spacing w:after="923"/>
        <w:ind w:left="736" w:right="903"/>
      </w:pPr>
      <w:r>
        <w:t xml:space="preserve">             María Concepción Brito Núñez                     Octavio Manuel Hernández Fernández </w:t>
      </w:r>
    </w:p>
    <w:p w:rsidR="00085BB7" w:rsidRDefault="004441D3">
      <w:pPr>
        <w:spacing w:after="412" w:line="265" w:lineRule="auto"/>
        <w:ind w:left="548" w:right="772" w:hanging="10"/>
        <w:jc w:val="center"/>
      </w:pPr>
      <w:r>
        <w:t xml:space="preserve">DOCUMENTO FIRMADO ELECTRÓNICAMENTE </w:t>
      </w:r>
    </w:p>
    <w:p w:rsidR="00085BB7" w:rsidRDefault="004441D3">
      <w:pPr>
        <w:spacing w:after="0" w:line="259" w:lineRule="auto"/>
        <w:ind w:left="10303" w:right="0" w:firstLine="0"/>
        <w:jc w:val="left"/>
      </w:pPr>
      <w:r>
        <w:rPr>
          <w:rFonts w:ascii="Calibri" w:eastAsia="Calibri" w:hAnsi="Calibri" w:cs="Calibri"/>
          <w:noProof/>
        </w:rPr>
        <mc:AlternateContent>
          <mc:Choice Requires="wpg">
            <w:drawing>
              <wp:inline distT="0" distB="0" distL="0" distR="0">
                <wp:extent cx="237530" cy="3355467"/>
                <wp:effectExtent l="0" t="0" r="0" b="0"/>
                <wp:docPr id="151267" name="Group 1512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817" name="Rectangle 13817"/>
                        <wps:cNvSpPr/>
                        <wps:spPr>
                          <a:xfrm rot="-5399999">
                            <a:off x="-1189133" y="2053110"/>
                            <a:ext cx="2491491" cy="113224"/>
                          </a:xfrm>
                          <a:prstGeom prst="rect">
                            <a:avLst/>
                          </a:prstGeom>
                          <a:ln>
                            <a:noFill/>
                          </a:ln>
                        </wps:spPr>
                        <wps:txbx>
                          <w:txbxContent>
                            <w:p w:rsidR="00085BB7" w:rsidRDefault="004441D3">
                              <w:pPr>
                                <w:spacing w:after="160" w:line="259" w:lineRule="auto"/>
                                <w:ind w:left="0" w:right="0" w:firstLine="0"/>
                                <w:jc w:val="left"/>
                              </w:pPr>
                              <w:r>
                                <w:rPr>
                                  <w:sz w:val="12"/>
                                </w:rPr>
                                <w:t xml:space="preserve">Cód. Validación: J2W7FCWL64NSP9GMWA6CM2H9T </w:t>
                              </w:r>
                            </w:p>
                          </w:txbxContent>
                        </wps:txbx>
                        <wps:bodyPr horzOverflow="overflow" vert="horz" lIns="0" tIns="0" rIns="0" bIns="0" rtlCol="0">
                          <a:noAutofit/>
                        </wps:bodyPr>
                      </wps:wsp>
                      <wps:wsp>
                        <wps:cNvPr id="13818" name="Rectangle 13818"/>
                        <wps:cNvSpPr/>
                        <wps:spPr>
                          <a:xfrm rot="-5399999">
                            <a:off x="-976166" y="2189877"/>
                            <a:ext cx="2217957" cy="113224"/>
                          </a:xfrm>
                          <a:prstGeom prst="rect">
                            <a:avLst/>
                          </a:prstGeom>
                          <a:ln>
                            <a:noFill/>
                          </a:ln>
                        </wps:spPr>
                        <wps:txbx>
                          <w:txbxContent>
                            <w:p w:rsidR="00085BB7" w:rsidRDefault="004441D3">
                              <w:pPr>
                                <w:spacing w:after="160" w:line="259" w:lineRule="auto"/>
                                <w:ind w:left="0" w:right="0" w:firstLine="0"/>
                                <w:jc w:val="left"/>
                              </w:pPr>
                              <w:r>
                                <w:rPr>
                                  <w:sz w:val="12"/>
                                </w:rPr>
                                <w:t xml:space="preserve">Verificación: https://candelaria.sedelectronica.es/ </w:t>
                              </w:r>
                            </w:p>
                          </w:txbxContent>
                        </wps:txbx>
                        <wps:bodyPr horzOverflow="overflow" vert="horz" lIns="0" tIns="0" rIns="0" bIns="0" rtlCol="0">
                          <a:noAutofit/>
                        </wps:bodyPr>
                      </wps:wsp>
                      <wps:wsp>
                        <wps:cNvPr id="13819" name="Rectangle 13819"/>
                        <wps:cNvSpPr/>
                        <wps:spPr>
                          <a:xfrm rot="-5399999">
                            <a:off x="-2022372" y="1067469"/>
                            <a:ext cx="4462770" cy="113224"/>
                          </a:xfrm>
                          <a:prstGeom prst="rect">
                            <a:avLst/>
                          </a:prstGeom>
                          <a:ln>
                            <a:noFill/>
                          </a:ln>
                        </wps:spPr>
                        <wps:txbx>
                          <w:txbxContent>
                            <w:p w:rsidR="00085BB7" w:rsidRDefault="004441D3">
                              <w:pPr>
                                <w:spacing w:after="160" w:line="259" w:lineRule="auto"/>
                                <w:ind w:left="0" w:right="0" w:firstLine="0"/>
                                <w:jc w:val="left"/>
                              </w:pPr>
                              <w:r>
                                <w:rPr>
                                  <w:sz w:val="12"/>
                                </w:rPr>
                                <w:t xml:space="preserve">Documento firmado electrónicamente desde la plataforma esPublico Gestiona | Página 133 de 133 </w:t>
                              </w:r>
                            </w:p>
                          </w:txbxContent>
                        </wps:txbx>
                        <wps:bodyPr horzOverflow="overflow" vert="horz" lIns="0" tIns="0" rIns="0" bIns="0" rtlCol="0">
                          <a:noAutofit/>
                        </wps:bodyPr>
                      </wps:wsp>
                    </wpg:wgp>
                  </a:graphicData>
                </a:graphic>
              </wp:inline>
            </w:drawing>
          </mc:Choice>
          <mc:Fallback xmlns:a="http://schemas.openxmlformats.org/drawingml/2006/main" xmlns="">
            <w:pict>
              <v:group id="Group 151267" style="width:18.7031pt;height:264.21pt;mso-position-horizontal-relative:char;mso-position-vertical-relative:line" coordsize="2375,33554">
                <v:rect id="Rectangle 13817" style="position:absolute;width:24914;height:1132;left:-11891;top:2053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J2W7FCWL64NSP9GMWA6CM2H9T </w:t>
                        </w:r>
                      </w:p>
                    </w:txbxContent>
                  </v:textbox>
                </v:rect>
                <v:rect id="Rectangle 138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8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133 de 133 </w:t>
                        </w:r>
                      </w:p>
                    </w:txbxContent>
                  </v:textbox>
                </v:rect>
              </v:group>
            </w:pict>
          </mc:Fallback>
        </mc:AlternateContent>
      </w:r>
    </w:p>
    <w:sectPr w:rsidR="00085BB7">
      <w:headerReference w:type="even" r:id="rId60"/>
      <w:headerReference w:type="default" r:id="rId61"/>
      <w:footerReference w:type="even" r:id="rId62"/>
      <w:footerReference w:type="default" r:id="rId63"/>
      <w:headerReference w:type="first" r:id="rId64"/>
      <w:footerReference w:type="first" r:id="rId65"/>
      <w:pgSz w:w="11906" w:h="16838"/>
      <w:pgMar w:top="1803" w:right="18" w:bottom="44" w:left="687" w:header="567" w:footer="5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441D3">
      <w:pPr>
        <w:spacing w:after="0" w:line="240" w:lineRule="auto"/>
      </w:pPr>
      <w:r>
        <w:separator/>
      </w:r>
    </w:p>
  </w:endnote>
  <w:endnote w:type="continuationSeparator" w:id="0">
    <w:p w:rsidR="00000000" w:rsidRDefault="00444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529" w:firstLine="0"/>
      <w:jc w:val="left"/>
    </w:pPr>
    <w:r>
      <w:rPr>
        <w:noProof/>
      </w:rPr>
      <w:drawing>
        <wp:anchor distT="0" distB="0" distL="114300" distR="114300" simplePos="0" relativeHeight="251664384"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529" w:firstLine="0"/>
      <w:jc w:val="left"/>
    </w:pPr>
    <w:r>
      <w:rPr>
        <w:noProof/>
      </w:rPr>
      <w:drawing>
        <wp:anchor distT="0" distB="0" distL="114300" distR="114300" simplePos="0" relativeHeight="251666432"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3"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4"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529" w:firstLine="0"/>
      <w:jc w:val="left"/>
    </w:pPr>
    <w:r>
      <w:rPr>
        <w:noProof/>
      </w:rPr>
      <w:drawing>
        <wp:anchor distT="0" distB="0" distL="114300" distR="114300" simplePos="0" relativeHeight="251668480" behindDoc="0" locked="0" layoutInCell="1" allowOverlap="0">
          <wp:simplePos x="0" y="0"/>
          <wp:positionH relativeFrom="page">
            <wp:posOffset>901065</wp:posOffset>
          </wp:positionH>
          <wp:positionV relativeFrom="page">
            <wp:posOffset>10062855</wp:posOffset>
          </wp:positionV>
          <wp:extent cx="5392420" cy="266700"/>
          <wp:effectExtent l="0" t="0" r="0" b="0"/>
          <wp:wrapSquare wrapText="bothSides"/>
          <wp:docPr id="5"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stretch>
                    <a:fillRect/>
                  </a:stretch>
                </pic:blipFill>
                <pic:spPr>
                  <a:xfrm>
                    <a:off x="0" y="0"/>
                    <a:ext cx="5392420" cy="26670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6768593</wp:posOffset>
          </wp:positionH>
          <wp:positionV relativeFrom="page">
            <wp:posOffset>9879200</wp:posOffset>
          </wp:positionV>
          <wp:extent cx="444500" cy="444500"/>
          <wp:effectExtent l="0" t="0" r="0" b="0"/>
          <wp:wrapSquare wrapText="bothSides"/>
          <wp:docPr id="14"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441D3">
      <w:pPr>
        <w:spacing w:after="0" w:line="240" w:lineRule="auto"/>
      </w:pPr>
      <w:r>
        <w:separator/>
      </w:r>
    </w:p>
  </w:footnote>
  <w:footnote w:type="continuationSeparator" w:id="0">
    <w:p w:rsidR="00000000" w:rsidRDefault="004441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9509" w:firstLine="0"/>
      <w:jc w:val="left"/>
    </w:pPr>
    <w:r>
      <w:rPr>
        <w:noProof/>
      </w:rPr>
      <w:drawing>
        <wp:anchor distT="0" distB="0" distL="114300" distR="114300" simplePos="0" relativeHeight="251658240"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609600" cy="695960"/>
                  </a:xfrm>
                  <a:prstGeom prst="rect">
                    <a:avLst/>
                  </a:prstGeom>
                </pic:spPr>
              </pic:pic>
            </a:graphicData>
          </a:graphic>
        </wp:anchor>
      </w:drawing>
    </w:r>
  </w:p>
  <w:p w:rsidR="00085BB7" w:rsidRDefault="004441D3">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152752" name="Group 1527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
          <w:pict>
            <v:group id="Group 15275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9509" w:firstLine="0"/>
      <w:jc w:val="left"/>
    </w:pPr>
    <w:r>
      <w:rPr>
        <w:noProof/>
      </w:rPr>
      <w:drawing>
        <wp:anchor distT="0" distB="0" distL="114300" distR="114300" simplePos="0" relativeHeight="251660288"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1"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609600" cy="695960"/>
                  </a:xfrm>
                  <a:prstGeom prst="rect">
                    <a:avLst/>
                  </a:prstGeom>
                </pic:spPr>
              </pic:pic>
            </a:graphicData>
          </a:graphic>
        </wp:anchor>
      </w:drawing>
    </w:r>
  </w:p>
  <w:p w:rsidR="00085BB7" w:rsidRDefault="004441D3">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152737" name="Group 15273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
          <w:pict>
            <v:group id="Group 152737"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BB7" w:rsidRDefault="004441D3">
    <w:pPr>
      <w:spacing w:after="0" w:line="259" w:lineRule="auto"/>
      <w:ind w:left="-687" w:right="9509" w:firstLine="0"/>
      <w:jc w:val="left"/>
    </w:pPr>
    <w:r>
      <w:rPr>
        <w:noProof/>
      </w:rPr>
      <w:drawing>
        <wp:anchor distT="0" distB="0" distL="114300" distR="114300" simplePos="0" relativeHeight="251662336" behindDoc="0" locked="0" layoutInCell="1" allowOverlap="0">
          <wp:simplePos x="0" y="0"/>
          <wp:positionH relativeFrom="page">
            <wp:posOffset>901065</wp:posOffset>
          </wp:positionH>
          <wp:positionV relativeFrom="page">
            <wp:posOffset>360055</wp:posOffset>
          </wp:positionV>
          <wp:extent cx="609600" cy="695960"/>
          <wp:effectExtent l="0" t="0" r="0" b="0"/>
          <wp:wrapSquare wrapText="bothSides"/>
          <wp:docPr id="2"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
                  <a:stretch>
                    <a:fillRect/>
                  </a:stretch>
                </pic:blipFill>
                <pic:spPr>
                  <a:xfrm>
                    <a:off x="0" y="0"/>
                    <a:ext cx="609600" cy="695960"/>
                  </a:xfrm>
                  <a:prstGeom prst="rect">
                    <a:avLst/>
                  </a:prstGeom>
                </pic:spPr>
              </pic:pic>
            </a:graphicData>
          </a:graphic>
        </wp:anchor>
      </w:drawing>
    </w:r>
  </w:p>
  <w:p w:rsidR="00085BB7" w:rsidRDefault="004441D3">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152722" name="Group 15272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
          <w:pict>
            <v:group id="Group 15272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278E"/>
    <w:multiLevelType w:val="hybridMultilevel"/>
    <w:tmpl w:val="72546E08"/>
    <w:lvl w:ilvl="0" w:tplc="C1521CBC">
      <w:start w:val="1"/>
      <w:numFmt w:val="upperRoman"/>
      <w:lvlText w:val="%1."/>
      <w:lvlJc w:val="left"/>
      <w:pPr>
        <w:ind w:left="2009"/>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9CBA3CA8">
      <w:start w:val="1"/>
      <w:numFmt w:val="lowerLetter"/>
      <w:lvlText w:val="%2"/>
      <w:lvlJc w:val="left"/>
      <w:pPr>
        <w:ind w:left="236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552CCCEA">
      <w:start w:val="1"/>
      <w:numFmt w:val="lowerRoman"/>
      <w:lvlText w:val="%3"/>
      <w:lvlJc w:val="left"/>
      <w:pPr>
        <w:ind w:left="308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ABA68C28">
      <w:start w:val="1"/>
      <w:numFmt w:val="decimal"/>
      <w:lvlText w:val="%4"/>
      <w:lvlJc w:val="left"/>
      <w:pPr>
        <w:ind w:left="380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7D8C0A06">
      <w:start w:val="1"/>
      <w:numFmt w:val="lowerLetter"/>
      <w:lvlText w:val="%5"/>
      <w:lvlJc w:val="left"/>
      <w:pPr>
        <w:ind w:left="452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DA5E08A8">
      <w:start w:val="1"/>
      <w:numFmt w:val="lowerRoman"/>
      <w:lvlText w:val="%6"/>
      <w:lvlJc w:val="left"/>
      <w:pPr>
        <w:ind w:left="524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7E9EF40E">
      <w:start w:val="1"/>
      <w:numFmt w:val="decimal"/>
      <w:lvlText w:val="%7"/>
      <w:lvlJc w:val="left"/>
      <w:pPr>
        <w:ind w:left="596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5CCA092A">
      <w:start w:val="1"/>
      <w:numFmt w:val="lowerLetter"/>
      <w:lvlText w:val="%8"/>
      <w:lvlJc w:val="left"/>
      <w:pPr>
        <w:ind w:left="668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CC3E202A">
      <w:start w:val="1"/>
      <w:numFmt w:val="lowerRoman"/>
      <w:lvlText w:val="%9"/>
      <w:lvlJc w:val="left"/>
      <w:pPr>
        <w:ind w:left="7407"/>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9B217A7"/>
    <w:multiLevelType w:val="hybridMultilevel"/>
    <w:tmpl w:val="4230833E"/>
    <w:lvl w:ilvl="0" w:tplc="7862A37A">
      <w:start w:val="3"/>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A47D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9CC8CE">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8A726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A522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AC8A6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0E12AA">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76A49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C878DC">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945E2F"/>
    <w:multiLevelType w:val="hybridMultilevel"/>
    <w:tmpl w:val="02222994"/>
    <w:lvl w:ilvl="0" w:tplc="620A8F2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208AA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423A7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9899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4003E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6DECF4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0C13D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4D79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DAECD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BF5339"/>
    <w:multiLevelType w:val="hybridMultilevel"/>
    <w:tmpl w:val="E2CC6244"/>
    <w:lvl w:ilvl="0" w:tplc="28C8EA80">
      <w:start w:val="1"/>
      <w:numFmt w:val="lowerLetter"/>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3678C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B0766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90DF8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6837B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0278A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B204D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34C1E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8CCA32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E57B23"/>
    <w:multiLevelType w:val="hybridMultilevel"/>
    <w:tmpl w:val="665C3D3E"/>
    <w:lvl w:ilvl="0" w:tplc="D45EB1D2">
      <w:start w:val="1"/>
      <w:numFmt w:val="lowerLetter"/>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82426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1A498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E640F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C832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06C762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8A983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AE97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9CC54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0AA0E01"/>
    <w:multiLevelType w:val="hybridMultilevel"/>
    <w:tmpl w:val="D1646B46"/>
    <w:lvl w:ilvl="0" w:tplc="F0C2012E">
      <w:start w:val="1"/>
      <w:numFmt w:val="lowerLetter"/>
      <w:lvlText w:val="%1)"/>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087810">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354F77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A25BFA">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CAECA">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72376A">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2CC4B6">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2A2D3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CAEF6C">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292848"/>
    <w:multiLevelType w:val="hybridMultilevel"/>
    <w:tmpl w:val="18105EDA"/>
    <w:lvl w:ilvl="0" w:tplc="43BAA50E">
      <w:start w:val="1"/>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E00D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84206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86ACA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E1E3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D34DB22">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C2A3F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36F2C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17C3696">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0340E8"/>
    <w:multiLevelType w:val="hybridMultilevel"/>
    <w:tmpl w:val="7CF2DBEC"/>
    <w:lvl w:ilvl="0" w:tplc="6976551E">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364C30">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5E526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36722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16495C">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BA33E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265DA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8EA9A0">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3A860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34D79D2"/>
    <w:multiLevelType w:val="hybridMultilevel"/>
    <w:tmpl w:val="79B0C34A"/>
    <w:lvl w:ilvl="0" w:tplc="A9D2818A">
      <w:start w:val="1"/>
      <w:numFmt w:val="upperRoman"/>
      <w:lvlText w:val="%1."/>
      <w:lvlJc w:val="left"/>
      <w:pPr>
        <w:ind w:left="70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F98E557C">
      <w:start w:val="1"/>
      <w:numFmt w:val="lowerLetter"/>
      <w:lvlText w:val="%2"/>
      <w:lvlJc w:val="left"/>
      <w:pPr>
        <w:ind w:left="22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FDDA30F8">
      <w:start w:val="1"/>
      <w:numFmt w:val="lowerRoman"/>
      <w:lvlText w:val="%3"/>
      <w:lvlJc w:val="left"/>
      <w:pPr>
        <w:ind w:left="29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10F4D05E">
      <w:start w:val="1"/>
      <w:numFmt w:val="decimal"/>
      <w:lvlText w:val="%4"/>
      <w:lvlJc w:val="left"/>
      <w:pPr>
        <w:ind w:left="36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C22971E">
      <w:start w:val="1"/>
      <w:numFmt w:val="lowerLetter"/>
      <w:lvlText w:val="%5"/>
      <w:lvlJc w:val="left"/>
      <w:pPr>
        <w:ind w:left="439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0246C9C">
      <w:start w:val="1"/>
      <w:numFmt w:val="lowerRoman"/>
      <w:lvlText w:val="%6"/>
      <w:lvlJc w:val="left"/>
      <w:pPr>
        <w:ind w:left="511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9F694BA">
      <w:start w:val="1"/>
      <w:numFmt w:val="decimal"/>
      <w:lvlText w:val="%7"/>
      <w:lvlJc w:val="left"/>
      <w:pPr>
        <w:ind w:left="58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29A471C">
      <w:start w:val="1"/>
      <w:numFmt w:val="lowerLetter"/>
      <w:lvlText w:val="%8"/>
      <w:lvlJc w:val="left"/>
      <w:pPr>
        <w:ind w:left="655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48F4468E">
      <w:start w:val="1"/>
      <w:numFmt w:val="lowerRoman"/>
      <w:lvlText w:val="%9"/>
      <w:lvlJc w:val="left"/>
      <w:pPr>
        <w:ind w:left="72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25CE16B7"/>
    <w:multiLevelType w:val="hybridMultilevel"/>
    <w:tmpl w:val="4DD692CA"/>
    <w:lvl w:ilvl="0" w:tplc="F3C0B92E">
      <w:start w:val="1"/>
      <w:numFmt w:val="upperRoman"/>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949D00">
      <w:start w:val="1"/>
      <w:numFmt w:val="lowerLetter"/>
      <w:lvlText w:val="%2"/>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20AF4E">
      <w:start w:val="1"/>
      <w:numFmt w:val="lowerRoman"/>
      <w:lvlText w:val="%3"/>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5C9DA8">
      <w:start w:val="1"/>
      <w:numFmt w:val="decimal"/>
      <w:lvlText w:val="%4"/>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FE863C">
      <w:start w:val="1"/>
      <w:numFmt w:val="lowerLetter"/>
      <w:lvlText w:val="%5"/>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9A3236">
      <w:start w:val="1"/>
      <w:numFmt w:val="lowerRoman"/>
      <w:lvlText w:val="%6"/>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92A86E">
      <w:start w:val="1"/>
      <w:numFmt w:val="decimal"/>
      <w:lvlText w:val="%7"/>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047A1E">
      <w:start w:val="1"/>
      <w:numFmt w:val="lowerLetter"/>
      <w:lvlText w:val="%8"/>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44C64A">
      <w:start w:val="1"/>
      <w:numFmt w:val="lowerRoman"/>
      <w:lvlText w:val="%9"/>
      <w:lvlJc w:val="left"/>
      <w:pPr>
        <w:ind w:left="7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7DC5A3B"/>
    <w:multiLevelType w:val="hybridMultilevel"/>
    <w:tmpl w:val="C854DFD6"/>
    <w:lvl w:ilvl="0" w:tplc="A314D17E">
      <w:start w:val="1"/>
      <w:numFmt w:val="decimal"/>
      <w:lvlText w:val="%1."/>
      <w:lvlJc w:val="left"/>
      <w:pPr>
        <w:ind w:left="7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43EC30BC">
      <w:start w:val="1"/>
      <w:numFmt w:val="lowerLetter"/>
      <w:lvlText w:val="%2"/>
      <w:lvlJc w:val="left"/>
      <w:pPr>
        <w:ind w:left="14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16284E22">
      <w:start w:val="1"/>
      <w:numFmt w:val="lowerRoman"/>
      <w:lvlText w:val="%3"/>
      <w:lvlJc w:val="left"/>
      <w:pPr>
        <w:ind w:left="21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E2BA8C60">
      <w:start w:val="1"/>
      <w:numFmt w:val="decimal"/>
      <w:lvlText w:val="%4"/>
      <w:lvlJc w:val="left"/>
      <w:pPr>
        <w:ind w:left="28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E08E584">
      <w:start w:val="1"/>
      <w:numFmt w:val="lowerLetter"/>
      <w:lvlText w:val="%5"/>
      <w:lvlJc w:val="left"/>
      <w:pPr>
        <w:ind w:left="36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BA8D5DC">
      <w:start w:val="1"/>
      <w:numFmt w:val="lowerRoman"/>
      <w:lvlText w:val="%6"/>
      <w:lvlJc w:val="left"/>
      <w:pPr>
        <w:ind w:left="43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B5A3B78">
      <w:start w:val="1"/>
      <w:numFmt w:val="decimal"/>
      <w:lvlText w:val="%7"/>
      <w:lvlJc w:val="left"/>
      <w:pPr>
        <w:ind w:left="50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CC6E26AC">
      <w:start w:val="1"/>
      <w:numFmt w:val="lowerLetter"/>
      <w:lvlText w:val="%8"/>
      <w:lvlJc w:val="left"/>
      <w:pPr>
        <w:ind w:left="57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0C41CC4">
      <w:start w:val="1"/>
      <w:numFmt w:val="lowerRoman"/>
      <w:lvlText w:val="%9"/>
      <w:lvlJc w:val="left"/>
      <w:pPr>
        <w:ind w:left="64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2A1112D8"/>
    <w:multiLevelType w:val="hybridMultilevel"/>
    <w:tmpl w:val="31DACCA4"/>
    <w:lvl w:ilvl="0" w:tplc="607C1186">
      <w:start w:val="1"/>
      <w:numFmt w:val="upperRoman"/>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12FB64">
      <w:start w:val="1"/>
      <w:numFmt w:val="lowerLetter"/>
      <w:lvlText w:val="%2"/>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E22FD2">
      <w:start w:val="1"/>
      <w:numFmt w:val="lowerRoman"/>
      <w:lvlText w:val="%3"/>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6CC5E6">
      <w:start w:val="1"/>
      <w:numFmt w:val="decimal"/>
      <w:lvlText w:val="%4"/>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E088B2">
      <w:start w:val="1"/>
      <w:numFmt w:val="lowerLetter"/>
      <w:lvlText w:val="%5"/>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0EC698">
      <w:start w:val="1"/>
      <w:numFmt w:val="lowerRoman"/>
      <w:lvlText w:val="%6"/>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DDC3FFA">
      <w:start w:val="1"/>
      <w:numFmt w:val="decimal"/>
      <w:lvlText w:val="%7"/>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80B94">
      <w:start w:val="1"/>
      <w:numFmt w:val="lowerLetter"/>
      <w:lvlText w:val="%8"/>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4BEDB18">
      <w:start w:val="1"/>
      <w:numFmt w:val="lowerRoman"/>
      <w:lvlText w:val="%9"/>
      <w:lvlJc w:val="left"/>
      <w:pPr>
        <w:ind w:left="7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F0784C"/>
    <w:multiLevelType w:val="hybridMultilevel"/>
    <w:tmpl w:val="9ECEDC86"/>
    <w:lvl w:ilvl="0" w:tplc="B248F160">
      <w:start w:val="1"/>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12BAAA">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44AD7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96C5A32">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8E32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AA6A4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310B258">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7EDD76">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7A5BE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8D6739"/>
    <w:multiLevelType w:val="hybridMultilevel"/>
    <w:tmpl w:val="89FCFE5E"/>
    <w:lvl w:ilvl="0" w:tplc="F5986A80">
      <w:start w:val="1"/>
      <w:numFmt w:val="bullet"/>
      <w:lvlText w:val="*"/>
      <w:lvlJc w:val="left"/>
      <w:pPr>
        <w:ind w:left="6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2A8AF6">
      <w:start w:val="1"/>
      <w:numFmt w:val="bullet"/>
      <w:lvlText w:val="o"/>
      <w:lvlJc w:val="left"/>
      <w:pPr>
        <w:ind w:left="1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BEC126">
      <w:start w:val="1"/>
      <w:numFmt w:val="bullet"/>
      <w:lvlText w:val="▪"/>
      <w:lvlJc w:val="left"/>
      <w:pPr>
        <w:ind w:left="2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1C9E5C">
      <w:start w:val="1"/>
      <w:numFmt w:val="bullet"/>
      <w:lvlText w:val="•"/>
      <w:lvlJc w:val="left"/>
      <w:pPr>
        <w:ind w:left="3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304E86">
      <w:start w:val="1"/>
      <w:numFmt w:val="bullet"/>
      <w:lvlText w:val="o"/>
      <w:lvlJc w:val="left"/>
      <w:pPr>
        <w:ind w:left="3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740DFE0">
      <w:start w:val="1"/>
      <w:numFmt w:val="bullet"/>
      <w:lvlText w:val="▪"/>
      <w:lvlJc w:val="left"/>
      <w:pPr>
        <w:ind w:left="4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6B0349A">
      <w:start w:val="1"/>
      <w:numFmt w:val="bullet"/>
      <w:lvlText w:val="•"/>
      <w:lvlJc w:val="left"/>
      <w:pPr>
        <w:ind w:left="5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FC9E7E">
      <w:start w:val="1"/>
      <w:numFmt w:val="bullet"/>
      <w:lvlText w:val="o"/>
      <w:lvlJc w:val="left"/>
      <w:pPr>
        <w:ind w:left="6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7ADE76">
      <w:start w:val="1"/>
      <w:numFmt w:val="bullet"/>
      <w:lvlText w:val="▪"/>
      <w:lvlJc w:val="left"/>
      <w:pPr>
        <w:ind w:left="68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CB52B5F"/>
    <w:multiLevelType w:val="hybridMultilevel"/>
    <w:tmpl w:val="27C63D14"/>
    <w:lvl w:ilvl="0" w:tplc="A9F0EBC8">
      <w:start w:val="1"/>
      <w:numFmt w:val="decimal"/>
      <w:lvlText w:val="%1."/>
      <w:lvlJc w:val="left"/>
      <w:pPr>
        <w:ind w:left="7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140A504">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AAA0FB2">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A127B7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05C954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4202454">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1AC43C5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89AB3D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768654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3F352758"/>
    <w:multiLevelType w:val="hybridMultilevel"/>
    <w:tmpl w:val="10700B6A"/>
    <w:lvl w:ilvl="0" w:tplc="1E46C8A6">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84C87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EB2EAE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D8BE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32139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40FB5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2233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86B10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641B0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F70645A"/>
    <w:multiLevelType w:val="hybridMultilevel"/>
    <w:tmpl w:val="1B18C014"/>
    <w:lvl w:ilvl="0" w:tplc="46467BEC">
      <w:start w:val="1"/>
      <w:numFmt w:val="upperRoman"/>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C7D9C">
      <w:start w:val="1"/>
      <w:numFmt w:val="lowerLetter"/>
      <w:lvlText w:val="%2"/>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AC2CD8">
      <w:start w:val="1"/>
      <w:numFmt w:val="lowerRoman"/>
      <w:lvlText w:val="%3"/>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CAFB86">
      <w:start w:val="1"/>
      <w:numFmt w:val="decimal"/>
      <w:lvlText w:val="%4"/>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94852A">
      <w:start w:val="1"/>
      <w:numFmt w:val="lowerLetter"/>
      <w:lvlText w:val="%5"/>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703610">
      <w:start w:val="1"/>
      <w:numFmt w:val="lowerRoman"/>
      <w:lvlText w:val="%6"/>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96730C">
      <w:start w:val="1"/>
      <w:numFmt w:val="decimal"/>
      <w:lvlText w:val="%7"/>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50590A">
      <w:start w:val="1"/>
      <w:numFmt w:val="lowerLetter"/>
      <w:lvlText w:val="%8"/>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B8260A">
      <w:start w:val="1"/>
      <w:numFmt w:val="lowerRoman"/>
      <w:lvlText w:val="%9"/>
      <w:lvlJc w:val="left"/>
      <w:pPr>
        <w:ind w:left="7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5406760"/>
    <w:multiLevelType w:val="hybridMultilevel"/>
    <w:tmpl w:val="398AD990"/>
    <w:lvl w:ilvl="0" w:tplc="EC926568">
      <w:start w:val="1"/>
      <w:numFmt w:val="bullet"/>
      <w:lvlText w:val="•"/>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BE16C8">
      <w:start w:val="1"/>
      <w:numFmt w:val="bullet"/>
      <w:lvlText w:val="o"/>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36CB86">
      <w:start w:val="1"/>
      <w:numFmt w:val="bullet"/>
      <w:lvlText w:val="▪"/>
      <w:lvlJc w:val="left"/>
      <w:pPr>
        <w:ind w:left="2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38CF12C">
      <w:start w:val="1"/>
      <w:numFmt w:val="bullet"/>
      <w:lvlText w:val="•"/>
      <w:lvlJc w:val="left"/>
      <w:pPr>
        <w:ind w:left="2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BC6180">
      <w:start w:val="1"/>
      <w:numFmt w:val="bullet"/>
      <w:lvlText w:val="o"/>
      <w:lvlJc w:val="left"/>
      <w:pPr>
        <w:ind w:left="3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E0C6CA">
      <w:start w:val="1"/>
      <w:numFmt w:val="bullet"/>
      <w:lvlText w:val="▪"/>
      <w:lvlJc w:val="left"/>
      <w:pPr>
        <w:ind w:left="4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2EEEE0">
      <w:start w:val="1"/>
      <w:numFmt w:val="bullet"/>
      <w:lvlText w:val="•"/>
      <w:lvlJc w:val="left"/>
      <w:pPr>
        <w:ind w:left="5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507E66">
      <w:start w:val="1"/>
      <w:numFmt w:val="bullet"/>
      <w:lvlText w:val="o"/>
      <w:lvlJc w:val="left"/>
      <w:pPr>
        <w:ind w:left="5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F267F2">
      <w:start w:val="1"/>
      <w:numFmt w:val="bullet"/>
      <w:lvlText w:val="▪"/>
      <w:lvlJc w:val="left"/>
      <w:pPr>
        <w:ind w:left="6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FA2152"/>
    <w:multiLevelType w:val="hybridMultilevel"/>
    <w:tmpl w:val="F56E29A6"/>
    <w:lvl w:ilvl="0" w:tplc="095ED786">
      <w:start w:val="1"/>
      <w:numFmt w:val="decimal"/>
      <w:lvlText w:val="%1."/>
      <w:lvlJc w:val="left"/>
      <w:pPr>
        <w:ind w:left="7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E6887344">
      <w:start w:val="1"/>
      <w:numFmt w:val="lowerLetter"/>
      <w:lvlText w:val="%2"/>
      <w:lvlJc w:val="left"/>
      <w:pPr>
        <w:ind w:left="14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AB6E676">
      <w:start w:val="1"/>
      <w:numFmt w:val="lowerRoman"/>
      <w:lvlText w:val="%3"/>
      <w:lvlJc w:val="left"/>
      <w:pPr>
        <w:ind w:left="21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F20B23A">
      <w:start w:val="1"/>
      <w:numFmt w:val="decimal"/>
      <w:lvlText w:val="%4"/>
      <w:lvlJc w:val="left"/>
      <w:pPr>
        <w:ind w:left="28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0589D8C">
      <w:start w:val="1"/>
      <w:numFmt w:val="lowerLetter"/>
      <w:lvlText w:val="%5"/>
      <w:lvlJc w:val="left"/>
      <w:pPr>
        <w:ind w:left="36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C8A1D40">
      <w:start w:val="1"/>
      <w:numFmt w:val="lowerRoman"/>
      <w:lvlText w:val="%6"/>
      <w:lvlJc w:val="left"/>
      <w:pPr>
        <w:ind w:left="43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43E2904">
      <w:start w:val="1"/>
      <w:numFmt w:val="decimal"/>
      <w:lvlText w:val="%7"/>
      <w:lvlJc w:val="left"/>
      <w:pPr>
        <w:ind w:left="50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02C82DEE">
      <w:start w:val="1"/>
      <w:numFmt w:val="lowerLetter"/>
      <w:lvlText w:val="%8"/>
      <w:lvlJc w:val="left"/>
      <w:pPr>
        <w:ind w:left="57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630AE3C0">
      <w:start w:val="1"/>
      <w:numFmt w:val="lowerRoman"/>
      <w:lvlText w:val="%9"/>
      <w:lvlJc w:val="left"/>
      <w:pPr>
        <w:ind w:left="64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4C483913"/>
    <w:multiLevelType w:val="hybridMultilevel"/>
    <w:tmpl w:val="B41C4688"/>
    <w:lvl w:ilvl="0" w:tplc="33A6CB5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AEF71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80FCC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0674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0072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60C7AA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C019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4CCC3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6AD0C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CC02E34"/>
    <w:multiLevelType w:val="hybridMultilevel"/>
    <w:tmpl w:val="92EABCAE"/>
    <w:lvl w:ilvl="0" w:tplc="E39803F4">
      <w:start w:val="1"/>
      <w:numFmt w:val="upperLetter"/>
      <w:lvlText w:val="%1)"/>
      <w:lvlJc w:val="left"/>
      <w:pPr>
        <w:ind w:left="1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DC8338">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7EE8A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F42C46">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98571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BC9DAC">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0AEDE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649C6E">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B2842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D0325E5"/>
    <w:multiLevelType w:val="hybridMultilevel"/>
    <w:tmpl w:val="1D06D5FE"/>
    <w:lvl w:ilvl="0" w:tplc="009A857C">
      <w:start w:val="1"/>
      <w:numFmt w:val="decimal"/>
      <w:lvlText w:val="%1."/>
      <w:lvlJc w:val="left"/>
      <w:pPr>
        <w:ind w:left="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54AB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2CD7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233E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4C7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6E3C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9EA4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811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72D8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D5D339A"/>
    <w:multiLevelType w:val="hybridMultilevel"/>
    <w:tmpl w:val="93F83020"/>
    <w:lvl w:ilvl="0" w:tplc="9E8E1480">
      <w:start w:val="1"/>
      <w:numFmt w:val="decimal"/>
      <w:lvlText w:val="%1"/>
      <w:lvlJc w:val="left"/>
      <w:pPr>
        <w:ind w:left="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E26A7912">
      <w:start w:val="1"/>
      <w:numFmt w:val="upperLetter"/>
      <w:lvlText w:val="%2)"/>
      <w:lvlJc w:val="left"/>
      <w:pPr>
        <w:ind w:left="644"/>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49FE08A4">
      <w:start w:val="1"/>
      <w:numFmt w:val="lowerRoman"/>
      <w:lvlText w:val="%3"/>
      <w:lvlJc w:val="left"/>
      <w:pPr>
        <w:ind w:left="461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F724E976">
      <w:start w:val="1"/>
      <w:numFmt w:val="decimal"/>
      <w:lvlText w:val="%4"/>
      <w:lvlJc w:val="left"/>
      <w:pPr>
        <w:ind w:left="533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0E52E630">
      <w:start w:val="1"/>
      <w:numFmt w:val="lowerLetter"/>
      <w:lvlText w:val="%5"/>
      <w:lvlJc w:val="left"/>
      <w:pPr>
        <w:ind w:left="605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797E758E">
      <w:start w:val="1"/>
      <w:numFmt w:val="lowerRoman"/>
      <w:lvlText w:val="%6"/>
      <w:lvlJc w:val="left"/>
      <w:pPr>
        <w:ind w:left="677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6428BFCA">
      <w:start w:val="1"/>
      <w:numFmt w:val="decimal"/>
      <w:lvlText w:val="%7"/>
      <w:lvlJc w:val="left"/>
      <w:pPr>
        <w:ind w:left="749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198C6CE0">
      <w:start w:val="1"/>
      <w:numFmt w:val="lowerLetter"/>
      <w:lvlText w:val="%8"/>
      <w:lvlJc w:val="left"/>
      <w:pPr>
        <w:ind w:left="821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3092CD62">
      <w:start w:val="1"/>
      <w:numFmt w:val="lowerRoman"/>
      <w:lvlText w:val="%9"/>
      <w:lvlJc w:val="left"/>
      <w:pPr>
        <w:ind w:left="8931"/>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535F305E"/>
    <w:multiLevelType w:val="hybridMultilevel"/>
    <w:tmpl w:val="962828A6"/>
    <w:lvl w:ilvl="0" w:tplc="BFF227AA">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E28C5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CE428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6C160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10E30A">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9020C6">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9AD410">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8CB50C">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6269A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57A7972"/>
    <w:multiLevelType w:val="hybridMultilevel"/>
    <w:tmpl w:val="DF7E61A4"/>
    <w:lvl w:ilvl="0" w:tplc="4958151A">
      <w:start w:val="1"/>
      <w:numFmt w:val="upperLetter"/>
      <w:lvlText w:val="%1)"/>
      <w:lvlJc w:val="left"/>
      <w:pPr>
        <w:ind w:left="17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06CDE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0223F8">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FAF09A">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1E2708">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42CB9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8E417F2">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2CD1F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0B67CDE">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6071C88"/>
    <w:multiLevelType w:val="hybridMultilevel"/>
    <w:tmpl w:val="65F6EA26"/>
    <w:lvl w:ilvl="0" w:tplc="4E50A636">
      <w:start w:val="1"/>
      <w:numFmt w:val="bullet"/>
      <w:lvlText w:val="•"/>
      <w:lvlJc w:val="left"/>
      <w:pPr>
        <w:ind w:left="20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5F0FD4C">
      <w:start w:val="1"/>
      <w:numFmt w:val="bullet"/>
      <w:lvlText w:val="o"/>
      <w:lvlJc w:val="left"/>
      <w:pPr>
        <w:ind w:left="22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5DE5350">
      <w:start w:val="1"/>
      <w:numFmt w:val="bullet"/>
      <w:lvlText w:val="▪"/>
      <w:lvlJc w:val="left"/>
      <w:pPr>
        <w:ind w:left="29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82C4F4E">
      <w:start w:val="1"/>
      <w:numFmt w:val="bullet"/>
      <w:lvlText w:val="•"/>
      <w:lvlJc w:val="left"/>
      <w:pPr>
        <w:ind w:left="36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2C0A0BE">
      <w:start w:val="1"/>
      <w:numFmt w:val="bullet"/>
      <w:lvlText w:val="o"/>
      <w:lvlJc w:val="left"/>
      <w:pPr>
        <w:ind w:left="43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088ADBBC">
      <w:start w:val="1"/>
      <w:numFmt w:val="bullet"/>
      <w:lvlText w:val="▪"/>
      <w:lvlJc w:val="left"/>
      <w:pPr>
        <w:ind w:left="50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EAEB4B8">
      <w:start w:val="1"/>
      <w:numFmt w:val="bullet"/>
      <w:lvlText w:val="•"/>
      <w:lvlJc w:val="left"/>
      <w:pPr>
        <w:ind w:left="58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FBE0C44">
      <w:start w:val="1"/>
      <w:numFmt w:val="bullet"/>
      <w:lvlText w:val="o"/>
      <w:lvlJc w:val="left"/>
      <w:pPr>
        <w:ind w:left="65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F6A4BAA">
      <w:start w:val="1"/>
      <w:numFmt w:val="bullet"/>
      <w:lvlText w:val="▪"/>
      <w:lvlJc w:val="left"/>
      <w:pPr>
        <w:ind w:left="72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5E75073A"/>
    <w:multiLevelType w:val="hybridMultilevel"/>
    <w:tmpl w:val="DCB48916"/>
    <w:lvl w:ilvl="0" w:tplc="793683D2">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47070">
      <w:start w:val="1"/>
      <w:numFmt w:val="bullet"/>
      <w:lvlText w:val="o"/>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0A91A6">
      <w:start w:val="1"/>
      <w:numFmt w:val="bullet"/>
      <w:lvlText w:val="▪"/>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105E94">
      <w:start w:val="1"/>
      <w:numFmt w:val="bullet"/>
      <w:lvlText w:val="•"/>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2D4CA">
      <w:start w:val="1"/>
      <w:numFmt w:val="bullet"/>
      <w:lvlText w:val="o"/>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E2268B8">
      <w:start w:val="1"/>
      <w:numFmt w:val="bullet"/>
      <w:lvlText w:val="▪"/>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38335C">
      <w:start w:val="1"/>
      <w:numFmt w:val="bullet"/>
      <w:lvlText w:val="•"/>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A7C6A7A">
      <w:start w:val="1"/>
      <w:numFmt w:val="bullet"/>
      <w:lvlText w:val="o"/>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3E64FC">
      <w:start w:val="1"/>
      <w:numFmt w:val="bullet"/>
      <w:lvlText w:val="▪"/>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0FE4B84"/>
    <w:multiLevelType w:val="hybridMultilevel"/>
    <w:tmpl w:val="7A8EFE12"/>
    <w:lvl w:ilvl="0" w:tplc="B858B382">
      <w:start w:val="1"/>
      <w:numFmt w:val="lowerLetter"/>
      <w:lvlText w:val="%1)"/>
      <w:lvlJc w:val="left"/>
      <w:pPr>
        <w:ind w:left="7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7C2BC0A">
      <w:start w:val="1"/>
      <w:numFmt w:val="upperLetter"/>
      <w:lvlText w:val="%2)"/>
      <w:lvlJc w:val="left"/>
      <w:pPr>
        <w:ind w:left="1826"/>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3A3EB7D6">
      <w:start w:val="1"/>
      <w:numFmt w:val="lowerRoman"/>
      <w:lvlText w:val="%3"/>
      <w:lvlJc w:val="left"/>
      <w:pPr>
        <w:ind w:left="449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119A97AE">
      <w:start w:val="1"/>
      <w:numFmt w:val="decimal"/>
      <w:lvlText w:val="%4"/>
      <w:lvlJc w:val="left"/>
      <w:pPr>
        <w:ind w:left="521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83D0572E">
      <w:start w:val="1"/>
      <w:numFmt w:val="lowerLetter"/>
      <w:lvlText w:val="%5"/>
      <w:lvlJc w:val="left"/>
      <w:pPr>
        <w:ind w:left="593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F2CABDB0">
      <w:start w:val="1"/>
      <w:numFmt w:val="lowerRoman"/>
      <w:lvlText w:val="%6"/>
      <w:lvlJc w:val="left"/>
      <w:pPr>
        <w:ind w:left="665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8106640A">
      <w:start w:val="1"/>
      <w:numFmt w:val="decimal"/>
      <w:lvlText w:val="%7"/>
      <w:lvlJc w:val="left"/>
      <w:pPr>
        <w:ind w:left="737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3FCE21C8">
      <w:start w:val="1"/>
      <w:numFmt w:val="lowerLetter"/>
      <w:lvlText w:val="%8"/>
      <w:lvlJc w:val="left"/>
      <w:pPr>
        <w:ind w:left="809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7CEA9E62">
      <w:start w:val="1"/>
      <w:numFmt w:val="lowerRoman"/>
      <w:lvlText w:val="%9"/>
      <w:lvlJc w:val="left"/>
      <w:pPr>
        <w:ind w:left="8810"/>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28" w15:restartNumberingAfterBreak="0">
    <w:nsid w:val="63BA1AC9"/>
    <w:multiLevelType w:val="hybridMultilevel"/>
    <w:tmpl w:val="A022CADE"/>
    <w:lvl w:ilvl="0" w:tplc="1EE2399C">
      <w:start w:val="1"/>
      <w:numFmt w:val="decimal"/>
      <w:lvlText w:val="%1."/>
      <w:lvlJc w:val="left"/>
      <w:pPr>
        <w:ind w:left="8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6284BD8">
      <w:start w:val="1"/>
      <w:numFmt w:val="lowerLetter"/>
      <w:lvlText w:val="%2"/>
      <w:lvlJc w:val="left"/>
      <w:pPr>
        <w:ind w:left="14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BAE7A6">
      <w:start w:val="1"/>
      <w:numFmt w:val="lowerRoman"/>
      <w:lvlText w:val="%3"/>
      <w:lvlJc w:val="left"/>
      <w:pPr>
        <w:ind w:left="21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6A42E890">
      <w:start w:val="1"/>
      <w:numFmt w:val="decimal"/>
      <w:lvlText w:val="%4"/>
      <w:lvlJc w:val="left"/>
      <w:pPr>
        <w:ind w:left="287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39C346C">
      <w:start w:val="1"/>
      <w:numFmt w:val="lowerLetter"/>
      <w:lvlText w:val="%5"/>
      <w:lvlJc w:val="left"/>
      <w:pPr>
        <w:ind w:left="359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0EA15C4">
      <w:start w:val="1"/>
      <w:numFmt w:val="lowerRoman"/>
      <w:lvlText w:val="%6"/>
      <w:lvlJc w:val="left"/>
      <w:pPr>
        <w:ind w:left="431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EE6DEA2">
      <w:start w:val="1"/>
      <w:numFmt w:val="decimal"/>
      <w:lvlText w:val="%7"/>
      <w:lvlJc w:val="left"/>
      <w:pPr>
        <w:ind w:left="503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9F00726">
      <w:start w:val="1"/>
      <w:numFmt w:val="lowerLetter"/>
      <w:lvlText w:val="%8"/>
      <w:lvlJc w:val="left"/>
      <w:pPr>
        <w:ind w:left="575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8870C348">
      <w:start w:val="1"/>
      <w:numFmt w:val="lowerRoman"/>
      <w:lvlText w:val="%9"/>
      <w:lvlJc w:val="left"/>
      <w:pPr>
        <w:ind w:left="647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64751E10"/>
    <w:multiLevelType w:val="hybridMultilevel"/>
    <w:tmpl w:val="F22C2F76"/>
    <w:lvl w:ilvl="0" w:tplc="3DB84ECC">
      <w:start w:val="3"/>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22DC2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25536">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4A247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06E06E">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EDF8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BC774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6E01B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F08EC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52E65A3"/>
    <w:multiLevelType w:val="hybridMultilevel"/>
    <w:tmpl w:val="E36C32B2"/>
    <w:lvl w:ilvl="0" w:tplc="22D82EEE">
      <w:start w:val="9"/>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16A78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0941A70">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B8AD9A4">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685612">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5C7C10">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9A9316">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9C485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1A3B64">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4F4ED9"/>
    <w:multiLevelType w:val="hybridMultilevel"/>
    <w:tmpl w:val="5C988AF6"/>
    <w:lvl w:ilvl="0" w:tplc="97CAADF4">
      <w:start w:val="1"/>
      <w:numFmt w:val="decimal"/>
      <w:lvlText w:val="%1."/>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005434">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E4BD9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A4F61C">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C65FC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42E0B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BEEFE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9C6358">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F61D7A">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6DE2FA8"/>
    <w:multiLevelType w:val="hybridMultilevel"/>
    <w:tmpl w:val="FA9E3D0E"/>
    <w:lvl w:ilvl="0" w:tplc="A9781416">
      <w:start w:val="1"/>
      <w:numFmt w:val="upperRoman"/>
      <w:lvlText w:val="%1."/>
      <w:lvlJc w:val="left"/>
      <w:pPr>
        <w:ind w:left="259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D67ABA92">
      <w:start w:val="1"/>
      <w:numFmt w:val="lowerLetter"/>
      <w:lvlText w:val="%2"/>
      <w:lvlJc w:val="left"/>
      <w:pPr>
        <w:ind w:left="20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E826458">
      <w:start w:val="1"/>
      <w:numFmt w:val="lowerRoman"/>
      <w:lvlText w:val="%3"/>
      <w:lvlJc w:val="left"/>
      <w:pPr>
        <w:ind w:left="28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0822C24">
      <w:start w:val="1"/>
      <w:numFmt w:val="decimal"/>
      <w:lvlText w:val="%4"/>
      <w:lvlJc w:val="left"/>
      <w:pPr>
        <w:ind w:left="35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A61AA4BC">
      <w:start w:val="1"/>
      <w:numFmt w:val="lowerLetter"/>
      <w:lvlText w:val="%5"/>
      <w:lvlJc w:val="left"/>
      <w:pPr>
        <w:ind w:left="424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D1C92E2">
      <w:start w:val="1"/>
      <w:numFmt w:val="lowerRoman"/>
      <w:lvlText w:val="%6"/>
      <w:lvlJc w:val="left"/>
      <w:pPr>
        <w:ind w:left="496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6526D7EE">
      <w:start w:val="1"/>
      <w:numFmt w:val="decimal"/>
      <w:lvlText w:val="%7"/>
      <w:lvlJc w:val="left"/>
      <w:pPr>
        <w:ind w:left="568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6263EE">
      <w:start w:val="1"/>
      <w:numFmt w:val="lowerLetter"/>
      <w:lvlText w:val="%8"/>
      <w:lvlJc w:val="left"/>
      <w:pPr>
        <w:ind w:left="64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7541C22">
      <w:start w:val="1"/>
      <w:numFmt w:val="lowerRoman"/>
      <w:lvlText w:val="%9"/>
      <w:lvlJc w:val="left"/>
      <w:pPr>
        <w:ind w:left="712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3" w15:restartNumberingAfterBreak="0">
    <w:nsid w:val="69510859"/>
    <w:multiLevelType w:val="hybridMultilevel"/>
    <w:tmpl w:val="BC86FE3A"/>
    <w:lvl w:ilvl="0" w:tplc="8E6AF35E">
      <w:start w:val="1"/>
      <w:numFmt w:val="bullet"/>
      <w:lvlText w:val="●"/>
      <w:lvlJc w:val="left"/>
      <w:pPr>
        <w:ind w:left="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D690D6">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31EC208">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E62A0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BA904C">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A69BA6">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B0044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B4AE3A">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C7C2764">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A1C031E"/>
    <w:multiLevelType w:val="hybridMultilevel"/>
    <w:tmpl w:val="89FAC756"/>
    <w:lvl w:ilvl="0" w:tplc="C132358A">
      <w:start w:val="9"/>
      <w:numFmt w:val="decimal"/>
      <w:lvlText w:val="%1."/>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AA8052">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0018EA">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A03F48">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5605A4">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70A5A4">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2649BC4">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EA424A">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BD442F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9D0936"/>
    <w:multiLevelType w:val="hybridMultilevel"/>
    <w:tmpl w:val="0B10C15A"/>
    <w:lvl w:ilvl="0" w:tplc="2B269CD6">
      <w:start w:val="1"/>
      <w:numFmt w:val="decimal"/>
      <w:lvlText w:val="%1"/>
      <w:lvlJc w:val="left"/>
      <w:pPr>
        <w:ind w:left="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31B2E794">
      <w:start w:val="1"/>
      <w:numFmt w:val="upperLetter"/>
      <w:lvlText w:val="%2)"/>
      <w:lvlJc w:val="left"/>
      <w:pPr>
        <w:ind w:left="644"/>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A74470D4">
      <w:start w:val="1"/>
      <w:numFmt w:val="lowerRoman"/>
      <w:lvlText w:val="%3"/>
      <w:lvlJc w:val="left"/>
      <w:pPr>
        <w:ind w:left="467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FE9E85D0">
      <w:start w:val="1"/>
      <w:numFmt w:val="decimal"/>
      <w:lvlText w:val="%4"/>
      <w:lvlJc w:val="left"/>
      <w:pPr>
        <w:ind w:left="539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23B05D24">
      <w:start w:val="1"/>
      <w:numFmt w:val="lowerLetter"/>
      <w:lvlText w:val="%5"/>
      <w:lvlJc w:val="left"/>
      <w:pPr>
        <w:ind w:left="611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C616F708">
      <w:start w:val="1"/>
      <w:numFmt w:val="lowerRoman"/>
      <w:lvlText w:val="%6"/>
      <w:lvlJc w:val="left"/>
      <w:pPr>
        <w:ind w:left="683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7C8A1EA8">
      <w:start w:val="1"/>
      <w:numFmt w:val="decimal"/>
      <w:lvlText w:val="%7"/>
      <w:lvlJc w:val="left"/>
      <w:pPr>
        <w:ind w:left="755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9CBE9DB2">
      <w:start w:val="1"/>
      <w:numFmt w:val="lowerLetter"/>
      <w:lvlText w:val="%8"/>
      <w:lvlJc w:val="left"/>
      <w:pPr>
        <w:ind w:left="827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43188148">
      <w:start w:val="1"/>
      <w:numFmt w:val="lowerRoman"/>
      <w:lvlText w:val="%9"/>
      <w:lvlJc w:val="left"/>
      <w:pPr>
        <w:ind w:left="899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36" w15:restartNumberingAfterBreak="0">
    <w:nsid w:val="6CC16D41"/>
    <w:multiLevelType w:val="hybridMultilevel"/>
    <w:tmpl w:val="677A42E2"/>
    <w:lvl w:ilvl="0" w:tplc="2C1CB62E">
      <w:start w:val="1"/>
      <w:numFmt w:val="lowerLetter"/>
      <w:lvlText w:val="%1)"/>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0CDD70">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8ECE16">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044C60">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61F8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9023B6">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E61FB8">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9C4754">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D66BBC">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D8424B2"/>
    <w:multiLevelType w:val="hybridMultilevel"/>
    <w:tmpl w:val="EE6AE95C"/>
    <w:lvl w:ilvl="0" w:tplc="F27C1AA6">
      <w:start w:val="1"/>
      <w:numFmt w:val="bullet"/>
      <w:lvlText w:val="•"/>
      <w:lvlJc w:val="left"/>
      <w:pPr>
        <w:ind w:left="1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CE2368">
      <w:start w:val="1"/>
      <w:numFmt w:val="bullet"/>
      <w:lvlText w:val="o"/>
      <w:lvlJc w:val="left"/>
      <w:pPr>
        <w:ind w:left="14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E8D82E">
      <w:start w:val="1"/>
      <w:numFmt w:val="bullet"/>
      <w:lvlText w:val="▪"/>
      <w:lvlJc w:val="left"/>
      <w:pPr>
        <w:ind w:left="21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7E3FA4">
      <w:start w:val="1"/>
      <w:numFmt w:val="bullet"/>
      <w:lvlText w:val="•"/>
      <w:lvlJc w:val="left"/>
      <w:pPr>
        <w:ind w:left="28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E4870A">
      <w:start w:val="1"/>
      <w:numFmt w:val="bullet"/>
      <w:lvlText w:val="o"/>
      <w:lvlJc w:val="left"/>
      <w:pPr>
        <w:ind w:left="36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A03EE">
      <w:start w:val="1"/>
      <w:numFmt w:val="bullet"/>
      <w:lvlText w:val="▪"/>
      <w:lvlJc w:val="left"/>
      <w:pPr>
        <w:ind w:left="43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2E566C">
      <w:start w:val="1"/>
      <w:numFmt w:val="bullet"/>
      <w:lvlText w:val="•"/>
      <w:lvlJc w:val="left"/>
      <w:pPr>
        <w:ind w:left="50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2C307C">
      <w:start w:val="1"/>
      <w:numFmt w:val="bullet"/>
      <w:lvlText w:val="o"/>
      <w:lvlJc w:val="left"/>
      <w:pPr>
        <w:ind w:left="5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C48196">
      <w:start w:val="1"/>
      <w:numFmt w:val="bullet"/>
      <w:lvlText w:val="▪"/>
      <w:lvlJc w:val="left"/>
      <w:pPr>
        <w:ind w:left="64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F277B9A"/>
    <w:multiLevelType w:val="hybridMultilevel"/>
    <w:tmpl w:val="074C2BCC"/>
    <w:lvl w:ilvl="0" w:tplc="BA6EA4F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BED41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92DC7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FC09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541BA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5827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D87B4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8C7C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B210B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10B06F2"/>
    <w:multiLevelType w:val="hybridMultilevel"/>
    <w:tmpl w:val="5C42E7C0"/>
    <w:lvl w:ilvl="0" w:tplc="441695C2">
      <w:start w:val="1"/>
      <w:numFmt w:val="lowerLetter"/>
      <w:lvlText w:val="%1)"/>
      <w:lvlJc w:val="left"/>
      <w:pPr>
        <w:ind w:left="73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DF8D26A">
      <w:start w:val="1"/>
      <w:numFmt w:val="upperLetter"/>
      <w:lvlText w:val="%2)"/>
      <w:lvlJc w:val="left"/>
      <w:pPr>
        <w:ind w:left="2303"/>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2" w:tplc="B6B4C1CC">
      <w:start w:val="1"/>
      <w:numFmt w:val="lowerRoman"/>
      <w:lvlText w:val="%3"/>
      <w:lvlJc w:val="left"/>
      <w:pPr>
        <w:ind w:left="463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3" w:tplc="58E4752E">
      <w:start w:val="1"/>
      <w:numFmt w:val="decimal"/>
      <w:lvlText w:val="%4"/>
      <w:lvlJc w:val="left"/>
      <w:pPr>
        <w:ind w:left="535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4" w:tplc="EB90A5AA">
      <w:start w:val="1"/>
      <w:numFmt w:val="lowerLetter"/>
      <w:lvlText w:val="%5"/>
      <w:lvlJc w:val="left"/>
      <w:pPr>
        <w:ind w:left="607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5" w:tplc="1298B370">
      <w:start w:val="1"/>
      <w:numFmt w:val="lowerRoman"/>
      <w:lvlText w:val="%6"/>
      <w:lvlJc w:val="left"/>
      <w:pPr>
        <w:ind w:left="679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6" w:tplc="4582DDDA">
      <w:start w:val="1"/>
      <w:numFmt w:val="decimal"/>
      <w:lvlText w:val="%7"/>
      <w:lvlJc w:val="left"/>
      <w:pPr>
        <w:ind w:left="751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7" w:tplc="B286673A">
      <w:start w:val="1"/>
      <w:numFmt w:val="lowerLetter"/>
      <w:lvlText w:val="%8"/>
      <w:lvlJc w:val="left"/>
      <w:pPr>
        <w:ind w:left="823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lvl w:ilvl="8" w:tplc="80D6FE20">
      <w:start w:val="1"/>
      <w:numFmt w:val="lowerRoman"/>
      <w:lvlText w:val="%9"/>
      <w:lvlJc w:val="left"/>
      <w:pPr>
        <w:ind w:left="8958"/>
      </w:pPr>
      <w:rPr>
        <w:rFonts w:ascii="Calibri" w:eastAsia="Calibri" w:hAnsi="Calibri" w:cs="Calibri"/>
        <w:b w:val="0"/>
        <w:i w:val="0"/>
        <w:strike w:val="0"/>
        <w:dstrike w:val="0"/>
        <w:color w:val="000000"/>
        <w:sz w:val="25"/>
        <w:szCs w:val="25"/>
        <w:u w:val="none" w:color="000000"/>
        <w:bdr w:val="none" w:sz="0" w:space="0" w:color="auto"/>
        <w:shd w:val="clear" w:color="auto" w:fill="auto"/>
        <w:vertAlign w:val="baseline"/>
      </w:rPr>
    </w:lvl>
  </w:abstractNum>
  <w:abstractNum w:abstractNumId="40" w15:restartNumberingAfterBreak="0">
    <w:nsid w:val="72267769"/>
    <w:multiLevelType w:val="hybridMultilevel"/>
    <w:tmpl w:val="9592A310"/>
    <w:lvl w:ilvl="0" w:tplc="09AA3A9E">
      <w:start w:val="1"/>
      <w:numFmt w:val="decimal"/>
      <w:lvlText w:val="%1."/>
      <w:lvlJc w:val="left"/>
      <w:pPr>
        <w:ind w:left="70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3AE6B84">
      <w:start w:val="1"/>
      <w:numFmt w:val="lowerLetter"/>
      <w:lvlText w:val="%2"/>
      <w:lvlJc w:val="left"/>
      <w:pPr>
        <w:ind w:left="14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DDAE112">
      <w:start w:val="1"/>
      <w:numFmt w:val="lowerRoman"/>
      <w:lvlText w:val="%3"/>
      <w:lvlJc w:val="left"/>
      <w:pPr>
        <w:ind w:left="21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8686704">
      <w:start w:val="1"/>
      <w:numFmt w:val="decimal"/>
      <w:lvlText w:val="%4"/>
      <w:lvlJc w:val="left"/>
      <w:pPr>
        <w:ind w:left="28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B44552C">
      <w:start w:val="1"/>
      <w:numFmt w:val="lowerLetter"/>
      <w:lvlText w:val="%5"/>
      <w:lvlJc w:val="left"/>
      <w:pPr>
        <w:ind w:left="36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EA02ED7C">
      <w:start w:val="1"/>
      <w:numFmt w:val="lowerRoman"/>
      <w:lvlText w:val="%6"/>
      <w:lvlJc w:val="left"/>
      <w:pPr>
        <w:ind w:left="43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5B320682">
      <w:start w:val="1"/>
      <w:numFmt w:val="decimal"/>
      <w:lvlText w:val="%7"/>
      <w:lvlJc w:val="left"/>
      <w:pPr>
        <w:ind w:left="50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32227A8">
      <w:start w:val="1"/>
      <w:numFmt w:val="lowerLetter"/>
      <w:lvlText w:val="%8"/>
      <w:lvlJc w:val="left"/>
      <w:pPr>
        <w:ind w:left="57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8B6A7A2">
      <w:start w:val="1"/>
      <w:numFmt w:val="lowerRoman"/>
      <w:lvlText w:val="%9"/>
      <w:lvlJc w:val="left"/>
      <w:pPr>
        <w:ind w:left="64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1" w15:restartNumberingAfterBreak="0">
    <w:nsid w:val="740F2441"/>
    <w:multiLevelType w:val="hybridMultilevel"/>
    <w:tmpl w:val="2E607B82"/>
    <w:lvl w:ilvl="0" w:tplc="A75E4164">
      <w:start w:val="1"/>
      <w:numFmt w:val="decimal"/>
      <w:lvlText w:val="%1."/>
      <w:lvlJc w:val="left"/>
      <w:pPr>
        <w:ind w:left="1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A2D52C">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7A6D574">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24BC70">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98BB7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1C2B2E">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367A2E">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61BE4">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D6A922">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80408DA"/>
    <w:multiLevelType w:val="hybridMultilevel"/>
    <w:tmpl w:val="6D70E116"/>
    <w:lvl w:ilvl="0" w:tplc="C7A6CB1C">
      <w:start w:val="1"/>
      <w:numFmt w:val="bullet"/>
      <w:lvlText w:val="•"/>
      <w:lvlJc w:val="left"/>
      <w:pPr>
        <w:ind w:left="2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A626C4">
      <w:start w:val="1"/>
      <w:numFmt w:val="bullet"/>
      <w:lvlText w:val="o"/>
      <w:lvlJc w:val="left"/>
      <w:pPr>
        <w:ind w:left="2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5CFEAA">
      <w:start w:val="1"/>
      <w:numFmt w:val="bullet"/>
      <w:lvlText w:val="▪"/>
      <w:lvlJc w:val="left"/>
      <w:pPr>
        <w:ind w:left="2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C27EA4">
      <w:start w:val="1"/>
      <w:numFmt w:val="bullet"/>
      <w:lvlText w:val="•"/>
      <w:lvlJc w:val="left"/>
      <w:pPr>
        <w:ind w:left="3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C2AC92E">
      <w:start w:val="1"/>
      <w:numFmt w:val="bullet"/>
      <w:lvlText w:val="o"/>
      <w:lvlJc w:val="left"/>
      <w:pPr>
        <w:ind w:left="4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D25784">
      <w:start w:val="1"/>
      <w:numFmt w:val="bullet"/>
      <w:lvlText w:val="▪"/>
      <w:lvlJc w:val="left"/>
      <w:pPr>
        <w:ind w:left="5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D2A12F4">
      <w:start w:val="1"/>
      <w:numFmt w:val="bullet"/>
      <w:lvlText w:val="•"/>
      <w:lvlJc w:val="left"/>
      <w:pPr>
        <w:ind w:left="5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A7AEC74">
      <w:start w:val="1"/>
      <w:numFmt w:val="bullet"/>
      <w:lvlText w:val="o"/>
      <w:lvlJc w:val="left"/>
      <w:pPr>
        <w:ind w:left="6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BE7F84">
      <w:start w:val="1"/>
      <w:numFmt w:val="bullet"/>
      <w:lvlText w:val="▪"/>
      <w:lvlJc w:val="left"/>
      <w:pPr>
        <w:ind w:left="7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C0348F5"/>
    <w:multiLevelType w:val="hybridMultilevel"/>
    <w:tmpl w:val="244A7246"/>
    <w:lvl w:ilvl="0" w:tplc="7E40C7DA">
      <w:start w:val="1"/>
      <w:numFmt w:val="decimal"/>
      <w:lvlText w:val="%1."/>
      <w:lvlJc w:val="left"/>
      <w:pPr>
        <w:ind w:left="7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7CA61A6">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14C2CC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B998721C">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6527194">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AEA8BBC">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2A12758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49084D9E">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20D298D2">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37"/>
  </w:num>
  <w:num w:numId="2">
    <w:abstractNumId w:val="36"/>
  </w:num>
  <w:num w:numId="3">
    <w:abstractNumId w:val="17"/>
  </w:num>
  <w:num w:numId="4">
    <w:abstractNumId w:val="5"/>
  </w:num>
  <w:num w:numId="5">
    <w:abstractNumId w:val="20"/>
  </w:num>
  <w:num w:numId="6">
    <w:abstractNumId w:val="24"/>
  </w:num>
  <w:num w:numId="7">
    <w:abstractNumId w:val="38"/>
  </w:num>
  <w:num w:numId="8">
    <w:abstractNumId w:val="26"/>
  </w:num>
  <w:num w:numId="9">
    <w:abstractNumId w:val="19"/>
  </w:num>
  <w:num w:numId="10">
    <w:abstractNumId w:val="15"/>
  </w:num>
  <w:num w:numId="11">
    <w:abstractNumId w:val="27"/>
  </w:num>
  <w:num w:numId="12">
    <w:abstractNumId w:val="22"/>
  </w:num>
  <w:num w:numId="13">
    <w:abstractNumId w:val="39"/>
  </w:num>
  <w:num w:numId="14">
    <w:abstractNumId w:val="35"/>
  </w:num>
  <w:num w:numId="15">
    <w:abstractNumId w:val="2"/>
  </w:num>
  <w:num w:numId="16">
    <w:abstractNumId w:val="13"/>
  </w:num>
  <w:num w:numId="17">
    <w:abstractNumId w:val="0"/>
  </w:num>
  <w:num w:numId="18">
    <w:abstractNumId w:val="10"/>
  </w:num>
  <w:num w:numId="19">
    <w:abstractNumId w:val="40"/>
  </w:num>
  <w:num w:numId="20">
    <w:abstractNumId w:val="14"/>
  </w:num>
  <w:num w:numId="21">
    <w:abstractNumId w:val="32"/>
  </w:num>
  <w:num w:numId="22">
    <w:abstractNumId w:val="18"/>
  </w:num>
  <w:num w:numId="23">
    <w:abstractNumId w:val="43"/>
  </w:num>
  <w:num w:numId="24">
    <w:abstractNumId w:val="6"/>
  </w:num>
  <w:num w:numId="25">
    <w:abstractNumId w:val="23"/>
  </w:num>
  <w:num w:numId="26">
    <w:abstractNumId w:val="30"/>
  </w:num>
  <w:num w:numId="27">
    <w:abstractNumId w:val="41"/>
  </w:num>
  <w:num w:numId="28">
    <w:abstractNumId w:val="4"/>
  </w:num>
  <w:num w:numId="29">
    <w:abstractNumId w:val="29"/>
  </w:num>
  <w:num w:numId="30">
    <w:abstractNumId w:val="12"/>
  </w:num>
  <w:num w:numId="31">
    <w:abstractNumId w:val="7"/>
  </w:num>
  <w:num w:numId="32">
    <w:abstractNumId w:val="34"/>
  </w:num>
  <w:num w:numId="33">
    <w:abstractNumId w:val="31"/>
  </w:num>
  <w:num w:numId="34">
    <w:abstractNumId w:val="3"/>
  </w:num>
  <w:num w:numId="35">
    <w:abstractNumId w:val="1"/>
  </w:num>
  <w:num w:numId="36">
    <w:abstractNumId w:val="42"/>
  </w:num>
  <w:num w:numId="37">
    <w:abstractNumId w:val="11"/>
  </w:num>
  <w:num w:numId="38">
    <w:abstractNumId w:val="25"/>
  </w:num>
  <w:num w:numId="39">
    <w:abstractNumId w:val="8"/>
  </w:num>
  <w:num w:numId="40">
    <w:abstractNumId w:val="9"/>
  </w:num>
  <w:num w:numId="41">
    <w:abstractNumId w:val="16"/>
  </w:num>
  <w:num w:numId="42">
    <w:abstractNumId w:val="33"/>
  </w:num>
  <w:num w:numId="43">
    <w:abstractNumId w:val="21"/>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BB7"/>
    <w:rsid w:val="00085BB7"/>
    <w:rsid w:val="004441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D2ACC1-9CD2-4F2A-985B-0D4C537A6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6" w:line="248" w:lineRule="auto"/>
      <w:ind w:left="741" w:right="523" w:hanging="6"/>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ind w:left="743" w:right="18"/>
      <w:jc w:val="center"/>
      <w:outlineLvl w:val="0"/>
    </w:pPr>
    <w:rPr>
      <w:rFonts w:ascii="Times New Roman" w:eastAsia="Times New Roman" w:hAnsi="Times New Roman" w:cs="Times New Roman"/>
      <w:color w:val="000000"/>
      <w:sz w:val="24"/>
    </w:rPr>
  </w:style>
  <w:style w:type="paragraph" w:styleId="Ttulo2">
    <w:name w:val="heading 2"/>
    <w:next w:val="Normal"/>
    <w:link w:val="Ttulo2Car"/>
    <w:uiPriority w:val="9"/>
    <w:unhideWhenUsed/>
    <w:qFormat/>
    <w:pPr>
      <w:keepNext/>
      <w:keepLines/>
      <w:spacing w:after="80"/>
      <w:ind w:left="745" w:right="523" w:hanging="10"/>
      <w:jc w:val="center"/>
      <w:outlineLvl w:val="1"/>
    </w:pPr>
    <w:rPr>
      <w:rFonts w:ascii="Arial" w:eastAsia="Arial" w:hAnsi="Arial" w:cs="Arial"/>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24"/>
    </w:rPr>
  </w:style>
  <w:style w:type="character" w:customStyle="1" w:styleId="Ttulo2Car">
    <w:name w:val="Título 2 Car"/>
    <w:link w:val="Ttulo2"/>
    <w:rPr>
      <w:rFonts w:ascii="Arial" w:eastAsia="Arial" w:hAnsi="Arial" w:cs="Arial"/>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jpg"/><Relationship Id="rId21" Type="http://schemas.openxmlformats.org/officeDocument/2006/relationships/hyperlink" Target="https://go.vlex.com/vid/205706?fbt=webapp_preview" TargetMode="External"/><Relationship Id="rId34" Type="http://schemas.openxmlformats.org/officeDocument/2006/relationships/image" Target="media/image8.jpg"/><Relationship Id="rId42" Type="http://schemas.openxmlformats.org/officeDocument/2006/relationships/image" Target="media/image13.jpg"/><Relationship Id="rId47" Type="http://schemas.openxmlformats.org/officeDocument/2006/relationships/image" Target="media/image17.jpg"/><Relationship Id="rId50" Type="http://schemas.openxmlformats.org/officeDocument/2006/relationships/image" Target="media/image19.jpg"/><Relationship Id="rId55" Type="http://schemas.openxmlformats.org/officeDocument/2006/relationships/image" Target="media/image23.jpg"/><Relationship Id="rId63" Type="http://schemas.openxmlformats.org/officeDocument/2006/relationships/footer" Target="footer2.xml"/><Relationship Id="rId7" Type="http://schemas.openxmlformats.org/officeDocument/2006/relationships/hyperlink" Target="https://www.youtube.com/watch?v=JAeG1feWx58" TargetMode="External"/><Relationship Id="rId2" Type="http://schemas.openxmlformats.org/officeDocument/2006/relationships/styles" Target="styles.xml"/><Relationship Id="rId16" Type="http://schemas.openxmlformats.org/officeDocument/2006/relationships/hyperlink" Target="https://go.vlex.com/vid/205706?fbt=webapp_preview" TargetMode="External"/><Relationship Id="rId29" Type="http://schemas.openxmlformats.org/officeDocument/2006/relationships/image" Target="media/image4.jpg"/><Relationship Id="rId11" Type="http://schemas.openxmlformats.org/officeDocument/2006/relationships/hyperlink" Target="https://go.vlex.com/vid/205706?fbt=webapp_preview" TargetMode="External"/><Relationship Id="rId24" Type="http://schemas.openxmlformats.org/officeDocument/2006/relationships/hyperlink" Target="https://www.candelaria.es/sede-electronica/" TargetMode="External"/><Relationship Id="rId32" Type="http://schemas.openxmlformats.org/officeDocument/2006/relationships/image" Target="media/image6.jpg"/><Relationship Id="rId37" Type="http://schemas.openxmlformats.org/officeDocument/2006/relationships/image" Target="media/image80.jpg"/><Relationship Id="rId40" Type="http://schemas.openxmlformats.org/officeDocument/2006/relationships/image" Target="media/image12.jpg"/><Relationship Id="rId45" Type="http://schemas.openxmlformats.org/officeDocument/2006/relationships/image" Target="media/image15.png"/><Relationship Id="rId53" Type="http://schemas.openxmlformats.org/officeDocument/2006/relationships/image" Target="media/image21.jpg"/><Relationship Id="rId58" Type="http://schemas.openxmlformats.org/officeDocument/2006/relationships/hyperlink" Target="https://sede.juntaelectoralcentral.es/jecRegistroTele/sedeElectronica.action"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s://go.vlex.com/vid/205706?fbt=webapp_preview" TargetMode="External"/><Relationship Id="rId14" Type="http://schemas.openxmlformats.org/officeDocument/2006/relationships/hyperlink" Target="https://go.vlex.com/vid/205706?fbt=webapp_preview" TargetMode="External"/><Relationship Id="rId22" Type="http://schemas.openxmlformats.org/officeDocument/2006/relationships/hyperlink" Target="https://go.vlex.com/vid/205706?fbt=webapp_preview"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9.jpg"/><Relationship Id="rId43" Type="http://schemas.openxmlformats.org/officeDocument/2006/relationships/image" Target="media/image14.jpg"/><Relationship Id="rId48" Type="http://schemas.openxmlformats.org/officeDocument/2006/relationships/image" Target="media/image18.jpg"/><Relationship Id="rId56" Type="http://schemas.openxmlformats.org/officeDocument/2006/relationships/image" Target="media/image24.jpg"/><Relationship Id="rId64" Type="http://schemas.openxmlformats.org/officeDocument/2006/relationships/header" Target="header3.xml"/><Relationship Id="rId8" Type="http://schemas.openxmlformats.org/officeDocument/2006/relationships/hyperlink" Target="https://go.vlex.com/vid/205706?fbt=webapp_preview" TargetMode="External"/><Relationship Id="rId51" Type="http://schemas.openxmlformats.org/officeDocument/2006/relationships/image" Target="media/image20.jpg"/><Relationship Id="rId3" Type="http://schemas.openxmlformats.org/officeDocument/2006/relationships/settings" Target="settings.xml"/><Relationship Id="rId12" Type="http://schemas.openxmlformats.org/officeDocument/2006/relationships/hyperlink" Target="https://go.vlex.com/vid/205706?fbt=webapp_preview" TargetMode="External"/><Relationship Id="rId17" Type="http://schemas.openxmlformats.org/officeDocument/2006/relationships/hyperlink" Target="https://go.vlex.com/vid/205706?fbt=webapp_preview" TargetMode="External"/><Relationship Id="rId25" Type="http://schemas.openxmlformats.org/officeDocument/2006/relationships/hyperlink" Target="https://www.candelaria.es/sede-electronica/" TargetMode="External"/><Relationship Id="rId33" Type="http://schemas.openxmlformats.org/officeDocument/2006/relationships/image" Target="media/image7.jpg"/><Relationship Id="rId38" Type="http://schemas.openxmlformats.org/officeDocument/2006/relationships/image" Target="media/image10.jpg"/><Relationship Id="rId46" Type="http://schemas.openxmlformats.org/officeDocument/2006/relationships/image" Target="media/image16.png"/><Relationship Id="rId59" Type="http://schemas.openxmlformats.org/officeDocument/2006/relationships/hyperlink" Target="https://sede.juntaelectoralcentral.es/jecRegistroTele/sedeElectronica.action" TargetMode="External"/><Relationship Id="rId67" Type="http://schemas.openxmlformats.org/officeDocument/2006/relationships/theme" Target="theme/theme1.xml"/><Relationship Id="rId20" Type="http://schemas.openxmlformats.org/officeDocument/2006/relationships/hyperlink" Target="https://go.vlex.com/vid/205706?fbt=webapp_preview" TargetMode="External"/><Relationship Id="rId41" Type="http://schemas.openxmlformats.org/officeDocument/2006/relationships/image" Target="media/image110.jpg"/><Relationship Id="rId54" Type="http://schemas.openxmlformats.org/officeDocument/2006/relationships/image" Target="media/image22.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o.vlex.com/vid/205706?fbt=webapp_preview" TargetMode="External"/><Relationship Id="rId23" Type="http://schemas.openxmlformats.org/officeDocument/2006/relationships/hyperlink" Target="https://go.vlex.com/vid/205706?fbt=webapp_preview" TargetMode="External"/><Relationship Id="rId28" Type="http://schemas.openxmlformats.org/officeDocument/2006/relationships/image" Target="media/image3.jpg"/><Relationship Id="rId36" Type="http://schemas.openxmlformats.org/officeDocument/2006/relationships/image" Target="media/image70.jpg"/><Relationship Id="rId49" Type="http://schemas.openxmlformats.org/officeDocument/2006/relationships/image" Target="media/image16.jpg"/><Relationship Id="rId57" Type="http://schemas.openxmlformats.org/officeDocument/2006/relationships/hyperlink" Target="https://sede.juntaelectoralcentral.es/jecRegistroTele/sedeElectronica.action" TargetMode="External"/><Relationship Id="rId10" Type="http://schemas.openxmlformats.org/officeDocument/2006/relationships/hyperlink" Target="https://go.vlex.com/vid/205706?fbt=webapp_preview" TargetMode="External"/><Relationship Id="rId31" Type="http://schemas.openxmlformats.org/officeDocument/2006/relationships/image" Target="media/image50.jpg"/><Relationship Id="rId44" Type="http://schemas.openxmlformats.org/officeDocument/2006/relationships/image" Target="media/image130.jpg"/><Relationship Id="rId52" Type="http://schemas.openxmlformats.org/officeDocument/2006/relationships/image" Target="media/image180.jp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go.vlex.com/vid/205706?fbt=webapp_preview" TargetMode="External"/><Relationship Id="rId13" Type="http://schemas.openxmlformats.org/officeDocument/2006/relationships/hyperlink" Target="https://go.vlex.com/vid/205706?fbt=webapp_preview" TargetMode="External"/><Relationship Id="rId18" Type="http://schemas.openxmlformats.org/officeDocument/2006/relationships/hyperlink" Target="https://go.vlex.com/vid/205706?fbt=webapp_preview" TargetMode="External"/><Relationship Id="rId39" Type="http://schemas.openxmlformats.org/officeDocument/2006/relationships/image" Target="media/image11.jpg"/></Relationships>
</file>

<file path=word/_rels/foot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header2.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42096</Words>
  <Characters>231533</Characters>
  <Application>Microsoft Office Word</Application>
  <DocSecurity>0</DocSecurity>
  <Lines>1929</Lines>
  <Paragraphs>546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2025-01-02T12:14:00Z</dcterms:created>
  <dcterms:modified xsi:type="dcterms:W3CDTF">2025-01-02T12:14:00Z</dcterms:modified>
</cp:coreProperties>
</file>